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3960A">
      <w:pPr>
        <w:spacing w:after="120"/>
        <w:rPr>
          <w:rFonts w:hint="eastAsia" w:ascii="宋体" w:hAnsi="宋体"/>
          <w:b/>
          <w:color w:val="000000"/>
          <w:sz w:val="72"/>
        </w:rPr>
      </w:pPr>
    </w:p>
    <w:p w14:paraId="4227A90A">
      <w:pPr>
        <w:spacing w:after="120"/>
        <w:jc w:val="center"/>
        <w:rPr>
          <w:rFonts w:hint="eastAsia" w:ascii="宋体" w:hAnsi="宋体" w:cs="宋体"/>
          <w:b/>
          <w:sz w:val="72"/>
        </w:rPr>
      </w:pPr>
    </w:p>
    <w:p w14:paraId="6D8C22FD">
      <w:pPr>
        <w:spacing w:after="120"/>
        <w:jc w:val="center"/>
        <w:rPr>
          <w:rFonts w:hint="eastAsia" w:ascii="宋体" w:hAnsi="宋体" w:cs="宋体"/>
          <w:b/>
          <w:sz w:val="72"/>
        </w:rPr>
      </w:pPr>
      <w:r>
        <w:rPr>
          <w:rFonts w:hint="eastAsia" w:ascii="宋体" w:hAnsi="宋体" w:cs="宋体"/>
          <w:b/>
          <w:sz w:val="72"/>
        </w:rPr>
        <w:t>国内公开招标文件</w:t>
      </w:r>
    </w:p>
    <w:p w14:paraId="4A79944F">
      <w:pPr>
        <w:rPr>
          <w:rFonts w:hint="eastAsia" w:ascii="宋体" w:hAnsi="宋体" w:cs="宋体"/>
          <w:b/>
          <w:sz w:val="44"/>
        </w:rPr>
      </w:pPr>
    </w:p>
    <w:p w14:paraId="4B0CBFB8">
      <w:pPr>
        <w:rPr>
          <w:rFonts w:hint="eastAsia" w:ascii="宋体" w:hAnsi="宋体" w:cs="宋体"/>
          <w:b/>
          <w:sz w:val="44"/>
        </w:rPr>
      </w:pPr>
    </w:p>
    <w:p w14:paraId="14BF8FE9">
      <w:pPr>
        <w:rPr>
          <w:rFonts w:hint="eastAsia" w:ascii="宋体" w:hAnsi="宋体" w:cs="宋体"/>
          <w:b/>
          <w:sz w:val="44"/>
        </w:rPr>
      </w:pPr>
    </w:p>
    <w:p w14:paraId="5F2C9381">
      <w:pPr>
        <w:rPr>
          <w:rFonts w:hint="eastAsia" w:ascii="宋体" w:hAnsi="宋体" w:cs="宋体"/>
          <w:b/>
          <w:sz w:val="44"/>
        </w:rPr>
      </w:pPr>
    </w:p>
    <w:p w14:paraId="69093F62">
      <w:pPr>
        <w:rPr>
          <w:rFonts w:hint="eastAsia" w:ascii="宋体" w:hAnsi="宋体" w:cs="宋体"/>
          <w:b/>
          <w:sz w:val="44"/>
        </w:rPr>
      </w:pPr>
    </w:p>
    <w:p w14:paraId="6B688DBD">
      <w:pPr>
        <w:pStyle w:val="41"/>
        <w:rPr>
          <w:rFonts w:hint="eastAsia" w:hAnsi="宋体" w:cs="宋体"/>
          <w:b/>
          <w:sz w:val="44"/>
        </w:rPr>
      </w:pPr>
    </w:p>
    <w:p w14:paraId="620ECE0A">
      <w:pPr>
        <w:pStyle w:val="41"/>
        <w:ind w:left="0" w:firstLine="0"/>
      </w:pPr>
    </w:p>
    <w:p w14:paraId="27C9531B">
      <w:pPr>
        <w:pStyle w:val="41"/>
        <w:ind w:left="0" w:firstLine="0"/>
      </w:pPr>
    </w:p>
    <w:p w14:paraId="65280C9E">
      <w:pPr>
        <w:rPr>
          <w:rFonts w:hint="eastAsia" w:ascii="宋体" w:hAnsi="宋体" w:cs="宋体"/>
          <w:b/>
          <w:sz w:val="44"/>
        </w:rPr>
      </w:pPr>
    </w:p>
    <w:p w14:paraId="44936D1C">
      <w:pPr>
        <w:pStyle w:val="41"/>
      </w:pPr>
    </w:p>
    <w:p w14:paraId="72F6BADC">
      <w:pPr>
        <w:rPr>
          <w:rFonts w:hint="eastAsia" w:ascii="宋体" w:hAnsi="宋体" w:cs="宋体"/>
          <w:b/>
          <w:sz w:val="44"/>
        </w:rPr>
      </w:pPr>
    </w:p>
    <w:p w14:paraId="5E9E331E">
      <w:pPr>
        <w:snapToGrid w:val="0"/>
        <w:spacing w:line="800" w:lineRule="exact"/>
        <w:ind w:firstLine="723" w:firstLineChars="200"/>
        <w:jc w:val="left"/>
        <w:rPr>
          <w:rFonts w:hint="eastAsia" w:ascii="宋体" w:hAnsi="宋体" w:cs="宋体"/>
          <w:b/>
          <w:bCs/>
          <w:sz w:val="36"/>
          <w:szCs w:val="36"/>
        </w:rPr>
      </w:pPr>
      <w:r>
        <w:rPr>
          <w:rFonts w:hint="eastAsia" w:ascii="宋体" w:hAnsi="宋体" w:cs="宋体"/>
          <w:b/>
          <w:bCs/>
          <w:sz w:val="36"/>
          <w:szCs w:val="36"/>
          <w:lang w:val="zh-CN"/>
        </w:rPr>
        <w:t>采购编号：NBGJ2024-CG0109</w:t>
      </w:r>
    </w:p>
    <w:p w14:paraId="161C9AA6">
      <w:pPr>
        <w:spacing w:line="800" w:lineRule="exact"/>
        <w:ind w:left="2525" w:leftChars="342" w:hanging="1807" w:hangingChars="500"/>
        <w:rPr>
          <w:rFonts w:hint="eastAsia" w:ascii="宋体" w:hAnsi="宋体" w:cs="宋体"/>
          <w:b/>
          <w:bCs/>
          <w:sz w:val="36"/>
          <w:szCs w:val="36"/>
          <w:lang w:val="zh-CN"/>
        </w:rPr>
      </w:pPr>
      <w:r>
        <w:rPr>
          <w:rFonts w:hint="eastAsia" w:ascii="宋体" w:hAnsi="宋体" w:cs="宋体"/>
          <w:b/>
          <w:bCs/>
          <w:sz w:val="36"/>
          <w:szCs w:val="36"/>
          <w:lang w:val="zh-CN"/>
        </w:rPr>
        <w:t>项目名称：宁海县农村供水站提升改造工程信息化</w:t>
      </w:r>
    </w:p>
    <w:p w14:paraId="4C005B80">
      <w:pPr>
        <w:spacing w:line="800" w:lineRule="exact"/>
        <w:ind w:left="2514" w:leftChars="1197"/>
        <w:rPr>
          <w:rFonts w:hint="eastAsia" w:ascii="宋体" w:hAnsi="宋体" w:cs="宋体"/>
          <w:b/>
          <w:bCs/>
          <w:sz w:val="36"/>
          <w:szCs w:val="36"/>
        </w:rPr>
      </w:pPr>
      <w:r>
        <w:rPr>
          <w:rFonts w:hint="eastAsia" w:ascii="宋体" w:hAnsi="宋体" w:cs="宋体"/>
          <w:b/>
          <w:bCs/>
          <w:sz w:val="36"/>
          <w:szCs w:val="36"/>
          <w:lang w:val="zh-CN"/>
        </w:rPr>
        <w:t>采购项目</w:t>
      </w:r>
    </w:p>
    <w:p w14:paraId="73870CD3">
      <w:pPr>
        <w:spacing w:line="800" w:lineRule="exact"/>
        <w:ind w:firstLine="723" w:firstLineChars="200"/>
      </w:pPr>
      <w:r>
        <w:rPr>
          <w:rFonts w:hint="eastAsia" w:ascii="宋体" w:hAnsi="宋体" w:cs="宋体"/>
          <w:b/>
          <w:bCs/>
          <w:sz w:val="36"/>
          <w:szCs w:val="36"/>
          <w:lang w:val="zh-CN"/>
        </w:rPr>
        <w:t>采购单位：宁海县水利投资有限公司</w:t>
      </w:r>
      <w:r>
        <w:rPr>
          <w:rFonts w:hint="eastAsia" w:ascii="宋体" w:hAnsi="宋体" w:cs="宋体"/>
          <w:b/>
          <w:bCs/>
          <w:sz w:val="36"/>
          <w:szCs w:val="36"/>
        </w:rPr>
        <w:t xml:space="preserve"> </w:t>
      </w:r>
    </w:p>
    <w:p w14:paraId="34DBFEDF">
      <w:pPr>
        <w:spacing w:line="800" w:lineRule="exact"/>
        <w:ind w:firstLine="723" w:firstLineChars="200"/>
        <w:rPr>
          <w:rFonts w:hint="eastAsia" w:ascii="宋体" w:hAnsi="宋体" w:cs="宋体"/>
          <w:b/>
          <w:bCs/>
          <w:sz w:val="36"/>
          <w:szCs w:val="36"/>
          <w:lang w:val="zh-CN"/>
        </w:rPr>
      </w:pPr>
      <w:r>
        <w:rPr>
          <w:rFonts w:hint="eastAsia" w:ascii="宋体" w:hAnsi="宋体" w:cs="宋体"/>
          <w:b/>
          <w:bCs/>
          <w:sz w:val="36"/>
          <w:szCs w:val="36"/>
          <w:lang w:val="zh-CN"/>
        </w:rPr>
        <w:t>代理机构：宁波工建工程造价咨询有限公司</w:t>
      </w:r>
    </w:p>
    <w:p w14:paraId="3719D910">
      <w:pPr>
        <w:rPr>
          <w:rFonts w:hint="eastAsia" w:ascii="宋体" w:hAnsi="宋体" w:cs="宋体"/>
          <w:b/>
          <w:sz w:val="34"/>
        </w:rPr>
      </w:pPr>
    </w:p>
    <w:p w14:paraId="185B2E91">
      <w:pPr>
        <w:jc w:val="center"/>
        <w:rPr>
          <w:rFonts w:hint="eastAsia" w:ascii="宋体" w:hAnsi="宋体" w:cs="宋体"/>
          <w:b/>
          <w:sz w:val="36"/>
          <w:szCs w:val="36"/>
        </w:rPr>
      </w:pPr>
      <w:r>
        <w:rPr>
          <w:rFonts w:hint="eastAsia" w:ascii="宋体" w:hAnsi="宋体" w:cs="宋体"/>
          <w:b/>
          <w:sz w:val="36"/>
          <w:szCs w:val="36"/>
        </w:rPr>
        <w:t>2024年12月</w:t>
      </w:r>
    </w:p>
    <w:p w14:paraId="2D785893">
      <w:pPr>
        <w:pStyle w:val="16"/>
        <w:spacing w:before="120" w:after="120" w:line="360" w:lineRule="auto"/>
        <w:rPr>
          <w:rFonts w:hint="eastAsia" w:hAnsi="宋体" w:cs="宋体"/>
          <w:sz w:val="36"/>
          <w:szCs w:val="36"/>
        </w:rPr>
        <w:sectPr>
          <w:headerReference r:id="rId3" w:type="default"/>
          <w:footerReference r:id="rId4" w:type="default"/>
          <w:footerReference r:id="rId5" w:type="even"/>
          <w:pgSz w:w="11906" w:h="16838"/>
          <w:pgMar w:top="1474" w:right="1134" w:bottom="1247" w:left="1134" w:header="851" w:footer="851" w:gutter="0"/>
          <w:cols w:space="720" w:num="1"/>
          <w:titlePg/>
          <w:docGrid w:linePitch="312" w:charSpace="0"/>
        </w:sectPr>
      </w:pPr>
    </w:p>
    <w:p w14:paraId="5AFDA6E9">
      <w:pPr>
        <w:pStyle w:val="16"/>
        <w:spacing w:before="120" w:after="120" w:line="360" w:lineRule="auto"/>
        <w:jc w:val="center"/>
        <w:rPr>
          <w:rFonts w:hint="eastAsia" w:hAnsi="宋体" w:cs="宋体"/>
          <w:b/>
          <w:bCs/>
          <w:sz w:val="52"/>
          <w:szCs w:val="52"/>
        </w:rPr>
      </w:pPr>
      <w:r>
        <w:rPr>
          <w:rFonts w:hint="eastAsia" w:hAnsi="宋体" w:cs="宋体"/>
          <w:b/>
          <w:bCs/>
          <w:sz w:val="52"/>
          <w:szCs w:val="52"/>
        </w:rPr>
        <w:t>目    录</w:t>
      </w:r>
    </w:p>
    <w:p w14:paraId="1800F9C9">
      <w:pPr>
        <w:pStyle w:val="22"/>
        <w:tabs>
          <w:tab w:val="right" w:leader="dot" w:pos="8959"/>
        </w:tabs>
        <w:snapToGrid w:val="0"/>
        <w:rPr>
          <w:rFonts w:hint="eastAsia"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1</w:t>
      </w:r>
    </w:p>
    <w:p w14:paraId="34E1962B">
      <w:pPr>
        <w:pStyle w:val="25"/>
        <w:tabs>
          <w:tab w:val="right" w:leader="dot" w:pos="8959"/>
        </w:tabs>
        <w:snapToGrid w:val="0"/>
        <w:ind w:left="0" w:leftChars="0"/>
        <w:rPr>
          <w:rFonts w:hint="eastAsia" w:ascii="宋体" w:hAnsi="宋体" w:cs="宋体"/>
          <w:b/>
          <w:bCs/>
          <w:sz w:val="32"/>
          <w:szCs w:val="32"/>
        </w:rPr>
      </w:pPr>
    </w:p>
    <w:p w14:paraId="6A1A8EEB">
      <w:pPr>
        <w:pStyle w:val="25"/>
        <w:tabs>
          <w:tab w:val="right" w:leader="dot" w:pos="8959"/>
        </w:tabs>
        <w:snapToGrid w:val="0"/>
        <w:ind w:left="0" w:leftChars="0"/>
        <w:rPr>
          <w:rFonts w:hint="eastAsia" w:ascii="宋体" w:hAnsi="宋体" w:cs="宋体"/>
          <w:b/>
          <w:bCs/>
          <w:sz w:val="32"/>
          <w:szCs w:val="32"/>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4</w:t>
      </w:r>
    </w:p>
    <w:p w14:paraId="1F1A6C7A">
      <w:pPr>
        <w:pStyle w:val="25"/>
        <w:tabs>
          <w:tab w:val="right" w:leader="dot" w:pos="8959"/>
        </w:tabs>
        <w:snapToGrid w:val="0"/>
        <w:ind w:left="0" w:leftChars="0"/>
        <w:rPr>
          <w:rFonts w:hint="eastAsia" w:ascii="宋体" w:hAnsi="宋体" w:cs="宋体"/>
          <w:b/>
          <w:bCs/>
          <w:sz w:val="32"/>
          <w:szCs w:val="32"/>
        </w:rPr>
      </w:pPr>
    </w:p>
    <w:p w14:paraId="3821329C">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第三章  供应商须知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74</w:t>
      </w:r>
    </w:p>
    <w:p w14:paraId="1ADB6B22">
      <w:pPr>
        <w:pStyle w:val="25"/>
        <w:tabs>
          <w:tab w:val="right" w:leader="dot" w:pos="8959"/>
        </w:tabs>
        <w:snapToGrid w:val="0"/>
        <w:ind w:left="0" w:leftChars="0"/>
        <w:rPr>
          <w:rFonts w:hint="eastAsia" w:ascii="宋体" w:hAnsi="宋体" w:cs="宋体"/>
          <w:b/>
          <w:bCs/>
          <w:sz w:val="32"/>
          <w:szCs w:val="32"/>
        </w:rPr>
      </w:pPr>
    </w:p>
    <w:p w14:paraId="5DC1E4BF">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87</w:t>
      </w:r>
    </w:p>
    <w:p w14:paraId="2F5501EA">
      <w:pPr>
        <w:pStyle w:val="25"/>
        <w:tabs>
          <w:tab w:val="right" w:leader="dot" w:pos="8959"/>
        </w:tabs>
        <w:snapToGrid w:val="0"/>
        <w:ind w:left="0" w:leftChars="0"/>
        <w:rPr>
          <w:rFonts w:hint="eastAsia" w:ascii="宋体" w:hAnsi="宋体" w:cs="宋体"/>
          <w:b/>
          <w:bCs/>
          <w:sz w:val="32"/>
          <w:szCs w:val="32"/>
        </w:rPr>
      </w:pPr>
    </w:p>
    <w:p w14:paraId="3B043744">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90</w:t>
      </w:r>
    </w:p>
    <w:p w14:paraId="23094231">
      <w:pPr>
        <w:pStyle w:val="25"/>
        <w:tabs>
          <w:tab w:val="right" w:leader="dot" w:pos="8959"/>
        </w:tabs>
        <w:snapToGrid w:val="0"/>
        <w:ind w:left="0" w:leftChars="0"/>
        <w:rPr>
          <w:rFonts w:hint="eastAsia" w:ascii="宋体" w:hAnsi="宋体" w:cs="宋体"/>
          <w:b/>
          <w:bCs/>
          <w:sz w:val="32"/>
          <w:szCs w:val="32"/>
        </w:rPr>
      </w:pPr>
    </w:p>
    <w:p w14:paraId="73E5F709">
      <w:pPr>
        <w:pStyle w:val="25"/>
        <w:tabs>
          <w:tab w:val="right" w:leader="dot" w:pos="8959"/>
        </w:tabs>
        <w:snapToGrid w:val="0"/>
        <w:ind w:left="0" w:leftChars="0"/>
        <w:rPr>
          <w:rFonts w:hint="eastAsia" w:ascii="宋体" w:hAnsi="宋体" w:eastAsia="宋体" w:cs="宋体"/>
          <w:b/>
          <w:bCs/>
          <w:sz w:val="32"/>
          <w:szCs w:val="32"/>
          <w:lang w:eastAsia="zh-CN"/>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11</w:t>
      </w:r>
      <w:r>
        <w:rPr>
          <w:rFonts w:hint="eastAsia" w:ascii="宋体" w:hAnsi="宋体" w:cs="宋体"/>
          <w:b/>
          <w:bCs/>
          <w:sz w:val="32"/>
          <w:szCs w:val="32"/>
          <w:lang w:val="en-US" w:eastAsia="zh-CN"/>
        </w:rPr>
        <w:t>1</w:t>
      </w:r>
    </w:p>
    <w:p w14:paraId="3333A73F">
      <w:pPr>
        <w:pStyle w:val="25"/>
        <w:tabs>
          <w:tab w:val="right" w:leader="dot" w:pos="8959"/>
        </w:tabs>
        <w:snapToGrid w:val="0"/>
        <w:ind w:left="0" w:leftChars="0"/>
        <w:rPr>
          <w:rFonts w:hint="eastAsia" w:ascii="宋体" w:hAnsi="宋体" w:cs="宋体"/>
          <w:b/>
          <w:bCs/>
          <w:sz w:val="32"/>
          <w:szCs w:val="32"/>
        </w:rPr>
      </w:pPr>
    </w:p>
    <w:p w14:paraId="495B57D6">
      <w:pPr>
        <w:pStyle w:val="25"/>
        <w:tabs>
          <w:tab w:val="right" w:leader="dot" w:pos="8959"/>
        </w:tabs>
        <w:snapToGrid w:val="0"/>
        <w:ind w:left="0" w:leftChars="0"/>
        <w:rPr>
          <w:rFonts w:hint="eastAsia" w:ascii="宋体" w:hAnsi="宋体" w:cs="宋体"/>
          <w:b/>
          <w:bCs/>
          <w:sz w:val="32"/>
          <w:szCs w:val="32"/>
        </w:rPr>
      </w:pPr>
    </w:p>
    <w:p w14:paraId="12D5B784">
      <w:pPr>
        <w:pStyle w:val="22"/>
        <w:tabs>
          <w:tab w:val="right" w:leader="dot" w:pos="8959"/>
        </w:tabs>
        <w:snapToGrid w:val="0"/>
        <w:rPr>
          <w:rFonts w:hint="eastAsia" w:ascii="宋体" w:hAnsi="宋体" w:cs="宋体"/>
          <w:sz w:val="44"/>
          <w:szCs w:val="44"/>
        </w:rPr>
      </w:pPr>
      <w:r>
        <w:rPr>
          <w:rFonts w:hint="eastAsia" w:ascii="宋体" w:hAnsi="宋体" w:cs="宋体"/>
          <w:b/>
          <w:bCs/>
          <w:sz w:val="32"/>
          <w:szCs w:val="32"/>
        </w:rPr>
        <w:fldChar w:fldCharType="end"/>
      </w:r>
    </w:p>
    <w:p w14:paraId="7F2ED5B4">
      <w:pPr>
        <w:pStyle w:val="16"/>
        <w:tabs>
          <w:tab w:val="left" w:pos="795"/>
          <w:tab w:val="center" w:pos="4539"/>
        </w:tabs>
        <w:snapToGrid w:val="0"/>
        <w:spacing w:before="120" w:after="120"/>
        <w:jc w:val="left"/>
        <w:rPr>
          <w:rFonts w:hint="eastAsia" w:hAnsi="宋体" w:cs="宋体"/>
        </w:rPr>
      </w:pPr>
      <w:bookmarkStart w:id="0" w:name="_Toc9329"/>
    </w:p>
    <w:p w14:paraId="1C48D388">
      <w:pPr>
        <w:pStyle w:val="16"/>
        <w:tabs>
          <w:tab w:val="left" w:pos="795"/>
          <w:tab w:val="center" w:pos="4539"/>
        </w:tabs>
        <w:snapToGrid w:val="0"/>
        <w:spacing w:before="120" w:after="120"/>
        <w:jc w:val="left"/>
        <w:rPr>
          <w:rFonts w:hint="eastAsia" w:hAnsi="宋体" w:cs="宋体"/>
        </w:rPr>
      </w:pPr>
    </w:p>
    <w:p w14:paraId="0BB1DD70">
      <w:pPr>
        <w:pStyle w:val="16"/>
        <w:tabs>
          <w:tab w:val="left" w:pos="795"/>
          <w:tab w:val="center" w:pos="4539"/>
        </w:tabs>
        <w:snapToGrid w:val="0"/>
        <w:spacing w:before="120" w:after="120"/>
        <w:jc w:val="left"/>
        <w:rPr>
          <w:rFonts w:hint="eastAsia" w:hAnsi="宋体" w:cs="宋体"/>
        </w:rPr>
      </w:pPr>
    </w:p>
    <w:p w14:paraId="1D8A9E23">
      <w:pPr>
        <w:pStyle w:val="16"/>
        <w:tabs>
          <w:tab w:val="left" w:pos="795"/>
          <w:tab w:val="center" w:pos="4539"/>
        </w:tabs>
        <w:snapToGrid w:val="0"/>
        <w:spacing w:before="120" w:after="120"/>
        <w:jc w:val="left"/>
        <w:rPr>
          <w:rFonts w:hint="eastAsia" w:hAnsi="宋体" w:cs="宋体"/>
        </w:rPr>
      </w:pPr>
    </w:p>
    <w:p w14:paraId="747B8EE7">
      <w:pPr>
        <w:pStyle w:val="16"/>
        <w:tabs>
          <w:tab w:val="left" w:pos="795"/>
          <w:tab w:val="center" w:pos="4539"/>
        </w:tabs>
        <w:snapToGrid w:val="0"/>
        <w:spacing w:before="120" w:after="120"/>
        <w:jc w:val="left"/>
        <w:rPr>
          <w:rFonts w:hint="eastAsia" w:hAnsi="宋体" w:cs="宋体"/>
        </w:rPr>
      </w:pPr>
    </w:p>
    <w:p w14:paraId="634B5CF8">
      <w:pPr>
        <w:pStyle w:val="16"/>
        <w:tabs>
          <w:tab w:val="left" w:pos="795"/>
          <w:tab w:val="center" w:pos="4539"/>
        </w:tabs>
        <w:snapToGrid w:val="0"/>
        <w:spacing w:before="120" w:after="120"/>
        <w:jc w:val="left"/>
        <w:rPr>
          <w:rFonts w:hint="eastAsia" w:hAnsi="宋体" w:cs="宋体"/>
        </w:rPr>
      </w:pPr>
    </w:p>
    <w:p w14:paraId="341EA156">
      <w:pPr>
        <w:pStyle w:val="16"/>
        <w:tabs>
          <w:tab w:val="left" w:pos="795"/>
          <w:tab w:val="center" w:pos="4539"/>
        </w:tabs>
        <w:snapToGrid w:val="0"/>
        <w:spacing w:before="120" w:after="120"/>
        <w:jc w:val="left"/>
        <w:rPr>
          <w:rFonts w:hint="eastAsia" w:hAnsi="宋体" w:cs="宋体"/>
        </w:rPr>
      </w:pPr>
    </w:p>
    <w:p w14:paraId="579C4C37">
      <w:pPr>
        <w:pStyle w:val="16"/>
        <w:tabs>
          <w:tab w:val="left" w:pos="795"/>
          <w:tab w:val="center" w:pos="4539"/>
        </w:tabs>
        <w:snapToGrid w:val="0"/>
        <w:spacing w:before="120" w:after="120"/>
        <w:jc w:val="left"/>
        <w:rPr>
          <w:rFonts w:hint="eastAsia" w:hAnsi="宋体" w:cs="宋体"/>
        </w:rPr>
      </w:pPr>
    </w:p>
    <w:p w14:paraId="35E39800">
      <w:pPr>
        <w:pStyle w:val="16"/>
        <w:tabs>
          <w:tab w:val="left" w:pos="795"/>
          <w:tab w:val="center" w:pos="4539"/>
        </w:tabs>
        <w:snapToGrid w:val="0"/>
        <w:spacing w:before="120" w:after="120"/>
        <w:jc w:val="left"/>
        <w:rPr>
          <w:rFonts w:hint="eastAsia" w:hAnsi="宋体" w:cs="宋体"/>
        </w:rPr>
      </w:pPr>
    </w:p>
    <w:p w14:paraId="25EEAA0E">
      <w:pPr>
        <w:pStyle w:val="16"/>
        <w:tabs>
          <w:tab w:val="left" w:pos="795"/>
          <w:tab w:val="center" w:pos="4539"/>
        </w:tabs>
        <w:snapToGrid w:val="0"/>
        <w:spacing w:before="120" w:after="120"/>
        <w:jc w:val="left"/>
        <w:rPr>
          <w:rFonts w:hint="eastAsia" w:hAnsi="宋体" w:cs="宋体"/>
        </w:rPr>
      </w:pPr>
    </w:p>
    <w:p w14:paraId="2363783C">
      <w:pPr>
        <w:pStyle w:val="16"/>
        <w:tabs>
          <w:tab w:val="left" w:pos="795"/>
          <w:tab w:val="center" w:pos="4539"/>
        </w:tabs>
        <w:snapToGrid w:val="0"/>
        <w:spacing w:before="120" w:after="120"/>
        <w:jc w:val="left"/>
        <w:rPr>
          <w:rFonts w:hint="eastAsia" w:hAnsi="宋体" w:cs="宋体"/>
        </w:rPr>
      </w:pPr>
    </w:p>
    <w:p w14:paraId="519C2AD4">
      <w:pPr>
        <w:pStyle w:val="16"/>
        <w:tabs>
          <w:tab w:val="left" w:pos="795"/>
          <w:tab w:val="center" w:pos="4539"/>
        </w:tabs>
        <w:snapToGrid w:val="0"/>
        <w:spacing w:before="120" w:after="120"/>
        <w:jc w:val="left"/>
        <w:outlineLvl w:val="0"/>
        <w:rPr>
          <w:rFonts w:hint="eastAsia" w:hAnsi="宋体" w:cs="宋体"/>
        </w:rPr>
        <w:sectPr>
          <w:footerReference r:id="rId7" w:type="first"/>
          <w:footerReference r:id="rId6" w:type="default"/>
          <w:pgSz w:w="11907" w:h="16840"/>
          <w:pgMar w:top="1701" w:right="1474" w:bottom="1701" w:left="1474" w:header="851" w:footer="992" w:gutter="0"/>
          <w:cols w:space="720" w:num="1"/>
          <w:titlePg/>
          <w:docGrid w:linePitch="312" w:charSpace="0"/>
        </w:sectPr>
      </w:pPr>
    </w:p>
    <w:p w14:paraId="6E7972AB">
      <w:pPr>
        <w:pStyle w:val="16"/>
        <w:snapToGrid w:val="0"/>
        <w:spacing w:before="156" w:after="156"/>
        <w:jc w:val="center"/>
        <w:outlineLvl w:val="0"/>
        <w:rPr>
          <w:rFonts w:hint="eastAsia" w:hAnsi="宋体" w:cs="宋体"/>
          <w:b/>
          <w:sz w:val="30"/>
          <w:szCs w:val="30"/>
        </w:rPr>
      </w:pPr>
      <w:r>
        <w:rPr>
          <w:rFonts w:hint="eastAsia" w:hAnsi="宋体" w:cs="宋体"/>
          <w:b/>
          <w:sz w:val="30"/>
          <w:szCs w:val="30"/>
        </w:rPr>
        <w:t>第一章  公开招标公告</w:t>
      </w:r>
      <w:bookmarkEnd w:id="0"/>
    </w:p>
    <w:p w14:paraId="3003AA3B">
      <w:pPr>
        <w:snapToGrid w:val="0"/>
        <w:spacing w:line="360" w:lineRule="auto"/>
        <w:ind w:firstLine="420" w:firstLineChars="200"/>
        <w:rPr>
          <w:rFonts w:hint="eastAsia" w:ascii="宋体" w:hAnsi="宋体" w:cs="宋体"/>
          <w:szCs w:val="21"/>
        </w:rPr>
      </w:pPr>
      <w:r>
        <w:rPr>
          <w:rFonts w:hint="eastAsia" w:ascii="宋体" w:hAnsi="宋体" w:cs="宋体"/>
          <w:szCs w:val="21"/>
        </w:rPr>
        <w:t>根据《中华人民共和国招投标法》等有关规定，本公司受</w:t>
      </w:r>
      <w:r>
        <w:rPr>
          <w:rFonts w:hint="eastAsia" w:ascii="宋体" w:hAnsi="宋体"/>
          <w:b/>
          <w:bCs/>
          <w:szCs w:val="21"/>
          <w:u w:val="single"/>
        </w:rPr>
        <w:t>宁海县水利投资有限公司</w:t>
      </w:r>
      <w:r>
        <w:rPr>
          <w:rFonts w:hint="eastAsia" w:ascii="宋体" w:hAnsi="宋体" w:cs="宋体"/>
        </w:rPr>
        <w:t>委托</w:t>
      </w:r>
      <w:r>
        <w:rPr>
          <w:rFonts w:hint="eastAsia" w:ascii="宋体" w:hAnsi="宋体" w:cs="宋体"/>
          <w:szCs w:val="21"/>
        </w:rPr>
        <w:t>对</w:t>
      </w:r>
      <w:r>
        <w:rPr>
          <w:rFonts w:hint="eastAsia" w:ascii="宋体" w:hAnsi="宋体" w:cs="宋体"/>
          <w:b/>
          <w:bCs/>
          <w:szCs w:val="21"/>
          <w:u w:val="single"/>
        </w:rPr>
        <w:t>宁海县农村供水站提升改造工程信息化采购项目</w:t>
      </w:r>
      <w:r>
        <w:rPr>
          <w:rFonts w:hint="eastAsia" w:ascii="宋体" w:hAnsi="宋体" w:cs="宋体"/>
          <w:szCs w:val="21"/>
        </w:rPr>
        <w:t>进行公开招标采购，欢迎合格的供应商参加投标。</w:t>
      </w:r>
    </w:p>
    <w:p w14:paraId="5B4F5B78">
      <w:pPr>
        <w:numPr>
          <w:ilvl w:val="0"/>
          <w:numId w:val="3"/>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bookmarkStart w:id="59" w:name="_GoBack"/>
      <w:r>
        <w:rPr>
          <w:rFonts w:hint="eastAsia" w:ascii="宋体" w:hAnsi="宋体" w:cs="宋体"/>
          <w:szCs w:val="21"/>
          <w:lang w:val="zh-CN"/>
        </w:rPr>
        <w:t>NBGJ2024-CG0109</w:t>
      </w:r>
      <w:bookmarkEnd w:id="59"/>
    </w:p>
    <w:p w14:paraId="2C66C7ED">
      <w:pPr>
        <w:tabs>
          <w:tab w:val="left" w:pos="363"/>
        </w:tabs>
        <w:adjustRightInd w:val="0"/>
        <w:snapToGrid w:val="0"/>
        <w:spacing w:line="360" w:lineRule="auto"/>
        <w:ind w:left="424"/>
        <w:rPr>
          <w:rFonts w:hint="eastAsia" w:ascii="宋体" w:hAnsi="宋体" w:cs="宋体"/>
          <w:szCs w:val="21"/>
        </w:rPr>
      </w:pPr>
      <w:r>
        <w:rPr>
          <w:rFonts w:hint="eastAsia" w:ascii="宋体" w:hAnsi="宋体" w:cs="宋体"/>
          <w:b/>
          <w:szCs w:val="21"/>
        </w:rPr>
        <w:t>二、采购组织类型</w:t>
      </w:r>
      <w:r>
        <w:rPr>
          <w:rFonts w:hint="eastAsia" w:ascii="宋体" w:hAnsi="宋体" w:cs="宋体"/>
          <w:szCs w:val="21"/>
        </w:rPr>
        <w:t>：国企</w:t>
      </w:r>
      <w:r>
        <w:rPr>
          <w:rFonts w:hint="eastAsia" w:ascii="宋体" w:hAnsi="宋体" w:cs="宋体"/>
          <w:bCs/>
          <w:kern w:val="0"/>
          <w:szCs w:val="21"/>
        </w:rPr>
        <w:t>采购</w:t>
      </w:r>
    </w:p>
    <w:p w14:paraId="73D3771B">
      <w:pPr>
        <w:snapToGrid w:val="0"/>
        <w:spacing w:line="360" w:lineRule="auto"/>
        <w:rPr>
          <w:rFonts w:hint="eastAsia"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433DB1E9">
      <w:pPr>
        <w:snapToGrid w:val="0"/>
        <w:spacing w:line="360" w:lineRule="auto"/>
        <w:ind w:firstLine="422" w:firstLineChars="200"/>
        <w:rPr>
          <w:rFonts w:hint="eastAsia" w:ascii="宋体" w:hAnsi="宋体" w:cs="宋体"/>
          <w:bCs/>
          <w:szCs w:val="21"/>
        </w:rPr>
      </w:pPr>
      <w:r>
        <w:rPr>
          <w:rFonts w:hint="eastAsia" w:ascii="宋体" w:hAnsi="宋体" w:cs="宋体"/>
          <w:b/>
          <w:szCs w:val="21"/>
        </w:rPr>
        <w:t>四、采购内容</w:t>
      </w:r>
      <w:r>
        <w:rPr>
          <w:rFonts w:hint="eastAsia" w:ascii="宋体" w:hAnsi="宋体" w:cs="宋体"/>
          <w:bCs/>
          <w:szCs w:val="21"/>
        </w:rPr>
        <w:t>：详见招标需求</w:t>
      </w:r>
    </w:p>
    <w:p w14:paraId="6682E57E">
      <w:pPr>
        <w:snapToGrid w:val="0"/>
        <w:spacing w:line="360" w:lineRule="auto"/>
        <w:ind w:firstLine="422" w:firstLineChars="200"/>
        <w:rPr>
          <w:rFonts w:hint="eastAsia" w:ascii="宋体" w:hAnsi="宋体" w:cs="宋体"/>
          <w:b/>
          <w:bCs/>
          <w:kern w:val="0"/>
          <w:szCs w:val="21"/>
        </w:rPr>
      </w:pPr>
      <w:r>
        <w:rPr>
          <w:rFonts w:hint="eastAsia" w:ascii="宋体" w:hAnsi="宋体"/>
          <w:b/>
          <w:bCs/>
          <w:szCs w:val="21"/>
        </w:rPr>
        <w:t>五、本项目预算价（人民币）：26333758元；</w:t>
      </w:r>
    </w:p>
    <w:p w14:paraId="5EA7E4DF">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六、合格供应商的资格要求</w:t>
      </w:r>
    </w:p>
    <w:p w14:paraId="4F4FC797">
      <w:pPr>
        <w:snapToGrid w:val="0"/>
        <w:spacing w:line="360" w:lineRule="auto"/>
        <w:ind w:firstLine="210" w:firstLineChars="100"/>
        <w:rPr>
          <w:rFonts w:hint="eastAsia" w:ascii="宋体" w:hAnsi="宋体" w:cs="宋体"/>
          <w:szCs w:val="21"/>
        </w:rPr>
      </w:pPr>
      <w:r>
        <w:rPr>
          <w:rFonts w:hint="eastAsia" w:ascii="宋体" w:hAnsi="宋体" w:cs="宋体"/>
          <w:szCs w:val="21"/>
        </w:rPr>
        <w:t>（一）符合《中华人民共和国政府采购法》第二十二条规定的供应商资格条件：</w:t>
      </w:r>
    </w:p>
    <w:p w14:paraId="47190E6D">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1、具有独立承担民事责任的能力；</w:t>
      </w:r>
    </w:p>
    <w:p w14:paraId="63BA77AF">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2、具有良好的商业信誉和健全的财务会计制度；</w:t>
      </w:r>
    </w:p>
    <w:p w14:paraId="63FF0AC3">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3、具有履行合同所必需的设备和专业技术能力；</w:t>
      </w:r>
    </w:p>
    <w:p w14:paraId="5D4B9BCF">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4、有依法缴纳税收和社会保障资金的良好记录；</w:t>
      </w:r>
    </w:p>
    <w:p w14:paraId="7D6CD07C">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5、参加政府采购活动前三年内，在经营活动中没有重大违法记录；</w:t>
      </w:r>
    </w:p>
    <w:p w14:paraId="01BA6C42">
      <w:pPr>
        <w:snapToGrid w:val="0"/>
        <w:spacing w:line="360" w:lineRule="auto"/>
        <w:ind w:firstLine="210" w:firstLineChars="100"/>
        <w:rPr>
          <w:rFonts w:hint="eastAsia" w:ascii="宋体" w:hAnsi="宋体" w:cs="宋体"/>
          <w:szCs w:val="21"/>
        </w:rPr>
      </w:pPr>
      <w:r>
        <w:rPr>
          <w:rFonts w:hint="eastAsia" w:ascii="宋体" w:hAnsi="宋体" w:cs="宋体"/>
          <w:szCs w:val="21"/>
        </w:rPr>
        <w:t>（二）特定条件</w:t>
      </w:r>
    </w:p>
    <w:p w14:paraId="7AADFB2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1、本次招标允许联合体投标；如为联合体投标，组成联合体的成员数量不超过2个（含联合体牵头人）。</w:t>
      </w:r>
    </w:p>
    <w:p w14:paraId="6A9CBD94">
      <w:pPr>
        <w:snapToGrid w:val="0"/>
        <w:spacing w:line="360" w:lineRule="auto"/>
        <w:ind w:firstLine="420" w:firstLineChars="200"/>
        <w:rPr>
          <w:rFonts w:hint="eastAsia" w:ascii="宋体" w:hAnsi="宋体" w:cs="宋体"/>
          <w:szCs w:val="21"/>
        </w:rPr>
      </w:pPr>
      <w:r>
        <w:rPr>
          <w:rFonts w:hint="eastAsia" w:ascii="宋体" w:hAnsi="宋体" w:cs="宋体"/>
          <w:szCs w:val="21"/>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p w14:paraId="73826DA3">
      <w:pPr>
        <w:widowControl/>
        <w:spacing w:line="360" w:lineRule="auto"/>
        <w:jc w:val="left"/>
        <w:rPr>
          <w:rFonts w:hint="eastAsia" w:ascii="宋体" w:hAnsi="宋体" w:cs="宋体"/>
          <w:b/>
          <w:bCs/>
          <w:kern w:val="0"/>
          <w:szCs w:val="21"/>
        </w:rPr>
      </w:pPr>
      <w:r>
        <w:rPr>
          <w:rFonts w:hint="eastAsia" w:ascii="宋体" w:hAnsi="宋体" w:cs="宋体"/>
          <w:b/>
          <w:bCs/>
          <w:kern w:val="0"/>
          <w:szCs w:val="21"/>
        </w:rPr>
        <w:t xml:space="preserve">    七、招标文件的获取：</w:t>
      </w:r>
    </w:p>
    <w:p w14:paraId="42871559">
      <w:pPr>
        <w:snapToGrid w:val="0"/>
        <w:spacing w:line="360" w:lineRule="auto"/>
        <w:ind w:firstLine="411" w:firstLineChars="196"/>
        <w:rPr>
          <w:rFonts w:hint="eastAsia" w:ascii="宋体" w:hAnsi="宋体" w:cs="宋体"/>
          <w:szCs w:val="21"/>
        </w:rPr>
      </w:pPr>
      <w:r>
        <w:rPr>
          <w:rFonts w:hint="eastAsia" w:ascii="宋体" w:hAnsi="宋体" w:cs="宋体"/>
          <w:szCs w:val="21"/>
        </w:rPr>
        <w:t>1、获取招标文件的时间期限：自招标公告发布之日起至2024年  月  日止（节假日及法定假日除外），每天8:00-11:30，13:30-16:00（北京时间）；</w:t>
      </w:r>
    </w:p>
    <w:p w14:paraId="0FE7A6A2">
      <w:pPr>
        <w:snapToGrid w:val="0"/>
        <w:spacing w:line="360" w:lineRule="auto"/>
        <w:ind w:firstLine="411" w:firstLineChars="196"/>
        <w:rPr>
          <w:rFonts w:hint="eastAsia" w:ascii="宋体" w:hAnsi="宋体" w:cs="宋体"/>
          <w:kern w:val="1"/>
          <w:szCs w:val="21"/>
        </w:rPr>
      </w:pPr>
      <w:r>
        <w:rPr>
          <w:rFonts w:hint="eastAsia" w:ascii="宋体" w:hAnsi="宋体" w:cs="宋体"/>
          <w:szCs w:val="21"/>
        </w:rPr>
        <w:t>2、获取招标文件方式：供应商直接登陆“乐采云”（https://nbsc.lecaiyun.com/）进行网上报名并下载招标文件。招标公告</w:t>
      </w:r>
      <w:r>
        <w:rPr>
          <w:rFonts w:hint="eastAsia" w:ascii="宋体" w:hAnsi="宋体" w:cs="宋体"/>
          <w:kern w:val="1"/>
          <w:szCs w:val="21"/>
        </w:rPr>
        <w:t>附件中提供的招标文件仅供阅览使用，按照</w:t>
      </w:r>
      <w:r>
        <w:rPr>
          <w:rFonts w:hint="eastAsia" w:ascii="宋体" w:hAnsi="宋体" w:cs="宋体"/>
          <w:szCs w:val="21"/>
        </w:rPr>
        <w:t>乐采云平台</w:t>
      </w:r>
      <w:r>
        <w:rPr>
          <w:rFonts w:hint="eastAsia" w:ascii="宋体" w:hAnsi="宋体" w:cs="宋体"/>
          <w:kern w:val="1"/>
          <w:szCs w:val="21"/>
        </w:rPr>
        <w:t>规定点击“获取采购文件”为依法获取本项目招标文件的方式，未依法获取招标文件的潜在供应商，对招标文件提起质疑的，按照无效质疑处理。拒绝接收未按规定时间和方式获取招标文件的供应商递交的投标文件；</w:t>
      </w:r>
    </w:p>
    <w:p w14:paraId="62F682BF">
      <w:pPr>
        <w:snapToGrid w:val="0"/>
        <w:spacing w:line="360" w:lineRule="auto"/>
        <w:ind w:firstLine="411" w:firstLineChars="196"/>
        <w:rPr>
          <w:rFonts w:hint="eastAsia" w:ascii="宋体" w:hAnsi="宋体" w:cs="宋体"/>
          <w:szCs w:val="21"/>
        </w:rPr>
      </w:pPr>
      <w:r>
        <w:rPr>
          <w:rFonts w:hint="eastAsia" w:ascii="宋体" w:hAnsi="宋体" w:cs="宋体"/>
          <w:szCs w:val="21"/>
        </w:rPr>
        <w:t>《供应商网上报名操作指南》网址：浙江政府采购网，位置：“首页-办事指南-省采中心-网上报名”（http://zfcg.czt.zj.gov.cn/bs_other/2018-03-30/12002.html）</w:t>
      </w:r>
    </w:p>
    <w:p w14:paraId="546CD079">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shd w:val="clear" w:color="auto" w:fill="FFFFFF"/>
        </w:rPr>
        <w:t>3、招标文件售价：</w:t>
      </w:r>
      <w:r>
        <w:rPr>
          <w:rFonts w:hint="eastAsia" w:ascii="宋体" w:hAnsi="宋体" w:cs="宋体"/>
        </w:rPr>
        <w:t>招标文件每套500元人民币，售后不退。</w:t>
      </w:r>
      <w:r>
        <w:rPr>
          <w:rFonts w:hint="eastAsia" w:ascii="宋体" w:hAnsi="宋体" w:cs="宋体"/>
          <w:szCs w:val="21"/>
        </w:rPr>
        <w:t>各单位通过账户以转账支票(必须实时清算)、银行汇票或电汇、银行保函形式向宁波工建工程造价咨询有限公司提交（保证金账户）；</w:t>
      </w:r>
    </w:p>
    <w:p w14:paraId="3C2738CD">
      <w:pPr>
        <w:snapToGrid w:val="0"/>
        <w:spacing w:line="360" w:lineRule="auto"/>
        <w:ind w:firstLine="413" w:firstLineChars="196"/>
        <w:rPr>
          <w:rFonts w:hint="eastAsia" w:ascii="宋体" w:hAnsi="宋体" w:cs="宋体"/>
          <w:szCs w:val="21"/>
        </w:rPr>
      </w:pPr>
      <w:r>
        <w:rPr>
          <w:rFonts w:hint="eastAsia" w:ascii="宋体" w:hAnsi="宋体" w:cs="宋体"/>
          <w:b/>
          <w:bCs/>
          <w:szCs w:val="21"/>
        </w:rPr>
        <w:t>八、投标保证金</w:t>
      </w:r>
      <w:r>
        <w:rPr>
          <w:rFonts w:hint="eastAsia" w:ascii="宋体" w:hAnsi="宋体" w:cs="宋体"/>
          <w:szCs w:val="21"/>
        </w:rPr>
        <w:t>：</w:t>
      </w:r>
    </w:p>
    <w:p w14:paraId="6F18990D">
      <w:pPr>
        <w:snapToGrid w:val="0"/>
        <w:spacing w:line="360" w:lineRule="auto"/>
        <w:ind w:firstLine="420" w:firstLineChars="200"/>
        <w:rPr>
          <w:rFonts w:hint="eastAsia" w:ascii="宋体" w:hAnsi="宋体" w:cs="宋体"/>
          <w:szCs w:val="21"/>
        </w:rPr>
      </w:pPr>
      <w:r>
        <w:rPr>
          <w:rFonts w:hint="eastAsia" w:ascii="宋体" w:hAnsi="宋体" w:cs="宋体"/>
          <w:szCs w:val="21"/>
        </w:rPr>
        <w:t>投标保证金：人民币400000元整；</w:t>
      </w:r>
    </w:p>
    <w:p w14:paraId="00993525">
      <w:pPr>
        <w:snapToGrid w:val="0"/>
        <w:spacing w:line="360" w:lineRule="auto"/>
        <w:ind w:firstLine="420" w:firstLineChars="200"/>
        <w:rPr>
          <w:rFonts w:hint="eastAsia" w:ascii="宋体" w:hAnsi="宋体" w:cs="宋体"/>
          <w:szCs w:val="21"/>
        </w:rPr>
      </w:pPr>
      <w:r>
        <w:rPr>
          <w:rFonts w:hint="eastAsia" w:ascii="宋体" w:hAnsi="宋体" w:cs="宋体"/>
          <w:szCs w:val="21"/>
        </w:rPr>
        <w:t>保证金收妥抵用(即到帐)截止时间：2024年  月  日16:00，各单位通过账户以转账支票(必须实时清算)、银行汇票或电汇、银行保函形式向宁波工建工程造价咨询有限公司提交；</w:t>
      </w:r>
    </w:p>
    <w:p w14:paraId="45802E45">
      <w:pPr>
        <w:snapToGrid w:val="0"/>
        <w:spacing w:line="360" w:lineRule="auto"/>
        <w:ind w:firstLine="420" w:firstLineChars="200"/>
        <w:rPr>
          <w:rFonts w:hint="eastAsia" w:ascii="宋体" w:hAnsi="宋体" w:cs="宋体"/>
          <w:szCs w:val="21"/>
        </w:rPr>
      </w:pPr>
      <w:r>
        <w:rPr>
          <w:rFonts w:hint="eastAsia" w:ascii="宋体" w:hAnsi="宋体" w:cs="宋体"/>
          <w:szCs w:val="21"/>
        </w:rPr>
        <w:t>保证金交纳账户名：宁波工建工程造价咨询有限公司；</w:t>
      </w:r>
    </w:p>
    <w:p w14:paraId="201B15F7">
      <w:pPr>
        <w:snapToGrid w:val="0"/>
        <w:spacing w:line="360" w:lineRule="auto"/>
        <w:ind w:firstLine="420" w:firstLineChars="200"/>
        <w:rPr>
          <w:rFonts w:hint="eastAsia" w:ascii="宋体" w:hAnsi="宋体" w:cs="宋体"/>
          <w:szCs w:val="21"/>
        </w:rPr>
      </w:pPr>
      <w:r>
        <w:rPr>
          <w:rFonts w:hint="eastAsia" w:ascii="宋体" w:hAnsi="宋体" w:cs="宋体"/>
          <w:szCs w:val="21"/>
        </w:rPr>
        <w:t>开户银行：工行宁海县支行；</w:t>
      </w:r>
    </w:p>
    <w:p w14:paraId="36B8BF27">
      <w:pPr>
        <w:snapToGrid w:val="0"/>
        <w:spacing w:line="360" w:lineRule="auto"/>
        <w:ind w:firstLine="420" w:firstLineChars="200"/>
        <w:rPr>
          <w:rFonts w:hint="eastAsia" w:ascii="宋体" w:hAnsi="宋体" w:cs="宋体"/>
          <w:szCs w:val="21"/>
        </w:rPr>
      </w:pPr>
      <w:r>
        <w:rPr>
          <w:rFonts w:hint="eastAsia" w:ascii="宋体" w:hAnsi="宋体" w:cs="宋体"/>
          <w:szCs w:val="21"/>
        </w:rPr>
        <w:t>帐号：3901330019200195597。</w:t>
      </w:r>
    </w:p>
    <w:p w14:paraId="4640417C">
      <w:pPr>
        <w:snapToGrid w:val="0"/>
        <w:spacing w:line="360" w:lineRule="auto"/>
        <w:ind w:firstLine="420" w:firstLineChars="200"/>
        <w:rPr>
          <w:rFonts w:hint="eastAsia" w:ascii="宋体" w:hAnsi="宋体" w:cs="宋体"/>
          <w:szCs w:val="21"/>
        </w:rPr>
      </w:pPr>
      <w:r>
        <w:rPr>
          <w:rFonts w:hint="eastAsia" w:ascii="宋体" w:hAnsi="宋体" w:cs="宋体"/>
          <w:szCs w:val="21"/>
        </w:rPr>
        <w:t>供应商须按规定缴纳保证金，保证金一律由供应商在相应时限内通过供应商公司账户缴入；</w:t>
      </w:r>
    </w:p>
    <w:p w14:paraId="56BAFD4F">
      <w:pPr>
        <w:snapToGrid w:val="0"/>
        <w:spacing w:line="360" w:lineRule="auto"/>
        <w:ind w:firstLine="413" w:firstLineChars="196"/>
        <w:rPr>
          <w:rFonts w:hint="eastAsia" w:ascii="宋体" w:hAnsi="宋体" w:cs="宋体"/>
          <w:kern w:val="1"/>
          <w:szCs w:val="21"/>
        </w:rPr>
      </w:pPr>
      <w:r>
        <w:rPr>
          <w:rFonts w:hint="eastAsia" w:ascii="宋体" w:hAnsi="宋体" w:cs="宋体"/>
          <w:b/>
          <w:bCs/>
          <w:kern w:val="1"/>
          <w:szCs w:val="21"/>
        </w:rPr>
        <w:t>九、投标截止时间、地点及要求：</w:t>
      </w:r>
      <w:r>
        <w:rPr>
          <w:rFonts w:hint="eastAsia" w:ascii="宋体" w:hAnsi="宋体" w:cs="宋体"/>
          <w:kern w:val="1"/>
          <w:szCs w:val="21"/>
        </w:rPr>
        <w:t>2024年  月  日9时之前将电子投标文件上传到“乐采云”平台。</w:t>
      </w:r>
    </w:p>
    <w:p w14:paraId="297A3D2D">
      <w:pPr>
        <w:spacing w:line="360" w:lineRule="auto"/>
        <w:ind w:firstLine="422" w:firstLineChars="200"/>
        <w:rPr>
          <w:rFonts w:hint="eastAsia" w:ascii="宋体" w:hAnsi="宋体" w:cs="宋体"/>
          <w:b/>
          <w:bCs/>
          <w:kern w:val="1"/>
          <w:szCs w:val="21"/>
        </w:rPr>
      </w:pPr>
      <w:r>
        <w:rPr>
          <w:rFonts w:hint="eastAsia" w:ascii="宋体" w:hAnsi="宋体" w:cs="宋体"/>
          <w:b/>
          <w:bCs/>
          <w:kern w:val="1"/>
          <w:szCs w:val="21"/>
        </w:rPr>
        <w:t>十、开标时间及地点：</w:t>
      </w:r>
    </w:p>
    <w:p w14:paraId="5346602F">
      <w:pPr>
        <w:spacing w:line="360" w:lineRule="auto"/>
        <w:ind w:firstLine="420" w:firstLineChars="200"/>
        <w:rPr>
          <w:rFonts w:hint="eastAsia" w:ascii="宋体" w:hAnsi="宋体" w:cs="宋体"/>
          <w:kern w:val="0"/>
          <w:szCs w:val="21"/>
        </w:rPr>
      </w:pPr>
      <w:r>
        <w:rPr>
          <w:rFonts w:hint="eastAsia" w:ascii="宋体" w:hAnsi="宋体" w:cs="宋体"/>
          <w:kern w:val="0"/>
          <w:szCs w:val="21"/>
        </w:rPr>
        <w:t>1、开标时间：</w:t>
      </w:r>
      <w:r>
        <w:rPr>
          <w:rFonts w:hint="eastAsia" w:ascii="宋体" w:hAnsi="宋体" w:cs="宋体"/>
          <w:kern w:val="1"/>
          <w:szCs w:val="21"/>
        </w:rPr>
        <w:t>2024年  月  日9时</w:t>
      </w:r>
      <w:r>
        <w:rPr>
          <w:rFonts w:hint="eastAsia" w:ascii="宋体" w:hAnsi="宋体" w:cs="宋体"/>
          <w:szCs w:val="21"/>
        </w:rPr>
        <w:t>（北京时间）</w:t>
      </w:r>
      <w:r>
        <w:rPr>
          <w:rFonts w:hint="eastAsia" w:ascii="宋体" w:hAnsi="宋体" w:cs="宋体"/>
          <w:kern w:val="0"/>
          <w:szCs w:val="21"/>
        </w:rPr>
        <w:t>；</w:t>
      </w:r>
    </w:p>
    <w:p w14:paraId="318BD472">
      <w:pPr>
        <w:spacing w:line="360" w:lineRule="auto"/>
        <w:ind w:firstLine="420" w:firstLineChars="200"/>
        <w:rPr>
          <w:rFonts w:hint="eastAsia" w:ascii="宋体" w:hAnsi="宋体" w:cs="宋体"/>
          <w:szCs w:val="21"/>
        </w:rPr>
      </w:pPr>
      <w:r>
        <w:rPr>
          <w:rFonts w:hint="eastAsia" w:ascii="宋体" w:hAnsi="宋体" w:cs="宋体"/>
          <w:kern w:val="0"/>
          <w:szCs w:val="21"/>
        </w:rPr>
        <w:t>2、开标地点：</w:t>
      </w:r>
      <w:r>
        <w:rPr>
          <w:rFonts w:hint="eastAsia" w:ascii="宋体" w:hAnsi="宋体" w:cs="宋体"/>
          <w:szCs w:val="21"/>
        </w:rPr>
        <w:t>宁海县公共资源交易中心（宁海县桃源街道金水东路5号五楼，详见五楼大厅公告）；</w:t>
      </w:r>
    </w:p>
    <w:p w14:paraId="7F662F61">
      <w:pPr>
        <w:widowControl/>
        <w:tabs>
          <w:tab w:val="left" w:pos="180"/>
          <w:tab w:val="left" w:pos="360"/>
        </w:tabs>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3、采购代理机构将在采购文件规定的时间通过</w:t>
      </w:r>
      <w:r>
        <w:rPr>
          <w:rFonts w:hint="eastAsia" w:ascii="宋体" w:hAnsi="宋体" w:cs="宋体"/>
          <w:kern w:val="0"/>
          <w:szCs w:val="21"/>
        </w:rPr>
        <w:t>乐采云平台组织开标、开启投标文件，所有供应商均应准时在线参加。</w:t>
      </w:r>
      <w:r>
        <w:rPr>
          <w:rFonts w:hint="eastAsia" w:ascii="宋体" w:hAnsi="宋体" w:cs="宋体"/>
          <w:szCs w:val="21"/>
        </w:rPr>
        <w:t>开标时间后30分钟内（2024年  月  日9：30分前）供应商可以登录“乐采云”（https://nbsc.lecaiyun.com/），用“项目采购-开标评标”功能进行解密投标文件。</w:t>
      </w:r>
      <w:r>
        <w:rPr>
          <w:rFonts w:hint="eastAsia" w:ascii="宋体" w:hAnsi="宋体" w:cs="宋体"/>
          <w:szCs w:val="21"/>
        </w:rPr>
        <w:cr/>
      </w:r>
      <w:r>
        <w:rPr>
          <w:rFonts w:hint="eastAsia" w:ascii="宋体" w:hAnsi="宋体" w:cs="宋体"/>
          <w:szCs w:val="21"/>
        </w:rPr>
        <w:t xml:space="preserve">   </w:t>
      </w:r>
      <w:r>
        <w:rPr>
          <w:rFonts w:hint="eastAsia" w:ascii="宋体" w:hAnsi="宋体" w:cs="宋体"/>
          <w:b/>
          <w:szCs w:val="21"/>
        </w:rPr>
        <w:t>十一、本次招标有关信息公告在:宁海县公共资源交易信息网（</w:t>
      </w:r>
      <w:r>
        <w:fldChar w:fldCharType="begin"/>
      </w:r>
      <w:r>
        <w:instrText xml:space="preserve"> HYPERLINK "http://www.nhztb.gov.cn/" </w:instrText>
      </w:r>
      <w:r>
        <w:fldChar w:fldCharType="separate"/>
      </w:r>
      <w:r>
        <w:rPr>
          <w:rFonts w:hint="eastAsia" w:ascii="宋体" w:hAnsi="宋体" w:cs="宋体"/>
          <w:b/>
          <w:szCs w:val="21"/>
        </w:rPr>
        <w:t>http://www.nhztb.gov.cn</w:t>
      </w:r>
      <w:r>
        <w:rPr>
          <w:rFonts w:hint="eastAsia" w:ascii="宋体" w:hAnsi="宋体" w:cs="宋体"/>
          <w:b/>
          <w:szCs w:val="21"/>
        </w:rPr>
        <w:fldChar w:fldCharType="end"/>
      </w:r>
      <w:r>
        <w:rPr>
          <w:rFonts w:hint="eastAsia" w:ascii="宋体" w:hAnsi="宋体" w:cs="宋体"/>
          <w:b/>
          <w:szCs w:val="21"/>
        </w:rPr>
        <w:t>）、宁波政府采购网(http://www.nbzfcg.cn)、乐采云（https://nbsc.lecaiyun.com/）。</w:t>
      </w:r>
    </w:p>
    <w:p w14:paraId="08F2EBD4">
      <w:pPr>
        <w:snapToGrid w:val="0"/>
        <w:spacing w:line="360" w:lineRule="auto"/>
        <w:ind w:firstLine="422" w:firstLineChars="200"/>
        <w:rPr>
          <w:rFonts w:hint="eastAsia" w:ascii="宋体" w:hAnsi="宋体" w:cs="宋体"/>
          <w:b/>
          <w:bCs/>
          <w:szCs w:val="21"/>
        </w:rPr>
      </w:pPr>
      <w:r>
        <w:rPr>
          <w:rFonts w:hint="eastAsia" w:ascii="宋体" w:hAnsi="宋体" w:cs="宋体"/>
          <w:b/>
          <w:szCs w:val="21"/>
        </w:rPr>
        <w:t>十二、供应商需按照《浙江省政府采购供应商注册及诚信管理暂行办法》的规定在“浙江政府采购网(http://www.zjzfcg.gov.cn)”乐采云平台注册登记的，成为浙江省政府采购注册供应商。如未注册的供应商，请注意注册所需时间。</w:t>
      </w:r>
    </w:p>
    <w:p w14:paraId="267FA274">
      <w:pPr>
        <w:spacing w:line="360" w:lineRule="auto"/>
        <w:ind w:firstLine="422" w:firstLineChars="200"/>
        <w:rPr>
          <w:rFonts w:hint="eastAsia" w:ascii="宋体" w:hAnsi="宋体" w:cs="宋体"/>
          <w:szCs w:val="21"/>
        </w:rPr>
      </w:pPr>
      <w:r>
        <w:rPr>
          <w:rFonts w:hint="eastAsia" w:ascii="宋体" w:hAnsi="宋体" w:cs="宋体"/>
          <w:b/>
          <w:bCs/>
          <w:szCs w:val="21"/>
        </w:rPr>
        <w:t>十三、特别提醒</w:t>
      </w:r>
    </w:p>
    <w:p w14:paraId="6E5B5E40">
      <w:pPr>
        <w:spacing w:line="360" w:lineRule="auto"/>
        <w:ind w:firstLine="420" w:firstLineChars="200"/>
        <w:rPr>
          <w:rFonts w:hint="eastAsia" w:ascii="宋体" w:hAnsi="宋体" w:cs="宋体"/>
          <w:szCs w:val="21"/>
        </w:rPr>
      </w:pPr>
      <w:r>
        <w:rPr>
          <w:rFonts w:hint="eastAsia" w:ascii="宋体" w:hAnsi="宋体" w:cs="宋体"/>
          <w:szCs w:val="21"/>
        </w:rPr>
        <w:t>1、本项目实行网上投标，采用电子投标文件。若供应商参与投标，自行承担投标一切费用；</w:t>
      </w:r>
    </w:p>
    <w:p w14:paraId="12D31425">
      <w:pPr>
        <w:spacing w:line="360" w:lineRule="auto"/>
        <w:ind w:firstLine="420" w:firstLineChars="200"/>
        <w:rPr>
          <w:rFonts w:hint="eastAsia" w:ascii="宋体" w:hAnsi="宋体" w:cs="宋体"/>
          <w:szCs w:val="21"/>
        </w:rPr>
      </w:pPr>
      <w:r>
        <w:rPr>
          <w:rFonts w:hint="eastAsia" w:ascii="宋体" w:hAnsi="宋体" w:cs="宋体"/>
          <w:szCs w:val="21"/>
        </w:rPr>
        <w:t>2、各供应商应在开标前确保成为浙江省政府采购网正式注册入库供应商，并完成CA数字证书办理。因未注册入库、未办理CA数字证书等原因造成无法投标或投标失败等后果由供应商自行承担；</w:t>
      </w:r>
    </w:p>
    <w:p w14:paraId="57B8F846">
      <w:pPr>
        <w:spacing w:line="360" w:lineRule="auto"/>
        <w:ind w:firstLine="420" w:firstLineChars="200"/>
        <w:rPr>
          <w:rFonts w:hint="eastAsia" w:ascii="宋体" w:hAnsi="宋体" w:cs="宋体"/>
          <w:szCs w:val="21"/>
        </w:rPr>
      </w:pPr>
      <w:r>
        <w:rPr>
          <w:rFonts w:hint="eastAsia" w:ascii="宋体" w:hAnsi="宋体" w:cs="宋体"/>
          <w:szCs w:val="21"/>
        </w:rPr>
        <w:t>3、投标文件制作：</w:t>
      </w:r>
    </w:p>
    <w:p w14:paraId="1ADE4396">
      <w:pPr>
        <w:spacing w:line="360" w:lineRule="auto"/>
        <w:ind w:firstLine="420" w:firstLineChars="200"/>
        <w:rPr>
          <w:rFonts w:hint="eastAsia" w:ascii="宋体" w:hAnsi="宋体" w:cs="宋体"/>
          <w:szCs w:val="21"/>
        </w:rPr>
      </w:pPr>
      <w:r>
        <w:rPr>
          <w:rFonts w:hint="eastAsia" w:ascii="宋体" w:hAnsi="宋体" w:cs="宋体"/>
          <w:szCs w:val="21"/>
        </w:rPr>
        <w:t>3.1应按照本项目采购文件和乐采云平台的要求编制、加密并递交投标文件。供应商在使用系统进行投标的过程中遇到涉及平台使用的任何问题，可致电乐采云平台技术支持热线咨询，联系方式：400-881-7190。</w:t>
      </w:r>
    </w:p>
    <w:p w14:paraId="510A1002">
      <w:pPr>
        <w:spacing w:line="360" w:lineRule="auto"/>
        <w:ind w:firstLine="420" w:firstLineChars="200"/>
        <w:rPr>
          <w:rFonts w:hint="eastAsia" w:ascii="宋体" w:hAnsi="宋体" w:cs="宋体"/>
          <w:szCs w:val="21"/>
        </w:rPr>
      </w:pPr>
      <w:r>
        <w:rPr>
          <w:rFonts w:hint="eastAsia" w:ascii="宋体" w:hAnsi="宋体" w:cs="宋体"/>
          <w:szCs w:val="21"/>
        </w:rPr>
        <w:t>3.2供应商通过“乐采云”平台电子投标工具制作投标文件，电子投标工具请供应商自行前往浙江省政府采购网下载并安装，（下载网址：http://www.zjzfcg.gov.cn/bidClientTemplate/2019-05-27/12946.html）。</w:t>
      </w:r>
    </w:p>
    <w:p w14:paraId="4E3B2292">
      <w:pPr>
        <w:widowControl/>
        <w:tabs>
          <w:tab w:val="left" w:pos="180"/>
          <w:tab w:val="left" w:pos="360"/>
        </w:tabs>
        <w:adjustRightInd w:val="0"/>
        <w:snapToGrid w:val="0"/>
        <w:spacing w:line="440" w:lineRule="exact"/>
        <w:ind w:firstLine="420" w:firstLineChars="200"/>
        <w:rPr>
          <w:rFonts w:hint="eastAsia" w:ascii="宋体" w:hAnsi="宋体" w:cs="宋体"/>
        </w:rPr>
      </w:pPr>
      <w:r>
        <w:rPr>
          <w:rFonts w:hint="eastAsia" w:ascii="宋体" w:hAnsi="宋体" w:cs="宋体"/>
        </w:rPr>
        <w:t>十四、联系方式</w:t>
      </w:r>
    </w:p>
    <w:p w14:paraId="7395E74B">
      <w:pPr>
        <w:widowControl/>
        <w:spacing w:line="440" w:lineRule="exact"/>
        <w:ind w:firstLine="420" w:firstLineChars="200"/>
        <w:jc w:val="left"/>
        <w:rPr>
          <w:rFonts w:hint="eastAsia" w:ascii="宋体" w:hAnsi="宋体" w:cs="宋体"/>
        </w:rPr>
      </w:pPr>
      <w:r>
        <w:rPr>
          <w:rFonts w:hint="eastAsia" w:ascii="宋体" w:hAnsi="宋体" w:cs="宋体"/>
        </w:rPr>
        <w:t>采购人：宁海县水利投资有限公司</w:t>
      </w:r>
      <w:r>
        <w:rPr>
          <w:rFonts w:hint="eastAsia" w:ascii="宋体" w:hAnsi="宋体"/>
          <w:szCs w:val="21"/>
        </w:rPr>
        <w:t xml:space="preserve"> </w:t>
      </w:r>
      <w:r>
        <w:rPr>
          <w:rFonts w:hint="eastAsia" w:ascii="宋体" w:hAnsi="宋体" w:cs="宋体"/>
        </w:rPr>
        <w:t xml:space="preserve">    </w:t>
      </w:r>
    </w:p>
    <w:p w14:paraId="1142E715">
      <w:pPr>
        <w:widowControl/>
        <w:spacing w:line="440" w:lineRule="exact"/>
        <w:ind w:firstLine="420" w:firstLineChars="200"/>
        <w:jc w:val="left"/>
        <w:rPr>
          <w:rFonts w:hint="eastAsia" w:ascii="宋体" w:hAnsi="宋体" w:cs="宋体"/>
        </w:rPr>
      </w:pPr>
      <w:r>
        <w:rPr>
          <w:rFonts w:hint="eastAsia" w:ascii="宋体" w:hAnsi="宋体" w:cs="宋体"/>
        </w:rPr>
        <w:t>联系人：</w:t>
      </w:r>
      <w:r>
        <w:rPr>
          <w:rFonts w:hint="eastAsia" w:ascii="宋体" w:hAnsi="宋体" w:cs="宋体"/>
          <w:lang w:val="en-US" w:eastAsia="zh-CN"/>
        </w:rPr>
        <w:t>毕先生</w:t>
      </w:r>
      <w:r>
        <w:rPr>
          <w:rFonts w:hint="eastAsia" w:ascii="宋体" w:hAnsi="宋体" w:cs="宋体"/>
        </w:rPr>
        <w:t xml:space="preserve"> </w:t>
      </w:r>
    </w:p>
    <w:p w14:paraId="4D106D43">
      <w:pPr>
        <w:widowControl/>
        <w:spacing w:line="440" w:lineRule="exact"/>
        <w:ind w:firstLine="420" w:firstLineChars="200"/>
        <w:jc w:val="left"/>
        <w:rPr>
          <w:rFonts w:hint="eastAsia" w:ascii="宋体" w:hAnsi="宋体" w:cs="宋体"/>
        </w:rPr>
      </w:pPr>
      <w:r>
        <w:rPr>
          <w:rFonts w:hint="eastAsia" w:ascii="宋体" w:hAnsi="宋体" w:cs="宋体"/>
        </w:rPr>
        <w:t>联系电话：0574-65556756</w:t>
      </w:r>
      <w:r>
        <w:rPr>
          <w:rFonts w:hint="eastAsia" w:ascii="宋体" w:hAnsi="宋体" w:cs="宋体"/>
          <w:szCs w:val="21"/>
        </w:rPr>
        <w:t xml:space="preserve"> </w:t>
      </w:r>
      <w:r>
        <w:rPr>
          <w:rFonts w:hint="eastAsia" w:ascii="宋体" w:hAnsi="宋体" w:cs="宋体"/>
        </w:rPr>
        <w:t xml:space="preserve"> </w:t>
      </w:r>
    </w:p>
    <w:p w14:paraId="095B91B8">
      <w:pPr>
        <w:widowControl/>
        <w:spacing w:line="440" w:lineRule="exact"/>
        <w:ind w:firstLine="630" w:firstLineChars="300"/>
        <w:jc w:val="left"/>
        <w:rPr>
          <w:rFonts w:hint="eastAsia" w:ascii="宋体" w:hAnsi="宋体" w:cs="宋体"/>
        </w:rPr>
      </w:pPr>
    </w:p>
    <w:p w14:paraId="3B639DDE">
      <w:pPr>
        <w:widowControl/>
        <w:spacing w:line="440" w:lineRule="exact"/>
        <w:ind w:firstLine="420" w:firstLineChars="200"/>
        <w:jc w:val="left"/>
        <w:rPr>
          <w:rFonts w:hint="eastAsia" w:ascii="宋体" w:hAnsi="宋体" w:cs="宋体"/>
        </w:rPr>
      </w:pPr>
      <w:r>
        <w:rPr>
          <w:rFonts w:hint="eastAsia" w:ascii="宋体" w:hAnsi="宋体" w:cs="宋体"/>
        </w:rPr>
        <w:t>代理机构：宁波工建工程造价咨询有限公司</w:t>
      </w:r>
    </w:p>
    <w:p w14:paraId="3913F60A">
      <w:pPr>
        <w:widowControl/>
        <w:spacing w:line="440" w:lineRule="exact"/>
        <w:ind w:firstLine="420" w:firstLineChars="200"/>
        <w:jc w:val="left"/>
        <w:rPr>
          <w:rFonts w:hint="eastAsia" w:ascii="宋体" w:hAnsi="宋体" w:cs="宋体"/>
        </w:rPr>
      </w:pPr>
      <w:r>
        <w:rPr>
          <w:rFonts w:hint="eastAsia" w:ascii="宋体" w:hAnsi="宋体" w:cs="宋体"/>
        </w:rPr>
        <w:t>地    址：宁海县桃源街道兴工三路69号二楼</w:t>
      </w:r>
    </w:p>
    <w:p w14:paraId="51D1EAB3">
      <w:pPr>
        <w:widowControl/>
        <w:spacing w:line="440" w:lineRule="exact"/>
        <w:ind w:firstLine="420" w:firstLineChars="200"/>
        <w:jc w:val="left"/>
        <w:rPr>
          <w:rFonts w:hint="eastAsia" w:ascii="宋体" w:hAnsi="宋体" w:cs="宋体"/>
        </w:rPr>
      </w:pPr>
      <w:r>
        <w:rPr>
          <w:rFonts w:hint="eastAsia" w:ascii="宋体" w:hAnsi="宋体" w:cs="宋体"/>
        </w:rPr>
        <w:t xml:space="preserve">联 系 人：王洋/周聪燕        </w:t>
      </w:r>
    </w:p>
    <w:p w14:paraId="3AAB2642">
      <w:pPr>
        <w:widowControl/>
        <w:spacing w:line="440" w:lineRule="exact"/>
        <w:ind w:firstLine="420" w:firstLineChars="200"/>
        <w:jc w:val="left"/>
        <w:rPr>
          <w:rFonts w:hint="eastAsia" w:ascii="宋体" w:hAnsi="宋体" w:cs="宋体"/>
        </w:rPr>
      </w:pPr>
      <w:r>
        <w:rPr>
          <w:rFonts w:hint="eastAsia" w:ascii="宋体" w:hAnsi="宋体" w:cs="宋体"/>
        </w:rPr>
        <w:t>联系电话（传真）：0574-65250961</w:t>
      </w:r>
    </w:p>
    <w:p w14:paraId="65E7FBF2">
      <w:pPr>
        <w:spacing w:line="360" w:lineRule="auto"/>
        <w:ind w:firstLine="420" w:firstLineChars="200"/>
        <w:rPr>
          <w:rFonts w:hint="eastAsia" w:ascii="宋体" w:hAnsi="宋体" w:cs="宋体"/>
        </w:rPr>
      </w:pPr>
    </w:p>
    <w:p w14:paraId="6AF7A333">
      <w:pPr>
        <w:widowControl/>
        <w:tabs>
          <w:tab w:val="left" w:pos="180"/>
          <w:tab w:val="left" w:pos="360"/>
        </w:tabs>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监督管理部门名称：</w:t>
      </w:r>
      <w:r>
        <w:rPr>
          <w:rFonts w:hint="eastAsia" w:ascii="宋体" w:hAnsi="宋体" w:cs="宋体"/>
        </w:rPr>
        <w:t>宁海县水利投资有限公司</w:t>
      </w:r>
      <w:r>
        <w:rPr>
          <w:rFonts w:hint="eastAsia" w:ascii="宋体" w:hAnsi="宋体" w:cs="宋体"/>
          <w:szCs w:val="21"/>
        </w:rPr>
        <w:t> </w:t>
      </w:r>
    </w:p>
    <w:p w14:paraId="40703472">
      <w:pPr>
        <w:widowControl/>
        <w:tabs>
          <w:tab w:val="left" w:pos="180"/>
          <w:tab w:val="left" w:pos="360"/>
        </w:tabs>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联系人：</w:t>
      </w:r>
      <w:r>
        <w:rPr>
          <w:rFonts w:hint="eastAsia" w:ascii="宋体" w:hAnsi="宋体" w:eastAsia="宋体" w:cs="宋体"/>
          <w:lang w:val="en-US" w:eastAsia="zh-CN"/>
        </w:rPr>
        <w:t>林女士</w:t>
      </w:r>
      <w:r>
        <w:rPr>
          <w:rFonts w:hint="eastAsia" w:ascii="宋体" w:hAnsi="宋体" w:cs="宋体"/>
          <w:szCs w:val="21"/>
        </w:rPr>
        <w:t xml:space="preserve">           </w:t>
      </w:r>
    </w:p>
    <w:p w14:paraId="5761D9E8">
      <w:pPr>
        <w:widowControl/>
        <w:tabs>
          <w:tab w:val="left" w:pos="180"/>
          <w:tab w:val="left" w:pos="360"/>
        </w:tabs>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监督投诉电话：</w:t>
      </w:r>
      <w:r>
        <w:rPr>
          <w:rFonts w:hint="eastAsia" w:ascii="宋体" w:hAnsi="宋体" w:eastAsia="宋体" w:cs="宋体"/>
          <w:lang w:val="en-US" w:eastAsia="zh-CN"/>
        </w:rPr>
        <w:t>0574-</w:t>
      </w:r>
      <w:r>
        <w:rPr>
          <w:rFonts w:hint="eastAsia" w:ascii="宋体" w:hAnsi="宋体" w:eastAsia="宋体" w:cs="宋体"/>
        </w:rPr>
        <w:t>65556756</w:t>
      </w:r>
      <w:r>
        <w:rPr>
          <w:rFonts w:hint="eastAsia" w:ascii="宋体" w:hAnsi="宋体" w:cs="宋体"/>
          <w:szCs w:val="21"/>
        </w:rPr>
        <w:t xml:space="preserve"> </w:t>
      </w:r>
    </w:p>
    <w:p w14:paraId="606313FB">
      <w:pPr>
        <w:spacing w:line="360" w:lineRule="auto"/>
        <w:ind w:firstLine="420" w:firstLineChars="200"/>
        <w:rPr>
          <w:rFonts w:hint="eastAsia" w:ascii="宋体" w:hAnsi="宋体" w:cs="宋体"/>
        </w:rPr>
      </w:pPr>
    </w:p>
    <w:p w14:paraId="385DB1E3">
      <w:pPr>
        <w:spacing w:line="360" w:lineRule="auto"/>
        <w:ind w:firstLine="630" w:firstLineChars="300"/>
        <w:rPr>
          <w:rFonts w:hint="eastAsia" w:ascii="宋体" w:hAnsi="宋体" w:cs="宋体"/>
        </w:rPr>
      </w:pPr>
      <w:r>
        <w:rPr>
          <w:rFonts w:hint="eastAsia" w:ascii="宋体" w:hAnsi="宋体" w:cs="宋体"/>
        </w:rPr>
        <w:t xml:space="preserve"> </w:t>
      </w:r>
    </w:p>
    <w:p w14:paraId="00919F6A">
      <w:pPr>
        <w:pStyle w:val="12"/>
        <w:ind w:firstLine="210"/>
        <w:rPr>
          <w:rFonts w:hint="eastAsia" w:ascii="宋体" w:hAnsi="宋体" w:cs="宋体"/>
        </w:rPr>
      </w:pPr>
    </w:p>
    <w:p w14:paraId="4C9D9CB3">
      <w:pPr>
        <w:pStyle w:val="12"/>
        <w:ind w:firstLine="210"/>
        <w:rPr>
          <w:rFonts w:hint="eastAsia" w:ascii="宋体" w:hAnsi="宋体" w:cs="宋体"/>
        </w:rPr>
      </w:pPr>
    </w:p>
    <w:p w14:paraId="253BB3E2">
      <w:pPr>
        <w:pStyle w:val="12"/>
        <w:ind w:firstLine="210"/>
        <w:rPr>
          <w:rFonts w:hint="eastAsia" w:ascii="宋体" w:hAnsi="宋体" w:cs="宋体"/>
        </w:rPr>
      </w:pPr>
    </w:p>
    <w:p w14:paraId="34850AED">
      <w:pPr>
        <w:pStyle w:val="12"/>
        <w:ind w:firstLine="210"/>
        <w:rPr>
          <w:rFonts w:hint="eastAsia" w:ascii="宋体" w:hAnsi="宋体" w:cs="宋体"/>
        </w:rPr>
      </w:pPr>
    </w:p>
    <w:p w14:paraId="2213FAA1">
      <w:pPr>
        <w:pStyle w:val="12"/>
        <w:ind w:firstLine="210"/>
        <w:rPr>
          <w:rFonts w:hint="eastAsia" w:ascii="宋体" w:hAnsi="宋体" w:cs="宋体"/>
        </w:rPr>
      </w:pPr>
    </w:p>
    <w:p w14:paraId="21B65D7C">
      <w:pPr>
        <w:pStyle w:val="12"/>
        <w:ind w:firstLine="210"/>
        <w:rPr>
          <w:rFonts w:hint="eastAsia" w:ascii="宋体" w:hAnsi="宋体" w:cs="宋体"/>
        </w:rPr>
      </w:pPr>
    </w:p>
    <w:p w14:paraId="03C939DF">
      <w:pPr>
        <w:widowControl/>
        <w:spacing w:line="440" w:lineRule="exact"/>
        <w:jc w:val="center"/>
        <w:rPr>
          <w:rFonts w:hint="eastAsia" w:ascii="宋体" w:hAnsi="宋体" w:cs="宋体"/>
          <w:b/>
          <w:bCs/>
          <w:kern w:val="0"/>
          <w:szCs w:val="21"/>
          <w:lang w:bidi="ar"/>
        </w:rPr>
      </w:pPr>
      <w:r>
        <w:rPr>
          <w:rFonts w:hint="eastAsia" w:hAnsi="宋体" w:cs="宋体"/>
          <w:b/>
          <w:sz w:val="30"/>
          <w:szCs w:val="30"/>
        </w:rPr>
        <w:t>第二章 招标需求</w:t>
      </w:r>
    </w:p>
    <w:p w14:paraId="6B95BC02">
      <w:pPr>
        <w:pStyle w:val="2"/>
        <w:spacing w:line="360" w:lineRule="auto"/>
        <w:rPr>
          <w:rFonts w:hint="eastAsia" w:ascii="宋体" w:hAnsi="宋体" w:cs="宋体"/>
          <w:sz w:val="21"/>
          <w:szCs w:val="21"/>
        </w:rPr>
      </w:pPr>
      <w:r>
        <w:rPr>
          <w:rFonts w:hint="eastAsia" w:ascii="宋体" w:hAnsi="宋体" w:cs="宋体"/>
          <w:sz w:val="21"/>
          <w:szCs w:val="21"/>
        </w:rPr>
        <w:t>一、建设背景</w:t>
      </w:r>
    </w:p>
    <w:p w14:paraId="452E5B4E">
      <w:pPr>
        <w:spacing w:line="360" w:lineRule="auto"/>
        <w:ind w:firstLine="420" w:firstLineChars="200"/>
        <w:rPr>
          <w:rFonts w:hint="eastAsia" w:ascii="宋体" w:hAnsi="宋体" w:cs="宋体"/>
          <w:szCs w:val="21"/>
        </w:rPr>
      </w:pPr>
      <w:r>
        <w:rPr>
          <w:rFonts w:hint="eastAsia" w:ascii="宋体" w:hAnsi="宋体" w:cs="宋体"/>
          <w:szCs w:val="21"/>
        </w:rPr>
        <w:t>宁海县已完成《宁海县农村饮用水总体规划（2022-2030）》编制，按照规划要求，开展宁海县农村供水站提升改造项目建设，提升农村饮水保障能力。其中，数字化建设是农村供水站提升改造项目建设的重要组成部分，旨在通过数字化建设，提升农村供水工程运行管理水平和管理效率，推进城乡供水一体化、数字化管理。</w:t>
      </w:r>
    </w:p>
    <w:p w14:paraId="309656D9">
      <w:pPr>
        <w:spacing w:line="360" w:lineRule="auto"/>
        <w:ind w:firstLine="420" w:firstLineChars="200"/>
        <w:rPr>
          <w:rFonts w:hint="eastAsia" w:ascii="宋体" w:hAnsi="宋体" w:cs="宋体"/>
          <w:szCs w:val="21"/>
        </w:rPr>
      </w:pPr>
      <w:r>
        <w:rPr>
          <w:rFonts w:hint="eastAsia" w:ascii="宋体" w:hAnsi="宋体" w:cs="宋体"/>
          <w:szCs w:val="21"/>
        </w:rPr>
        <w:t>经过多年的水利信息化建设，宁海县水利局已建多个业务系统，包括水灾害防御大屏、水灾害驾驶舱、山洪灾害监测预警系统、水文数据分析平台、洪水风险图应用管理系统等，这些已建系统多聚焦于山洪或水文等某个业务方向分散建设，且存在数源不一致、部分功能重复、运行维护困难等问题，亟需建设一个统一的水资源监测预报平台，为全县水资源形势研判、解决水多水少问题、实现预警动态发布等提供智慧化、信息化支撑。</w:t>
      </w:r>
    </w:p>
    <w:p w14:paraId="4134E956">
      <w:pPr>
        <w:pStyle w:val="2"/>
        <w:spacing w:line="360" w:lineRule="auto"/>
        <w:rPr>
          <w:rFonts w:hint="eastAsia" w:ascii="宋体" w:hAnsi="宋体" w:cs="宋体"/>
          <w:sz w:val="21"/>
          <w:szCs w:val="21"/>
        </w:rPr>
      </w:pPr>
      <w:r>
        <w:rPr>
          <w:rFonts w:hint="eastAsia" w:ascii="宋体" w:hAnsi="宋体" w:cs="宋体"/>
          <w:sz w:val="21"/>
          <w:szCs w:val="21"/>
        </w:rPr>
        <w:t>二、建设范围</w:t>
      </w:r>
    </w:p>
    <w:p w14:paraId="6131FAB7">
      <w:pPr>
        <w:spacing w:line="360" w:lineRule="auto"/>
        <w:ind w:firstLine="420" w:firstLineChars="200"/>
        <w:rPr>
          <w:rFonts w:hint="eastAsia" w:ascii="宋体" w:hAnsi="宋体" w:cs="宋体"/>
          <w:szCs w:val="21"/>
        </w:rPr>
      </w:pPr>
      <w:r>
        <w:rPr>
          <w:rFonts w:hint="eastAsia" w:ascii="宋体" w:hAnsi="宋体" w:cs="宋体"/>
          <w:szCs w:val="21"/>
        </w:rPr>
        <w:t>项目信息化业务系统涵盖宁海县全县165座城乡供水工程（城市水厂2座，乡镇水厂4座，联村及单村水站159座）；监测感知提升改造涵盖120座农村供水工程。</w:t>
      </w:r>
    </w:p>
    <w:p w14:paraId="02914BA5">
      <w:pPr>
        <w:pStyle w:val="2"/>
        <w:spacing w:line="360" w:lineRule="auto"/>
        <w:rPr>
          <w:rFonts w:hint="eastAsia" w:ascii="宋体" w:hAnsi="宋体" w:cs="宋体"/>
          <w:sz w:val="21"/>
          <w:szCs w:val="21"/>
        </w:rPr>
      </w:pPr>
      <w:r>
        <w:rPr>
          <w:rFonts w:hint="eastAsia" w:ascii="宋体" w:hAnsi="宋体" w:cs="宋体"/>
          <w:sz w:val="21"/>
          <w:szCs w:val="21"/>
        </w:rPr>
        <w:t>三、建设内容</w:t>
      </w:r>
    </w:p>
    <w:p w14:paraId="0CC8984C">
      <w:pPr>
        <w:pStyle w:val="3"/>
        <w:spacing w:line="360" w:lineRule="auto"/>
        <w:rPr>
          <w:rFonts w:hint="eastAsia" w:ascii="宋体" w:hAnsi="宋体" w:eastAsia="宋体" w:cs="宋体"/>
          <w:sz w:val="21"/>
          <w:szCs w:val="21"/>
        </w:rPr>
      </w:pPr>
      <w:r>
        <w:rPr>
          <w:rFonts w:hint="eastAsia" w:ascii="宋体" w:hAnsi="宋体" w:eastAsia="宋体" w:cs="宋体"/>
          <w:sz w:val="21"/>
          <w:szCs w:val="21"/>
        </w:rPr>
        <w:t>农村供水工程硬件基础设施提升</w:t>
      </w:r>
    </w:p>
    <w:p w14:paraId="7D26B799">
      <w:pPr>
        <w:spacing w:line="360" w:lineRule="auto"/>
        <w:rPr>
          <w:rFonts w:hint="eastAsia" w:ascii="宋体" w:hAnsi="宋体" w:cs="宋体"/>
          <w:szCs w:val="21"/>
        </w:rPr>
      </w:pPr>
      <w:r>
        <w:rPr>
          <w:rFonts w:hint="eastAsia" w:ascii="宋体" w:hAnsi="宋体" w:cs="宋体"/>
          <w:szCs w:val="21"/>
        </w:rPr>
        <w:t>（1）供水站（厂）感知监测</w:t>
      </w:r>
    </w:p>
    <w:p w14:paraId="0D5D21AA">
      <w:pPr>
        <w:spacing w:line="360" w:lineRule="auto"/>
        <w:rPr>
          <w:rFonts w:hint="eastAsia" w:ascii="宋体" w:hAnsi="宋体" w:cs="宋体"/>
          <w:szCs w:val="21"/>
        </w:rPr>
      </w:pPr>
      <w:r>
        <w:rPr>
          <w:rFonts w:hint="eastAsia" w:ascii="宋体" w:hAnsi="宋体" w:cs="宋体"/>
          <w:szCs w:val="21"/>
        </w:rPr>
        <w:t>①水源地监测提升</w:t>
      </w:r>
    </w:p>
    <w:p w14:paraId="19483D46">
      <w:pPr>
        <w:spacing w:line="360" w:lineRule="auto"/>
        <w:ind w:firstLine="420" w:firstLineChars="200"/>
        <w:rPr>
          <w:rFonts w:hint="eastAsia" w:ascii="宋体" w:hAnsi="宋体" w:cs="宋体"/>
          <w:szCs w:val="21"/>
        </w:rPr>
      </w:pPr>
      <w:r>
        <w:rPr>
          <w:rFonts w:hint="eastAsia" w:ascii="宋体" w:hAnsi="宋体" w:cs="宋体"/>
          <w:szCs w:val="21"/>
        </w:rPr>
        <w:t>目前宁海县有</w:t>
      </w:r>
      <w:r>
        <w:rPr>
          <w:rFonts w:hint="eastAsia" w:ascii="宋体" w:hAnsi="宋体" w:cs="宋体"/>
          <w:szCs w:val="21"/>
          <w:highlight w:val="none"/>
          <w:lang w:val="en-US" w:eastAsia="zh-CN"/>
        </w:rPr>
        <w:t>3</w:t>
      </w:r>
      <w:r>
        <w:rPr>
          <w:rFonts w:hint="eastAsia" w:ascii="宋体" w:hAnsi="宋体" w:cs="宋体"/>
          <w:szCs w:val="21"/>
          <w:highlight w:val="none"/>
        </w:rPr>
        <w:t>处山塘水位信号中断频率高，分别为</w:t>
      </w:r>
      <w:r>
        <w:rPr>
          <w:rFonts w:hint="eastAsia" w:ascii="宋体" w:hAnsi="宋体" w:cs="宋体"/>
          <w:szCs w:val="21"/>
          <w:highlight w:val="none"/>
          <w:lang w:val="en-US" w:eastAsia="zh-CN"/>
        </w:rPr>
        <w:t>力洋镇安坑山塘</w:t>
      </w:r>
      <w:r>
        <w:rPr>
          <w:rFonts w:hint="eastAsia" w:ascii="宋体" w:hAnsi="宋体" w:cs="宋体"/>
          <w:szCs w:val="21"/>
          <w:lang w:val="en-US" w:eastAsia="zh-CN"/>
        </w:rPr>
        <w:t>、</w:t>
      </w:r>
      <w:r>
        <w:rPr>
          <w:rFonts w:hint="eastAsia" w:ascii="宋体" w:hAnsi="宋体" w:cs="宋体"/>
          <w:szCs w:val="21"/>
        </w:rPr>
        <w:t>黄坛镇灶头山岗山塘和一市镇岭头山塘，因此根据水文建设相关规范和要求，补充北斗监测模块，实现数据传输的双保障。</w:t>
      </w:r>
    </w:p>
    <w:p w14:paraId="5EF3C9E8">
      <w:pPr>
        <w:spacing w:line="360" w:lineRule="auto"/>
        <w:rPr>
          <w:rFonts w:hint="eastAsia" w:ascii="宋体" w:hAnsi="宋体" w:cs="宋体"/>
          <w:szCs w:val="21"/>
        </w:rPr>
      </w:pPr>
      <w:r>
        <w:rPr>
          <w:rFonts w:hint="eastAsia" w:ascii="宋体" w:hAnsi="宋体" w:cs="宋体"/>
          <w:szCs w:val="21"/>
        </w:rPr>
        <w:t>②水池液位监测</w:t>
      </w:r>
    </w:p>
    <w:p w14:paraId="15566CE9">
      <w:pPr>
        <w:spacing w:line="360" w:lineRule="auto"/>
        <w:ind w:firstLine="420" w:firstLineChars="200"/>
        <w:rPr>
          <w:rFonts w:hint="eastAsia" w:ascii="宋体" w:hAnsi="宋体" w:cs="宋体"/>
          <w:szCs w:val="21"/>
        </w:rPr>
      </w:pPr>
      <w:r>
        <w:rPr>
          <w:rFonts w:hint="eastAsia" w:ascii="宋体" w:hAnsi="宋体" w:cs="宋体"/>
          <w:szCs w:val="21"/>
        </w:rPr>
        <w:t>将入膜池、反冲水箱、清水池液位的水位数据接入水站自动管控系统，并在80处原水池补充1套液位计，数据综合汇聚，实时监测膜池、清水池、反冲水箱、原水池液位数据。</w:t>
      </w:r>
    </w:p>
    <w:p w14:paraId="5F934FAF">
      <w:pPr>
        <w:spacing w:line="360" w:lineRule="auto"/>
        <w:rPr>
          <w:rFonts w:hint="eastAsia" w:ascii="宋体" w:hAnsi="宋体" w:cs="宋体"/>
          <w:szCs w:val="21"/>
        </w:rPr>
      </w:pPr>
    </w:p>
    <w:p w14:paraId="18CF57C9">
      <w:pPr>
        <w:spacing w:line="360" w:lineRule="auto"/>
        <w:jc w:val="center"/>
        <w:rPr>
          <w:rFonts w:hint="eastAsia" w:ascii="宋体" w:hAnsi="宋体" w:cs="宋体"/>
          <w:szCs w:val="21"/>
        </w:rPr>
      </w:pPr>
    </w:p>
    <w:p w14:paraId="10F8E006">
      <w:pPr>
        <w:spacing w:line="360" w:lineRule="auto"/>
        <w:jc w:val="center"/>
        <w:rPr>
          <w:rFonts w:hint="eastAsia" w:ascii="宋体" w:hAnsi="宋体" w:cs="宋体"/>
          <w:szCs w:val="21"/>
        </w:rPr>
      </w:pPr>
      <w:r>
        <w:rPr>
          <w:rFonts w:hint="eastAsia" w:ascii="宋体" w:hAnsi="宋体" w:cs="宋体"/>
          <w:szCs w:val="21"/>
        </w:rPr>
        <w:t>表-1 水池液位监测点位表</w:t>
      </w:r>
    </w:p>
    <w:tbl>
      <w:tblPr>
        <w:tblStyle w:val="33"/>
        <w:tblW w:w="8717" w:type="dxa"/>
        <w:tblInd w:w="0" w:type="dxa"/>
        <w:tblLayout w:type="fixed"/>
        <w:tblCellMar>
          <w:top w:w="0" w:type="dxa"/>
          <w:left w:w="108" w:type="dxa"/>
          <w:bottom w:w="0" w:type="dxa"/>
          <w:right w:w="108" w:type="dxa"/>
        </w:tblCellMar>
      </w:tblPr>
      <w:tblGrid>
        <w:gridCol w:w="1062"/>
        <w:gridCol w:w="1416"/>
        <w:gridCol w:w="2107"/>
        <w:gridCol w:w="1860"/>
        <w:gridCol w:w="2272"/>
      </w:tblGrid>
      <w:tr w14:paraId="00F17A0E">
        <w:tblPrEx>
          <w:tblCellMar>
            <w:top w:w="0" w:type="dxa"/>
            <w:left w:w="108" w:type="dxa"/>
            <w:bottom w:w="0" w:type="dxa"/>
            <w:right w:w="108" w:type="dxa"/>
          </w:tblCellMar>
        </w:tblPrEx>
        <w:trPr>
          <w:trHeight w:val="397" w:hRule="atLeast"/>
          <w:tblHead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935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DA7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乡镇/街道</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E2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604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新建设施</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F01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是否有原水池</w:t>
            </w:r>
          </w:p>
        </w:tc>
      </w:tr>
      <w:tr w14:paraId="1E8A9D11">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E3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8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4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雪山村水站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F3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D2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w:t>
            </w:r>
          </w:p>
        </w:tc>
      </w:tr>
      <w:tr w14:paraId="419C90B7">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A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7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9F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外岗村水站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23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5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w:t>
            </w:r>
          </w:p>
        </w:tc>
      </w:tr>
      <w:tr w14:paraId="5796F48A">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35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5D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ED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西安村水站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A9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D1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572805E5">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02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82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0D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A1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33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30立方蓄水池1座，50立方蓄水池1座</w:t>
            </w:r>
          </w:p>
        </w:tc>
      </w:tr>
      <w:tr w14:paraId="2209B777">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33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67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2E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留五扇水站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F2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DD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1817D684">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B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73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15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榧坑村水站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64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D0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57A47CB0">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96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71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07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长丘村水站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04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9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76622D5F">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B7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AB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0C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塘家村水站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4D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30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w:t>
            </w:r>
          </w:p>
        </w:tc>
      </w:tr>
      <w:tr w14:paraId="3EFA8912">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6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2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CA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澄深村水站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F2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5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w:t>
            </w:r>
          </w:p>
        </w:tc>
      </w:tr>
      <w:tr w14:paraId="3617A074">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0D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2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93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张辽村水站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C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62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30立方蓄水池1座，50立方蓄水池1座</w:t>
            </w:r>
          </w:p>
        </w:tc>
      </w:tr>
      <w:tr w14:paraId="1E34B3F3">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0F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CF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04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王爱中心水站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06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40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100立方蓄水池2座</w:t>
            </w:r>
          </w:p>
        </w:tc>
      </w:tr>
      <w:tr w14:paraId="2D2AD417">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5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C0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9B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上李坑水站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1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4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2B4086AD">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6D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DC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56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宝岩寺水站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32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9C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4638ACC5">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D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98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0C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瓦窑头水站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C9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29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150立方水塔</w:t>
            </w:r>
          </w:p>
        </w:tc>
      </w:tr>
      <w:tr w14:paraId="6CD1D3ED">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B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0E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22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岭徐村水站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EA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1D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10立方蓄水池</w:t>
            </w:r>
          </w:p>
        </w:tc>
      </w:tr>
      <w:tr w14:paraId="1DB36330">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FE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F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3C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岭下村水站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6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D8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w:t>
            </w:r>
          </w:p>
        </w:tc>
      </w:tr>
      <w:tr w14:paraId="4E10381D">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47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12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D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里家坑水站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9A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C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20立方蓄水池</w:t>
            </w:r>
          </w:p>
        </w:tc>
      </w:tr>
      <w:tr w14:paraId="4FC5F265">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CC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1A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E9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马岙村水站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A1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E5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0113192D">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97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18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D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白岩村水站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95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D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100立方蓄水池2座</w:t>
            </w:r>
          </w:p>
        </w:tc>
      </w:tr>
      <w:tr w14:paraId="696A80AC">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4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F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A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孔横山水站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67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原水池液位3套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2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50立方蓄水池1座，30立方蓄水池2座</w:t>
            </w:r>
          </w:p>
        </w:tc>
      </w:tr>
      <w:tr w14:paraId="3AFBD5FA">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B2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C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83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俞山村水站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DD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51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0ED4F7CE">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9B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0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43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大洋村水站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5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84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w:t>
            </w:r>
          </w:p>
        </w:tc>
      </w:tr>
      <w:tr w14:paraId="6D7B8444">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B0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7A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AA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外辽村水站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B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8F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13E48F9D">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3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92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67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里辽村水站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46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B3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028A7762">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0E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78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C5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龙潭村水站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1B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81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45678E6A">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3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0B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B2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应家坑水站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26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96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100立方蓄水池1座，30立方蓄水池1座</w:t>
            </w:r>
          </w:p>
        </w:tc>
      </w:tr>
      <w:tr w14:paraId="15EA932B">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9D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48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41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张家山水站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E4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9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100立方蓄水池1座，30立方蓄水池1座</w:t>
            </w:r>
          </w:p>
        </w:tc>
      </w:tr>
      <w:tr w14:paraId="151D2755">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E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B4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B7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里大陈水站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EE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F6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1BA586C7">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59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E7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97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里塘村水站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F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F2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w:t>
            </w:r>
          </w:p>
        </w:tc>
      </w:tr>
      <w:tr w14:paraId="12C8337A">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55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D1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5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里畈村水站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B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70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w:t>
            </w:r>
          </w:p>
        </w:tc>
      </w:tr>
      <w:tr w14:paraId="5B341EC1">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F9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18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C2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横坑村水站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DD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0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w:t>
            </w:r>
          </w:p>
        </w:tc>
      </w:tr>
      <w:tr w14:paraId="390B12F2">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4F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8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2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下大岙水站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47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1B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0C443128">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2B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73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3E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大水路水站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9B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01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3F029C48">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F2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8C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27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横金村水站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E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8A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5720ED1E">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A2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C9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D1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黄旗山水站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D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18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30立方蓄水池</w:t>
            </w:r>
          </w:p>
        </w:tc>
      </w:tr>
      <w:tr w14:paraId="38D21733">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F4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A5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70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柘坑戴水站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26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F5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50立方蓄水池2座</w:t>
            </w:r>
          </w:p>
        </w:tc>
      </w:tr>
      <w:tr w14:paraId="5C972106">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58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4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CA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柘坑张水站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41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4B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w:t>
            </w:r>
          </w:p>
        </w:tc>
      </w:tr>
      <w:tr w14:paraId="226D412C">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29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0A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C8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赤岙村水站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8C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F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w:t>
            </w:r>
          </w:p>
        </w:tc>
      </w:tr>
      <w:tr w14:paraId="4951EBD8">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3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DF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91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双坑村水站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65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8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50立方蓄水池</w:t>
            </w:r>
          </w:p>
        </w:tc>
      </w:tr>
      <w:tr w14:paraId="0A7EBA72">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EB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48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A6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夏樟村水站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9C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BB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100立方蓄水池2座</w:t>
            </w:r>
          </w:p>
        </w:tc>
      </w:tr>
      <w:tr w14:paraId="72F7CDF3">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54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3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E7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陈家坑水站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1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AC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10立方蓄水池</w:t>
            </w:r>
          </w:p>
        </w:tc>
      </w:tr>
      <w:tr w14:paraId="38597974">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nil"/>
              <w:right w:val="single" w:color="000000" w:sz="4" w:space="0"/>
            </w:tcBorders>
            <w:shd w:val="clear" w:color="auto" w:fill="auto"/>
            <w:vAlign w:val="center"/>
          </w:tcPr>
          <w:p w14:paraId="2FB788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416" w:type="dxa"/>
            <w:tcBorders>
              <w:top w:val="single" w:color="000000" w:sz="4" w:space="0"/>
              <w:left w:val="single" w:color="000000" w:sz="4" w:space="0"/>
              <w:bottom w:val="nil"/>
              <w:right w:val="single" w:color="000000" w:sz="4" w:space="0"/>
            </w:tcBorders>
            <w:shd w:val="clear" w:color="auto" w:fill="auto"/>
            <w:vAlign w:val="center"/>
          </w:tcPr>
          <w:p w14:paraId="088669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107" w:type="dxa"/>
            <w:tcBorders>
              <w:top w:val="single" w:color="000000" w:sz="4" w:space="0"/>
              <w:left w:val="single" w:color="000000" w:sz="4" w:space="0"/>
              <w:bottom w:val="nil"/>
              <w:right w:val="single" w:color="000000" w:sz="4" w:space="0"/>
            </w:tcBorders>
            <w:shd w:val="clear" w:color="auto" w:fill="auto"/>
            <w:vAlign w:val="center"/>
          </w:tcPr>
          <w:p w14:paraId="474E53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夏家岙水站</w:t>
            </w:r>
          </w:p>
        </w:tc>
        <w:tc>
          <w:tcPr>
            <w:tcW w:w="1860" w:type="dxa"/>
            <w:tcBorders>
              <w:top w:val="single" w:color="000000" w:sz="4" w:space="0"/>
              <w:left w:val="single" w:color="000000" w:sz="4" w:space="0"/>
              <w:bottom w:val="nil"/>
              <w:right w:val="single" w:color="000000" w:sz="4" w:space="0"/>
            </w:tcBorders>
            <w:shd w:val="clear" w:color="auto" w:fill="auto"/>
            <w:vAlign w:val="center"/>
          </w:tcPr>
          <w:p w14:paraId="5043BA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原水池液位2套</w:t>
            </w:r>
          </w:p>
        </w:tc>
        <w:tc>
          <w:tcPr>
            <w:tcW w:w="2272" w:type="dxa"/>
            <w:tcBorders>
              <w:top w:val="single" w:color="000000" w:sz="4" w:space="0"/>
              <w:left w:val="single" w:color="000000" w:sz="4" w:space="0"/>
              <w:bottom w:val="nil"/>
              <w:right w:val="single" w:color="000000" w:sz="4" w:space="0"/>
            </w:tcBorders>
            <w:shd w:val="clear" w:color="auto" w:fill="auto"/>
            <w:vAlign w:val="center"/>
          </w:tcPr>
          <w:p w14:paraId="1E39F5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10立方蓄水池1座，20立方蓄水池1座</w:t>
            </w:r>
          </w:p>
        </w:tc>
      </w:tr>
      <w:tr w14:paraId="7E353297">
        <w:tblPrEx>
          <w:tblCellMar>
            <w:top w:w="0" w:type="dxa"/>
            <w:left w:w="108" w:type="dxa"/>
            <w:bottom w:w="0" w:type="dxa"/>
            <w:right w:w="108" w:type="dxa"/>
          </w:tblCellMar>
        </w:tblPrEx>
        <w:trPr>
          <w:trHeight w:val="397"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C0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ED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4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已建供水站（未统计蓄水池的）</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A7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额外补充27套</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39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127B6582">
        <w:tblPrEx>
          <w:tblCellMar>
            <w:top w:w="0" w:type="dxa"/>
            <w:left w:w="108" w:type="dxa"/>
            <w:bottom w:w="0" w:type="dxa"/>
            <w:right w:w="108" w:type="dxa"/>
          </w:tblCellMar>
        </w:tblPrEx>
        <w:trPr>
          <w:trHeight w:val="397" w:hRule="atLeast"/>
        </w:trPr>
        <w:tc>
          <w:tcPr>
            <w:tcW w:w="4585" w:type="dxa"/>
            <w:gridSpan w:val="3"/>
            <w:tcBorders>
              <w:top w:val="nil"/>
              <w:left w:val="single" w:color="000000" w:sz="4" w:space="0"/>
              <w:bottom w:val="single" w:color="000000" w:sz="4" w:space="0"/>
              <w:right w:val="nil"/>
            </w:tcBorders>
            <w:shd w:val="clear" w:color="auto" w:fill="auto"/>
            <w:vAlign w:val="center"/>
          </w:tcPr>
          <w:p w14:paraId="3FCFD9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合计（原水池液位）</w:t>
            </w:r>
          </w:p>
        </w:tc>
        <w:tc>
          <w:tcPr>
            <w:tcW w:w="1860" w:type="dxa"/>
            <w:tcBorders>
              <w:top w:val="nil"/>
              <w:left w:val="single" w:color="000000" w:sz="4" w:space="0"/>
              <w:bottom w:val="single" w:color="000000" w:sz="4" w:space="0"/>
              <w:right w:val="single" w:color="000000" w:sz="4" w:space="0"/>
            </w:tcBorders>
            <w:shd w:val="clear" w:color="auto" w:fill="auto"/>
            <w:vAlign w:val="center"/>
          </w:tcPr>
          <w:p w14:paraId="6BA781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80套</w:t>
            </w:r>
          </w:p>
        </w:tc>
        <w:tc>
          <w:tcPr>
            <w:tcW w:w="2272" w:type="dxa"/>
            <w:tcBorders>
              <w:top w:val="nil"/>
              <w:left w:val="single" w:color="000000" w:sz="4" w:space="0"/>
              <w:bottom w:val="single" w:color="000000" w:sz="4" w:space="0"/>
              <w:right w:val="single" w:color="000000" w:sz="4" w:space="0"/>
            </w:tcBorders>
            <w:shd w:val="clear" w:color="auto" w:fill="auto"/>
            <w:vAlign w:val="center"/>
          </w:tcPr>
          <w:p w14:paraId="5D295D2F">
            <w:pPr>
              <w:widowControl/>
              <w:jc w:val="center"/>
              <w:rPr>
                <w:rFonts w:hint="eastAsia" w:ascii="宋体" w:hAnsi="宋体" w:cs="宋体"/>
                <w:color w:val="000000"/>
                <w:szCs w:val="21"/>
              </w:rPr>
            </w:pPr>
          </w:p>
        </w:tc>
      </w:tr>
    </w:tbl>
    <w:p w14:paraId="1BD309A9">
      <w:pPr>
        <w:spacing w:line="360" w:lineRule="auto"/>
        <w:rPr>
          <w:rFonts w:hint="eastAsia" w:ascii="宋体" w:hAnsi="宋体" w:cs="宋体"/>
          <w:szCs w:val="21"/>
        </w:rPr>
      </w:pPr>
      <w:r>
        <w:rPr>
          <w:rFonts w:hint="eastAsia" w:ascii="宋体" w:hAnsi="宋体" w:cs="宋体"/>
          <w:szCs w:val="21"/>
        </w:rPr>
        <w:t>③进水浊度监测</w:t>
      </w:r>
    </w:p>
    <w:p w14:paraId="46683482">
      <w:pPr>
        <w:spacing w:line="360" w:lineRule="auto"/>
        <w:ind w:firstLine="420" w:firstLineChars="200"/>
        <w:rPr>
          <w:rFonts w:hint="eastAsia" w:ascii="宋体" w:hAnsi="宋体" w:cs="宋体"/>
          <w:szCs w:val="21"/>
        </w:rPr>
      </w:pPr>
      <w:r>
        <w:rPr>
          <w:rFonts w:hint="eastAsia" w:ascii="宋体" w:hAnsi="宋体" w:cs="宋体"/>
          <w:szCs w:val="21"/>
        </w:rPr>
        <w:t>宁海农村供水工程在运行的过程中，部分水源地为溪沟堰坝的，在下雨天时水受地表环境影响较大，供水站的进水浊度很高，颗粒物含量高易导致净水设备、膜处理设备的运行受较大影响，严重影响设备寿命。根据实际需求，总计对65处点位进行进水浊度监测，如下所示：</w:t>
      </w:r>
    </w:p>
    <w:p w14:paraId="53753260">
      <w:pPr>
        <w:pStyle w:val="80"/>
        <w:spacing w:line="360" w:lineRule="auto"/>
        <w:rPr>
          <w:rFonts w:hint="eastAsia" w:ascii="宋体" w:hAnsi="宋体" w:eastAsia="宋体" w:cs="宋体"/>
          <w:sz w:val="21"/>
          <w:szCs w:val="21"/>
        </w:rPr>
      </w:pPr>
      <w:r>
        <w:rPr>
          <w:rFonts w:hint="eastAsia" w:ascii="宋体" w:hAnsi="宋体" w:eastAsia="宋体" w:cs="宋体"/>
          <w:sz w:val="21"/>
          <w:szCs w:val="21"/>
        </w:rPr>
        <w:t>表-2 进水浊度监测点位表</w:t>
      </w:r>
    </w:p>
    <w:tbl>
      <w:tblPr>
        <w:tblStyle w:val="33"/>
        <w:tblW w:w="8717" w:type="dxa"/>
        <w:tblInd w:w="0" w:type="dxa"/>
        <w:tblLayout w:type="fixed"/>
        <w:tblCellMar>
          <w:top w:w="0" w:type="dxa"/>
          <w:left w:w="108" w:type="dxa"/>
          <w:bottom w:w="0" w:type="dxa"/>
          <w:right w:w="108" w:type="dxa"/>
        </w:tblCellMar>
      </w:tblPr>
      <w:tblGrid>
        <w:gridCol w:w="1252"/>
        <w:gridCol w:w="1672"/>
        <w:gridCol w:w="2619"/>
        <w:gridCol w:w="1567"/>
        <w:gridCol w:w="1607"/>
      </w:tblGrid>
      <w:tr w14:paraId="5CEFF85B">
        <w:tblPrEx>
          <w:tblCellMar>
            <w:top w:w="0" w:type="dxa"/>
            <w:left w:w="108" w:type="dxa"/>
            <w:bottom w:w="0" w:type="dxa"/>
            <w:right w:w="108" w:type="dxa"/>
          </w:tblCellMar>
        </w:tblPrEx>
        <w:trPr>
          <w:trHeight w:val="397" w:hRule="atLeast"/>
          <w:tblHeader/>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21E6">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1771">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乡镇/街道</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746F">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8326">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水源地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1C7">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水源类型</w:t>
            </w:r>
          </w:p>
        </w:tc>
      </w:tr>
      <w:tr w14:paraId="74CD3D8E">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FB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8A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57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里山季水站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5E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雪坑溪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59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6474B43">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177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F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BC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南岭村水站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B9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南岭坑溪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60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11F8F81">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7A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F9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B42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西安村水站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68C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西安溪坑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64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04460C3B">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01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AF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F9C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53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C2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2E15FA12">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ED8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84E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FA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4D2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85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43FE2F8F">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5A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7DF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A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留五扇水站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996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弘杨溪坑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DFE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20D8AAB8">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8F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C9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0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上盈坑水站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B6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盈坑溪坑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522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BD8B98C">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92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72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EAF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榧坑村水站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B4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榧坑溪坑1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83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0C0B2528">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65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08A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27E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长丘村水站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61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长丘溪坑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DC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D37D279">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0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7F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F4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塘家村水站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EFC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塘家溪坑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7C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4461D898">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1E5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62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B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澄深村水站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6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澄深溪坑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6C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D1E26EF">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AC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B9D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23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红岩村水站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15B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红岩溪坑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50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58E194D">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F2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7EE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9F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桃花坑水站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6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桃花坑溪坑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70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A6168BA">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7B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B2D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3D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王爱中心水站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19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冷饭坑溪沟水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4EA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7E9A7E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932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26B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F1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兰田庵水站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8DE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兰田庵溪沟水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FB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4051DA48">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49B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A1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B4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下坑村水站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1B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下坑村溪沟水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666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C1063B4">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09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55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1B2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上李坑水站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5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上李坑溪沟水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C2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04C74FC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BA5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DF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3E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王家坑水站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C6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王家坑溪沟水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22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93B46FD">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01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5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F0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瓦窑头水站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F9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飞凤湾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BD5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2119AB6">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B5C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12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6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岭徐村水站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8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岭徐溪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69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1C19A5A">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AE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37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5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里家坑水站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5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里家坑溪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46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9E9E7A2">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C5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D3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785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白岩村水站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6A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白岩溪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72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E54F9B6">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5A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AD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37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孔横山水站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7A9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孔横山溪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AA6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CEA5643">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D5D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5E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E5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大洋村水站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723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大洋溪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CF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52EF269">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31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6C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45F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顺利村水站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24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顺利村溪沟水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2E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807968B">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2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7EC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538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外辽村水站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4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外辽村溪沟水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5F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64645CA">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183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315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0C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里辽村水站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BF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里辽村溪沟水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16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B2C4EA3">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55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C79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58B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江下村水站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BA3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天堂山溪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06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00AD531">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DA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0A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0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新屋村水站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1C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新屋溪坑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56A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08E6BBF">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10A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72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EA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龙潭村水站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27D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水下坑溪坑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98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243B2D5A">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6C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456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BF3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塘山村水站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05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BC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B8334E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B42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8E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F4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竹山头水站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29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竹山头溪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B69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237C664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15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B8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96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榧东村水站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0C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榧东溪坑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892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2BA2D51B">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71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4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2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应家坑水站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7F8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应家坑溪坑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A0C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069B6371">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AC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55E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874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清水染水站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F2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清水染溪坑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1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536F088">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6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9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12E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里大陈水站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E1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里大陈溪坑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CB4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0CA3902A">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6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1F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077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里塘村水站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65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里塘溪坑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0E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83D797E">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49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D62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8B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里畈村水站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83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里畈溪坑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D5B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475875B1">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7F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C5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8D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横坑村水站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92E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横坑溪坑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51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44B66B76">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61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09F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71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下大岙水站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A4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下大岙溪沟水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B23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21131B7">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257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A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DE6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官山村水站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3C5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官山村溪沟水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387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E606BC7">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10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323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D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大水路水站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639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大水路溪沟水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C8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A6E10D3">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28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1E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56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柯仙村水站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0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柯仙村溪沟水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2EF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1051DD6">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8E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E8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40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沙田村水站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3F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沙田村溪沟水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F7C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EB9BB70">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D5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36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D8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铇坵村水站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09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铇坵村溪沟水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C7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26E77C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29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6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3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横路庵水站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0D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横路庵溪沟水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947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89EC75D">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5A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6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B8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叶岙村水站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71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叶岙村溪沟水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0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F675E10">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FF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FFB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679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横金村水站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C0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簪头坑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DA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3BACDA7">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77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96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09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法洪坑水站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802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法洪坑溪坑</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A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C0BD616">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61C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20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3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柘坑戴水站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B24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柘坑戴溪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80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1DFE7C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452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AE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57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柘坑张水站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64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柘坑张溪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64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BD8C3B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D0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88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B03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桶坑村水站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6F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桶坑溪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58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2E8A4E5F">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92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E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E02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平坑村水站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16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坪坑溪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7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B901CC6">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416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30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14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夏樟村水站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12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夏樟溪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2D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E5768BF">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E50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C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D6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0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835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A87401B">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BB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C3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12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夏家岙水站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A8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夏家岙溪沟水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B2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569F31E8">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03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99B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B9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雷虎岩水站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18C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雷虎岩溪沟水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8C5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6258005">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F3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B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0E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茶坑村水站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70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茶坑村溪沟水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D0A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187BD5B">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BFA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CA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89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望海岗水站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1BA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望海岗溪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3B1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672ADC97">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C9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AD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DB0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赵畈村水站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89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赵畈村溪沟水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CBE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0EA55E76">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06E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0AB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越溪乡</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5C6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山头应水站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810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大脉山溪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7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DEB2EFC">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74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8F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桥头胡街道</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388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铜岭祝水站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A21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桃花溪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21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14205547">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34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34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40E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五松村水站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4A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五松村山溪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AA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B9C8C8B">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7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566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FF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兰丁村水站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769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兰丁村山溪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EDF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3BD9E804">
        <w:tblPrEx>
          <w:tblCellMar>
            <w:top w:w="0" w:type="dxa"/>
            <w:left w:w="108" w:type="dxa"/>
            <w:bottom w:w="0" w:type="dxa"/>
            <w:right w:w="108" w:type="dxa"/>
          </w:tblCellMar>
        </w:tblPrEx>
        <w:trPr>
          <w:trHeight w:val="39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8B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90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23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山下刘水站</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3A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山下刘山溪</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D0C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溪沟堰坝</w:t>
            </w:r>
          </w:p>
        </w:tc>
      </w:tr>
      <w:tr w14:paraId="7DEC897E">
        <w:tblPrEx>
          <w:tblCellMar>
            <w:top w:w="0" w:type="dxa"/>
            <w:left w:w="108" w:type="dxa"/>
            <w:bottom w:w="0" w:type="dxa"/>
            <w:right w:w="108" w:type="dxa"/>
          </w:tblCellMar>
        </w:tblPrEx>
        <w:trPr>
          <w:trHeight w:val="397" w:hRule="atLeast"/>
        </w:trPr>
        <w:tc>
          <w:tcPr>
            <w:tcW w:w="5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5004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7A5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65处</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DD7F">
            <w:pPr>
              <w:widowControl/>
              <w:spacing w:line="360" w:lineRule="auto"/>
              <w:jc w:val="center"/>
              <w:textAlignment w:val="center"/>
              <w:rPr>
                <w:rFonts w:hint="eastAsia" w:ascii="宋体" w:hAnsi="宋体" w:cs="宋体"/>
                <w:color w:val="000000"/>
                <w:kern w:val="0"/>
                <w:szCs w:val="21"/>
                <w:lang w:bidi="ar"/>
              </w:rPr>
            </w:pPr>
          </w:p>
        </w:tc>
      </w:tr>
    </w:tbl>
    <w:p w14:paraId="717AF089">
      <w:pPr>
        <w:spacing w:line="360" w:lineRule="auto"/>
        <w:rPr>
          <w:rFonts w:hint="eastAsia" w:ascii="宋体" w:hAnsi="宋体" w:cs="宋体"/>
          <w:szCs w:val="21"/>
        </w:rPr>
      </w:pPr>
      <w:r>
        <w:rPr>
          <w:rFonts w:hint="eastAsia" w:ascii="宋体" w:hAnsi="宋体" w:cs="宋体"/>
          <w:szCs w:val="21"/>
        </w:rPr>
        <w:t>④出水水质监测</w:t>
      </w:r>
    </w:p>
    <w:p w14:paraId="3A5ED045">
      <w:pPr>
        <w:spacing w:line="360" w:lineRule="auto"/>
        <w:ind w:firstLine="420" w:firstLineChars="200"/>
        <w:rPr>
          <w:rFonts w:hint="eastAsia" w:ascii="宋体" w:hAnsi="宋体" w:cs="宋体"/>
          <w:szCs w:val="21"/>
        </w:rPr>
      </w:pPr>
      <w:r>
        <w:rPr>
          <w:rFonts w:hint="eastAsia" w:ascii="宋体" w:hAnsi="宋体" w:cs="宋体"/>
          <w:szCs w:val="21"/>
        </w:rPr>
        <w:t>为及时、准确地反映供水工程水质水量状况和动态变化趋势，建设出水水质监测。根据前期信息化提升的站点信息，120处供水工程中，已建出水水质水站总计52处，本项目进行接入至控制柜，通过网络信号远传；其余68处水站新增出水水质三参数设备，监测ph、浊度、余氯三参数。</w:t>
      </w:r>
    </w:p>
    <w:p w14:paraId="1B887D93">
      <w:pPr>
        <w:pStyle w:val="80"/>
        <w:spacing w:line="360" w:lineRule="auto"/>
        <w:rPr>
          <w:rFonts w:hint="eastAsia" w:ascii="宋体" w:hAnsi="宋体" w:eastAsia="宋体" w:cs="宋体"/>
          <w:sz w:val="21"/>
          <w:szCs w:val="21"/>
        </w:rPr>
      </w:pPr>
      <w:r>
        <w:rPr>
          <w:rFonts w:hint="eastAsia" w:ascii="宋体" w:hAnsi="宋体" w:eastAsia="宋体" w:cs="宋体"/>
          <w:sz w:val="21"/>
          <w:szCs w:val="21"/>
        </w:rPr>
        <w:t>表-3 已建水质接入控制柜站点清单</w:t>
      </w:r>
    </w:p>
    <w:tbl>
      <w:tblPr>
        <w:tblStyle w:val="33"/>
        <w:tblW w:w="8717" w:type="dxa"/>
        <w:tblInd w:w="0" w:type="dxa"/>
        <w:tblLayout w:type="fixed"/>
        <w:tblCellMar>
          <w:top w:w="0" w:type="dxa"/>
          <w:left w:w="108" w:type="dxa"/>
          <w:bottom w:w="0" w:type="dxa"/>
          <w:right w:w="108" w:type="dxa"/>
        </w:tblCellMar>
      </w:tblPr>
      <w:tblGrid>
        <w:gridCol w:w="1112"/>
        <w:gridCol w:w="1941"/>
        <w:gridCol w:w="2087"/>
        <w:gridCol w:w="3577"/>
      </w:tblGrid>
      <w:tr w14:paraId="0BAB8AC1">
        <w:tblPrEx>
          <w:tblCellMar>
            <w:top w:w="0" w:type="dxa"/>
            <w:left w:w="108" w:type="dxa"/>
            <w:bottom w:w="0" w:type="dxa"/>
            <w:right w:w="108" w:type="dxa"/>
          </w:tblCellMar>
        </w:tblPrEx>
        <w:trPr>
          <w:trHeight w:val="397" w:hRule="atLeast"/>
          <w:tblHeader/>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3C2">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E3AD">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乡镇/街道</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3536">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水站名称</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52EA">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布置设施</w:t>
            </w:r>
          </w:p>
        </w:tc>
      </w:tr>
      <w:tr w14:paraId="6B7B493C">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1B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74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63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长田头水站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AF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66CE4234">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B3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0B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3B5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雪山村水站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0E9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0805BF1">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E74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64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6B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外岗村水站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E97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2C0E73E">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97F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62C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0B5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里山季水站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3F8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4DEFB1C0">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44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A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F3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南岭村水站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51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14E201E3">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D4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9EC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CB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团结村水站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F36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5827378">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97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FD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43E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213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10598DAF">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ED3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41E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47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西安村水站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A8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3EB54EF">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F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E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F9B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叶家山水站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3A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6FB5E417">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82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56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82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慕胡山水站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3E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4D39557">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BD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0A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4CB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2C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17E0BBB">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1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7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A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三星村水站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A8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7B798C8">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0F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6F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9EE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E87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2C8CE24D">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EB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A9D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2BE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六合村水站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620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7F5086A">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1A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EC8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C2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中央山水站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DD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199FDFB">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4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25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4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蒋家村水站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32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78220F14">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943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B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3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留五扇水站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62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21603B4A">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26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24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F91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上盈坑水站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79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335D7CC">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419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27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AE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榧坑村水站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D0F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70504164">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BA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359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49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长丘村水站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C1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158569CA">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16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F7B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2B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塘家村水站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3E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8449B2E">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93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D9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009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澄深村水站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92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B070CA2">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08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7E1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12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红岩村水站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8B1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B37258E">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36F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97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F34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桃花坑水站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AC9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25D9FE18">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53A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3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CCE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张辽村水站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935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7220309">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9F3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F7A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3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王爱中心水站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321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492C035E">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9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C27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D2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兰田庵水站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9C7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7C1CF86A">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B8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AD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851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下坑村水站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A9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1DFE29C0">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AE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309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D41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上李坑水站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B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F10D7D4">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9B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95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929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山洋村水站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9D5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69188AD3">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D8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FC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D1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王家坑水站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A7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49AF329E">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669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198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C6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宝岩寺水站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34E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509952B9">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76C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AA2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E78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许民村水站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0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5BEA6818">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D5E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6E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E86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瓦窑头水站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78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80AC60D">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A6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0B5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917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下洋陈水站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441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23FF158">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393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E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11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岭徐村水站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23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480FC46A">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D6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B8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4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岭下村水站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24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243F71B7">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85C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C8F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F3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里家坑水站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03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49308527">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BA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93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2A3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马岙村水站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5B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D069355">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3AB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4A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0F1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白岩村水站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2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6E61E86A">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AA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B2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EF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孔横山水站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7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6A023899">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99B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FEE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50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俞山村水站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D6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2588359B">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23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CC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32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龙宫村水站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8D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3ACFBCE">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8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A4C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F6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大洋村水站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F39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2EE5D8FC">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3F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1FC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86B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大蔡村水站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A9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79CB632B">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88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06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1F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清潭村水站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BA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27DC9852">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656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3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3C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顺利村水站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03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FBFF6E4">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E4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49B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A2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外辽村水站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A01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6A5137DF">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10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F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66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里辽村水站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4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17C4C958">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32B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86E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39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力洋孔站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59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C31D829">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0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D0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D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道士桥水站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526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3D425868">
        <w:tblPrEx>
          <w:tblCellMar>
            <w:top w:w="0" w:type="dxa"/>
            <w:left w:w="108" w:type="dxa"/>
            <w:bottom w:w="0" w:type="dxa"/>
            <w:right w:w="108" w:type="dxa"/>
          </w:tblCellMar>
        </w:tblPrEx>
        <w:trPr>
          <w:trHeight w:val="39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272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2C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大佳何镇</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8FA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外袁村水站</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B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已建出水水质接入控制柜</w:t>
            </w:r>
          </w:p>
        </w:tc>
      </w:tr>
      <w:tr w14:paraId="0A71C3FB">
        <w:tblPrEx>
          <w:tblCellMar>
            <w:top w:w="0" w:type="dxa"/>
            <w:left w:w="108" w:type="dxa"/>
            <w:bottom w:w="0" w:type="dxa"/>
            <w:right w:w="108" w:type="dxa"/>
          </w:tblCellMar>
        </w:tblPrEx>
        <w:trPr>
          <w:trHeight w:val="397" w:hRule="atLeast"/>
        </w:trPr>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784E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AC1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52处</w:t>
            </w:r>
          </w:p>
        </w:tc>
      </w:tr>
    </w:tbl>
    <w:p w14:paraId="45722790">
      <w:pPr>
        <w:pStyle w:val="80"/>
        <w:spacing w:line="360" w:lineRule="auto"/>
        <w:rPr>
          <w:rFonts w:hint="eastAsia" w:ascii="宋体" w:hAnsi="宋体" w:eastAsia="宋体" w:cs="宋体"/>
          <w:sz w:val="21"/>
          <w:szCs w:val="21"/>
        </w:rPr>
      </w:pPr>
    </w:p>
    <w:p w14:paraId="178FB354">
      <w:pPr>
        <w:pStyle w:val="80"/>
        <w:spacing w:line="360" w:lineRule="auto"/>
        <w:rPr>
          <w:rFonts w:hint="eastAsia" w:ascii="宋体" w:hAnsi="宋体" w:eastAsia="宋体" w:cs="宋体"/>
          <w:sz w:val="21"/>
          <w:szCs w:val="21"/>
        </w:rPr>
      </w:pPr>
      <w:r>
        <w:rPr>
          <w:rFonts w:hint="eastAsia" w:ascii="宋体" w:hAnsi="宋体" w:eastAsia="宋体" w:cs="宋体"/>
          <w:sz w:val="21"/>
          <w:szCs w:val="21"/>
        </w:rPr>
        <w:t>表-4 新建出水水质站点清单</w:t>
      </w:r>
    </w:p>
    <w:tbl>
      <w:tblPr>
        <w:tblStyle w:val="33"/>
        <w:tblW w:w="8717" w:type="dxa"/>
        <w:tblInd w:w="0" w:type="dxa"/>
        <w:tblLayout w:type="fixed"/>
        <w:tblCellMar>
          <w:top w:w="0" w:type="dxa"/>
          <w:left w:w="108" w:type="dxa"/>
          <w:bottom w:w="0" w:type="dxa"/>
          <w:right w:w="108" w:type="dxa"/>
        </w:tblCellMar>
      </w:tblPr>
      <w:tblGrid>
        <w:gridCol w:w="1140"/>
        <w:gridCol w:w="1930"/>
        <w:gridCol w:w="2091"/>
        <w:gridCol w:w="3556"/>
      </w:tblGrid>
      <w:tr w14:paraId="456ED11C">
        <w:tblPrEx>
          <w:tblCellMar>
            <w:top w:w="0" w:type="dxa"/>
            <w:left w:w="108" w:type="dxa"/>
            <w:bottom w:w="0" w:type="dxa"/>
            <w:right w:w="108" w:type="dxa"/>
          </w:tblCellMar>
        </w:tblPrEx>
        <w:trPr>
          <w:trHeight w:val="397" w:hRule="atLeast"/>
          <w:tblHeader/>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95AA">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F33D">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乡镇/街道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E48C">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360A">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布置设施</w:t>
            </w:r>
          </w:p>
        </w:tc>
      </w:tr>
      <w:tr w14:paraId="0D1C7697">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671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14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CA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六峰村水站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531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394F4F3F">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D48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861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82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江下村水站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985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53038A45">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0D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4FA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E3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下章村水站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86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5D203EFE">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7DE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F3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50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外洋村水站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AC1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19BE794">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ADF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B3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10C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平园村水站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D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120E4617">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E7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8A7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15A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屿东村水站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DC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6602A2E">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F74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FC2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4C3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外山郑水站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BA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4403072">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2B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BDA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80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新屋村水站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C87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3B6BC274">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F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F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284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龙潭村水站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5A9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6ACD189">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82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F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2D8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山后翁水站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A7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F8714EA">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13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D6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D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塘山村水站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5F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CDFCC51">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E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0C5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1E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竹山头水站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4AA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03CE41B">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1D4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DC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251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榧东村水站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75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483FA4D">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D99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6A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526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应家坑水站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2C7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3369753">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42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CAA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9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张家山水站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35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FB24626">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55D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E23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0F1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清水染水站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E6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864A850">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641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9A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50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王家染水站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48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3151E027">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91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2A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F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杨染村水站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9B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235A0EE9">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168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F7C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318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里大陈水站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D5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1042895">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FF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DA2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C5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逐步村水站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4BB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829735C">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73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5A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0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里塘村水站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553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C02C8AE">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B5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CFC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5A8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里畈村水站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10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1F85B4D">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6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A5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7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上辽岗水站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3C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CB7D407">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5B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4F2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411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横坑村水站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80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9F0B252">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90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58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B8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下大岙水站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7A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58E46F2">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A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D4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CE7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天河中心水站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BB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C339B04">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72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9A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ED3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官山村水站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2F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1E60664C">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EC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B3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BB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大水路水站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13A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AE977F1">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3E7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F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56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柯仙村水站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89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F1C7EAD">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0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BF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1BC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沙田村水站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1D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0EB1E5C">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13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48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546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铇坵村水站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89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186090AF">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91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2C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39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横路庵水站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FD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FFBE6E7">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BB4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BB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BA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叶岙村水站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6D1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ED044AB">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65C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440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8FA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陈家山水站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C5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2C1E59E">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0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F7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D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横金村水站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F2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8E7095C">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4D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2A3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FF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蒋公洞水站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4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359E3E82">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603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D3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F67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露天坪水站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22D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DDAECD3">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87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7D0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C2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山上方水站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1D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B26983E">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E9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7C7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81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中央郑水站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9D6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B87799A">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10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158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B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山头罗水站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D9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AC3CAE6">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A99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AFD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D2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黄旗山水站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CC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8567A35">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27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5A1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A6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法洪坑水站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DD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F5A72D9">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C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6E6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AC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外朱村水站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A6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A08C75A">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813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930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2F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横路山水站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32C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9E2C2E8">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0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689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0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柘坑戴水站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719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9180861">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82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D4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FD4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柘坑张水站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73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244CA84A">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371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48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A8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上张村水站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0C2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5F135E79">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B4C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706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503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赤岙村水站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79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877DA27">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9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21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51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桶坑村水站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40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EA03F5E">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49F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531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0DB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平坑村水站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6A6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4CC1C5B">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40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E1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CA3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双坑村水站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4AF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10E8F1BF">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2C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95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B5E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夏樟村水站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32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3C16AF0">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7C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4A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D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24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1EF038F0">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20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B0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E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夏家岙水站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8BA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204EDA0">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A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E8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D8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雷虎岩水站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78C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56F9BC23">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2D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F4A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C3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茶坑村水站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C45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237CFB5D">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76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96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B6E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望海岗水站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2F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747F8BE">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EBE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284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63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赵畈村水站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75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377AB3B8">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A69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23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EF8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溪滨村水站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B4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473A5D3">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42E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D72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29E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杨家山村水站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C11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15E7300">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9E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096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越溪乡</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E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山头应水站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78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77CBC8DF">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85F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64F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3B8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海屿村水站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6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2974A7F5">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67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171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桥头胡街道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F3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铜岭村水站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C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E44F375">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C84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0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桥头胡街道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04B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铜岭祝水站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DBF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568F62BC">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9A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95D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6C8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五松村水站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79B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61C2CCD2">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0E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A72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6F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兰丁村水站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57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44CD8807">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AA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9F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59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山下刘水站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6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0059F60B">
        <w:tblPrEx>
          <w:tblCellMar>
            <w:top w:w="0" w:type="dxa"/>
            <w:left w:w="108" w:type="dxa"/>
            <w:bottom w:w="0" w:type="dxa"/>
            <w:right w:w="108"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93B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62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大佳何镇</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A9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里袁村水站</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0A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出水水质三参数设备</w:t>
            </w:r>
          </w:p>
        </w:tc>
      </w:tr>
      <w:tr w14:paraId="37CFE825">
        <w:tblPrEx>
          <w:tblCellMar>
            <w:top w:w="0" w:type="dxa"/>
            <w:left w:w="108" w:type="dxa"/>
            <w:bottom w:w="0" w:type="dxa"/>
            <w:right w:w="108" w:type="dxa"/>
          </w:tblCellMar>
        </w:tblPrEx>
        <w:trPr>
          <w:trHeight w:val="397" w:hRule="atLeast"/>
        </w:trPr>
        <w:tc>
          <w:tcPr>
            <w:tcW w:w="5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72B6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AEE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68处</w:t>
            </w:r>
          </w:p>
        </w:tc>
      </w:tr>
    </w:tbl>
    <w:p w14:paraId="69188899">
      <w:pPr>
        <w:spacing w:line="360" w:lineRule="auto"/>
        <w:rPr>
          <w:rFonts w:hint="eastAsia" w:ascii="宋体" w:hAnsi="宋体" w:cs="宋体"/>
          <w:szCs w:val="21"/>
        </w:rPr>
      </w:pPr>
      <w:r>
        <w:rPr>
          <w:rFonts w:hint="eastAsia" w:ascii="宋体" w:hAnsi="宋体" w:cs="宋体"/>
          <w:szCs w:val="21"/>
        </w:rPr>
        <w:t>⑤视频监视系统</w:t>
      </w:r>
    </w:p>
    <w:p w14:paraId="3ED7B58C">
      <w:pPr>
        <w:spacing w:line="360" w:lineRule="auto"/>
        <w:ind w:firstLine="420" w:firstLineChars="200"/>
        <w:rPr>
          <w:rFonts w:hint="eastAsia" w:ascii="宋体" w:hAnsi="宋体" w:cs="宋体"/>
          <w:szCs w:val="21"/>
        </w:rPr>
      </w:pPr>
      <w:r>
        <w:rPr>
          <w:rFonts w:hint="eastAsia" w:ascii="宋体" w:hAnsi="宋体" w:cs="宋体"/>
          <w:szCs w:val="21"/>
        </w:rPr>
        <w:t>农村供水工程视频监视系统主要用于对供水工程中重要区域和设备的情况进行远程自动监视，有52处水站已在加药间和清水池建设视频监控，120处供水站内总计新增390处摄像机，其中322处球机，68处枪机。</w:t>
      </w:r>
    </w:p>
    <w:p w14:paraId="4C1BC072">
      <w:pPr>
        <w:pStyle w:val="80"/>
        <w:spacing w:line="360" w:lineRule="auto"/>
        <w:rPr>
          <w:rFonts w:hint="eastAsia" w:ascii="宋体" w:hAnsi="宋体" w:eastAsia="宋体" w:cs="宋体"/>
          <w:sz w:val="21"/>
          <w:szCs w:val="21"/>
        </w:rPr>
      </w:pPr>
      <w:r>
        <w:rPr>
          <w:rFonts w:hint="eastAsia" w:ascii="宋体" w:hAnsi="宋体" w:eastAsia="宋体" w:cs="宋体"/>
          <w:sz w:val="21"/>
          <w:szCs w:val="21"/>
        </w:rPr>
        <w:t>表-5 已建视频点位</w:t>
      </w:r>
    </w:p>
    <w:tbl>
      <w:tblPr>
        <w:tblStyle w:val="33"/>
        <w:tblW w:w="8717" w:type="dxa"/>
        <w:tblInd w:w="0" w:type="dxa"/>
        <w:tblLayout w:type="fixed"/>
        <w:tblCellMar>
          <w:top w:w="0" w:type="dxa"/>
          <w:left w:w="108" w:type="dxa"/>
          <w:bottom w:w="0" w:type="dxa"/>
          <w:right w:w="108" w:type="dxa"/>
        </w:tblCellMar>
      </w:tblPr>
      <w:tblGrid>
        <w:gridCol w:w="1794"/>
        <w:gridCol w:w="1794"/>
        <w:gridCol w:w="1796"/>
        <w:gridCol w:w="3333"/>
      </w:tblGrid>
      <w:tr w14:paraId="53A5C2E6">
        <w:tblPrEx>
          <w:tblCellMar>
            <w:top w:w="0" w:type="dxa"/>
            <w:left w:w="108" w:type="dxa"/>
            <w:bottom w:w="0" w:type="dxa"/>
            <w:right w:w="108" w:type="dxa"/>
          </w:tblCellMar>
        </w:tblPrEx>
        <w:trPr>
          <w:trHeight w:val="397" w:hRule="atLeast"/>
          <w:tblHeader/>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F55">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50A1">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乡镇/街道</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0528">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CB8B">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已建设施</w:t>
            </w:r>
          </w:p>
        </w:tc>
      </w:tr>
      <w:tr w14:paraId="3998EDB5">
        <w:tblPrEx>
          <w:tblCellMar>
            <w:top w:w="0" w:type="dxa"/>
            <w:left w:w="108" w:type="dxa"/>
            <w:bottom w:w="0" w:type="dxa"/>
            <w:right w:w="108" w:type="dxa"/>
          </w:tblCellMar>
        </w:tblPrEx>
        <w:trPr>
          <w:trHeight w:val="397" w:hRule="atLeast"/>
        </w:trPr>
        <w:tc>
          <w:tcPr>
            <w:tcW w:w="8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7E7A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color w:val="000000"/>
                <w:szCs w:val="21"/>
              </w:rPr>
              <w:t>千人以上</w:t>
            </w:r>
          </w:p>
        </w:tc>
      </w:tr>
      <w:tr w14:paraId="4F312B08">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006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2F5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9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六合村水站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19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1387BA77">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5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7E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6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榧坑村水站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BF2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43F240F">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64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6FE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CD8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王爱中心水站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67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17A5B8F9">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75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24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C9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许民村水站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3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3289E781">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7F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14E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F08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马岙村水站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40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6D739D80">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AF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FF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38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孔横山水站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21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CC3A2F7">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4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45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98B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龙宫村水站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22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2DFA71C0">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8C1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C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6F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大洋村水站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9BE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48BA5A8">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3F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9C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AC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大蔡村水站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FF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4566BDE9">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11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CEE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6A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清潭村水站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097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26C87082">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5C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06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437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道士桥水站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72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23849700">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F5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407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大佳何镇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681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外袁村水站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F44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D91DE52">
        <w:tblPrEx>
          <w:tblCellMar>
            <w:top w:w="0" w:type="dxa"/>
            <w:left w:w="108" w:type="dxa"/>
            <w:bottom w:w="0" w:type="dxa"/>
            <w:right w:w="108" w:type="dxa"/>
          </w:tblCellMar>
        </w:tblPrEx>
        <w:trPr>
          <w:trHeight w:val="397" w:hRule="atLeast"/>
        </w:trPr>
        <w:tc>
          <w:tcPr>
            <w:tcW w:w="8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B606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
                <w:bCs/>
                <w:color w:val="000000"/>
                <w:szCs w:val="21"/>
              </w:rPr>
              <w:t>千人以下</w:t>
            </w:r>
          </w:p>
        </w:tc>
      </w:tr>
      <w:tr w14:paraId="2FA14E09">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F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1E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54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长田头水站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894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44AA126D">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C2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6D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DA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雪山村水站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6A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6C8D589D">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32B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619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B6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外岗村水站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A8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F3F1B1F">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67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6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B2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里山季水站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EC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4C057E50">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AC5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F94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13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南岭村水站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A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626DCEE0">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A9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2E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309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团结村水站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97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A0304EE">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E03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58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D3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96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16CF35A">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6A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E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45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西安村水站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715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3A7E3D3C">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6A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20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B7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叶家山水站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82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2DB3EE95">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694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7D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13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慕胡山水站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09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60CA5D9D">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F65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6FC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8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FC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79315C4D">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9C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C5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D33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三星村水站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313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4860CF08">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64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C9F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00E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B7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0183D92">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6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29B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A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中央山水站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F0C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77DEFC28">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05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E19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CAC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蒋家村水站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51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74C6EAD3">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F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01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FA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留五扇水站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53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67701F8E">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70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CF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5F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上盈坑水站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26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2D0FA733">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7F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CF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C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长丘村水站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F0B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7A472FC8">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186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30E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053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塘家村水站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8EA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7B47DE80">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153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310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C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澄深村水站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105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CDCC743">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A0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76F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F8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红岩村水站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E7F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56D1FA4">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19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E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873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桃花坑水站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B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82F2921">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6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DC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72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张辽村水站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2B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07B1934">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20B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0A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BB1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兰田庵水站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91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2E1DA78">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3EB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ED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BA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下坑村水站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EE0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B21B024">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2F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8D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29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上李坑水站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31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F9423C4">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7D5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55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E35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山洋村水站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DC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8800E70">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C5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974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6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王家坑水站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D96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44B6C18A">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5B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E3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E5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宝岩寺水站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D5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3416D85">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E7B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52B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37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瓦窑头水站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F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65B804B6">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E6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C06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ED1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下洋陈水站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DE7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5027BB4F">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574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31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A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岭徐村水站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58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7489037F">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AC5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E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F09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岭下村水站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181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3A22DEF8">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AD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464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C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里家坑水站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419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2FD92CFE">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B5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95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1B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白岩村水站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37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2696E7F5">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6E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6B4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52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俞山村水站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196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4F72CBCF">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F1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BBB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A7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顺利村水站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8A8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7DE103E9">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1B8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22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44D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外辽村水站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2D8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3577B3AE">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5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87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E3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里辽村水站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03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r w14:paraId="0654AC12">
        <w:tblPrEx>
          <w:tblCellMar>
            <w:top w:w="0" w:type="dxa"/>
            <w:left w:w="108" w:type="dxa"/>
            <w:bottom w:w="0" w:type="dxa"/>
            <w:right w:w="108" w:type="dxa"/>
          </w:tblCellMar>
        </w:tblPrEx>
        <w:trPr>
          <w:trHeight w:val="397"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99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E77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力洋镇</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3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力洋孔站</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DB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加药间、清水池视频</w:t>
            </w:r>
          </w:p>
        </w:tc>
      </w:tr>
    </w:tbl>
    <w:p w14:paraId="219B66C4">
      <w:pPr>
        <w:pStyle w:val="80"/>
        <w:spacing w:line="360" w:lineRule="auto"/>
        <w:rPr>
          <w:rFonts w:hint="eastAsia" w:ascii="宋体" w:hAnsi="宋体" w:eastAsia="宋体" w:cs="宋体"/>
          <w:sz w:val="21"/>
          <w:szCs w:val="21"/>
        </w:rPr>
      </w:pPr>
    </w:p>
    <w:p w14:paraId="3D62752C">
      <w:pPr>
        <w:pStyle w:val="80"/>
        <w:spacing w:line="360" w:lineRule="auto"/>
        <w:rPr>
          <w:rFonts w:hint="eastAsia" w:ascii="宋体" w:hAnsi="宋体" w:eastAsia="宋体" w:cs="宋体"/>
          <w:sz w:val="21"/>
          <w:szCs w:val="21"/>
        </w:rPr>
      </w:pPr>
      <w:r>
        <w:rPr>
          <w:rFonts w:hint="eastAsia" w:ascii="宋体" w:hAnsi="宋体" w:eastAsia="宋体" w:cs="宋体"/>
          <w:sz w:val="21"/>
          <w:szCs w:val="21"/>
        </w:rPr>
        <w:t>表-6 新建视频监控总计表</w:t>
      </w:r>
    </w:p>
    <w:tbl>
      <w:tblPr>
        <w:tblStyle w:val="3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71"/>
        <w:gridCol w:w="1532"/>
        <w:gridCol w:w="1307"/>
        <w:gridCol w:w="1229"/>
        <w:gridCol w:w="1375"/>
        <w:gridCol w:w="1202"/>
      </w:tblGrid>
      <w:tr w14:paraId="7ECF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01" w:type="dxa"/>
            <w:vAlign w:val="center"/>
          </w:tcPr>
          <w:p w14:paraId="32DA8E09">
            <w:pPr>
              <w:spacing w:line="360" w:lineRule="auto"/>
              <w:jc w:val="center"/>
              <w:rPr>
                <w:rFonts w:hint="eastAsia" w:ascii="宋体" w:hAnsi="宋体" w:cs="宋体"/>
                <w:b/>
                <w:bCs/>
                <w:szCs w:val="21"/>
              </w:rPr>
            </w:pPr>
            <w:r>
              <w:rPr>
                <w:rFonts w:hint="eastAsia" w:ascii="宋体" w:hAnsi="宋体" w:cs="宋体"/>
                <w:b/>
                <w:bCs/>
                <w:szCs w:val="21"/>
              </w:rPr>
              <w:t>序号</w:t>
            </w:r>
          </w:p>
        </w:tc>
        <w:tc>
          <w:tcPr>
            <w:tcW w:w="1071" w:type="dxa"/>
            <w:vAlign w:val="center"/>
          </w:tcPr>
          <w:p w14:paraId="1D670163">
            <w:pPr>
              <w:spacing w:line="360" w:lineRule="auto"/>
              <w:jc w:val="center"/>
              <w:rPr>
                <w:rFonts w:hint="eastAsia" w:ascii="宋体" w:hAnsi="宋体" w:cs="宋体"/>
                <w:b/>
                <w:bCs/>
                <w:szCs w:val="21"/>
              </w:rPr>
            </w:pPr>
            <w:r>
              <w:rPr>
                <w:rFonts w:hint="eastAsia" w:ascii="宋体" w:hAnsi="宋体" w:cs="宋体"/>
                <w:b/>
                <w:bCs/>
                <w:szCs w:val="21"/>
              </w:rPr>
              <w:t>类别</w:t>
            </w:r>
          </w:p>
        </w:tc>
        <w:tc>
          <w:tcPr>
            <w:tcW w:w="1532" w:type="dxa"/>
            <w:vAlign w:val="center"/>
          </w:tcPr>
          <w:p w14:paraId="4D6FDF52">
            <w:pPr>
              <w:spacing w:line="360" w:lineRule="auto"/>
              <w:jc w:val="center"/>
              <w:rPr>
                <w:rFonts w:hint="eastAsia" w:ascii="宋体" w:hAnsi="宋体" w:cs="宋体"/>
                <w:b/>
                <w:bCs/>
                <w:szCs w:val="21"/>
              </w:rPr>
            </w:pPr>
            <w:r>
              <w:rPr>
                <w:rFonts w:hint="eastAsia" w:ascii="宋体" w:hAnsi="宋体" w:cs="宋体"/>
                <w:b/>
                <w:bCs/>
                <w:szCs w:val="21"/>
              </w:rPr>
              <w:t>布置位置</w:t>
            </w:r>
          </w:p>
        </w:tc>
        <w:tc>
          <w:tcPr>
            <w:tcW w:w="1307" w:type="dxa"/>
            <w:vAlign w:val="center"/>
          </w:tcPr>
          <w:p w14:paraId="4286B06D">
            <w:pPr>
              <w:spacing w:line="360" w:lineRule="auto"/>
              <w:jc w:val="center"/>
              <w:rPr>
                <w:rFonts w:hint="eastAsia" w:ascii="宋体" w:hAnsi="宋体" w:cs="宋体"/>
                <w:b/>
                <w:bCs/>
                <w:szCs w:val="21"/>
              </w:rPr>
            </w:pPr>
            <w:r>
              <w:rPr>
                <w:rFonts w:hint="eastAsia" w:ascii="宋体" w:hAnsi="宋体" w:cs="宋体"/>
                <w:b/>
                <w:bCs/>
                <w:szCs w:val="21"/>
              </w:rPr>
              <w:t>布置设施</w:t>
            </w:r>
          </w:p>
        </w:tc>
        <w:tc>
          <w:tcPr>
            <w:tcW w:w="1229" w:type="dxa"/>
            <w:vAlign w:val="center"/>
          </w:tcPr>
          <w:p w14:paraId="1ABC0BFC">
            <w:pPr>
              <w:spacing w:line="360" w:lineRule="auto"/>
              <w:jc w:val="center"/>
              <w:rPr>
                <w:rFonts w:hint="eastAsia" w:ascii="宋体" w:hAnsi="宋体" w:cs="宋体"/>
                <w:b/>
                <w:bCs/>
                <w:szCs w:val="21"/>
              </w:rPr>
            </w:pPr>
            <w:r>
              <w:rPr>
                <w:rFonts w:hint="eastAsia" w:ascii="宋体" w:hAnsi="宋体" w:cs="宋体"/>
                <w:b/>
                <w:bCs/>
                <w:szCs w:val="21"/>
              </w:rPr>
              <w:t>总计补充</w:t>
            </w:r>
          </w:p>
        </w:tc>
        <w:tc>
          <w:tcPr>
            <w:tcW w:w="1375" w:type="dxa"/>
            <w:vAlign w:val="center"/>
          </w:tcPr>
          <w:p w14:paraId="54516783">
            <w:pPr>
              <w:spacing w:line="360" w:lineRule="auto"/>
              <w:jc w:val="center"/>
              <w:rPr>
                <w:rFonts w:hint="eastAsia" w:ascii="宋体" w:hAnsi="宋体" w:cs="宋体"/>
                <w:b/>
                <w:bCs/>
                <w:szCs w:val="21"/>
              </w:rPr>
            </w:pPr>
            <w:r>
              <w:rPr>
                <w:rFonts w:hint="eastAsia" w:ascii="宋体" w:hAnsi="宋体" w:cs="宋体"/>
                <w:b/>
                <w:bCs/>
                <w:szCs w:val="21"/>
              </w:rPr>
              <w:t>网络形式</w:t>
            </w:r>
          </w:p>
        </w:tc>
        <w:tc>
          <w:tcPr>
            <w:tcW w:w="1202" w:type="dxa"/>
            <w:vAlign w:val="center"/>
          </w:tcPr>
          <w:p w14:paraId="13DD4DF4">
            <w:pPr>
              <w:spacing w:line="360" w:lineRule="auto"/>
              <w:jc w:val="center"/>
              <w:rPr>
                <w:rFonts w:hint="eastAsia" w:ascii="宋体" w:hAnsi="宋体" w:cs="宋体"/>
                <w:b/>
                <w:bCs/>
                <w:szCs w:val="21"/>
              </w:rPr>
            </w:pPr>
            <w:r>
              <w:rPr>
                <w:rFonts w:hint="eastAsia" w:ascii="宋体" w:hAnsi="宋体" w:cs="宋体"/>
                <w:b/>
                <w:bCs/>
                <w:szCs w:val="21"/>
              </w:rPr>
              <w:t>安装形式</w:t>
            </w:r>
          </w:p>
        </w:tc>
      </w:tr>
      <w:tr w14:paraId="26F3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restart"/>
            <w:vAlign w:val="center"/>
          </w:tcPr>
          <w:p w14:paraId="687D1FE8">
            <w:pPr>
              <w:spacing w:line="360" w:lineRule="auto"/>
              <w:jc w:val="center"/>
              <w:rPr>
                <w:rFonts w:hint="eastAsia" w:ascii="宋体" w:hAnsi="宋体" w:cs="宋体"/>
                <w:szCs w:val="21"/>
              </w:rPr>
            </w:pPr>
            <w:r>
              <w:rPr>
                <w:rFonts w:hint="eastAsia" w:ascii="宋体" w:hAnsi="宋体" w:cs="宋体"/>
                <w:szCs w:val="21"/>
              </w:rPr>
              <w:t>1</w:t>
            </w:r>
          </w:p>
        </w:tc>
        <w:tc>
          <w:tcPr>
            <w:tcW w:w="1071" w:type="dxa"/>
            <w:vMerge w:val="restart"/>
            <w:vAlign w:val="center"/>
          </w:tcPr>
          <w:p w14:paraId="75CCD086">
            <w:pPr>
              <w:spacing w:line="360" w:lineRule="auto"/>
              <w:jc w:val="center"/>
              <w:rPr>
                <w:rFonts w:hint="eastAsia" w:ascii="宋体" w:hAnsi="宋体" w:cs="宋体"/>
                <w:szCs w:val="21"/>
              </w:rPr>
            </w:pPr>
            <w:r>
              <w:rPr>
                <w:rFonts w:hint="eastAsia" w:ascii="宋体" w:hAnsi="宋体" w:cs="宋体"/>
                <w:szCs w:val="21"/>
              </w:rPr>
              <w:t>千人以下供水站</w:t>
            </w:r>
          </w:p>
        </w:tc>
        <w:tc>
          <w:tcPr>
            <w:tcW w:w="1532" w:type="dxa"/>
            <w:vAlign w:val="center"/>
          </w:tcPr>
          <w:p w14:paraId="51800108">
            <w:pPr>
              <w:spacing w:line="360" w:lineRule="auto"/>
              <w:jc w:val="center"/>
              <w:rPr>
                <w:rFonts w:hint="eastAsia" w:ascii="宋体" w:hAnsi="宋体" w:cs="宋体"/>
                <w:szCs w:val="21"/>
              </w:rPr>
            </w:pPr>
            <w:r>
              <w:rPr>
                <w:rFonts w:hint="eastAsia" w:ascii="宋体" w:hAnsi="宋体" w:cs="宋体"/>
                <w:szCs w:val="21"/>
              </w:rPr>
              <w:t>前置过滤排污情况</w:t>
            </w:r>
          </w:p>
        </w:tc>
        <w:tc>
          <w:tcPr>
            <w:tcW w:w="1307" w:type="dxa"/>
            <w:vAlign w:val="center"/>
          </w:tcPr>
          <w:p w14:paraId="47BF1081">
            <w:pPr>
              <w:spacing w:line="360" w:lineRule="auto"/>
              <w:jc w:val="center"/>
              <w:rPr>
                <w:rFonts w:hint="eastAsia" w:ascii="宋体" w:hAnsi="宋体" w:cs="宋体"/>
                <w:szCs w:val="21"/>
              </w:rPr>
            </w:pPr>
            <w:r>
              <w:rPr>
                <w:rFonts w:hint="eastAsia" w:ascii="宋体" w:hAnsi="宋体" w:cs="宋体"/>
                <w:szCs w:val="21"/>
              </w:rPr>
              <w:t>1处球机</w:t>
            </w:r>
          </w:p>
        </w:tc>
        <w:tc>
          <w:tcPr>
            <w:tcW w:w="1229" w:type="dxa"/>
            <w:vAlign w:val="center"/>
          </w:tcPr>
          <w:p w14:paraId="3FE09E61">
            <w:pPr>
              <w:spacing w:line="360" w:lineRule="auto"/>
              <w:jc w:val="center"/>
              <w:rPr>
                <w:rFonts w:hint="eastAsia" w:ascii="宋体" w:hAnsi="宋体" w:cs="宋体"/>
                <w:szCs w:val="21"/>
              </w:rPr>
            </w:pPr>
            <w:r>
              <w:rPr>
                <w:rFonts w:hint="eastAsia" w:ascii="宋体" w:hAnsi="宋体" w:cs="宋体"/>
                <w:szCs w:val="21"/>
              </w:rPr>
              <w:t>106处</w:t>
            </w:r>
          </w:p>
        </w:tc>
        <w:tc>
          <w:tcPr>
            <w:tcW w:w="1375" w:type="dxa"/>
            <w:vAlign w:val="center"/>
          </w:tcPr>
          <w:p w14:paraId="6DC9106A">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002A4E4B">
            <w:pPr>
              <w:spacing w:line="360" w:lineRule="auto"/>
              <w:jc w:val="center"/>
              <w:rPr>
                <w:rFonts w:hint="eastAsia" w:ascii="宋体" w:hAnsi="宋体" w:cs="宋体"/>
                <w:szCs w:val="21"/>
              </w:rPr>
            </w:pPr>
            <w:r>
              <w:rPr>
                <w:rFonts w:hint="eastAsia" w:ascii="宋体" w:hAnsi="宋体" w:cs="宋体"/>
                <w:szCs w:val="21"/>
              </w:rPr>
              <w:t>立杆</w:t>
            </w:r>
          </w:p>
        </w:tc>
      </w:tr>
      <w:tr w14:paraId="43FD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continue"/>
            <w:vAlign w:val="center"/>
          </w:tcPr>
          <w:p w14:paraId="152059AB">
            <w:pPr>
              <w:spacing w:line="360" w:lineRule="auto"/>
              <w:jc w:val="center"/>
              <w:rPr>
                <w:rFonts w:hint="eastAsia" w:ascii="宋体" w:hAnsi="宋体" w:cs="宋体"/>
                <w:szCs w:val="21"/>
              </w:rPr>
            </w:pPr>
          </w:p>
        </w:tc>
        <w:tc>
          <w:tcPr>
            <w:tcW w:w="1071" w:type="dxa"/>
            <w:vMerge w:val="continue"/>
            <w:vAlign w:val="center"/>
          </w:tcPr>
          <w:p w14:paraId="592D54E0">
            <w:pPr>
              <w:spacing w:line="360" w:lineRule="auto"/>
              <w:jc w:val="center"/>
              <w:rPr>
                <w:rFonts w:hint="eastAsia" w:ascii="宋体" w:hAnsi="宋体" w:cs="宋体"/>
                <w:szCs w:val="21"/>
              </w:rPr>
            </w:pPr>
          </w:p>
        </w:tc>
        <w:tc>
          <w:tcPr>
            <w:tcW w:w="1532" w:type="dxa"/>
            <w:vAlign w:val="center"/>
          </w:tcPr>
          <w:p w14:paraId="76FA0A4C">
            <w:pPr>
              <w:spacing w:line="360" w:lineRule="auto"/>
              <w:jc w:val="center"/>
              <w:rPr>
                <w:rFonts w:hint="eastAsia" w:ascii="宋体" w:hAnsi="宋体" w:cs="宋体"/>
                <w:szCs w:val="21"/>
              </w:rPr>
            </w:pPr>
            <w:r>
              <w:rPr>
                <w:rFonts w:hint="eastAsia" w:ascii="宋体" w:hAnsi="宋体" w:cs="宋体"/>
                <w:szCs w:val="21"/>
              </w:rPr>
              <w:t>膜处理设备情况</w:t>
            </w:r>
          </w:p>
        </w:tc>
        <w:tc>
          <w:tcPr>
            <w:tcW w:w="1307" w:type="dxa"/>
            <w:vAlign w:val="center"/>
          </w:tcPr>
          <w:p w14:paraId="46C76296">
            <w:pPr>
              <w:spacing w:line="360" w:lineRule="auto"/>
              <w:jc w:val="center"/>
              <w:rPr>
                <w:rFonts w:hint="eastAsia" w:ascii="宋体" w:hAnsi="宋体" w:cs="宋体"/>
                <w:szCs w:val="21"/>
              </w:rPr>
            </w:pPr>
            <w:r>
              <w:rPr>
                <w:rFonts w:hint="eastAsia" w:ascii="宋体" w:hAnsi="宋体" w:cs="宋体"/>
                <w:szCs w:val="21"/>
              </w:rPr>
              <w:t>1处球机</w:t>
            </w:r>
          </w:p>
        </w:tc>
        <w:tc>
          <w:tcPr>
            <w:tcW w:w="1229" w:type="dxa"/>
            <w:vAlign w:val="center"/>
          </w:tcPr>
          <w:p w14:paraId="2778BFD1">
            <w:pPr>
              <w:spacing w:line="360" w:lineRule="auto"/>
              <w:jc w:val="center"/>
              <w:rPr>
                <w:rFonts w:hint="eastAsia" w:ascii="宋体" w:hAnsi="宋体" w:cs="宋体"/>
                <w:szCs w:val="21"/>
              </w:rPr>
            </w:pPr>
            <w:r>
              <w:rPr>
                <w:rFonts w:hint="eastAsia" w:ascii="宋体" w:hAnsi="宋体" w:cs="宋体"/>
                <w:szCs w:val="21"/>
              </w:rPr>
              <w:t>106处</w:t>
            </w:r>
          </w:p>
        </w:tc>
        <w:tc>
          <w:tcPr>
            <w:tcW w:w="1375" w:type="dxa"/>
            <w:vAlign w:val="center"/>
          </w:tcPr>
          <w:p w14:paraId="72F03EBD">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7CEED944">
            <w:pPr>
              <w:spacing w:line="360" w:lineRule="auto"/>
              <w:jc w:val="center"/>
              <w:rPr>
                <w:rFonts w:hint="eastAsia" w:ascii="宋体" w:hAnsi="宋体" w:cs="宋体"/>
                <w:szCs w:val="21"/>
              </w:rPr>
            </w:pPr>
            <w:r>
              <w:rPr>
                <w:rFonts w:hint="eastAsia" w:ascii="宋体" w:hAnsi="宋体" w:cs="宋体"/>
                <w:szCs w:val="21"/>
              </w:rPr>
              <w:t>立杆</w:t>
            </w:r>
          </w:p>
        </w:tc>
      </w:tr>
      <w:tr w14:paraId="65B4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continue"/>
            <w:vAlign w:val="center"/>
          </w:tcPr>
          <w:p w14:paraId="253F3D53">
            <w:pPr>
              <w:spacing w:line="360" w:lineRule="auto"/>
              <w:jc w:val="center"/>
              <w:rPr>
                <w:rFonts w:hint="eastAsia" w:ascii="宋体" w:hAnsi="宋体" w:cs="宋体"/>
                <w:szCs w:val="21"/>
              </w:rPr>
            </w:pPr>
          </w:p>
        </w:tc>
        <w:tc>
          <w:tcPr>
            <w:tcW w:w="1071" w:type="dxa"/>
            <w:vMerge w:val="continue"/>
            <w:vAlign w:val="center"/>
          </w:tcPr>
          <w:p w14:paraId="15F6B220">
            <w:pPr>
              <w:spacing w:line="360" w:lineRule="auto"/>
              <w:jc w:val="center"/>
              <w:rPr>
                <w:rFonts w:hint="eastAsia" w:ascii="宋体" w:hAnsi="宋体" w:cs="宋体"/>
                <w:szCs w:val="21"/>
              </w:rPr>
            </w:pPr>
          </w:p>
        </w:tc>
        <w:tc>
          <w:tcPr>
            <w:tcW w:w="1532" w:type="dxa"/>
            <w:vAlign w:val="center"/>
          </w:tcPr>
          <w:p w14:paraId="71057A57">
            <w:pPr>
              <w:spacing w:line="360" w:lineRule="auto"/>
              <w:jc w:val="center"/>
              <w:rPr>
                <w:rFonts w:hint="eastAsia" w:ascii="宋体" w:hAnsi="宋体" w:cs="宋体"/>
                <w:szCs w:val="21"/>
              </w:rPr>
            </w:pPr>
            <w:r>
              <w:rPr>
                <w:rFonts w:hint="eastAsia" w:ascii="宋体" w:hAnsi="宋体" w:cs="宋体"/>
                <w:szCs w:val="21"/>
              </w:rPr>
              <w:t>加药间情况</w:t>
            </w:r>
          </w:p>
        </w:tc>
        <w:tc>
          <w:tcPr>
            <w:tcW w:w="1307" w:type="dxa"/>
            <w:vAlign w:val="center"/>
          </w:tcPr>
          <w:p w14:paraId="506F6896">
            <w:pPr>
              <w:spacing w:line="360" w:lineRule="auto"/>
              <w:jc w:val="center"/>
              <w:rPr>
                <w:rFonts w:hint="eastAsia" w:ascii="宋体" w:hAnsi="宋体" w:cs="宋体"/>
                <w:szCs w:val="21"/>
              </w:rPr>
            </w:pPr>
            <w:r>
              <w:rPr>
                <w:rFonts w:hint="eastAsia" w:ascii="宋体" w:hAnsi="宋体" w:cs="宋体"/>
                <w:szCs w:val="21"/>
              </w:rPr>
              <w:t>1处枪机</w:t>
            </w:r>
          </w:p>
        </w:tc>
        <w:tc>
          <w:tcPr>
            <w:tcW w:w="1229" w:type="dxa"/>
            <w:vAlign w:val="center"/>
          </w:tcPr>
          <w:p w14:paraId="673AC197">
            <w:pPr>
              <w:spacing w:line="360" w:lineRule="auto"/>
              <w:jc w:val="center"/>
              <w:rPr>
                <w:rFonts w:hint="eastAsia" w:ascii="宋体" w:hAnsi="宋体" w:cs="宋体"/>
                <w:szCs w:val="21"/>
              </w:rPr>
            </w:pPr>
            <w:r>
              <w:rPr>
                <w:rFonts w:hint="eastAsia" w:ascii="宋体" w:hAnsi="宋体" w:cs="宋体"/>
                <w:szCs w:val="21"/>
              </w:rPr>
              <w:t>66处</w:t>
            </w:r>
          </w:p>
        </w:tc>
        <w:tc>
          <w:tcPr>
            <w:tcW w:w="1375" w:type="dxa"/>
            <w:vAlign w:val="center"/>
          </w:tcPr>
          <w:p w14:paraId="494D50BB">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4E5D393C">
            <w:pPr>
              <w:spacing w:line="360" w:lineRule="auto"/>
              <w:jc w:val="center"/>
              <w:rPr>
                <w:rFonts w:hint="eastAsia" w:ascii="宋体" w:hAnsi="宋体" w:cs="宋体"/>
                <w:szCs w:val="21"/>
              </w:rPr>
            </w:pPr>
            <w:r>
              <w:rPr>
                <w:rFonts w:hint="eastAsia" w:ascii="宋体" w:hAnsi="宋体" w:cs="宋体"/>
                <w:szCs w:val="21"/>
              </w:rPr>
              <w:t>壁挂</w:t>
            </w:r>
          </w:p>
        </w:tc>
      </w:tr>
      <w:tr w14:paraId="4C0F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continue"/>
            <w:vAlign w:val="center"/>
          </w:tcPr>
          <w:p w14:paraId="5CD12A28">
            <w:pPr>
              <w:spacing w:line="360" w:lineRule="auto"/>
              <w:jc w:val="center"/>
              <w:rPr>
                <w:rFonts w:hint="eastAsia" w:ascii="宋体" w:hAnsi="宋体" w:cs="宋体"/>
                <w:szCs w:val="21"/>
              </w:rPr>
            </w:pPr>
          </w:p>
        </w:tc>
        <w:tc>
          <w:tcPr>
            <w:tcW w:w="1071" w:type="dxa"/>
            <w:vMerge w:val="continue"/>
            <w:vAlign w:val="center"/>
          </w:tcPr>
          <w:p w14:paraId="675D544E">
            <w:pPr>
              <w:spacing w:line="360" w:lineRule="auto"/>
              <w:jc w:val="center"/>
              <w:rPr>
                <w:rFonts w:hint="eastAsia" w:ascii="宋体" w:hAnsi="宋体" w:cs="宋体"/>
                <w:szCs w:val="21"/>
              </w:rPr>
            </w:pPr>
          </w:p>
        </w:tc>
        <w:tc>
          <w:tcPr>
            <w:tcW w:w="1532" w:type="dxa"/>
            <w:vAlign w:val="center"/>
          </w:tcPr>
          <w:p w14:paraId="46825D07">
            <w:pPr>
              <w:spacing w:line="360" w:lineRule="auto"/>
              <w:jc w:val="center"/>
              <w:rPr>
                <w:rFonts w:hint="eastAsia" w:ascii="宋体" w:hAnsi="宋体" w:cs="宋体"/>
                <w:szCs w:val="21"/>
              </w:rPr>
            </w:pPr>
            <w:r>
              <w:rPr>
                <w:rFonts w:hint="eastAsia" w:ascii="宋体" w:hAnsi="宋体" w:cs="宋体"/>
                <w:szCs w:val="21"/>
              </w:rPr>
              <w:t>清水池情况</w:t>
            </w:r>
          </w:p>
        </w:tc>
        <w:tc>
          <w:tcPr>
            <w:tcW w:w="1307" w:type="dxa"/>
            <w:vAlign w:val="center"/>
          </w:tcPr>
          <w:p w14:paraId="22221689">
            <w:pPr>
              <w:spacing w:line="360" w:lineRule="auto"/>
              <w:jc w:val="center"/>
              <w:rPr>
                <w:rFonts w:hint="eastAsia" w:ascii="宋体" w:hAnsi="宋体" w:cs="宋体"/>
                <w:szCs w:val="21"/>
              </w:rPr>
            </w:pPr>
            <w:r>
              <w:rPr>
                <w:rFonts w:hint="eastAsia" w:ascii="宋体" w:hAnsi="宋体" w:cs="宋体"/>
                <w:szCs w:val="21"/>
              </w:rPr>
              <w:t>1处球机</w:t>
            </w:r>
          </w:p>
        </w:tc>
        <w:tc>
          <w:tcPr>
            <w:tcW w:w="1229" w:type="dxa"/>
            <w:vAlign w:val="center"/>
          </w:tcPr>
          <w:p w14:paraId="692E7686">
            <w:pPr>
              <w:spacing w:line="360" w:lineRule="auto"/>
              <w:jc w:val="center"/>
              <w:rPr>
                <w:rFonts w:hint="eastAsia" w:ascii="宋体" w:hAnsi="宋体" w:cs="宋体"/>
                <w:szCs w:val="21"/>
              </w:rPr>
            </w:pPr>
            <w:r>
              <w:rPr>
                <w:rFonts w:hint="eastAsia" w:ascii="宋体" w:hAnsi="宋体" w:cs="宋体"/>
                <w:szCs w:val="21"/>
              </w:rPr>
              <w:t>66处</w:t>
            </w:r>
          </w:p>
        </w:tc>
        <w:tc>
          <w:tcPr>
            <w:tcW w:w="1375" w:type="dxa"/>
            <w:vAlign w:val="center"/>
          </w:tcPr>
          <w:p w14:paraId="5FAF0674">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02749028">
            <w:pPr>
              <w:spacing w:line="360" w:lineRule="auto"/>
              <w:jc w:val="center"/>
              <w:rPr>
                <w:rFonts w:hint="eastAsia" w:ascii="宋体" w:hAnsi="宋体" w:cs="宋体"/>
                <w:szCs w:val="21"/>
              </w:rPr>
            </w:pPr>
            <w:r>
              <w:rPr>
                <w:rFonts w:hint="eastAsia" w:ascii="宋体" w:hAnsi="宋体" w:cs="宋体"/>
                <w:szCs w:val="21"/>
              </w:rPr>
              <w:t>立杆</w:t>
            </w:r>
          </w:p>
        </w:tc>
      </w:tr>
      <w:tr w14:paraId="51B3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restart"/>
            <w:vAlign w:val="center"/>
          </w:tcPr>
          <w:p w14:paraId="14CFAB75">
            <w:pPr>
              <w:spacing w:line="360" w:lineRule="auto"/>
              <w:jc w:val="center"/>
              <w:rPr>
                <w:rFonts w:hint="eastAsia" w:ascii="宋体" w:hAnsi="宋体" w:cs="宋体"/>
                <w:szCs w:val="21"/>
              </w:rPr>
            </w:pPr>
            <w:r>
              <w:rPr>
                <w:rFonts w:hint="eastAsia" w:ascii="宋体" w:hAnsi="宋体" w:cs="宋体"/>
                <w:szCs w:val="21"/>
              </w:rPr>
              <w:t>2</w:t>
            </w:r>
          </w:p>
        </w:tc>
        <w:tc>
          <w:tcPr>
            <w:tcW w:w="1071" w:type="dxa"/>
            <w:vMerge w:val="restart"/>
            <w:vAlign w:val="center"/>
          </w:tcPr>
          <w:p w14:paraId="7F640149">
            <w:pPr>
              <w:spacing w:line="360" w:lineRule="auto"/>
              <w:jc w:val="center"/>
              <w:rPr>
                <w:rFonts w:hint="eastAsia" w:ascii="宋体" w:hAnsi="宋体" w:cs="宋体"/>
                <w:szCs w:val="21"/>
              </w:rPr>
            </w:pPr>
            <w:r>
              <w:rPr>
                <w:rFonts w:hint="eastAsia" w:ascii="宋体" w:hAnsi="宋体" w:cs="宋体"/>
                <w:szCs w:val="21"/>
              </w:rPr>
              <w:t>千人以上供水站（厂）</w:t>
            </w:r>
          </w:p>
        </w:tc>
        <w:tc>
          <w:tcPr>
            <w:tcW w:w="1532" w:type="dxa"/>
            <w:vAlign w:val="center"/>
          </w:tcPr>
          <w:p w14:paraId="36A1BE35">
            <w:pPr>
              <w:spacing w:line="360" w:lineRule="auto"/>
              <w:jc w:val="center"/>
              <w:rPr>
                <w:rFonts w:hint="eastAsia" w:ascii="宋体" w:hAnsi="宋体" w:cs="宋体"/>
                <w:szCs w:val="21"/>
              </w:rPr>
            </w:pPr>
            <w:r>
              <w:rPr>
                <w:rFonts w:hint="eastAsia" w:ascii="宋体" w:hAnsi="宋体" w:cs="宋体"/>
                <w:szCs w:val="21"/>
              </w:rPr>
              <w:t>前置过滤排污情况</w:t>
            </w:r>
          </w:p>
        </w:tc>
        <w:tc>
          <w:tcPr>
            <w:tcW w:w="1307" w:type="dxa"/>
            <w:vAlign w:val="center"/>
          </w:tcPr>
          <w:p w14:paraId="4B2F097D">
            <w:pPr>
              <w:spacing w:line="360" w:lineRule="auto"/>
              <w:jc w:val="center"/>
              <w:rPr>
                <w:rFonts w:hint="eastAsia" w:ascii="宋体" w:hAnsi="宋体" w:cs="宋体"/>
                <w:szCs w:val="21"/>
              </w:rPr>
            </w:pPr>
            <w:r>
              <w:rPr>
                <w:rFonts w:hint="eastAsia" w:ascii="宋体" w:hAnsi="宋体" w:cs="宋体"/>
                <w:szCs w:val="21"/>
              </w:rPr>
              <w:t>1处球机</w:t>
            </w:r>
          </w:p>
        </w:tc>
        <w:tc>
          <w:tcPr>
            <w:tcW w:w="1229" w:type="dxa"/>
            <w:vAlign w:val="center"/>
          </w:tcPr>
          <w:p w14:paraId="6A67C0AA">
            <w:pPr>
              <w:spacing w:line="360" w:lineRule="auto"/>
              <w:jc w:val="center"/>
              <w:rPr>
                <w:rFonts w:hint="eastAsia" w:ascii="宋体" w:hAnsi="宋体" w:cs="宋体"/>
                <w:szCs w:val="21"/>
              </w:rPr>
            </w:pPr>
            <w:r>
              <w:rPr>
                <w:rFonts w:hint="eastAsia" w:ascii="宋体" w:hAnsi="宋体" w:cs="宋体"/>
                <w:szCs w:val="21"/>
              </w:rPr>
              <w:t>14处</w:t>
            </w:r>
          </w:p>
        </w:tc>
        <w:tc>
          <w:tcPr>
            <w:tcW w:w="1375" w:type="dxa"/>
            <w:vAlign w:val="center"/>
          </w:tcPr>
          <w:p w14:paraId="3228F0F7">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7F47F458">
            <w:pPr>
              <w:spacing w:line="360" w:lineRule="auto"/>
              <w:jc w:val="center"/>
              <w:rPr>
                <w:rFonts w:hint="eastAsia" w:ascii="宋体" w:hAnsi="宋体" w:cs="宋体"/>
                <w:szCs w:val="21"/>
              </w:rPr>
            </w:pPr>
            <w:r>
              <w:rPr>
                <w:rFonts w:hint="eastAsia" w:ascii="宋体" w:hAnsi="宋体" w:cs="宋体"/>
                <w:szCs w:val="21"/>
              </w:rPr>
              <w:t>立杆</w:t>
            </w:r>
          </w:p>
        </w:tc>
      </w:tr>
      <w:tr w14:paraId="49D0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continue"/>
            <w:vAlign w:val="center"/>
          </w:tcPr>
          <w:p w14:paraId="2448C7DC">
            <w:pPr>
              <w:spacing w:line="360" w:lineRule="auto"/>
              <w:jc w:val="center"/>
              <w:rPr>
                <w:rFonts w:hint="eastAsia" w:ascii="宋体" w:hAnsi="宋体" w:cs="宋体"/>
                <w:szCs w:val="21"/>
              </w:rPr>
            </w:pPr>
          </w:p>
        </w:tc>
        <w:tc>
          <w:tcPr>
            <w:tcW w:w="1071" w:type="dxa"/>
            <w:vMerge w:val="continue"/>
            <w:vAlign w:val="center"/>
          </w:tcPr>
          <w:p w14:paraId="549F269D">
            <w:pPr>
              <w:spacing w:line="360" w:lineRule="auto"/>
              <w:jc w:val="center"/>
              <w:rPr>
                <w:rFonts w:hint="eastAsia" w:ascii="宋体" w:hAnsi="宋体" w:cs="宋体"/>
                <w:szCs w:val="21"/>
              </w:rPr>
            </w:pPr>
          </w:p>
        </w:tc>
        <w:tc>
          <w:tcPr>
            <w:tcW w:w="1532" w:type="dxa"/>
            <w:vAlign w:val="center"/>
          </w:tcPr>
          <w:p w14:paraId="24A26DBF">
            <w:pPr>
              <w:spacing w:line="360" w:lineRule="auto"/>
              <w:jc w:val="center"/>
              <w:rPr>
                <w:rFonts w:hint="eastAsia" w:ascii="宋体" w:hAnsi="宋体" w:cs="宋体"/>
                <w:szCs w:val="21"/>
              </w:rPr>
            </w:pPr>
            <w:r>
              <w:rPr>
                <w:rFonts w:hint="eastAsia" w:ascii="宋体" w:hAnsi="宋体" w:cs="宋体"/>
                <w:szCs w:val="21"/>
              </w:rPr>
              <w:t>膜处理设备情况</w:t>
            </w:r>
          </w:p>
        </w:tc>
        <w:tc>
          <w:tcPr>
            <w:tcW w:w="1307" w:type="dxa"/>
            <w:vAlign w:val="center"/>
          </w:tcPr>
          <w:p w14:paraId="3BAA6F1C">
            <w:pPr>
              <w:spacing w:line="360" w:lineRule="auto"/>
              <w:jc w:val="center"/>
              <w:rPr>
                <w:rFonts w:hint="eastAsia" w:ascii="宋体" w:hAnsi="宋体" w:cs="宋体"/>
                <w:szCs w:val="21"/>
              </w:rPr>
            </w:pPr>
            <w:r>
              <w:rPr>
                <w:rFonts w:hint="eastAsia" w:ascii="宋体" w:hAnsi="宋体" w:cs="宋体"/>
                <w:szCs w:val="21"/>
              </w:rPr>
              <w:t>1处球机</w:t>
            </w:r>
          </w:p>
        </w:tc>
        <w:tc>
          <w:tcPr>
            <w:tcW w:w="1229" w:type="dxa"/>
            <w:vAlign w:val="center"/>
          </w:tcPr>
          <w:p w14:paraId="1F5BC081">
            <w:pPr>
              <w:spacing w:line="360" w:lineRule="auto"/>
              <w:jc w:val="center"/>
              <w:rPr>
                <w:rFonts w:hint="eastAsia" w:ascii="宋体" w:hAnsi="宋体" w:cs="宋体"/>
                <w:szCs w:val="21"/>
              </w:rPr>
            </w:pPr>
            <w:r>
              <w:rPr>
                <w:rFonts w:hint="eastAsia" w:ascii="宋体" w:hAnsi="宋体" w:cs="宋体"/>
                <w:szCs w:val="21"/>
              </w:rPr>
              <w:t>14处</w:t>
            </w:r>
          </w:p>
        </w:tc>
        <w:tc>
          <w:tcPr>
            <w:tcW w:w="1375" w:type="dxa"/>
            <w:vAlign w:val="center"/>
          </w:tcPr>
          <w:p w14:paraId="234C47E0">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7C48F535">
            <w:pPr>
              <w:spacing w:line="360" w:lineRule="auto"/>
              <w:jc w:val="center"/>
              <w:rPr>
                <w:rFonts w:hint="eastAsia" w:ascii="宋体" w:hAnsi="宋体" w:cs="宋体"/>
                <w:szCs w:val="21"/>
              </w:rPr>
            </w:pPr>
            <w:r>
              <w:rPr>
                <w:rFonts w:hint="eastAsia" w:ascii="宋体" w:hAnsi="宋体" w:cs="宋体"/>
                <w:szCs w:val="21"/>
              </w:rPr>
              <w:t>立杆</w:t>
            </w:r>
          </w:p>
        </w:tc>
      </w:tr>
      <w:tr w14:paraId="2815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continue"/>
            <w:vAlign w:val="center"/>
          </w:tcPr>
          <w:p w14:paraId="01A7C462">
            <w:pPr>
              <w:spacing w:line="360" w:lineRule="auto"/>
              <w:jc w:val="center"/>
              <w:rPr>
                <w:rFonts w:hint="eastAsia" w:ascii="宋体" w:hAnsi="宋体" w:cs="宋体"/>
                <w:szCs w:val="21"/>
              </w:rPr>
            </w:pPr>
          </w:p>
        </w:tc>
        <w:tc>
          <w:tcPr>
            <w:tcW w:w="1071" w:type="dxa"/>
            <w:vMerge w:val="continue"/>
            <w:vAlign w:val="center"/>
          </w:tcPr>
          <w:p w14:paraId="653C141C">
            <w:pPr>
              <w:spacing w:line="360" w:lineRule="auto"/>
              <w:jc w:val="center"/>
              <w:rPr>
                <w:rFonts w:hint="eastAsia" w:ascii="宋体" w:hAnsi="宋体" w:cs="宋体"/>
                <w:szCs w:val="21"/>
              </w:rPr>
            </w:pPr>
          </w:p>
        </w:tc>
        <w:tc>
          <w:tcPr>
            <w:tcW w:w="1532" w:type="dxa"/>
            <w:vAlign w:val="center"/>
          </w:tcPr>
          <w:p w14:paraId="7D78C4C9">
            <w:pPr>
              <w:spacing w:line="360" w:lineRule="auto"/>
              <w:jc w:val="center"/>
              <w:rPr>
                <w:rFonts w:hint="eastAsia" w:ascii="宋体" w:hAnsi="宋体" w:cs="宋体"/>
                <w:szCs w:val="21"/>
              </w:rPr>
            </w:pPr>
            <w:r>
              <w:rPr>
                <w:rFonts w:hint="eastAsia" w:ascii="宋体" w:hAnsi="宋体" w:cs="宋体"/>
                <w:szCs w:val="21"/>
              </w:rPr>
              <w:t>加药间情况</w:t>
            </w:r>
          </w:p>
        </w:tc>
        <w:tc>
          <w:tcPr>
            <w:tcW w:w="1307" w:type="dxa"/>
            <w:vAlign w:val="center"/>
          </w:tcPr>
          <w:p w14:paraId="40374736">
            <w:pPr>
              <w:spacing w:line="360" w:lineRule="auto"/>
              <w:jc w:val="center"/>
              <w:rPr>
                <w:rFonts w:hint="eastAsia" w:ascii="宋体" w:hAnsi="宋体" w:cs="宋体"/>
                <w:szCs w:val="21"/>
              </w:rPr>
            </w:pPr>
            <w:r>
              <w:rPr>
                <w:rFonts w:hint="eastAsia" w:ascii="宋体" w:hAnsi="宋体" w:cs="宋体"/>
                <w:szCs w:val="21"/>
              </w:rPr>
              <w:t>1处枪机</w:t>
            </w:r>
          </w:p>
        </w:tc>
        <w:tc>
          <w:tcPr>
            <w:tcW w:w="1229" w:type="dxa"/>
            <w:vAlign w:val="center"/>
          </w:tcPr>
          <w:p w14:paraId="0442EEBA">
            <w:pPr>
              <w:spacing w:line="360" w:lineRule="auto"/>
              <w:jc w:val="center"/>
              <w:rPr>
                <w:rFonts w:hint="eastAsia" w:ascii="宋体" w:hAnsi="宋体" w:cs="宋体"/>
                <w:szCs w:val="21"/>
              </w:rPr>
            </w:pPr>
            <w:r>
              <w:rPr>
                <w:rFonts w:hint="eastAsia" w:ascii="宋体" w:hAnsi="宋体" w:cs="宋体"/>
                <w:szCs w:val="21"/>
              </w:rPr>
              <w:t>2处</w:t>
            </w:r>
          </w:p>
        </w:tc>
        <w:tc>
          <w:tcPr>
            <w:tcW w:w="1375" w:type="dxa"/>
            <w:vAlign w:val="center"/>
          </w:tcPr>
          <w:p w14:paraId="1AEDA198">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63714ED4">
            <w:pPr>
              <w:spacing w:line="360" w:lineRule="auto"/>
              <w:jc w:val="center"/>
              <w:rPr>
                <w:rFonts w:hint="eastAsia" w:ascii="宋体" w:hAnsi="宋体" w:cs="宋体"/>
                <w:szCs w:val="21"/>
              </w:rPr>
            </w:pPr>
            <w:r>
              <w:rPr>
                <w:rFonts w:hint="eastAsia" w:ascii="宋体" w:hAnsi="宋体" w:cs="宋体"/>
                <w:szCs w:val="21"/>
              </w:rPr>
              <w:t>壁挂</w:t>
            </w:r>
          </w:p>
        </w:tc>
      </w:tr>
      <w:tr w14:paraId="2A39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continue"/>
            <w:vAlign w:val="center"/>
          </w:tcPr>
          <w:p w14:paraId="24A496BB">
            <w:pPr>
              <w:spacing w:line="360" w:lineRule="auto"/>
              <w:jc w:val="center"/>
              <w:rPr>
                <w:rFonts w:hint="eastAsia" w:ascii="宋体" w:hAnsi="宋体" w:cs="宋体"/>
                <w:szCs w:val="21"/>
              </w:rPr>
            </w:pPr>
          </w:p>
        </w:tc>
        <w:tc>
          <w:tcPr>
            <w:tcW w:w="1071" w:type="dxa"/>
            <w:vMerge w:val="continue"/>
            <w:vAlign w:val="center"/>
          </w:tcPr>
          <w:p w14:paraId="026455F1">
            <w:pPr>
              <w:spacing w:line="360" w:lineRule="auto"/>
              <w:jc w:val="center"/>
              <w:rPr>
                <w:rFonts w:hint="eastAsia" w:ascii="宋体" w:hAnsi="宋体" w:cs="宋体"/>
                <w:szCs w:val="21"/>
              </w:rPr>
            </w:pPr>
          </w:p>
        </w:tc>
        <w:tc>
          <w:tcPr>
            <w:tcW w:w="1532" w:type="dxa"/>
            <w:vAlign w:val="center"/>
          </w:tcPr>
          <w:p w14:paraId="25B61DAD">
            <w:pPr>
              <w:spacing w:line="360" w:lineRule="auto"/>
              <w:jc w:val="center"/>
              <w:rPr>
                <w:rFonts w:hint="eastAsia" w:ascii="宋体" w:hAnsi="宋体" w:cs="宋体"/>
                <w:szCs w:val="21"/>
              </w:rPr>
            </w:pPr>
            <w:r>
              <w:rPr>
                <w:rFonts w:hint="eastAsia" w:ascii="宋体" w:hAnsi="宋体" w:cs="宋体"/>
                <w:szCs w:val="21"/>
              </w:rPr>
              <w:t>清水池情况</w:t>
            </w:r>
          </w:p>
        </w:tc>
        <w:tc>
          <w:tcPr>
            <w:tcW w:w="1307" w:type="dxa"/>
            <w:vAlign w:val="center"/>
          </w:tcPr>
          <w:p w14:paraId="6101EC70">
            <w:pPr>
              <w:spacing w:line="360" w:lineRule="auto"/>
              <w:jc w:val="center"/>
              <w:rPr>
                <w:rFonts w:hint="eastAsia" w:ascii="宋体" w:hAnsi="宋体" w:cs="宋体"/>
                <w:szCs w:val="21"/>
              </w:rPr>
            </w:pPr>
            <w:r>
              <w:rPr>
                <w:rFonts w:hint="eastAsia" w:ascii="宋体" w:hAnsi="宋体" w:cs="宋体"/>
                <w:szCs w:val="21"/>
              </w:rPr>
              <w:t>1处球机</w:t>
            </w:r>
          </w:p>
        </w:tc>
        <w:tc>
          <w:tcPr>
            <w:tcW w:w="1229" w:type="dxa"/>
            <w:vAlign w:val="center"/>
          </w:tcPr>
          <w:p w14:paraId="0B354B27">
            <w:pPr>
              <w:spacing w:line="360" w:lineRule="auto"/>
              <w:jc w:val="center"/>
              <w:rPr>
                <w:rFonts w:hint="eastAsia" w:ascii="宋体" w:hAnsi="宋体" w:cs="宋体"/>
                <w:szCs w:val="21"/>
              </w:rPr>
            </w:pPr>
            <w:r>
              <w:rPr>
                <w:rFonts w:hint="eastAsia" w:ascii="宋体" w:hAnsi="宋体" w:cs="宋体"/>
                <w:szCs w:val="21"/>
              </w:rPr>
              <w:t>2处</w:t>
            </w:r>
          </w:p>
        </w:tc>
        <w:tc>
          <w:tcPr>
            <w:tcW w:w="1375" w:type="dxa"/>
            <w:vAlign w:val="center"/>
          </w:tcPr>
          <w:p w14:paraId="37E2F3E6">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6EF2612B">
            <w:pPr>
              <w:spacing w:line="360" w:lineRule="auto"/>
              <w:jc w:val="center"/>
              <w:rPr>
                <w:rFonts w:hint="eastAsia" w:ascii="宋体" w:hAnsi="宋体" w:cs="宋体"/>
                <w:szCs w:val="21"/>
              </w:rPr>
            </w:pPr>
            <w:r>
              <w:rPr>
                <w:rFonts w:hint="eastAsia" w:ascii="宋体" w:hAnsi="宋体" w:cs="宋体"/>
                <w:szCs w:val="21"/>
              </w:rPr>
              <w:t>立杆</w:t>
            </w:r>
          </w:p>
        </w:tc>
      </w:tr>
      <w:tr w14:paraId="76D3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vMerge w:val="continue"/>
            <w:vAlign w:val="center"/>
          </w:tcPr>
          <w:p w14:paraId="332E422B">
            <w:pPr>
              <w:spacing w:line="360" w:lineRule="auto"/>
              <w:jc w:val="center"/>
              <w:rPr>
                <w:rFonts w:hint="eastAsia" w:ascii="宋体" w:hAnsi="宋体" w:cs="宋体"/>
                <w:szCs w:val="21"/>
              </w:rPr>
            </w:pPr>
          </w:p>
        </w:tc>
        <w:tc>
          <w:tcPr>
            <w:tcW w:w="1071" w:type="dxa"/>
            <w:vMerge w:val="continue"/>
            <w:vAlign w:val="center"/>
          </w:tcPr>
          <w:p w14:paraId="09A75A5E">
            <w:pPr>
              <w:spacing w:line="360" w:lineRule="auto"/>
              <w:jc w:val="center"/>
              <w:rPr>
                <w:rFonts w:hint="eastAsia" w:ascii="宋体" w:hAnsi="宋体" w:cs="宋体"/>
                <w:szCs w:val="21"/>
              </w:rPr>
            </w:pPr>
          </w:p>
        </w:tc>
        <w:tc>
          <w:tcPr>
            <w:tcW w:w="1532" w:type="dxa"/>
            <w:vAlign w:val="center"/>
          </w:tcPr>
          <w:p w14:paraId="703B13AE">
            <w:pPr>
              <w:spacing w:line="360" w:lineRule="auto"/>
              <w:jc w:val="center"/>
              <w:rPr>
                <w:rFonts w:hint="eastAsia" w:ascii="宋体" w:hAnsi="宋体" w:cs="宋体"/>
                <w:szCs w:val="21"/>
              </w:rPr>
            </w:pPr>
            <w:r>
              <w:rPr>
                <w:rFonts w:hint="eastAsia" w:ascii="宋体" w:hAnsi="宋体" w:cs="宋体"/>
                <w:szCs w:val="21"/>
              </w:rPr>
              <w:t>水站大门</w:t>
            </w:r>
          </w:p>
        </w:tc>
        <w:tc>
          <w:tcPr>
            <w:tcW w:w="1307" w:type="dxa"/>
            <w:vAlign w:val="center"/>
          </w:tcPr>
          <w:p w14:paraId="485F9968">
            <w:pPr>
              <w:spacing w:line="360" w:lineRule="auto"/>
              <w:jc w:val="center"/>
              <w:rPr>
                <w:rFonts w:hint="eastAsia" w:ascii="宋体" w:hAnsi="宋体" w:cs="宋体"/>
                <w:szCs w:val="21"/>
              </w:rPr>
            </w:pPr>
            <w:r>
              <w:rPr>
                <w:rFonts w:hint="eastAsia" w:ascii="宋体" w:hAnsi="宋体" w:cs="宋体"/>
                <w:szCs w:val="21"/>
              </w:rPr>
              <w:t>1处球机</w:t>
            </w:r>
          </w:p>
        </w:tc>
        <w:tc>
          <w:tcPr>
            <w:tcW w:w="1229" w:type="dxa"/>
            <w:vAlign w:val="center"/>
          </w:tcPr>
          <w:p w14:paraId="096FE872">
            <w:pPr>
              <w:spacing w:line="360" w:lineRule="auto"/>
              <w:jc w:val="center"/>
              <w:rPr>
                <w:rFonts w:hint="eastAsia" w:ascii="宋体" w:hAnsi="宋体" w:cs="宋体"/>
                <w:szCs w:val="21"/>
              </w:rPr>
            </w:pPr>
            <w:r>
              <w:rPr>
                <w:rFonts w:hint="eastAsia" w:ascii="宋体" w:hAnsi="宋体" w:cs="宋体"/>
                <w:szCs w:val="21"/>
              </w:rPr>
              <w:t>14处</w:t>
            </w:r>
          </w:p>
        </w:tc>
        <w:tc>
          <w:tcPr>
            <w:tcW w:w="1375" w:type="dxa"/>
            <w:vAlign w:val="center"/>
          </w:tcPr>
          <w:p w14:paraId="05C25C05">
            <w:pPr>
              <w:spacing w:line="360" w:lineRule="auto"/>
              <w:jc w:val="center"/>
              <w:rPr>
                <w:rFonts w:hint="eastAsia" w:ascii="宋体" w:hAnsi="宋体" w:cs="宋体"/>
                <w:szCs w:val="21"/>
              </w:rPr>
            </w:pPr>
            <w:r>
              <w:rPr>
                <w:rFonts w:hint="eastAsia" w:ascii="宋体" w:hAnsi="宋体" w:cs="宋体"/>
                <w:szCs w:val="21"/>
              </w:rPr>
              <w:t>有线宽带</w:t>
            </w:r>
          </w:p>
        </w:tc>
        <w:tc>
          <w:tcPr>
            <w:tcW w:w="1202" w:type="dxa"/>
            <w:vAlign w:val="center"/>
          </w:tcPr>
          <w:p w14:paraId="29A4ECDD">
            <w:pPr>
              <w:spacing w:line="360" w:lineRule="auto"/>
              <w:jc w:val="center"/>
              <w:rPr>
                <w:rFonts w:hint="eastAsia" w:ascii="宋体" w:hAnsi="宋体" w:cs="宋体"/>
                <w:szCs w:val="21"/>
              </w:rPr>
            </w:pPr>
            <w:r>
              <w:rPr>
                <w:rFonts w:hint="eastAsia" w:ascii="宋体" w:hAnsi="宋体" w:cs="宋体"/>
                <w:szCs w:val="21"/>
              </w:rPr>
              <w:t>壁挂</w:t>
            </w:r>
          </w:p>
        </w:tc>
      </w:tr>
      <w:tr w14:paraId="4A43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1" w:type="dxa"/>
            <w:gridSpan w:val="4"/>
            <w:vAlign w:val="center"/>
          </w:tcPr>
          <w:p w14:paraId="591D0C21">
            <w:pPr>
              <w:spacing w:line="360" w:lineRule="auto"/>
              <w:jc w:val="center"/>
              <w:rPr>
                <w:rFonts w:hint="eastAsia" w:ascii="宋体" w:hAnsi="宋体" w:cs="宋体"/>
                <w:szCs w:val="21"/>
              </w:rPr>
            </w:pPr>
            <w:r>
              <w:rPr>
                <w:rFonts w:hint="eastAsia" w:ascii="宋体" w:hAnsi="宋体" w:cs="宋体"/>
                <w:szCs w:val="21"/>
              </w:rPr>
              <w:t>球机合计</w:t>
            </w:r>
          </w:p>
        </w:tc>
        <w:tc>
          <w:tcPr>
            <w:tcW w:w="1229" w:type="dxa"/>
            <w:vAlign w:val="center"/>
          </w:tcPr>
          <w:p w14:paraId="76C04EA7">
            <w:pPr>
              <w:spacing w:line="360" w:lineRule="auto"/>
              <w:jc w:val="center"/>
              <w:rPr>
                <w:rFonts w:hint="eastAsia" w:ascii="宋体" w:hAnsi="宋体" w:cs="宋体"/>
                <w:szCs w:val="21"/>
              </w:rPr>
            </w:pPr>
            <w:r>
              <w:rPr>
                <w:rFonts w:hint="eastAsia" w:ascii="宋体" w:hAnsi="宋体" w:cs="宋体"/>
                <w:szCs w:val="21"/>
              </w:rPr>
              <w:t>322处</w:t>
            </w:r>
          </w:p>
        </w:tc>
        <w:tc>
          <w:tcPr>
            <w:tcW w:w="1375" w:type="dxa"/>
            <w:vAlign w:val="center"/>
          </w:tcPr>
          <w:p w14:paraId="11723A73">
            <w:pPr>
              <w:spacing w:line="360" w:lineRule="auto"/>
              <w:jc w:val="center"/>
              <w:rPr>
                <w:rFonts w:hint="eastAsia" w:ascii="宋体" w:hAnsi="宋体" w:cs="宋体"/>
                <w:szCs w:val="21"/>
              </w:rPr>
            </w:pPr>
          </w:p>
        </w:tc>
        <w:tc>
          <w:tcPr>
            <w:tcW w:w="1202" w:type="dxa"/>
            <w:vAlign w:val="center"/>
          </w:tcPr>
          <w:p w14:paraId="564E386D">
            <w:pPr>
              <w:spacing w:line="360" w:lineRule="auto"/>
              <w:jc w:val="center"/>
              <w:rPr>
                <w:rFonts w:hint="eastAsia" w:ascii="宋体" w:hAnsi="宋体" w:cs="宋体"/>
                <w:szCs w:val="21"/>
              </w:rPr>
            </w:pPr>
          </w:p>
        </w:tc>
      </w:tr>
      <w:tr w14:paraId="3B4C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1" w:type="dxa"/>
            <w:gridSpan w:val="4"/>
            <w:vAlign w:val="center"/>
          </w:tcPr>
          <w:p w14:paraId="09FEEA66">
            <w:pPr>
              <w:spacing w:line="360" w:lineRule="auto"/>
              <w:jc w:val="center"/>
              <w:rPr>
                <w:rFonts w:hint="eastAsia" w:ascii="宋体" w:hAnsi="宋体" w:cs="宋体"/>
                <w:szCs w:val="21"/>
              </w:rPr>
            </w:pPr>
            <w:r>
              <w:rPr>
                <w:rFonts w:hint="eastAsia" w:ascii="宋体" w:hAnsi="宋体" w:cs="宋体"/>
                <w:szCs w:val="21"/>
              </w:rPr>
              <w:t>枪机合计</w:t>
            </w:r>
          </w:p>
        </w:tc>
        <w:tc>
          <w:tcPr>
            <w:tcW w:w="1229" w:type="dxa"/>
            <w:vAlign w:val="center"/>
          </w:tcPr>
          <w:p w14:paraId="0F5F95C1">
            <w:pPr>
              <w:spacing w:line="360" w:lineRule="auto"/>
              <w:jc w:val="center"/>
              <w:rPr>
                <w:rFonts w:hint="eastAsia" w:ascii="宋体" w:hAnsi="宋体" w:cs="宋体"/>
                <w:szCs w:val="21"/>
              </w:rPr>
            </w:pPr>
            <w:r>
              <w:rPr>
                <w:rFonts w:hint="eastAsia" w:ascii="宋体" w:hAnsi="宋体" w:cs="宋体"/>
                <w:szCs w:val="21"/>
              </w:rPr>
              <w:t>68处</w:t>
            </w:r>
          </w:p>
        </w:tc>
        <w:tc>
          <w:tcPr>
            <w:tcW w:w="1375" w:type="dxa"/>
            <w:vAlign w:val="center"/>
          </w:tcPr>
          <w:p w14:paraId="671AF24B">
            <w:pPr>
              <w:spacing w:line="360" w:lineRule="auto"/>
              <w:jc w:val="center"/>
              <w:rPr>
                <w:rFonts w:hint="eastAsia" w:ascii="宋体" w:hAnsi="宋体" w:cs="宋体"/>
                <w:szCs w:val="21"/>
              </w:rPr>
            </w:pPr>
          </w:p>
        </w:tc>
        <w:tc>
          <w:tcPr>
            <w:tcW w:w="1202" w:type="dxa"/>
            <w:vAlign w:val="center"/>
          </w:tcPr>
          <w:p w14:paraId="69AFFCE3">
            <w:pPr>
              <w:spacing w:line="360" w:lineRule="auto"/>
              <w:jc w:val="center"/>
              <w:rPr>
                <w:rFonts w:hint="eastAsia" w:ascii="宋体" w:hAnsi="宋体" w:cs="宋体"/>
                <w:szCs w:val="21"/>
              </w:rPr>
            </w:pPr>
          </w:p>
        </w:tc>
      </w:tr>
    </w:tbl>
    <w:p w14:paraId="6190774D">
      <w:pPr>
        <w:spacing w:line="360" w:lineRule="auto"/>
        <w:rPr>
          <w:rFonts w:hint="eastAsia" w:ascii="宋体" w:hAnsi="宋体" w:cs="宋体"/>
          <w:szCs w:val="21"/>
        </w:rPr>
      </w:pPr>
      <w:r>
        <w:rPr>
          <w:rFonts w:hint="eastAsia" w:ascii="宋体" w:hAnsi="宋体" w:cs="宋体"/>
          <w:szCs w:val="21"/>
        </w:rPr>
        <w:t>⑥电子围栏配置</w:t>
      </w:r>
    </w:p>
    <w:p w14:paraId="6DF4AC33">
      <w:pPr>
        <w:spacing w:line="360" w:lineRule="auto"/>
        <w:ind w:firstLine="420" w:firstLineChars="200"/>
        <w:rPr>
          <w:rFonts w:hint="eastAsia" w:ascii="宋体" w:hAnsi="宋体" w:cs="宋体"/>
          <w:szCs w:val="21"/>
        </w:rPr>
      </w:pPr>
      <w:r>
        <w:rPr>
          <w:rFonts w:hint="eastAsia" w:ascii="宋体" w:hAnsi="宋体" w:cs="宋体"/>
          <w:szCs w:val="21"/>
        </w:rPr>
        <w:t>在14处千人以上供水站（厂）内配置电子围栏。通过配置电子围栏主机，产生和接收高压脉冲信号，并在前端探测围栏处于触网、短路、断路状态时能产生报警信号，并把入侵信号发送到信息监控中心。</w:t>
      </w:r>
    </w:p>
    <w:p w14:paraId="176AB98A">
      <w:pPr>
        <w:pStyle w:val="80"/>
        <w:spacing w:line="360" w:lineRule="auto"/>
        <w:rPr>
          <w:rFonts w:hint="eastAsia" w:ascii="宋体" w:hAnsi="宋体" w:eastAsia="宋体" w:cs="宋体"/>
          <w:sz w:val="21"/>
          <w:szCs w:val="21"/>
        </w:rPr>
      </w:pPr>
      <w:r>
        <w:rPr>
          <w:rFonts w:hint="eastAsia" w:ascii="宋体" w:hAnsi="宋体" w:eastAsia="宋体" w:cs="宋体"/>
          <w:sz w:val="21"/>
          <w:szCs w:val="21"/>
        </w:rPr>
        <w:t>表-7 电子围栏配置点位表</w:t>
      </w:r>
    </w:p>
    <w:tbl>
      <w:tblPr>
        <w:tblStyle w:val="33"/>
        <w:tblW w:w="8590" w:type="dxa"/>
        <w:tblInd w:w="0" w:type="dxa"/>
        <w:tblLayout w:type="fixed"/>
        <w:tblCellMar>
          <w:top w:w="0" w:type="dxa"/>
          <w:left w:w="108" w:type="dxa"/>
          <w:bottom w:w="0" w:type="dxa"/>
          <w:right w:w="108" w:type="dxa"/>
        </w:tblCellMar>
      </w:tblPr>
      <w:tblGrid>
        <w:gridCol w:w="878"/>
        <w:gridCol w:w="1720"/>
        <w:gridCol w:w="2088"/>
        <w:gridCol w:w="1704"/>
        <w:gridCol w:w="2200"/>
      </w:tblGrid>
      <w:tr w14:paraId="4D0A2924">
        <w:tblPrEx>
          <w:tblCellMar>
            <w:top w:w="0" w:type="dxa"/>
            <w:left w:w="108" w:type="dxa"/>
            <w:bottom w:w="0" w:type="dxa"/>
            <w:right w:w="108" w:type="dxa"/>
          </w:tblCellMar>
        </w:tblPrEx>
        <w:trPr>
          <w:trHeight w:val="397" w:hRule="atLeast"/>
          <w:tblHead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882F">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589E">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乡镇/街道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41AA">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ADA9">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受益人口</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9417">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布置设施</w:t>
            </w:r>
          </w:p>
        </w:tc>
      </w:tr>
      <w:tr w14:paraId="0701DBE0">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FAF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28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C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六合村水站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E3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1309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CA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4F9D8F9E">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38C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80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8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榧坑村水站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A81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2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59156984">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85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55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16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王爱中心水站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B1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4453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78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2595C3D9">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5F4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D9D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5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天河中心水站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947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3543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91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6936E713">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C50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A3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493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许民村水站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AF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1612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8D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5F6EA9E6">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10D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0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FF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马岙村水站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79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2277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6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3BB6D0F8">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DA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31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F5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孔横山水站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8B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1086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8B0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4805E1F2">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897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33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1E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龙宫村水站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8F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1785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4B6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113FAE1D">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65C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248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CB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大洋村水站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D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1593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7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78344B11">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F10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B5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14D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大蔡村水站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7E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4144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7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1F8A4770">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FF9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6E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53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溪滨村水站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6C7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1754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0AA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5D2CC107">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52E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2FC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000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清潭村水站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EFF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1609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2F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16166A75">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0C6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C9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14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道士桥水站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41E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1117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C0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3F7ABCF9">
        <w:tblPrEx>
          <w:tblCellMar>
            <w:top w:w="0" w:type="dxa"/>
            <w:left w:w="108" w:type="dxa"/>
            <w:bottom w:w="0" w:type="dxa"/>
            <w:right w:w="108" w:type="dxa"/>
          </w:tblCellMar>
        </w:tblPrEx>
        <w:trPr>
          <w:trHeight w:val="39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2F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51B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大佳何</w:t>
            </w:r>
            <w:r>
              <w:rPr>
                <w:rStyle w:val="75"/>
                <w:rFonts w:hint="default"/>
                <w:sz w:val="21"/>
                <w:szCs w:val="21"/>
                <w:lang w:bidi="ar"/>
              </w:rPr>
              <w:t>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67A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外袁村水站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A42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1274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AFB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电子围栏</w:t>
            </w:r>
          </w:p>
        </w:tc>
      </w:tr>
      <w:tr w14:paraId="3F1ADEAB">
        <w:tblPrEx>
          <w:tblCellMar>
            <w:top w:w="0" w:type="dxa"/>
            <w:left w:w="108" w:type="dxa"/>
            <w:bottom w:w="0" w:type="dxa"/>
            <w:right w:w="108" w:type="dxa"/>
          </w:tblCellMar>
        </w:tblPrEx>
        <w:trPr>
          <w:trHeight w:val="397" w:hRule="atLeast"/>
        </w:trPr>
        <w:tc>
          <w:tcPr>
            <w:tcW w:w="63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2B73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E33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14处</w:t>
            </w:r>
          </w:p>
        </w:tc>
      </w:tr>
    </w:tbl>
    <w:p w14:paraId="492780CF">
      <w:pPr>
        <w:spacing w:line="360" w:lineRule="auto"/>
        <w:rPr>
          <w:rFonts w:hint="eastAsia" w:ascii="宋体" w:hAnsi="宋体" w:cs="宋体"/>
          <w:szCs w:val="21"/>
        </w:rPr>
      </w:pPr>
      <w:r>
        <w:rPr>
          <w:rFonts w:hint="eastAsia" w:ascii="宋体" w:hAnsi="宋体" w:cs="宋体"/>
          <w:szCs w:val="21"/>
        </w:rPr>
        <w:t>⑦门禁系统配置</w:t>
      </w:r>
    </w:p>
    <w:p w14:paraId="6BA8352E">
      <w:pPr>
        <w:spacing w:line="360" w:lineRule="auto"/>
        <w:ind w:firstLine="420" w:firstLineChars="200"/>
        <w:rPr>
          <w:rFonts w:hint="eastAsia" w:ascii="宋体" w:hAnsi="宋体" w:cs="宋体"/>
          <w:szCs w:val="21"/>
        </w:rPr>
      </w:pPr>
      <w:r>
        <w:rPr>
          <w:rFonts w:hint="eastAsia" w:ascii="宋体" w:hAnsi="宋体" w:cs="宋体"/>
          <w:szCs w:val="21"/>
        </w:rPr>
        <w:t>在120处供水站内配置安防门禁，主要采用后台平台实时预警，可实时掌握各个站点是否有人员进行监管，监管次数达不达标等情况。</w:t>
      </w:r>
    </w:p>
    <w:tbl>
      <w:tblPr>
        <w:tblStyle w:val="33"/>
        <w:tblW w:w="8717" w:type="dxa"/>
        <w:tblInd w:w="0" w:type="dxa"/>
        <w:tblLayout w:type="fixed"/>
        <w:tblCellMar>
          <w:top w:w="0" w:type="dxa"/>
          <w:left w:w="108" w:type="dxa"/>
          <w:bottom w:w="0" w:type="dxa"/>
          <w:right w:w="108" w:type="dxa"/>
        </w:tblCellMar>
      </w:tblPr>
      <w:tblGrid>
        <w:gridCol w:w="1770"/>
        <w:gridCol w:w="1770"/>
        <w:gridCol w:w="1770"/>
        <w:gridCol w:w="3407"/>
      </w:tblGrid>
      <w:tr w14:paraId="44796C57">
        <w:tblPrEx>
          <w:tblCellMar>
            <w:top w:w="0" w:type="dxa"/>
            <w:left w:w="108" w:type="dxa"/>
            <w:bottom w:w="0" w:type="dxa"/>
            <w:right w:w="108" w:type="dxa"/>
          </w:tblCellMar>
        </w:tblPrEx>
        <w:trPr>
          <w:trHeight w:val="397" w:hRule="atLeast"/>
          <w:tblHead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9C1A">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8FA">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乡镇/街道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DCF2">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1FD2">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新建设施</w:t>
            </w:r>
          </w:p>
        </w:tc>
      </w:tr>
      <w:tr w14:paraId="278A40D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48E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D5F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16E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长田头水站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14E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C173263">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7AB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081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BAA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雪山村水站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643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561C9CB">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2A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480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61E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外岗村水站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3B8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8EBD00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E84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944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D92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里山季水站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BD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254C478">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9C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78F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36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南岭村水站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E79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EE6EE1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C3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D66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5B0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六峰村水站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5C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68D48F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19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6D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897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江下村水站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1D2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ECE0FF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B3A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2A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A8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下章村水站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1E2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9A483F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A46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9A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359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外洋村水站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0DE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4B4C4D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066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01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F36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平园村水站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4D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1CA2D2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9D0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943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E14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屿东村水站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BF4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60FB90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13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233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A1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外山郑水站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0A5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BD21A9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8BC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83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BC7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团结村水站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E47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0156E7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EAF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83F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96E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夏家村水站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650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E2DC7D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910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B52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4BC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西安村水站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24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833729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A7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4CD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751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叶家山水站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365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7AB190B">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E8C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15C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696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新屋村水站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7A3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80E0AD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CD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3AA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17F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慕胡山水站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538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455A35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D43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23F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C8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龙潭村水站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6C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243758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B6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A6C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C3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新桥村水站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1F8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F2B8BC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735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157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11E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山后翁水站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CB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9D8C11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3B3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A37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3A5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塘山村水站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3E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9CCD85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1E4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473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7B8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三星村水站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CF8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86F1BD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A1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32D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C3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8D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23EC30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E05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6F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886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六合村水站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D39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B8B3E1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626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DBF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桑洲镇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CC0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竹山头水站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840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CA3D2C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C5B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F40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A0E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中央山水站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4BF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6D9F94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30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19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C55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蒋家村水站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61B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E926CF3">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9C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CEA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097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留五扇水站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E07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E545DA0">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F7F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7E3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611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上盈坑水站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7E9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BCE0FC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49D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989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FC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榧坑村水站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18D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2CCED5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3BE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F1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57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榧东村水站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95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25833B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12B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DFE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1A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应家坑水站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A30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202D74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220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76C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0BA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长丘村水站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CE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B130C9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17D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732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E07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张家山水站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8A8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78DCBC5">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212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113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F29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塘家村水站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A2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F6B929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FEE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269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9B3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清水染水站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7B7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D4B945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C12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B8F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79E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澄深村水站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3C1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1F77F0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BCF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DF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8D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红岩村水站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2BB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3FEAA1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A9E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91A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CF0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王家染水站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579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739FE3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E85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885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10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杨染村水站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092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AEF95D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16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6FB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838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里大陈水站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A3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16D914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01F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8C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FD1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桃花坑水站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30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276E9AE">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EB0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7F9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77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张辽村水站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91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524E855">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C4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25C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13E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逐步村水站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A6B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2A13B5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997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B66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4F2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里塘村水站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2A1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406869E">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906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144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778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里畈村水站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3B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1779D0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008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C3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4B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上辽岗水站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865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D4D150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064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21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黄坛镇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10C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横坑村水站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BC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92EB98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245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8F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3A8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王爱中心水站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160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8CCF2C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DB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B4C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34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兰田庵水站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E5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B7F663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983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A1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A54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下坑村水站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E5E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6F6CAE8">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A5C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243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7A0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上李坑水站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B2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580EC4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E19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BC9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E58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山洋村水站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8E5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C02CED0">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03C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1C6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6C1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下大岙水站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8F6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EB85EA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492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6A6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364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天河中心水站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516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2E4AFF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723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1E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3F0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官山村水站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5B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8751FA0">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69B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2CD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918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王家坑水站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D97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5036AE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C86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EB1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5E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大水路水站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946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806A94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51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99A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F8C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柯仙村水站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788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04E337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1E5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C80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8E5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沙田村水站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0F1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10BDEB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DD5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A9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382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铇坵村水站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654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CB9CCB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A34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A6B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22F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横路庵水站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A87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09A00DE">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7D5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85E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岔路镇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513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叶岙村水站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3AD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8F700B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24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C1C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茶院乡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9A1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宝岩寺水站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918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952D4C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68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A5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茶院乡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D9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陈家山水站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085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795ECE7">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239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0D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茶院乡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C7C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许民村水站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115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8995CA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C48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B05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桃源街道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A5B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瓦窑头水站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8C3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9E9774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B93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0E5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桃源街道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AD2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横金村水站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DD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F2EA128">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914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26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6D2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下洋陈水站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F51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2825217">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63E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A66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E6C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蒋公洞水站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938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7CBEDC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3D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B7F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C4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露天坪水站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3E4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B96DDF5">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CAF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57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10A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山上方水站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1AC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766C51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C87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BF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B35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中央郑水站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9F3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1D1D07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F83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B6D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C22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山头罗水站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1C9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86A68E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675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CC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674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黄旗山水站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CB0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3EBB648">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23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6E0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4FF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法洪坑水站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55E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343E5C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90D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750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B5D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C7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94F33E0">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583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9DD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一市镇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5DA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横路山水站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A05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4F034E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884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9E7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F8F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岭徐村水站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33A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DBCBA0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F6E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7D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073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岭下村水站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74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B87416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EB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754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4D2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柘坑戴水站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7FC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80B4CA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EC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E4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B56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柘坑张水站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753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4F5769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F9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B7D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5F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上张村水站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393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D17E0B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9B9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E2F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718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赤岙村水站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BB5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5977B3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6C9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0C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7FF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里家坑水站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CE9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2DF667B">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580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179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BF4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桶坑村水站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9D6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F9549A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D47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D0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AD5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3A5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D5713FB">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B19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7F6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0A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马岙村水站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989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4644ACB">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7D1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472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86F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双坑村水站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ACC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077FEB3">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812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BFE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18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白岩村水站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79E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8EA1854">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54D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F1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6C1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夏樟村水站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37B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5455C2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17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E5B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B79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陈家坑水站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E1E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74C343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F3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FA7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76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夏家岙水站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5A0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D3A85CE">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081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D82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15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孔横山水站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D85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E10CCA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CF9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EB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7B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雷虎岩水站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4C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DFF647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5F0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89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FB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俞山村水站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0A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7A042F5">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9D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B7E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9F0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龙宫村水站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5E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4E7068E">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0B0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AC4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0BF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大洋村水站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54D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7E42392">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13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CE2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F96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茶坑村水站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7AD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2F7567B">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0FC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16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1D8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望海岗水站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95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10D5143">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187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F9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61A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大蔡村水站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BEE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B44E320">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556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93D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147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赵畈村水站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E9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1EF654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5FC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49B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87F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溪滨村水站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FB4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5946C79">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186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66E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深甽镇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E1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清潭村水站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40B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8B60D75">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226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AD7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前童镇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6A1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顺利村水站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780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C41FFE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FBE7">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25E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前童镇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83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外辽村水站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478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764990A">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4FA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AFD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前童镇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9EE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里辽村水站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47D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61893EC7">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9F4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268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前童镇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544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杨家山村水站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891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CCAC3B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A7F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34A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越溪乡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3DB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山头应水站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0A9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596718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32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D82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力洋镇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97A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力洋孔站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5AE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BF7A0DD">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3C2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1AA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力洋镇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531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海屿村水站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FBE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2F6855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6F6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16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桥头胡街道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E50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铜岭村水站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759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714D756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D07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060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桥头胡街道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763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铜岭祝水站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DF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63AA0C6">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AFC6">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73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茶院乡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CFA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道士桥水站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F0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03A5B148">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7F6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46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梅林街道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2D2">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五松村水站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4E9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30FF2A2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C31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A6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梅林街道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2A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兰丁村水站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78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2F2D2531">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B91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25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梅林街道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3E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山下刘水站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F98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5ADBF88C">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F5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F585">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大佳何镇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F79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里袁村水站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EB2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44DBB5DF">
        <w:tblPrEx>
          <w:tblCellMar>
            <w:top w:w="0" w:type="dxa"/>
            <w:left w:w="108" w:type="dxa"/>
            <w:bottom w:w="0" w:type="dxa"/>
            <w:right w:w="108" w:type="dxa"/>
          </w:tblCellMar>
        </w:tblPrEx>
        <w:trPr>
          <w:trHeight w:val="39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44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A7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大佳何镇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DF79">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外袁村水站</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FA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门禁系统</w:t>
            </w:r>
          </w:p>
        </w:tc>
      </w:tr>
      <w:tr w14:paraId="192E5816">
        <w:tblPrEx>
          <w:tblCellMar>
            <w:top w:w="0" w:type="dxa"/>
            <w:left w:w="108" w:type="dxa"/>
            <w:bottom w:w="0" w:type="dxa"/>
            <w:right w:w="108" w:type="dxa"/>
          </w:tblCellMar>
        </w:tblPrEx>
        <w:trPr>
          <w:trHeight w:val="397" w:hRule="atLeast"/>
        </w:trPr>
        <w:tc>
          <w:tcPr>
            <w:tcW w:w="5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426A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3E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120处</w:t>
            </w:r>
          </w:p>
        </w:tc>
      </w:tr>
    </w:tbl>
    <w:p w14:paraId="6903D15C">
      <w:pPr>
        <w:spacing w:line="360" w:lineRule="auto"/>
        <w:rPr>
          <w:rFonts w:hint="eastAsia" w:ascii="宋体" w:hAnsi="宋体" w:cs="宋体"/>
          <w:szCs w:val="21"/>
        </w:rPr>
      </w:pPr>
      <w:r>
        <w:rPr>
          <w:rFonts w:hint="eastAsia" w:ascii="宋体" w:hAnsi="宋体" w:cs="宋体"/>
          <w:szCs w:val="21"/>
        </w:rPr>
        <w:t>⑧远传水表配置</w:t>
      </w:r>
    </w:p>
    <w:p w14:paraId="34A7B0D7">
      <w:pPr>
        <w:spacing w:line="360" w:lineRule="auto"/>
        <w:ind w:firstLine="420" w:firstLineChars="200"/>
        <w:rPr>
          <w:rFonts w:hint="eastAsia" w:ascii="宋体" w:hAnsi="宋体" w:cs="宋体"/>
          <w:szCs w:val="21"/>
        </w:rPr>
      </w:pPr>
      <w:r>
        <w:rPr>
          <w:rFonts w:hint="eastAsia" w:ascii="宋体" w:hAnsi="宋体" w:cs="宋体"/>
          <w:szCs w:val="21"/>
        </w:rPr>
        <w:t>拟建设1000处远传水表，安装在试点村落的入户水管上，进行远程在线监测。</w:t>
      </w:r>
    </w:p>
    <w:p w14:paraId="3BFAA0D3">
      <w:pPr>
        <w:spacing w:line="360" w:lineRule="auto"/>
        <w:rPr>
          <w:rFonts w:hint="eastAsia" w:ascii="宋体" w:hAnsi="宋体" w:cs="宋体"/>
          <w:szCs w:val="21"/>
        </w:rPr>
      </w:pPr>
      <w:r>
        <w:rPr>
          <w:rFonts w:hint="eastAsia" w:ascii="宋体" w:hAnsi="宋体" w:cs="宋体"/>
          <w:szCs w:val="21"/>
        </w:rPr>
        <w:t>⑨出水流量监测</w:t>
      </w:r>
    </w:p>
    <w:p w14:paraId="43FCB999">
      <w:pPr>
        <w:spacing w:line="360" w:lineRule="auto"/>
        <w:ind w:firstLine="420" w:firstLineChars="200"/>
        <w:rPr>
          <w:rFonts w:hint="eastAsia" w:ascii="宋体" w:hAnsi="宋体" w:cs="宋体"/>
          <w:szCs w:val="21"/>
        </w:rPr>
      </w:pPr>
      <w:r>
        <w:rPr>
          <w:rFonts w:hint="eastAsia" w:ascii="宋体" w:hAnsi="宋体" w:cs="宋体"/>
          <w:szCs w:val="21"/>
        </w:rPr>
        <w:t>根据《浙江省水利厅办公室关于印发&lt;浙江省单村水站建设标准（试行）&gt;的通知》（浙水办农电〔2023〕27号）的单村水站建设标准，百人以上水站应设置水量在线监测设备，实现相关数据定时记录、实时上传至省市县农村供水监管平台。在120座水站建设出水流量监测：其中已建流量监测55处，本项目采用新建遥测终端进行接入；未建设流量监测65处，其中DN50管道22处；DN100管道41处（含王爱中心水站9处）；DN150管道11处。具体点位如下：</w:t>
      </w:r>
    </w:p>
    <w:tbl>
      <w:tblPr>
        <w:tblStyle w:val="33"/>
        <w:tblW w:w="4998" w:type="pct"/>
        <w:jc w:val="center"/>
        <w:tblLayout w:type="autofit"/>
        <w:tblCellMar>
          <w:top w:w="0" w:type="dxa"/>
          <w:left w:w="108" w:type="dxa"/>
          <w:bottom w:w="0" w:type="dxa"/>
          <w:right w:w="108" w:type="dxa"/>
        </w:tblCellMar>
      </w:tblPr>
      <w:tblGrid>
        <w:gridCol w:w="1742"/>
        <w:gridCol w:w="1742"/>
        <w:gridCol w:w="1744"/>
        <w:gridCol w:w="1744"/>
        <w:gridCol w:w="1745"/>
      </w:tblGrid>
      <w:tr w14:paraId="3F31EE4B">
        <w:tblPrEx>
          <w:tblCellMar>
            <w:top w:w="0" w:type="dxa"/>
            <w:left w:w="108" w:type="dxa"/>
            <w:bottom w:w="0" w:type="dxa"/>
            <w:right w:w="108" w:type="dxa"/>
          </w:tblCellMar>
        </w:tblPrEx>
        <w:trPr>
          <w:trHeight w:val="397" w:hRule="atLeast"/>
          <w:tblHeader/>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6266">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A451">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乡镇/街道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CBAD">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EB1C">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管径</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0EE4">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建设内容</w:t>
            </w:r>
          </w:p>
        </w:tc>
      </w:tr>
      <w:tr w14:paraId="620E398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67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88B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AE1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长田头水站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75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55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53DA96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F68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EF9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1D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雪山村水站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94A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E7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4ADC4FE">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87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6D0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F64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外岗村水站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ED0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D6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B722FAD">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ED7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0C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42D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里山季水站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ACE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2E0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E0DF10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C5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632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B5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南岭村水站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8DA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928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47E51E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D0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A32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63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六峰村水站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97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5A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D4287D6">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DF9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AB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6C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江下村水站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2DF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C0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1BD1793">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F7E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F90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24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下章村水站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492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AD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7F0AF2E">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B1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60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8DA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外洋村水站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BF6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2D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47DC725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93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C8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36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平园村水站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9A1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D19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955CFF6">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A8F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FC8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32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屿东村水站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E9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3C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5AA881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33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99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D1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外山郑水站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728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A68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607B3CB">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7E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D0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A2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团结村水站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49B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7C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034E158">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7F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02D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A12B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78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EAE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94806A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219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2F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9A0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西安村水站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29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01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69862BE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589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238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9C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叶家山水站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57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852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8BF097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CF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98C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A5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新屋村水站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1C7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8D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FC1C56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B6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72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52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慕胡山水站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351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50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A44756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D09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20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BD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龙潭村水站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7D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1A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205382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58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E72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6AB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新桥村水站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D0F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88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D57E59A">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C50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3D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53C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山后翁水站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DC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54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5031F1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491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50E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F4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1E5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33E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831E659">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DD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E87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4A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三星村水站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C2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864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6F71EC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22F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87E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EA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2C8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AC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6335560">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342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009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2B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六合村水站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78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5A4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3FD9C76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96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176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桑洲镇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79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竹山头水站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D6E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68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8B2C966">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4C0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953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38A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中央山水站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55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439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4CD5D6AE">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CD2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17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28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蒋家村水站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EB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86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8EE535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BF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1DF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16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留五扇水站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A45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79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ED3D9AD">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DFD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4C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89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上盈坑水站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61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E4B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696BE58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307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C5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BF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F8F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2FF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55CB78A">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3A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042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CC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榧东村水站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2D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75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4766B6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150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A09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78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应家坑水站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26C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6A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42ECAEEA">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02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67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5E5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长丘村水站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04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E8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0EBBAFF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38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EF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C22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张家山水站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9F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4D9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328B92D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91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7D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E4C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塘家村水站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0D8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533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7AA953D8">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09B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A88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C4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清水染水站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ED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CD7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078B7CD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2F8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B4B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E3C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澄深村水站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8A5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BE7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7E2CACB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DE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FB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0AA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红岩村水站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AC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68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506F813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A65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FF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78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王家染水站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02F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02D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6716A856">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FFC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4A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639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杨染村水站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49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BA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44C8CD86">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EF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309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79C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里大陈水站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37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21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C776E5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B3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41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49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桃花坑水站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95C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374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8ABF8F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411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A63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F8B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张辽村水站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80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F6E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913A64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511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BC7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99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逐步村水站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FCB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5ED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E37B98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239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95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FC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里塘村水站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02E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298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12883B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CB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083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24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里畈村水站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573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26F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6B87A520">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2C6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4A8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E8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上辽岗水站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7B3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73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34CAE68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012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E4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黄坛镇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735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B0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966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A1BDA6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BA7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45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80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王爱中心水站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57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EF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接入+新建9处DN100</w:t>
            </w:r>
          </w:p>
        </w:tc>
      </w:tr>
      <w:tr w14:paraId="60C4CA9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28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8E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E4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兰田庵水站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9EB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69C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77575816">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A7C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A55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4FF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50F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C4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BAF2690">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6AC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5C1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EC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上李坑水站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33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6A1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096B43C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9F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B5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CA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山洋村水站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6E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DC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7D480D4D">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C7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EA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3B6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下大岙水站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CB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47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E5F99F9">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FA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926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619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天河中心水站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21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5E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7B6EE80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D22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6C3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D3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官山村水站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B4A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354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468EAD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562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3AE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D42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王家坑水站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A4F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FCD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6A4CF6F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89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356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DD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大水路水站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93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11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3802C33E">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988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46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704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柯仙村水站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632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678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6AD99CD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BF3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1FE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1CB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沙田村水站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9B8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22D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440859E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452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105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A5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铇坵村水站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3A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F6C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308BF86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99A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FC6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CAB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横路庵水站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59E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8A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AC8263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A9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80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岔路镇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5AB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叶岙村水站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74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B86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0719FC4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D62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B42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DB6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宝岩寺水站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62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A4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710DF2BB">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DE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30D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38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9F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B14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B4956C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47D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911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671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0FD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A5C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5358CAA3">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A5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CD93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38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瓦窑头水站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5D5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821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0B43DEF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47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276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桃源街道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B3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216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4A9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EA9921D">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B9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D4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32E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下洋陈水站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2B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C6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7046DCA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3B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62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F4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蒋公洞水站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E38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662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CB33C8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2CE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0A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904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露天坪水站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BDD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0C5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5CBA13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6C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84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29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山上方水站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434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3EF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73D7E03">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DC3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426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542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中央郑水站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34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B3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63AD7CCD">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DC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4C1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BE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山头罗水站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72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7D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0DAEEEF6">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13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54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440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黄旗山水站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8D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347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E3F2E7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73E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FD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21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法洪坑水站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A6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061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69F9236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CF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D39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64A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55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6E2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139546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1E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414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一市镇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C21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横路山水站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A3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24B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99A70BA">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D8C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44F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04A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岭徐村水站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792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3B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02DC6D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9F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9F6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51A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岭下村水站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5AD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DB0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3EA41B9">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9A7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CB6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A7C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柘坑戴水站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D1E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46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00DB913">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37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F1B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814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柘坑张水站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95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CE7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0009451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67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27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AB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上张村水站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E5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537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4F53AA0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8A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F88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C3A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赤岙村水站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6D6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212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F952E4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B59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E6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E0B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里家坑水站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A5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B87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2AC981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DF9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D49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D49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桶坑村水站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6C8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066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3B0BC6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C65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4A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4777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平坑村水站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BC5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D1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5BB6AA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B5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DCB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0B7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马岙村水站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42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EF2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53CE1DE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7DA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E2A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278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双坑村水站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4A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44E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9B3C000">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55D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11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9D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白岩村水站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593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966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056A6FBD">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2A5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DA4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E3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夏樟村水站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4B6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37EA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4EC65F2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00D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413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A12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6DC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335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32D20DF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714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5E1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32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夏家岙水站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70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B25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522550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8AA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8AC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875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孔横山水站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5C8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E8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3CC9603E">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F62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00A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53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雷虎岩水站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98F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0D4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00B0F8E0">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C4F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B0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28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俞山村水站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41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62F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786384A">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615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2DB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25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龙宫村水站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350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92A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0B11F550">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0DA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398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E8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大洋村水站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2A9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24E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989A8C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5F8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35F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0E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茶坑村水站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DDF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964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1F3069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B3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EA1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E62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望海岗水站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57B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EA1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D038E0A">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E1F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44C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3E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大蔡村水站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E4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36D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3AAC6544">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F2B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15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157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赵畈村水站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B85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285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2C4717DE">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D42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911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EED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溪滨村水站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3C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DD6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CBD26F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C81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38A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深甽镇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896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清潭村水站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724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F8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0FD4244B">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A3F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241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06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顺利村水站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D70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277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46EBE60F">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279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AD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F29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外辽村水站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F87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29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5F877731">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C47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231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BC8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里辽村水站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71D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0FE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5F33514A">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8EA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83B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前童镇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EAC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杨家山村水站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85A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EAE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4CAEE3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E59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1F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越溪乡</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09B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山头应水站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999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51E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3511205D">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F34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0FB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1B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力洋孔站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E9D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A3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1BB44552">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DB9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C32D">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力洋镇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BA3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海屿村水站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DFE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2D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3EDB36B8">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A1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2B8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桥头胡街道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290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铜岭村水站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7AE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D96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73F4F1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C8B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74B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桥头胡街道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7CF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铜岭祝水站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44C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A8F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098B667">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840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FC1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茶院乡</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D44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道士桥水站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60B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7CB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r w14:paraId="2FE50DA3">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F4D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AFC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304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五松村水站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F0F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CB1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18B50EC">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16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9F8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11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兰丁村水站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889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01F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5D3E3703">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112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CDC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梅林街道</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AB1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山下刘水站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73D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543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775CAC65">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0BE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70A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大佳何镇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934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里袁村水站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0EC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7E9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新建</w:t>
            </w:r>
          </w:p>
        </w:tc>
      </w:tr>
      <w:tr w14:paraId="13AF49C3">
        <w:tblPrEx>
          <w:tblCellMar>
            <w:top w:w="0" w:type="dxa"/>
            <w:left w:w="108" w:type="dxa"/>
            <w:bottom w:w="0" w:type="dxa"/>
            <w:right w:w="108" w:type="dxa"/>
          </w:tblCellMar>
        </w:tblPrEx>
        <w:trPr>
          <w:trHeight w:val="397"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838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170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大佳何镇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5A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外袁村水站</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9714">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DN50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B7F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接入</w:t>
            </w:r>
          </w:p>
        </w:tc>
      </w:tr>
    </w:tbl>
    <w:p w14:paraId="16F62758">
      <w:pPr>
        <w:spacing w:line="360" w:lineRule="auto"/>
        <w:rPr>
          <w:rFonts w:hint="eastAsia" w:ascii="宋体" w:hAnsi="宋体" w:cs="宋体"/>
          <w:szCs w:val="21"/>
        </w:rPr>
      </w:pPr>
      <w:r>
        <w:rPr>
          <w:rFonts w:hint="eastAsia" w:ascii="宋体" w:hAnsi="宋体" w:cs="宋体"/>
          <w:szCs w:val="21"/>
        </w:rPr>
        <w:t>（2）水站自动管控系统</w:t>
      </w:r>
    </w:p>
    <w:p w14:paraId="67E41BBF">
      <w:pPr>
        <w:spacing w:line="360" w:lineRule="auto"/>
        <w:ind w:firstLine="420" w:firstLineChars="200"/>
        <w:rPr>
          <w:rFonts w:hint="eastAsia" w:ascii="宋体" w:hAnsi="宋体" w:cs="宋体"/>
          <w:szCs w:val="21"/>
        </w:rPr>
      </w:pPr>
      <w:r>
        <w:rPr>
          <w:rFonts w:hint="eastAsia" w:ascii="宋体" w:hAnsi="宋体" w:cs="宋体"/>
          <w:szCs w:val="21"/>
        </w:rPr>
        <w:t>配置120处水站自动管控系统，实现对计量泵、排污阀门，药剂投加设备进行控制以及接入膜处理设备启停状态、运行状态和其他信号（水质、水量、水位等），将站内所有数据汇聚至一起，统一传输至运营商机房，再接入至宁海县水利局。</w:t>
      </w:r>
    </w:p>
    <w:p w14:paraId="1324B6D3">
      <w:pPr>
        <w:spacing w:line="360" w:lineRule="auto"/>
        <w:ind w:firstLine="420" w:firstLineChars="200"/>
        <w:rPr>
          <w:rFonts w:hint="eastAsia" w:ascii="宋体" w:hAnsi="宋体" w:cs="宋体"/>
          <w:szCs w:val="21"/>
        </w:rPr>
      </w:pPr>
      <w:r>
        <w:rPr>
          <w:rFonts w:hint="eastAsia" w:ascii="宋体" w:hAnsi="宋体" w:cs="宋体"/>
          <w:szCs w:val="21"/>
        </w:rPr>
        <w:t>原有30处供水站具备水源提水泵站，本项目考虑将30处提水泵站进行接入自动管控系统，并实现远程控制，其中王爱中心提升泵站距离供水站较远，采用租用VPN形式接入，其余提升泵站距离供水站较近，采用光纤敷设。</w:t>
      </w:r>
    </w:p>
    <w:p w14:paraId="54F3313D">
      <w:pPr>
        <w:spacing w:line="360" w:lineRule="auto"/>
        <w:rPr>
          <w:rFonts w:hint="eastAsia" w:ascii="宋体" w:hAnsi="宋体" w:cs="宋体"/>
          <w:szCs w:val="21"/>
        </w:rPr>
      </w:pPr>
      <w:r>
        <w:rPr>
          <w:rFonts w:hint="eastAsia" w:ascii="宋体" w:hAnsi="宋体" w:cs="宋体"/>
          <w:szCs w:val="21"/>
        </w:rPr>
        <w:t>（3）支撑保障体系</w:t>
      </w:r>
    </w:p>
    <w:p w14:paraId="0846E4E2">
      <w:pPr>
        <w:spacing w:line="360" w:lineRule="auto"/>
        <w:ind w:firstLine="420" w:firstLineChars="200"/>
        <w:rPr>
          <w:rFonts w:hint="eastAsia" w:ascii="宋体" w:hAnsi="宋体" w:cs="宋体"/>
          <w:szCs w:val="21"/>
        </w:rPr>
      </w:pPr>
      <w:r>
        <w:rPr>
          <w:rFonts w:hint="eastAsia" w:ascii="宋体" w:hAnsi="宋体" w:cs="宋体"/>
          <w:szCs w:val="21"/>
        </w:rPr>
        <w:t>对宁海</w:t>
      </w:r>
      <w:r>
        <w:rPr>
          <w:rFonts w:hint="eastAsia" w:ascii="宋体" w:hAnsi="宋体" w:cs="宋体"/>
          <w:szCs w:val="21"/>
          <w:lang w:val="en-US" w:eastAsia="zh-CN"/>
        </w:rPr>
        <w:t>县</w:t>
      </w:r>
      <w:r>
        <w:rPr>
          <w:rFonts w:hint="eastAsia" w:ascii="宋体" w:hAnsi="宋体" w:cs="宋体"/>
          <w:szCs w:val="21"/>
        </w:rPr>
        <w:t>水利局新大楼2楼会议室进行补充升级，用于直观展示农村供水工程全貌及视频查看。同时对原有视频系统进行升级改造，满足宁海县水利局所有视频统一智能化监管需求，配置操控设备及网络交换设备，部署通讯网络，补充网络安全设施，保障数据稳定传输。</w:t>
      </w:r>
    </w:p>
    <w:p w14:paraId="1C263A27">
      <w:pPr>
        <w:pStyle w:val="4"/>
        <w:spacing w:line="360" w:lineRule="auto"/>
        <w:rPr>
          <w:rFonts w:hint="eastAsia" w:ascii="宋体" w:hAnsi="宋体" w:cs="宋体"/>
          <w:sz w:val="21"/>
          <w:szCs w:val="21"/>
        </w:rPr>
      </w:pPr>
      <w:r>
        <w:rPr>
          <w:rFonts w:hint="eastAsia" w:ascii="宋体" w:hAnsi="宋体" w:cs="宋体"/>
          <w:sz w:val="21"/>
          <w:szCs w:val="21"/>
        </w:rPr>
        <w:t>智慧供水一体化管控应用</w:t>
      </w:r>
    </w:p>
    <w:p w14:paraId="49930A69">
      <w:pPr>
        <w:spacing w:line="360" w:lineRule="auto"/>
        <w:ind w:firstLine="420" w:firstLineChars="200"/>
        <w:rPr>
          <w:rFonts w:hint="eastAsia" w:ascii="宋体" w:hAnsi="宋体" w:cs="宋体"/>
          <w:szCs w:val="21"/>
        </w:rPr>
      </w:pPr>
      <w:r>
        <w:rPr>
          <w:rFonts w:hint="eastAsia" w:ascii="宋体" w:hAnsi="宋体" w:cs="宋体"/>
          <w:szCs w:val="21"/>
        </w:rPr>
        <w:t>建设宁海县城乡智慧供水一体化管控系统，包括城乡供水数据库、综合驾驶舱、智慧业务子系统、城乡供水一张图、供水移动端、相关系统对接等。</w:t>
      </w:r>
    </w:p>
    <w:p w14:paraId="00899766">
      <w:pPr>
        <w:pStyle w:val="5"/>
        <w:spacing w:line="360" w:lineRule="auto"/>
        <w:rPr>
          <w:rFonts w:hint="eastAsia" w:ascii="宋体" w:hAnsi="宋体" w:eastAsia="宋体" w:cs="宋体"/>
          <w:sz w:val="21"/>
          <w:szCs w:val="21"/>
        </w:rPr>
      </w:pPr>
      <w:r>
        <w:rPr>
          <w:rFonts w:hint="eastAsia" w:ascii="宋体" w:hAnsi="宋体" w:eastAsia="宋体" w:cs="宋体"/>
          <w:sz w:val="21"/>
          <w:szCs w:val="21"/>
        </w:rPr>
        <w:t>城乡供水数据库</w:t>
      </w:r>
    </w:p>
    <w:p w14:paraId="057AA4A4">
      <w:pPr>
        <w:spacing w:line="360" w:lineRule="auto"/>
        <w:ind w:firstLine="420" w:firstLineChars="200"/>
        <w:rPr>
          <w:rFonts w:hint="eastAsia" w:ascii="宋体" w:hAnsi="宋体" w:cs="宋体"/>
          <w:szCs w:val="21"/>
        </w:rPr>
      </w:pPr>
      <w:r>
        <w:rPr>
          <w:rFonts w:hint="eastAsia" w:ascii="宋体" w:hAnsi="宋体" w:cs="宋体"/>
          <w:szCs w:val="21"/>
        </w:rPr>
        <w:t>主要内容包括数据库建设、省级数据回流实施、本级数据归集入仓、数据共享交换服务接口发布等。</w:t>
      </w:r>
    </w:p>
    <w:p w14:paraId="540F97BA">
      <w:pPr>
        <w:numPr>
          <w:ilvl w:val="0"/>
          <w:numId w:val="4"/>
        </w:numPr>
        <w:spacing w:line="360" w:lineRule="auto"/>
        <w:ind w:firstLine="560"/>
        <w:rPr>
          <w:rFonts w:hint="eastAsia" w:ascii="宋体" w:hAnsi="宋体" w:cs="宋体"/>
          <w:szCs w:val="21"/>
        </w:rPr>
      </w:pPr>
      <w:r>
        <w:rPr>
          <w:rFonts w:hint="eastAsia" w:ascii="宋体" w:hAnsi="宋体" w:cs="宋体"/>
          <w:szCs w:val="21"/>
        </w:rPr>
        <w:t>数据库建设</w:t>
      </w:r>
    </w:p>
    <w:p w14:paraId="57C1E39F">
      <w:pPr>
        <w:spacing w:line="360" w:lineRule="auto"/>
        <w:ind w:firstLine="420" w:firstLineChars="200"/>
        <w:rPr>
          <w:rFonts w:hint="eastAsia" w:ascii="宋体" w:hAnsi="宋体" w:cs="宋体"/>
          <w:szCs w:val="21"/>
        </w:rPr>
      </w:pPr>
      <w:r>
        <w:rPr>
          <w:rFonts w:hint="eastAsia" w:ascii="宋体" w:hAnsi="宋体" w:cs="宋体"/>
          <w:szCs w:val="21"/>
        </w:rPr>
        <w:t>包括基础数据库、监测数据库、业务数据库和地理空间数据库四类，支撑系统相关智慧业务模块的功能实现。</w:t>
      </w:r>
    </w:p>
    <w:p w14:paraId="32A0F1AD">
      <w:pPr>
        <w:spacing w:line="360" w:lineRule="auto"/>
        <w:ind w:firstLine="480"/>
        <w:rPr>
          <w:rFonts w:hint="eastAsia" w:ascii="宋体" w:hAnsi="宋体" w:cs="宋体"/>
          <w:szCs w:val="21"/>
        </w:rPr>
      </w:pPr>
      <w:r>
        <w:rPr>
          <w:rFonts w:hint="eastAsia" w:ascii="宋体" w:hAnsi="宋体" w:cs="宋体"/>
          <w:szCs w:val="21"/>
        </w:rPr>
        <w:t>（2）省级数据回流实施</w:t>
      </w:r>
    </w:p>
    <w:p w14:paraId="21CE0212">
      <w:pPr>
        <w:spacing w:line="360" w:lineRule="auto"/>
        <w:ind w:firstLine="480"/>
        <w:rPr>
          <w:rFonts w:hint="eastAsia" w:ascii="宋体" w:hAnsi="宋体" w:cs="宋体"/>
          <w:szCs w:val="21"/>
        </w:rPr>
      </w:pPr>
      <w:r>
        <w:rPr>
          <w:rFonts w:hint="eastAsia" w:ascii="宋体" w:hAnsi="宋体" w:cs="宋体"/>
          <w:szCs w:val="21"/>
        </w:rPr>
        <w:t>鉴于当前省级建设了大量的诸如水利工程运行管理、水资源取水监控、城乡清洁供水等省市县三级贯通的统建应用，宁海县在这些统建应用上填报、维护数据，但这些数据在省级水利数据仓，需要建立与省水利数据仓的数据交换通道，利用省级水利数据仓贯通行业内数据，向省级水利数据仓申请数据回流至本级水利数据库，实现与省级数据仓数据贯通。</w:t>
      </w:r>
    </w:p>
    <w:p w14:paraId="5FD9ACFE">
      <w:pPr>
        <w:spacing w:line="360" w:lineRule="auto"/>
        <w:ind w:firstLine="480"/>
        <w:rPr>
          <w:rFonts w:hint="eastAsia" w:ascii="宋体" w:hAnsi="宋体" w:cs="宋体"/>
          <w:szCs w:val="21"/>
        </w:rPr>
      </w:pPr>
      <w:r>
        <w:rPr>
          <w:rFonts w:hint="eastAsia" w:ascii="宋体" w:hAnsi="宋体" w:cs="宋体"/>
          <w:szCs w:val="21"/>
        </w:rPr>
        <w:t>（3）本级数据归集入仓</w:t>
      </w:r>
    </w:p>
    <w:p w14:paraId="2E630ED4">
      <w:pPr>
        <w:spacing w:line="360" w:lineRule="auto"/>
        <w:ind w:firstLine="480"/>
        <w:rPr>
          <w:rFonts w:hint="eastAsia" w:ascii="宋体" w:hAnsi="宋体" w:cs="宋体"/>
          <w:szCs w:val="21"/>
        </w:rPr>
      </w:pPr>
      <w:r>
        <w:rPr>
          <w:rFonts w:hint="eastAsia" w:ascii="宋体" w:hAnsi="宋体" w:cs="宋体"/>
          <w:szCs w:val="21"/>
        </w:rPr>
        <w:t>按需汇集宁海县本级重要数据，通过统一水利数据库对数据进行统一分发使用，汇集的数据包括城乡供水静态数据、风险识别管控子系统、水费收缴管理子系统、档案数字管理子系统等新应用重要业务数据及监测实时数据。</w:t>
      </w:r>
    </w:p>
    <w:p w14:paraId="3EEE982D">
      <w:pPr>
        <w:numPr>
          <w:ilvl w:val="0"/>
          <w:numId w:val="5"/>
        </w:numPr>
        <w:spacing w:line="360" w:lineRule="auto"/>
        <w:ind w:firstLine="480"/>
        <w:rPr>
          <w:rFonts w:hint="eastAsia" w:ascii="宋体" w:hAnsi="宋体" w:cs="宋体"/>
          <w:szCs w:val="21"/>
        </w:rPr>
      </w:pPr>
      <w:r>
        <w:rPr>
          <w:rFonts w:hint="eastAsia" w:ascii="宋体" w:hAnsi="宋体" w:cs="宋体"/>
          <w:szCs w:val="21"/>
        </w:rPr>
        <w:t>静态数据接入</w:t>
      </w:r>
    </w:p>
    <w:p w14:paraId="74604561">
      <w:pPr>
        <w:spacing w:line="360" w:lineRule="auto"/>
        <w:rPr>
          <w:rFonts w:hint="eastAsia" w:ascii="宋体" w:hAnsi="宋体" w:cs="宋体"/>
          <w:szCs w:val="21"/>
        </w:rPr>
      </w:pPr>
      <w:r>
        <w:rPr>
          <w:rFonts w:hint="eastAsia" w:ascii="宋体" w:hAnsi="宋体" w:cs="宋体"/>
          <w:szCs w:val="21"/>
        </w:rPr>
        <w:t xml:space="preserve">    补充采集宁海县159座农村供水站的用水户信息、运行管理人员、设备信息、供水村落信息、供水区域、供水管网数据、水表信息、水费收缴数据等静态数据。</w:t>
      </w:r>
    </w:p>
    <w:p w14:paraId="5ABAB916">
      <w:pPr>
        <w:numPr>
          <w:ilvl w:val="0"/>
          <w:numId w:val="5"/>
        </w:numPr>
        <w:spacing w:line="360" w:lineRule="auto"/>
        <w:ind w:firstLine="480"/>
        <w:rPr>
          <w:rFonts w:hint="eastAsia" w:ascii="宋体" w:hAnsi="宋体" w:cs="宋体"/>
          <w:szCs w:val="21"/>
        </w:rPr>
      </w:pPr>
      <w:r>
        <w:rPr>
          <w:rFonts w:hint="eastAsia" w:ascii="宋体" w:hAnsi="宋体" w:cs="宋体"/>
          <w:szCs w:val="21"/>
        </w:rPr>
        <w:t>动态数据接入</w:t>
      </w:r>
    </w:p>
    <w:p w14:paraId="7EF5217A">
      <w:pPr>
        <w:spacing w:line="360" w:lineRule="auto"/>
        <w:ind w:firstLine="480"/>
        <w:rPr>
          <w:rFonts w:hint="eastAsia" w:ascii="宋体" w:hAnsi="宋体" w:cs="宋体"/>
          <w:szCs w:val="21"/>
        </w:rPr>
      </w:pPr>
      <w:r>
        <w:rPr>
          <w:rFonts w:hint="eastAsia" w:ascii="宋体" w:hAnsi="宋体" w:cs="宋体"/>
          <w:szCs w:val="21"/>
        </w:rPr>
        <w:t>对接接入宁海县农村供水已有系统监测监控数据和县水务集团城市水厂实时水质水量数据，采集本次改造提升要建设的农村水站实时水质水量、水源水位、原水水质、视频监控、电子围栏、超滤膜运行状态、消毒反冲洗状态等动态数据，相关数据按照统一标准进行处理并接入系统。</w:t>
      </w:r>
    </w:p>
    <w:p w14:paraId="4A455F06">
      <w:pPr>
        <w:numPr>
          <w:ilvl w:val="0"/>
          <w:numId w:val="5"/>
        </w:numPr>
        <w:spacing w:line="360" w:lineRule="auto"/>
        <w:ind w:firstLine="480"/>
        <w:rPr>
          <w:rFonts w:hint="eastAsia" w:ascii="宋体" w:hAnsi="宋体" w:cs="宋体"/>
          <w:szCs w:val="21"/>
        </w:rPr>
      </w:pPr>
      <w:r>
        <w:rPr>
          <w:rFonts w:hint="eastAsia" w:ascii="宋体" w:hAnsi="宋体" w:cs="宋体"/>
          <w:szCs w:val="21"/>
        </w:rPr>
        <w:t>数据处理转换</w:t>
      </w:r>
    </w:p>
    <w:p w14:paraId="5AB85AF3">
      <w:pPr>
        <w:spacing w:line="360" w:lineRule="auto"/>
        <w:ind w:firstLine="420" w:firstLineChars="200"/>
        <w:rPr>
          <w:rFonts w:hint="eastAsia" w:ascii="宋体" w:hAnsi="宋体" w:cs="宋体"/>
          <w:szCs w:val="21"/>
        </w:rPr>
      </w:pPr>
      <w:r>
        <w:rPr>
          <w:rFonts w:hint="eastAsia" w:ascii="宋体" w:hAnsi="宋体" w:cs="宋体"/>
          <w:szCs w:val="21"/>
        </w:rPr>
        <w:t>完成采集城乡供水各类数据的抽取、汇聚、清洗转换和编码入库，支撑城乡供水数据库建设。</w:t>
      </w:r>
    </w:p>
    <w:p w14:paraId="7EC0F349">
      <w:pPr>
        <w:numPr>
          <w:ilvl w:val="0"/>
          <w:numId w:val="5"/>
        </w:numPr>
        <w:spacing w:line="360" w:lineRule="auto"/>
        <w:ind w:firstLine="480"/>
        <w:rPr>
          <w:rFonts w:hint="eastAsia" w:ascii="宋体" w:hAnsi="宋体" w:cs="宋体"/>
          <w:szCs w:val="21"/>
        </w:rPr>
      </w:pPr>
      <w:r>
        <w:rPr>
          <w:rFonts w:hint="eastAsia" w:ascii="宋体" w:hAnsi="宋体" w:cs="宋体"/>
          <w:szCs w:val="21"/>
        </w:rPr>
        <w:t>相关数据入仓</w:t>
      </w:r>
    </w:p>
    <w:p w14:paraId="296068CF">
      <w:pPr>
        <w:spacing w:line="360" w:lineRule="auto"/>
        <w:ind w:firstLine="420" w:firstLineChars="200"/>
        <w:rPr>
          <w:rFonts w:hint="eastAsia" w:ascii="宋体" w:hAnsi="宋体" w:cs="宋体"/>
          <w:szCs w:val="21"/>
        </w:rPr>
      </w:pPr>
      <w:r>
        <w:rPr>
          <w:rFonts w:hint="eastAsia" w:ascii="宋体" w:hAnsi="宋体" w:cs="宋体"/>
          <w:szCs w:val="21"/>
        </w:rPr>
        <w:t>风险识别管控子系统、水费收缴管理子系统、档案数字管理子系统等新建应用重要业务数据及监测实时数据入仓。</w:t>
      </w:r>
    </w:p>
    <w:p w14:paraId="53863CF8">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数据共享交换服务接口发布</w:t>
      </w:r>
    </w:p>
    <w:p w14:paraId="4BCD6B43">
      <w:pPr>
        <w:spacing w:line="360" w:lineRule="auto"/>
        <w:ind w:firstLine="480"/>
        <w:rPr>
          <w:rFonts w:hint="eastAsia" w:ascii="宋体" w:hAnsi="宋体" w:cs="宋体"/>
          <w:szCs w:val="21"/>
        </w:rPr>
      </w:pPr>
      <w:r>
        <w:rPr>
          <w:rFonts w:hint="eastAsia" w:ascii="宋体" w:hAnsi="宋体" w:cs="宋体"/>
          <w:szCs w:val="21"/>
        </w:rPr>
        <w:t>按照本级应用建设和使用过程中相关水利数据共享需求，根据省级数据回流和本级数据汇集情况，开发数据共享服务API接口，利用省级数据共享模块进行接口注册发布，形成宁海县水利数据“服务超市”，本级水利应用若有数据使用需求，通过“服务超市”申请数据API服务接口进行数据调用，实现水利数据内部共享。</w:t>
      </w:r>
    </w:p>
    <w:p w14:paraId="10CCB6C6">
      <w:pPr>
        <w:pStyle w:val="5"/>
        <w:spacing w:line="360" w:lineRule="auto"/>
        <w:rPr>
          <w:rFonts w:hint="eastAsia" w:ascii="宋体" w:hAnsi="宋体" w:eastAsia="宋体" w:cs="宋体"/>
          <w:sz w:val="21"/>
          <w:szCs w:val="21"/>
        </w:rPr>
      </w:pPr>
      <w:r>
        <w:rPr>
          <w:rFonts w:hint="eastAsia" w:ascii="宋体" w:hAnsi="宋体" w:eastAsia="宋体" w:cs="宋体"/>
          <w:sz w:val="21"/>
          <w:szCs w:val="21"/>
        </w:rPr>
        <w:t>智慧供水一体化管控驾驶舱</w:t>
      </w:r>
    </w:p>
    <w:p w14:paraId="6B49B9D8">
      <w:pPr>
        <w:spacing w:line="360" w:lineRule="auto"/>
        <w:ind w:firstLine="480"/>
        <w:rPr>
          <w:rFonts w:hint="eastAsia" w:ascii="宋体" w:hAnsi="宋体" w:cs="宋体"/>
          <w:szCs w:val="21"/>
        </w:rPr>
      </w:pPr>
      <w:r>
        <w:rPr>
          <w:rFonts w:hint="eastAsia" w:ascii="宋体" w:hAnsi="宋体" w:cs="宋体"/>
          <w:szCs w:val="21"/>
        </w:rPr>
        <w:t>构建宁海县城乡智慧供水一体化管控驾驶舱，综合展示全县城乡供水格局和供水主管部门监管信息、水厂运行管理情况、供水服务情况等各类核心信息，实现全县城乡供水信息一屏总览。</w:t>
      </w:r>
    </w:p>
    <w:p w14:paraId="2D7CCA70">
      <w:pPr>
        <w:pStyle w:val="5"/>
        <w:spacing w:line="360" w:lineRule="auto"/>
        <w:rPr>
          <w:rFonts w:hint="eastAsia" w:ascii="宋体" w:hAnsi="宋体" w:eastAsia="宋体" w:cs="宋体"/>
          <w:sz w:val="21"/>
          <w:szCs w:val="21"/>
        </w:rPr>
      </w:pPr>
      <w:r>
        <w:rPr>
          <w:rFonts w:hint="eastAsia" w:ascii="宋体" w:hAnsi="宋体" w:eastAsia="宋体" w:cs="宋体"/>
          <w:sz w:val="21"/>
          <w:szCs w:val="21"/>
        </w:rPr>
        <w:t>智慧业务子系统</w:t>
      </w:r>
    </w:p>
    <w:p w14:paraId="166A97A7">
      <w:pPr>
        <w:pStyle w:val="6"/>
        <w:spacing w:line="360" w:lineRule="auto"/>
        <w:rPr>
          <w:rFonts w:hint="eastAsia" w:ascii="宋体" w:hAnsi="宋体" w:eastAsia="宋体" w:cs="宋体"/>
          <w:sz w:val="21"/>
          <w:szCs w:val="21"/>
        </w:rPr>
      </w:pPr>
      <w:r>
        <w:rPr>
          <w:rFonts w:hint="eastAsia" w:ascii="宋体" w:hAnsi="宋体" w:eastAsia="宋体" w:cs="宋体"/>
          <w:sz w:val="21"/>
          <w:szCs w:val="21"/>
        </w:rPr>
        <w:t>风险识别管控子系统</w:t>
      </w:r>
    </w:p>
    <w:p w14:paraId="6D1E9C6B">
      <w:pPr>
        <w:numPr>
          <w:ilvl w:val="0"/>
          <w:numId w:val="7"/>
        </w:numPr>
        <w:spacing w:line="360" w:lineRule="auto"/>
        <w:ind w:firstLine="480"/>
        <w:rPr>
          <w:rFonts w:hint="eastAsia" w:ascii="宋体" w:hAnsi="宋体" w:cs="宋体"/>
          <w:szCs w:val="21"/>
        </w:rPr>
      </w:pPr>
      <w:r>
        <w:rPr>
          <w:rFonts w:hint="eastAsia" w:ascii="宋体" w:hAnsi="宋体" w:cs="宋体"/>
          <w:szCs w:val="21"/>
        </w:rPr>
        <w:t>风险管控驾驶舱</w:t>
      </w:r>
    </w:p>
    <w:p w14:paraId="591054E2">
      <w:pPr>
        <w:spacing w:line="360" w:lineRule="auto"/>
        <w:rPr>
          <w:rFonts w:hint="eastAsia" w:ascii="宋体" w:hAnsi="宋体" w:cs="宋体"/>
          <w:szCs w:val="21"/>
        </w:rPr>
      </w:pPr>
      <w:r>
        <w:rPr>
          <w:rFonts w:hint="eastAsia" w:ascii="宋体" w:hAnsi="宋体" w:cs="宋体"/>
          <w:szCs w:val="21"/>
        </w:rPr>
        <w:t xml:space="preserve">    综合展示宁海县城乡供水水源、水厂和管网等从源头到龙头全过程风险识别与管控信息，实现对各类风险隐患的一屏掌控和全生命周期管理。</w:t>
      </w:r>
    </w:p>
    <w:p w14:paraId="45ACE4F5">
      <w:pPr>
        <w:numPr>
          <w:ilvl w:val="0"/>
          <w:numId w:val="7"/>
        </w:numPr>
        <w:spacing w:line="360" w:lineRule="auto"/>
        <w:ind w:firstLine="480"/>
        <w:rPr>
          <w:rFonts w:hint="eastAsia" w:ascii="宋体" w:hAnsi="宋体" w:cs="宋体"/>
          <w:szCs w:val="21"/>
        </w:rPr>
      </w:pPr>
      <w:r>
        <w:rPr>
          <w:rFonts w:hint="eastAsia" w:ascii="宋体" w:hAnsi="宋体" w:cs="宋体"/>
          <w:szCs w:val="21"/>
        </w:rPr>
        <w:t>风险识别管控应用</w:t>
      </w:r>
    </w:p>
    <w:p w14:paraId="4F8C6832">
      <w:pPr>
        <w:spacing w:line="360" w:lineRule="auto"/>
        <w:ind w:firstLine="480"/>
        <w:rPr>
          <w:rFonts w:hint="eastAsia" w:ascii="宋体" w:hAnsi="宋体" w:cs="宋体"/>
          <w:szCs w:val="21"/>
        </w:rPr>
      </w:pPr>
      <w:r>
        <w:rPr>
          <w:rFonts w:hint="eastAsia" w:ascii="宋体" w:hAnsi="宋体" w:cs="宋体"/>
          <w:szCs w:val="21"/>
        </w:rPr>
        <w:t>提供水源风险、水厂风险、强降雨风险、旱情风险等各类风险的识别、预警与闭环管控功能。</w:t>
      </w:r>
    </w:p>
    <w:p w14:paraId="549675BE">
      <w:pPr>
        <w:numPr>
          <w:ilvl w:val="0"/>
          <w:numId w:val="8"/>
        </w:numPr>
        <w:spacing w:line="360" w:lineRule="auto"/>
        <w:ind w:firstLine="480"/>
        <w:rPr>
          <w:rFonts w:hint="eastAsia" w:ascii="宋体" w:hAnsi="宋体" w:cs="宋体"/>
          <w:szCs w:val="21"/>
        </w:rPr>
      </w:pPr>
      <w:r>
        <w:rPr>
          <w:rFonts w:hint="eastAsia" w:ascii="宋体" w:hAnsi="宋体" w:cs="宋体"/>
          <w:szCs w:val="21"/>
        </w:rPr>
        <w:t>水源风险管控</w:t>
      </w:r>
    </w:p>
    <w:p w14:paraId="3D6D75F0">
      <w:pPr>
        <w:spacing w:line="360" w:lineRule="auto"/>
        <w:ind w:firstLine="480"/>
        <w:rPr>
          <w:rFonts w:hint="eastAsia" w:ascii="宋体" w:hAnsi="宋体" w:cs="宋体"/>
          <w:szCs w:val="21"/>
        </w:rPr>
      </w:pPr>
      <w:r>
        <w:rPr>
          <w:rFonts w:hint="eastAsia" w:ascii="宋体" w:hAnsi="宋体" w:cs="宋体"/>
          <w:szCs w:val="21"/>
        </w:rPr>
        <w:t>包括总览、水源详情、水源水质监测、水源水量监测、水源风险管理、水源水质水量预测、水源水质预测及水量预警相关模型算法等，实现对水源信息的查询、风险预测及预警管控功能。</w:t>
      </w:r>
    </w:p>
    <w:p w14:paraId="126A3208">
      <w:pPr>
        <w:numPr>
          <w:ilvl w:val="0"/>
          <w:numId w:val="8"/>
        </w:numPr>
        <w:spacing w:line="360" w:lineRule="auto"/>
        <w:ind w:firstLine="480"/>
        <w:rPr>
          <w:rFonts w:hint="eastAsia" w:ascii="宋体" w:hAnsi="宋体" w:cs="宋体"/>
          <w:szCs w:val="21"/>
        </w:rPr>
      </w:pPr>
      <w:r>
        <w:rPr>
          <w:rFonts w:hint="eastAsia" w:ascii="宋体" w:hAnsi="宋体" w:cs="宋体"/>
          <w:szCs w:val="21"/>
        </w:rPr>
        <w:t>水厂风险管控</w:t>
      </w:r>
    </w:p>
    <w:p w14:paraId="39CA88FE">
      <w:pPr>
        <w:spacing w:line="360" w:lineRule="auto"/>
        <w:ind w:firstLine="420" w:firstLineChars="200"/>
        <w:rPr>
          <w:rFonts w:hint="eastAsia" w:ascii="宋体" w:hAnsi="宋体" w:cs="宋体"/>
          <w:szCs w:val="21"/>
        </w:rPr>
      </w:pPr>
      <w:r>
        <w:rPr>
          <w:rFonts w:hint="eastAsia" w:ascii="宋体" w:hAnsi="宋体" w:cs="宋体"/>
          <w:szCs w:val="21"/>
        </w:rPr>
        <w:t>包括总览、水厂详情、水质检测报表、供水量统计表、水厂运行报表、水厂风险管理等内容，实现对水厂信息的查询、报表统计和风险预警管控功能。</w:t>
      </w:r>
    </w:p>
    <w:p w14:paraId="7C843B76">
      <w:pPr>
        <w:numPr>
          <w:ilvl w:val="0"/>
          <w:numId w:val="8"/>
        </w:numPr>
        <w:spacing w:line="360" w:lineRule="auto"/>
        <w:ind w:firstLine="480"/>
        <w:rPr>
          <w:rFonts w:hint="eastAsia" w:ascii="宋体" w:hAnsi="宋体" w:cs="宋体"/>
          <w:szCs w:val="21"/>
        </w:rPr>
      </w:pPr>
      <w:r>
        <w:rPr>
          <w:rFonts w:hint="eastAsia" w:ascii="宋体" w:hAnsi="宋体" w:cs="宋体"/>
          <w:szCs w:val="21"/>
        </w:rPr>
        <w:t>强降雨风险管控</w:t>
      </w:r>
    </w:p>
    <w:p w14:paraId="404F9D7B">
      <w:pPr>
        <w:spacing w:line="360" w:lineRule="auto"/>
        <w:ind w:firstLine="420" w:firstLineChars="200"/>
        <w:rPr>
          <w:rFonts w:hint="eastAsia" w:ascii="宋体" w:hAnsi="宋体" w:cs="宋体"/>
          <w:szCs w:val="21"/>
        </w:rPr>
      </w:pPr>
      <w:r>
        <w:rPr>
          <w:rFonts w:hint="eastAsia" w:ascii="宋体" w:hAnsi="宋体" w:cs="宋体"/>
          <w:szCs w:val="21"/>
        </w:rPr>
        <w:t>提供强降雨风险信息分析总览、风险预警管控等功能，支持预警标准的自定义设置。</w:t>
      </w:r>
    </w:p>
    <w:p w14:paraId="6D809BD7">
      <w:pPr>
        <w:numPr>
          <w:ilvl w:val="0"/>
          <w:numId w:val="8"/>
        </w:numPr>
        <w:spacing w:line="360" w:lineRule="auto"/>
        <w:ind w:firstLine="480"/>
        <w:rPr>
          <w:rFonts w:hint="eastAsia" w:ascii="宋体" w:hAnsi="宋体" w:cs="宋体"/>
          <w:szCs w:val="21"/>
        </w:rPr>
      </w:pPr>
      <w:r>
        <w:rPr>
          <w:rFonts w:hint="eastAsia" w:ascii="宋体" w:hAnsi="宋体" w:cs="宋体"/>
          <w:szCs w:val="21"/>
        </w:rPr>
        <w:t>旱情风险管控</w:t>
      </w:r>
    </w:p>
    <w:p w14:paraId="3B55426B">
      <w:pPr>
        <w:spacing w:line="360" w:lineRule="auto"/>
        <w:ind w:firstLine="420" w:firstLineChars="200"/>
        <w:rPr>
          <w:rFonts w:hint="eastAsia" w:ascii="宋体" w:hAnsi="宋体" w:cs="宋体"/>
          <w:szCs w:val="21"/>
        </w:rPr>
      </w:pPr>
      <w:r>
        <w:rPr>
          <w:rFonts w:hint="eastAsia" w:ascii="宋体" w:hAnsi="宋体" w:cs="宋体"/>
          <w:szCs w:val="21"/>
        </w:rPr>
        <w:t>提供旱情风险的分析总览及风险预警管控等功能，支持旱情风险等级的自定义管理。</w:t>
      </w:r>
    </w:p>
    <w:p w14:paraId="4B0AD2D3">
      <w:pPr>
        <w:numPr>
          <w:ilvl w:val="0"/>
          <w:numId w:val="7"/>
        </w:numPr>
        <w:spacing w:line="360" w:lineRule="auto"/>
        <w:ind w:firstLine="480"/>
        <w:rPr>
          <w:rFonts w:hint="eastAsia" w:ascii="宋体" w:hAnsi="宋体" w:cs="宋体"/>
          <w:szCs w:val="21"/>
        </w:rPr>
      </w:pPr>
      <w:r>
        <w:rPr>
          <w:rFonts w:hint="eastAsia" w:ascii="宋体" w:hAnsi="宋体" w:cs="宋体"/>
          <w:szCs w:val="21"/>
        </w:rPr>
        <w:t>风险报警管理</w:t>
      </w:r>
    </w:p>
    <w:p w14:paraId="2927C1AF">
      <w:pPr>
        <w:spacing w:line="360" w:lineRule="auto"/>
        <w:ind w:firstLine="420" w:firstLineChars="200"/>
        <w:rPr>
          <w:rFonts w:hint="eastAsia" w:ascii="宋体" w:hAnsi="宋体" w:cs="宋体"/>
          <w:szCs w:val="21"/>
        </w:rPr>
      </w:pPr>
      <w:r>
        <w:rPr>
          <w:rFonts w:hint="eastAsia" w:ascii="宋体" w:hAnsi="宋体" w:cs="宋体"/>
          <w:szCs w:val="21"/>
        </w:rPr>
        <w:t>提供报警工单管理、水源报警分析、水厂报警分析、报警指标管理、应急预案管理、片区维护管理等功能，实现对各类报警的原因分析和工单统一集中管理功能。</w:t>
      </w:r>
    </w:p>
    <w:p w14:paraId="43236C9A">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在线监测监控子系统</w:t>
      </w:r>
    </w:p>
    <w:p w14:paraId="636F9A30">
      <w:pPr>
        <w:spacing w:line="360" w:lineRule="auto"/>
        <w:ind w:firstLine="420" w:firstLineChars="200"/>
        <w:rPr>
          <w:rFonts w:hint="eastAsia" w:ascii="宋体" w:hAnsi="宋体" w:cs="宋体"/>
          <w:szCs w:val="21"/>
        </w:rPr>
      </w:pPr>
      <w:r>
        <w:rPr>
          <w:rFonts w:hint="eastAsia" w:ascii="宋体" w:hAnsi="宋体" w:cs="宋体"/>
          <w:szCs w:val="21"/>
        </w:rPr>
        <w:t>主要由设备运行监测、视频云监控和远程控制等模块组成。</w:t>
      </w:r>
    </w:p>
    <w:p w14:paraId="07A42D96">
      <w:pPr>
        <w:numPr>
          <w:ilvl w:val="0"/>
          <w:numId w:val="9"/>
        </w:numPr>
        <w:spacing w:line="360" w:lineRule="auto"/>
        <w:ind w:left="0" w:firstLine="420" w:firstLineChars="200"/>
        <w:rPr>
          <w:rFonts w:hint="eastAsia" w:ascii="宋体" w:hAnsi="宋体" w:cs="宋体"/>
          <w:szCs w:val="21"/>
        </w:rPr>
      </w:pPr>
      <w:r>
        <w:rPr>
          <w:rFonts w:hint="eastAsia" w:ascii="宋体" w:hAnsi="宋体" w:cs="宋体"/>
          <w:szCs w:val="21"/>
        </w:rPr>
        <w:t>设备运行监测</w:t>
      </w:r>
    </w:p>
    <w:p w14:paraId="7732108E">
      <w:pPr>
        <w:spacing w:line="360" w:lineRule="auto"/>
        <w:ind w:firstLine="420" w:firstLineChars="200"/>
        <w:rPr>
          <w:rFonts w:hint="eastAsia" w:ascii="宋体" w:hAnsi="宋体" w:cs="宋体"/>
          <w:szCs w:val="21"/>
        </w:rPr>
      </w:pPr>
      <w:r>
        <w:rPr>
          <w:rFonts w:hint="eastAsia" w:ascii="宋体" w:hAnsi="宋体" w:cs="宋体"/>
          <w:szCs w:val="21"/>
        </w:rPr>
        <w:t>建设设备运行监测平台，实现对宁海县液位监测、水质水量监测设备、一体化超滤膜设备等各类物联网设备和软件系统运行状态的实时监测。设备运维监测平台包括设备管理、数字化资产管理、监控与告警、线上运维、数据可视化、协议管理、数据管理、安全监控、应用系统巡检和数据库运行维护等功能，并进行网络安全体系管理。</w:t>
      </w:r>
    </w:p>
    <w:p w14:paraId="23E5E470">
      <w:pPr>
        <w:spacing w:line="360" w:lineRule="auto"/>
        <w:ind w:firstLine="420" w:firstLineChars="200"/>
        <w:rPr>
          <w:rFonts w:hint="eastAsia" w:ascii="宋体" w:hAnsi="宋体" w:cs="宋体"/>
          <w:szCs w:val="21"/>
        </w:rPr>
      </w:pPr>
      <w:r>
        <w:rPr>
          <w:rFonts w:hint="eastAsia" w:ascii="宋体" w:hAnsi="宋体" w:cs="宋体"/>
          <w:szCs w:val="21"/>
        </w:rPr>
        <w:t>1）物联设备管理</w:t>
      </w:r>
    </w:p>
    <w:p w14:paraId="61848D60">
      <w:pPr>
        <w:spacing w:line="360" w:lineRule="auto"/>
        <w:ind w:firstLine="420" w:firstLineChars="200"/>
        <w:rPr>
          <w:rFonts w:hint="eastAsia" w:ascii="宋体" w:hAnsi="宋体" w:cs="宋体"/>
          <w:szCs w:val="21"/>
        </w:rPr>
      </w:pPr>
      <w:r>
        <w:rPr>
          <w:rFonts w:hint="eastAsia" w:ascii="宋体" w:hAnsi="宋体" w:cs="宋体"/>
          <w:szCs w:val="21"/>
        </w:rPr>
        <w:t>统一管理所有的感知设备信息，包括信息的记录录入、型号管理等功能。</w:t>
      </w:r>
    </w:p>
    <w:p w14:paraId="7229B69D">
      <w:pPr>
        <w:spacing w:line="360" w:lineRule="auto"/>
        <w:ind w:firstLine="420" w:firstLineChars="200"/>
        <w:rPr>
          <w:rFonts w:hint="eastAsia" w:ascii="宋体" w:hAnsi="宋体" w:cs="宋体"/>
          <w:szCs w:val="21"/>
        </w:rPr>
      </w:pPr>
      <w:r>
        <w:rPr>
          <w:rFonts w:hint="eastAsia" w:ascii="宋体" w:hAnsi="宋体" w:cs="宋体"/>
          <w:szCs w:val="21"/>
        </w:rPr>
        <w:t>2）数字化资产管理</w:t>
      </w:r>
    </w:p>
    <w:p w14:paraId="5C2C3778">
      <w:pPr>
        <w:spacing w:line="360" w:lineRule="auto"/>
        <w:ind w:firstLine="420" w:firstLineChars="200"/>
        <w:rPr>
          <w:rFonts w:hint="eastAsia" w:ascii="宋体" w:hAnsi="宋体" w:cs="宋体"/>
          <w:szCs w:val="21"/>
        </w:rPr>
      </w:pPr>
      <w:r>
        <w:rPr>
          <w:rFonts w:hint="eastAsia" w:ascii="宋体" w:hAnsi="宋体" w:cs="宋体"/>
          <w:szCs w:val="21"/>
        </w:rPr>
        <w:t>数字化资产管理模块可实现水利相关数字化资产的登记和管理，包括数字化资产概览、项目管理、应用管理、资源仓库、资源登记等功能。</w:t>
      </w:r>
    </w:p>
    <w:p w14:paraId="37428BFC">
      <w:pPr>
        <w:spacing w:line="360" w:lineRule="auto"/>
        <w:ind w:firstLine="420" w:firstLineChars="200"/>
        <w:rPr>
          <w:rFonts w:hint="eastAsia" w:ascii="宋体" w:hAnsi="宋体" w:cs="宋体"/>
          <w:szCs w:val="21"/>
        </w:rPr>
      </w:pPr>
      <w:r>
        <w:rPr>
          <w:rFonts w:hint="eastAsia" w:ascii="宋体" w:hAnsi="宋体" w:cs="宋体"/>
          <w:szCs w:val="21"/>
        </w:rPr>
        <w:t>3）监控与告警</w:t>
      </w:r>
    </w:p>
    <w:p w14:paraId="367C37D5">
      <w:pPr>
        <w:spacing w:line="360" w:lineRule="auto"/>
        <w:ind w:firstLine="420" w:firstLineChars="200"/>
        <w:rPr>
          <w:rFonts w:hint="eastAsia" w:ascii="宋体" w:hAnsi="宋体" w:cs="宋体"/>
          <w:szCs w:val="21"/>
        </w:rPr>
      </w:pPr>
      <w:r>
        <w:rPr>
          <w:rFonts w:hint="eastAsia" w:ascii="宋体" w:hAnsi="宋体" w:cs="宋体"/>
          <w:szCs w:val="21"/>
        </w:rPr>
        <w:t>对异常设备告警信息自动提醒，包括告警管理、业务指标异常报警、设备离线报警、数据质量报警等功能。</w:t>
      </w:r>
    </w:p>
    <w:p w14:paraId="177C0CB5">
      <w:pPr>
        <w:spacing w:line="360" w:lineRule="auto"/>
        <w:ind w:firstLine="420" w:firstLineChars="200"/>
        <w:rPr>
          <w:rFonts w:hint="eastAsia" w:ascii="宋体" w:hAnsi="宋体" w:cs="宋体"/>
          <w:szCs w:val="21"/>
        </w:rPr>
      </w:pPr>
      <w:r>
        <w:rPr>
          <w:rFonts w:hint="eastAsia" w:ascii="宋体" w:hAnsi="宋体" w:cs="宋体"/>
          <w:szCs w:val="21"/>
        </w:rPr>
        <w:t>4）线上运维</w:t>
      </w:r>
    </w:p>
    <w:p w14:paraId="37D5BB45">
      <w:pPr>
        <w:spacing w:line="360" w:lineRule="auto"/>
        <w:ind w:firstLine="420" w:firstLineChars="200"/>
        <w:rPr>
          <w:rFonts w:hint="eastAsia" w:ascii="宋体" w:hAnsi="宋体" w:cs="宋体"/>
          <w:szCs w:val="21"/>
        </w:rPr>
      </w:pPr>
      <w:r>
        <w:rPr>
          <w:rFonts w:hint="eastAsia" w:ascii="宋体" w:hAnsi="宋体" w:cs="宋体"/>
          <w:szCs w:val="21"/>
        </w:rPr>
        <w:t>线上运维功能实现对相关应用系统、硬件设备、数据、关键功能运行状态的监控。主要功能包括远程信息更新、远程固件升级、线上工单。</w:t>
      </w:r>
    </w:p>
    <w:p w14:paraId="5EDA3E37">
      <w:pPr>
        <w:spacing w:line="360" w:lineRule="auto"/>
        <w:ind w:firstLine="420" w:firstLineChars="200"/>
        <w:rPr>
          <w:rFonts w:hint="eastAsia" w:ascii="宋体" w:hAnsi="宋体" w:cs="宋体"/>
          <w:szCs w:val="21"/>
        </w:rPr>
      </w:pPr>
      <w:r>
        <w:rPr>
          <w:rFonts w:hint="eastAsia" w:ascii="宋体" w:hAnsi="宋体" w:cs="宋体"/>
          <w:szCs w:val="21"/>
        </w:rPr>
        <w:t>5）数据可视化</w:t>
      </w:r>
    </w:p>
    <w:p w14:paraId="57916EA8">
      <w:pPr>
        <w:spacing w:line="360" w:lineRule="auto"/>
        <w:ind w:firstLine="420" w:firstLineChars="200"/>
        <w:rPr>
          <w:rFonts w:hint="eastAsia" w:ascii="宋体" w:hAnsi="宋体" w:cs="宋体"/>
          <w:szCs w:val="21"/>
        </w:rPr>
      </w:pPr>
      <w:r>
        <w:rPr>
          <w:rFonts w:hint="eastAsia" w:ascii="宋体" w:hAnsi="宋体" w:cs="宋体"/>
          <w:szCs w:val="21"/>
        </w:rPr>
        <w:t>数据可视化包括感知一张图和资产概览看板。</w:t>
      </w:r>
    </w:p>
    <w:p w14:paraId="72B6F0C0">
      <w:pPr>
        <w:spacing w:line="360" w:lineRule="auto"/>
        <w:ind w:firstLine="420" w:firstLineChars="200"/>
        <w:rPr>
          <w:rFonts w:hint="eastAsia" w:ascii="宋体" w:hAnsi="宋体" w:cs="宋体"/>
          <w:szCs w:val="21"/>
        </w:rPr>
      </w:pPr>
      <w:r>
        <w:rPr>
          <w:rFonts w:hint="eastAsia" w:ascii="宋体" w:hAnsi="宋体" w:cs="宋体"/>
          <w:szCs w:val="21"/>
        </w:rPr>
        <w:t>6）协议管理</w:t>
      </w:r>
    </w:p>
    <w:p w14:paraId="32774226">
      <w:pPr>
        <w:spacing w:line="360" w:lineRule="auto"/>
        <w:ind w:firstLine="420" w:firstLineChars="200"/>
        <w:rPr>
          <w:rFonts w:hint="eastAsia" w:ascii="宋体" w:hAnsi="宋体" w:cs="宋体"/>
          <w:szCs w:val="21"/>
        </w:rPr>
      </w:pPr>
      <w:r>
        <w:rPr>
          <w:rFonts w:hint="eastAsia" w:ascii="宋体" w:hAnsi="宋体" w:cs="宋体"/>
          <w:szCs w:val="21"/>
        </w:rPr>
        <w:t>统一管理物联感知设备使用的TCP、UDP、MQTT等数据传输协议。</w:t>
      </w:r>
    </w:p>
    <w:p w14:paraId="5D3002FB">
      <w:pPr>
        <w:spacing w:line="360" w:lineRule="auto"/>
        <w:ind w:firstLine="420" w:firstLineChars="200"/>
        <w:rPr>
          <w:rFonts w:hint="eastAsia" w:ascii="宋体" w:hAnsi="宋体" w:cs="宋体"/>
          <w:szCs w:val="21"/>
        </w:rPr>
      </w:pPr>
      <w:r>
        <w:rPr>
          <w:rFonts w:hint="eastAsia" w:ascii="宋体" w:hAnsi="宋体" w:cs="宋体"/>
          <w:szCs w:val="21"/>
        </w:rPr>
        <w:t>7）数据管理</w:t>
      </w:r>
    </w:p>
    <w:p w14:paraId="50F6008D">
      <w:pPr>
        <w:spacing w:line="360" w:lineRule="auto"/>
        <w:ind w:firstLine="420" w:firstLineChars="200"/>
        <w:rPr>
          <w:rFonts w:hint="eastAsia" w:ascii="宋体" w:hAnsi="宋体" w:cs="宋体"/>
          <w:szCs w:val="21"/>
        </w:rPr>
      </w:pPr>
      <w:r>
        <w:rPr>
          <w:rFonts w:hint="eastAsia" w:ascii="宋体" w:hAnsi="宋体" w:cs="宋体"/>
          <w:szCs w:val="21"/>
        </w:rPr>
        <w:t>数据管理功能包括数据查询、日志管理和报表管理。</w:t>
      </w:r>
    </w:p>
    <w:p w14:paraId="16E9F125">
      <w:pPr>
        <w:spacing w:line="360" w:lineRule="auto"/>
        <w:ind w:firstLine="420" w:firstLineChars="200"/>
        <w:rPr>
          <w:rFonts w:hint="eastAsia" w:ascii="宋体" w:hAnsi="宋体" w:cs="宋体"/>
          <w:szCs w:val="21"/>
        </w:rPr>
      </w:pPr>
      <w:r>
        <w:rPr>
          <w:rFonts w:hint="eastAsia" w:ascii="宋体" w:hAnsi="宋体" w:cs="宋体"/>
          <w:szCs w:val="21"/>
        </w:rPr>
        <w:t>8）安全监控</w:t>
      </w:r>
    </w:p>
    <w:p w14:paraId="55D90032">
      <w:pPr>
        <w:spacing w:line="360" w:lineRule="auto"/>
        <w:ind w:firstLine="420" w:firstLineChars="200"/>
        <w:rPr>
          <w:rFonts w:hint="eastAsia" w:ascii="宋体" w:hAnsi="宋体" w:cs="宋体"/>
          <w:szCs w:val="21"/>
        </w:rPr>
      </w:pPr>
      <w:r>
        <w:rPr>
          <w:rFonts w:hint="eastAsia" w:ascii="宋体" w:hAnsi="宋体" w:cs="宋体"/>
          <w:szCs w:val="21"/>
        </w:rPr>
        <w:t>安全监控模块可实现对服务器的安全监控，包括威胁监控，安全预警，漏洞扫描等。</w:t>
      </w:r>
    </w:p>
    <w:p w14:paraId="7F9F6142">
      <w:pPr>
        <w:spacing w:line="360" w:lineRule="auto"/>
        <w:ind w:firstLine="420" w:firstLineChars="200"/>
        <w:rPr>
          <w:rFonts w:hint="eastAsia" w:ascii="宋体" w:hAnsi="宋体" w:cs="宋体"/>
          <w:szCs w:val="21"/>
        </w:rPr>
      </w:pPr>
      <w:r>
        <w:rPr>
          <w:rFonts w:hint="eastAsia" w:ascii="宋体" w:hAnsi="宋体" w:cs="宋体"/>
          <w:szCs w:val="21"/>
        </w:rPr>
        <w:t>9）应用系统巡检</w:t>
      </w:r>
    </w:p>
    <w:p w14:paraId="328F07E8">
      <w:pPr>
        <w:spacing w:line="360" w:lineRule="auto"/>
        <w:ind w:firstLine="420" w:firstLineChars="200"/>
        <w:rPr>
          <w:rFonts w:hint="eastAsia" w:ascii="宋体" w:hAnsi="宋体" w:cs="宋体"/>
          <w:szCs w:val="21"/>
        </w:rPr>
      </w:pPr>
      <w:r>
        <w:rPr>
          <w:rFonts w:hint="eastAsia" w:ascii="宋体" w:hAnsi="宋体" w:cs="宋体"/>
          <w:szCs w:val="21"/>
        </w:rPr>
        <w:t>在运维服务平台自动监控的基础上，定期对应用系统进行人工巡检，发现自动监控无法监测到的问题。</w:t>
      </w:r>
    </w:p>
    <w:p w14:paraId="009EDF94">
      <w:pPr>
        <w:spacing w:line="360" w:lineRule="auto"/>
        <w:ind w:firstLine="420" w:firstLineChars="200"/>
        <w:rPr>
          <w:rFonts w:hint="eastAsia" w:ascii="宋体" w:hAnsi="宋体" w:cs="宋体"/>
          <w:szCs w:val="21"/>
        </w:rPr>
      </w:pPr>
      <w:r>
        <w:rPr>
          <w:rFonts w:hint="eastAsia" w:ascii="宋体" w:hAnsi="宋体" w:cs="宋体"/>
          <w:szCs w:val="21"/>
        </w:rPr>
        <w:t>10）数据库运行维护</w:t>
      </w:r>
    </w:p>
    <w:p w14:paraId="3E714837">
      <w:pPr>
        <w:spacing w:line="360" w:lineRule="auto"/>
        <w:ind w:firstLine="420" w:firstLineChars="200"/>
        <w:rPr>
          <w:rFonts w:hint="eastAsia" w:ascii="宋体" w:hAnsi="宋体" w:cs="宋体"/>
          <w:szCs w:val="21"/>
          <w:highlight w:val="yellow"/>
        </w:rPr>
      </w:pPr>
      <w:r>
        <w:rPr>
          <w:rFonts w:hint="eastAsia" w:ascii="宋体" w:hAnsi="宋体" w:cs="宋体"/>
          <w:szCs w:val="21"/>
        </w:rPr>
        <w:t>通过数据库日常维护可以保证数据库的稳定性和安全性，减少数据库故障和数据丢失的风险。</w:t>
      </w:r>
    </w:p>
    <w:p w14:paraId="11B65240">
      <w:pPr>
        <w:numPr>
          <w:ilvl w:val="0"/>
          <w:numId w:val="9"/>
        </w:numPr>
        <w:spacing w:line="360" w:lineRule="auto"/>
        <w:ind w:left="0" w:firstLine="420" w:firstLineChars="200"/>
        <w:rPr>
          <w:rFonts w:hint="eastAsia" w:ascii="宋体" w:hAnsi="宋体" w:cs="宋体"/>
          <w:szCs w:val="21"/>
        </w:rPr>
      </w:pPr>
      <w:r>
        <w:rPr>
          <w:rFonts w:hint="eastAsia" w:ascii="宋体" w:hAnsi="宋体" w:cs="宋体"/>
          <w:szCs w:val="21"/>
        </w:rPr>
        <w:t>视频云监控</w:t>
      </w:r>
    </w:p>
    <w:p w14:paraId="74D07AF9">
      <w:pPr>
        <w:spacing w:line="360" w:lineRule="auto"/>
        <w:ind w:firstLine="420" w:firstLineChars="200"/>
        <w:rPr>
          <w:rFonts w:hint="eastAsia" w:ascii="宋体" w:hAnsi="宋体" w:cs="宋体"/>
          <w:szCs w:val="21"/>
        </w:rPr>
      </w:pPr>
      <w:r>
        <w:rPr>
          <w:rFonts w:hint="eastAsia" w:ascii="宋体" w:hAnsi="宋体" w:cs="宋体"/>
          <w:szCs w:val="21"/>
        </w:rPr>
        <w:t>建设宁海县城乡供水视频墙，提供视频站点维护管理、站点异常报警等相关功能，方便管理人员在中控室等对水厂（站）进行运维管理。</w:t>
      </w:r>
    </w:p>
    <w:p w14:paraId="4E97F1CA">
      <w:pPr>
        <w:numPr>
          <w:ilvl w:val="0"/>
          <w:numId w:val="9"/>
        </w:numPr>
        <w:spacing w:line="360" w:lineRule="auto"/>
        <w:ind w:left="0" w:firstLine="420" w:firstLineChars="200"/>
        <w:rPr>
          <w:rFonts w:hint="eastAsia" w:ascii="宋体" w:hAnsi="宋体" w:cs="宋体"/>
          <w:szCs w:val="21"/>
        </w:rPr>
      </w:pPr>
      <w:r>
        <w:rPr>
          <w:rFonts w:hint="eastAsia" w:ascii="宋体" w:hAnsi="宋体" w:cs="宋体"/>
          <w:szCs w:val="21"/>
        </w:rPr>
        <w:t>远程控制</w:t>
      </w:r>
    </w:p>
    <w:p w14:paraId="45DCE174">
      <w:pPr>
        <w:spacing w:line="360" w:lineRule="auto"/>
        <w:ind w:firstLine="420" w:firstLineChars="200"/>
        <w:rPr>
          <w:rFonts w:hint="eastAsia" w:ascii="宋体" w:hAnsi="宋体" w:cs="宋体"/>
          <w:szCs w:val="21"/>
        </w:rPr>
      </w:pPr>
      <w:r>
        <w:rPr>
          <w:rFonts w:hint="eastAsia" w:ascii="宋体" w:hAnsi="宋体" w:cs="宋体"/>
          <w:szCs w:val="21"/>
        </w:rPr>
        <w:t>集成接入本次建设的水站自动管控系统，并补充门禁系统的远程控制功能，实现对水厂相关泵阀设备和门禁系统等远程控制管理。</w:t>
      </w:r>
    </w:p>
    <w:p w14:paraId="68AC89D7">
      <w:pPr>
        <w:pStyle w:val="6"/>
        <w:spacing w:line="360" w:lineRule="auto"/>
        <w:rPr>
          <w:rFonts w:hint="eastAsia" w:ascii="宋体" w:hAnsi="宋体" w:eastAsia="宋体" w:cs="宋体"/>
          <w:sz w:val="21"/>
          <w:szCs w:val="21"/>
        </w:rPr>
      </w:pPr>
      <w:r>
        <w:rPr>
          <w:rFonts w:hint="eastAsia" w:ascii="宋体" w:hAnsi="宋体" w:eastAsia="宋体" w:cs="宋体"/>
          <w:sz w:val="21"/>
          <w:szCs w:val="21"/>
        </w:rPr>
        <w:t>水费收缴管理子系统</w:t>
      </w:r>
    </w:p>
    <w:p w14:paraId="75C1F2B4">
      <w:pPr>
        <w:spacing w:line="360" w:lineRule="auto"/>
        <w:ind w:firstLine="420" w:firstLineChars="200"/>
        <w:rPr>
          <w:rFonts w:hint="eastAsia" w:ascii="宋体" w:hAnsi="宋体" w:cs="宋体"/>
          <w:szCs w:val="21"/>
        </w:rPr>
      </w:pPr>
      <w:r>
        <w:rPr>
          <w:rFonts w:hint="eastAsia" w:ascii="宋体" w:hAnsi="宋体" w:cs="宋体"/>
          <w:szCs w:val="21"/>
        </w:rPr>
        <w:t>建设水费收缴管理子系统，实现对全县“一户一表”基础信息管理、抄表员及抄表收费管理、在线缴费、水费统计分析等功能。</w:t>
      </w:r>
    </w:p>
    <w:p w14:paraId="49DD8F26">
      <w:pPr>
        <w:pStyle w:val="6"/>
        <w:spacing w:line="360" w:lineRule="auto"/>
        <w:rPr>
          <w:rFonts w:hint="eastAsia" w:ascii="宋体" w:hAnsi="宋体" w:eastAsia="宋体" w:cs="宋体"/>
          <w:sz w:val="21"/>
          <w:szCs w:val="21"/>
        </w:rPr>
      </w:pPr>
      <w:r>
        <w:rPr>
          <w:rFonts w:hint="eastAsia" w:ascii="宋体" w:hAnsi="宋体" w:eastAsia="宋体" w:cs="宋体"/>
          <w:sz w:val="21"/>
          <w:szCs w:val="21"/>
        </w:rPr>
        <w:t>档案数字管理子系统</w:t>
      </w:r>
    </w:p>
    <w:p w14:paraId="1048DB8E">
      <w:pPr>
        <w:spacing w:line="360" w:lineRule="auto"/>
        <w:ind w:firstLine="420" w:firstLineChars="200"/>
        <w:rPr>
          <w:rFonts w:hint="eastAsia" w:ascii="宋体" w:hAnsi="宋体" w:cs="宋体"/>
          <w:szCs w:val="21"/>
        </w:rPr>
      </w:pPr>
      <w:r>
        <w:rPr>
          <w:rFonts w:hint="eastAsia" w:ascii="宋体" w:hAnsi="宋体" w:cs="宋体"/>
          <w:szCs w:val="21"/>
        </w:rPr>
        <w:t>包括档案分类管理、档案统计等功能，实现对宁海县农村供水相关档案的分类管理和水站日常建设、运行管理等档案的电子化管理功能。</w:t>
      </w:r>
    </w:p>
    <w:p w14:paraId="7D502275">
      <w:pPr>
        <w:pStyle w:val="5"/>
        <w:spacing w:line="360" w:lineRule="auto"/>
        <w:rPr>
          <w:rFonts w:hint="eastAsia" w:ascii="宋体" w:hAnsi="宋体" w:eastAsia="宋体" w:cs="宋体"/>
          <w:sz w:val="21"/>
          <w:szCs w:val="21"/>
        </w:rPr>
      </w:pPr>
      <w:r>
        <w:rPr>
          <w:rFonts w:hint="eastAsia" w:ascii="宋体" w:hAnsi="宋体" w:eastAsia="宋体" w:cs="宋体"/>
          <w:sz w:val="21"/>
          <w:szCs w:val="21"/>
        </w:rPr>
        <w:t>城乡供水一张图</w:t>
      </w:r>
    </w:p>
    <w:p w14:paraId="0AB14362">
      <w:pPr>
        <w:spacing w:line="360" w:lineRule="auto"/>
        <w:ind w:firstLine="420" w:firstLineChars="200"/>
        <w:rPr>
          <w:rFonts w:hint="eastAsia" w:ascii="宋体" w:hAnsi="宋体" w:cs="宋体"/>
          <w:szCs w:val="21"/>
        </w:rPr>
      </w:pPr>
      <w:r>
        <w:rPr>
          <w:rFonts w:hint="eastAsia" w:ascii="宋体" w:hAnsi="宋体" w:cs="宋体"/>
          <w:szCs w:val="21"/>
        </w:rPr>
        <w:t>基于地理信息技术，建设宁海县城乡供水运行管理一张图。重点展示城乡供水水厂（站）各管理要素信息，包括供水格局、供水管网、运维管理等专题。</w:t>
      </w:r>
    </w:p>
    <w:p w14:paraId="6C2125DA">
      <w:pPr>
        <w:pStyle w:val="5"/>
        <w:spacing w:line="360" w:lineRule="auto"/>
        <w:rPr>
          <w:rFonts w:hint="eastAsia" w:ascii="宋体" w:hAnsi="宋体" w:eastAsia="宋体" w:cs="宋体"/>
          <w:sz w:val="21"/>
          <w:szCs w:val="21"/>
        </w:rPr>
      </w:pPr>
      <w:r>
        <w:rPr>
          <w:rFonts w:hint="eastAsia" w:ascii="宋体" w:hAnsi="宋体" w:eastAsia="宋体" w:cs="宋体"/>
          <w:sz w:val="21"/>
          <w:szCs w:val="21"/>
        </w:rPr>
        <w:t>供水移动端</w:t>
      </w:r>
    </w:p>
    <w:p w14:paraId="21603298">
      <w:pPr>
        <w:pStyle w:val="6"/>
        <w:spacing w:line="360" w:lineRule="auto"/>
        <w:rPr>
          <w:rFonts w:hint="eastAsia" w:ascii="宋体" w:hAnsi="宋体" w:eastAsia="宋体" w:cs="宋体"/>
          <w:sz w:val="21"/>
          <w:szCs w:val="21"/>
        </w:rPr>
      </w:pPr>
      <w:r>
        <w:rPr>
          <w:rFonts w:hint="eastAsia" w:ascii="宋体" w:hAnsi="宋体" w:eastAsia="宋体" w:cs="宋体"/>
          <w:sz w:val="21"/>
          <w:szCs w:val="21"/>
        </w:rPr>
        <w:t>供水管理小程序</w:t>
      </w:r>
    </w:p>
    <w:p w14:paraId="49769C46">
      <w:pPr>
        <w:spacing w:line="360" w:lineRule="auto"/>
        <w:ind w:firstLine="480"/>
        <w:rPr>
          <w:rFonts w:hint="eastAsia" w:ascii="宋体" w:hAnsi="宋体" w:cs="宋体"/>
          <w:szCs w:val="21"/>
        </w:rPr>
      </w:pPr>
      <w:r>
        <w:rPr>
          <w:rFonts w:hint="eastAsia" w:ascii="宋体" w:hAnsi="宋体" w:cs="宋体"/>
          <w:szCs w:val="21"/>
        </w:rPr>
        <w:t>建设水厂运行管理服务小程序，实现对水厂水费收缴信息等信息的录入，隐患问题处理及反馈，水厂基础信息、供水状态、水质数据等信息的移动在线查询。</w:t>
      </w:r>
    </w:p>
    <w:p w14:paraId="43555C0C">
      <w:pPr>
        <w:pStyle w:val="6"/>
        <w:spacing w:line="360" w:lineRule="auto"/>
        <w:rPr>
          <w:rFonts w:hint="eastAsia" w:ascii="宋体" w:hAnsi="宋体" w:eastAsia="宋体" w:cs="宋体"/>
          <w:sz w:val="21"/>
          <w:szCs w:val="21"/>
        </w:rPr>
      </w:pPr>
      <w:r>
        <w:rPr>
          <w:rFonts w:hint="eastAsia" w:ascii="宋体" w:hAnsi="宋体" w:eastAsia="宋体" w:cs="宋体"/>
          <w:sz w:val="21"/>
          <w:szCs w:val="21"/>
        </w:rPr>
        <w:t>供水服务小程序</w:t>
      </w:r>
    </w:p>
    <w:p w14:paraId="621857A2">
      <w:pPr>
        <w:spacing w:line="360" w:lineRule="auto"/>
        <w:ind w:firstLine="480"/>
        <w:rPr>
          <w:rFonts w:hint="eastAsia" w:ascii="宋体" w:hAnsi="宋体" w:cs="宋体"/>
          <w:szCs w:val="21"/>
        </w:rPr>
      </w:pPr>
      <w:r>
        <w:rPr>
          <w:rFonts w:hint="eastAsia" w:ascii="宋体" w:hAnsi="宋体" w:cs="宋体"/>
          <w:szCs w:val="21"/>
        </w:rPr>
        <w:t>基于微信，开发供水服务小程序，主要提供我的水厂（站）、供水服务热线、通知公告、用水问题反馈、用水量查询、用水缴费等功能，助力打造宁海县“一小时”供水服务圈。</w:t>
      </w:r>
    </w:p>
    <w:p w14:paraId="08BA1594">
      <w:pPr>
        <w:pStyle w:val="6"/>
        <w:spacing w:line="360" w:lineRule="auto"/>
        <w:rPr>
          <w:rFonts w:hint="eastAsia" w:ascii="宋体" w:hAnsi="宋体" w:eastAsia="宋体" w:cs="宋体"/>
          <w:sz w:val="21"/>
          <w:szCs w:val="21"/>
        </w:rPr>
      </w:pPr>
      <w:r>
        <w:rPr>
          <w:rFonts w:hint="eastAsia" w:ascii="宋体" w:hAnsi="宋体" w:eastAsia="宋体" w:cs="宋体"/>
          <w:sz w:val="21"/>
          <w:szCs w:val="21"/>
        </w:rPr>
        <w:t>供水服务管理模块</w:t>
      </w:r>
    </w:p>
    <w:p w14:paraId="26EC3564">
      <w:pPr>
        <w:spacing w:line="360" w:lineRule="auto"/>
        <w:ind w:firstLine="420" w:firstLineChars="200"/>
        <w:rPr>
          <w:rFonts w:hint="eastAsia" w:ascii="宋体" w:hAnsi="宋体" w:cs="宋体"/>
          <w:szCs w:val="21"/>
        </w:rPr>
      </w:pPr>
      <w:r>
        <w:rPr>
          <w:rFonts w:hint="eastAsia" w:ascii="宋体" w:hAnsi="宋体" w:cs="宋体"/>
          <w:szCs w:val="21"/>
        </w:rPr>
        <w:t>基于智慧供水一体化管控应用后台开发供水服务管理模块，提供微信端供水小程序相关模块的后台管理功能，包括供水热线电话维护、供水相关通知发布、供水相关问题汇聚处理与回复、水站供水范围维护管理等功能。</w:t>
      </w:r>
    </w:p>
    <w:p w14:paraId="5CA9CC6F">
      <w:pPr>
        <w:pStyle w:val="5"/>
        <w:spacing w:line="360" w:lineRule="auto"/>
        <w:rPr>
          <w:rFonts w:hint="eastAsia" w:ascii="宋体" w:hAnsi="宋体" w:eastAsia="宋体" w:cs="宋体"/>
          <w:sz w:val="21"/>
          <w:szCs w:val="21"/>
        </w:rPr>
      </w:pPr>
      <w:r>
        <w:rPr>
          <w:rFonts w:hint="eastAsia" w:ascii="宋体" w:hAnsi="宋体" w:eastAsia="宋体" w:cs="宋体"/>
          <w:sz w:val="21"/>
          <w:szCs w:val="21"/>
        </w:rPr>
        <w:t>相关系统对接</w:t>
      </w:r>
    </w:p>
    <w:p w14:paraId="5D1E7796">
      <w:pPr>
        <w:spacing w:line="360" w:lineRule="auto"/>
        <w:ind w:firstLine="420" w:firstLineChars="200"/>
        <w:rPr>
          <w:rFonts w:hint="eastAsia" w:ascii="宋体" w:hAnsi="宋体" w:cs="宋体"/>
          <w:szCs w:val="21"/>
        </w:rPr>
      </w:pPr>
      <w:r>
        <w:rPr>
          <w:rFonts w:hint="eastAsia" w:ascii="宋体" w:hAnsi="宋体" w:cs="宋体"/>
          <w:szCs w:val="21"/>
        </w:rPr>
        <w:t>（1）与宁海县农村供水远程监控运维管理系统对接</w:t>
      </w:r>
    </w:p>
    <w:p w14:paraId="346D56E8">
      <w:pPr>
        <w:spacing w:line="360" w:lineRule="auto"/>
        <w:ind w:firstLine="420" w:firstLineChars="200"/>
        <w:rPr>
          <w:rFonts w:hint="eastAsia" w:ascii="宋体" w:hAnsi="宋体" w:cs="宋体"/>
          <w:szCs w:val="21"/>
        </w:rPr>
      </w:pPr>
      <w:r>
        <w:rPr>
          <w:rFonts w:hint="eastAsia" w:ascii="宋体" w:hAnsi="宋体" w:cs="宋体"/>
          <w:szCs w:val="21"/>
        </w:rPr>
        <w:t>对接宁海县农村供水远程监控运维管理系统，集成接入系统已有的视频监控和已实时监测水站的水质水量数据和设备信息等。</w:t>
      </w:r>
    </w:p>
    <w:p w14:paraId="3380DA8E">
      <w:pPr>
        <w:spacing w:line="360" w:lineRule="auto"/>
        <w:ind w:firstLine="420" w:firstLineChars="200"/>
        <w:rPr>
          <w:rFonts w:hint="eastAsia" w:ascii="宋体" w:hAnsi="宋体" w:cs="宋体"/>
          <w:szCs w:val="21"/>
        </w:rPr>
      </w:pPr>
      <w:r>
        <w:rPr>
          <w:rFonts w:hint="eastAsia" w:ascii="宋体" w:hAnsi="宋体" w:cs="宋体"/>
          <w:szCs w:val="21"/>
        </w:rPr>
        <w:t>（2）与宁海县水务集团智慧水务管理平台对接</w:t>
      </w:r>
    </w:p>
    <w:p w14:paraId="0E423672">
      <w:pPr>
        <w:spacing w:line="360" w:lineRule="auto"/>
        <w:ind w:firstLine="420" w:firstLineChars="200"/>
        <w:rPr>
          <w:rFonts w:hint="eastAsia" w:ascii="宋体" w:hAnsi="宋体" w:cs="宋体"/>
          <w:szCs w:val="21"/>
        </w:rPr>
      </w:pPr>
      <w:r>
        <w:rPr>
          <w:rFonts w:hint="eastAsia" w:ascii="宋体" w:hAnsi="宋体" w:cs="宋体"/>
          <w:szCs w:val="21"/>
        </w:rPr>
        <w:t>与宁海县水务集团智慧水务管理平台对接，获取城市供水水质水量监测数据，并推送农村供水基础信息、水质水量监测数据等。</w:t>
      </w:r>
    </w:p>
    <w:p w14:paraId="1CF4F6E3">
      <w:pPr>
        <w:spacing w:line="360" w:lineRule="auto"/>
        <w:ind w:firstLine="420" w:firstLineChars="200"/>
        <w:rPr>
          <w:rFonts w:hint="eastAsia" w:ascii="宋体" w:hAnsi="宋体" w:cs="宋体"/>
          <w:szCs w:val="21"/>
        </w:rPr>
      </w:pPr>
      <w:r>
        <w:rPr>
          <w:rFonts w:hint="eastAsia" w:ascii="宋体" w:hAnsi="宋体" w:cs="宋体"/>
          <w:szCs w:val="21"/>
        </w:rPr>
        <w:t>（3）与宁海县九龙联动治水平台对接</w:t>
      </w:r>
    </w:p>
    <w:p w14:paraId="5BF8C693">
      <w:pPr>
        <w:spacing w:line="360" w:lineRule="auto"/>
        <w:ind w:firstLine="420" w:firstLineChars="200"/>
        <w:rPr>
          <w:rFonts w:hint="eastAsia" w:ascii="宋体" w:hAnsi="宋体" w:cs="宋体"/>
          <w:szCs w:val="21"/>
        </w:rPr>
      </w:pPr>
      <w:r>
        <w:rPr>
          <w:rFonts w:hint="eastAsia" w:ascii="宋体" w:hAnsi="宋体" w:cs="宋体"/>
          <w:szCs w:val="21"/>
        </w:rPr>
        <w:t>与宁海县九龙联动治水平台对接，完成平台统一用户认证、统一人员权限和统一门户管理，实现通过宁海县九龙联动治水平台的快捷登录。</w:t>
      </w:r>
    </w:p>
    <w:p w14:paraId="79AD2BF6">
      <w:pPr>
        <w:spacing w:line="360" w:lineRule="auto"/>
        <w:ind w:firstLine="420" w:firstLineChars="200"/>
        <w:rPr>
          <w:rFonts w:hint="eastAsia" w:ascii="宋体" w:hAnsi="宋体" w:cs="宋体"/>
          <w:szCs w:val="21"/>
        </w:rPr>
      </w:pPr>
      <w:r>
        <w:rPr>
          <w:rFonts w:hint="eastAsia" w:ascii="宋体" w:hAnsi="宋体" w:cs="宋体"/>
          <w:szCs w:val="21"/>
        </w:rPr>
        <w:t>（4）与宁波市智慧水利平台对接</w:t>
      </w:r>
    </w:p>
    <w:p w14:paraId="7CFC45F6">
      <w:pPr>
        <w:spacing w:line="360" w:lineRule="auto"/>
        <w:ind w:firstLine="420" w:firstLineChars="200"/>
        <w:rPr>
          <w:rFonts w:hint="eastAsia" w:ascii="宋体" w:hAnsi="宋体" w:cs="宋体"/>
          <w:szCs w:val="21"/>
        </w:rPr>
      </w:pPr>
      <w:r>
        <w:rPr>
          <w:rFonts w:hint="eastAsia" w:ascii="宋体" w:hAnsi="宋体" w:cs="宋体"/>
          <w:szCs w:val="21"/>
        </w:rPr>
        <w:t>按照宁波市要求，与宁波市智慧水利平台对接，将城乡供水相关水质水量监测数据及其他相关基础数据，按照要求推送给宁波市智慧水利平台。</w:t>
      </w:r>
    </w:p>
    <w:p w14:paraId="5575E1BA">
      <w:pPr>
        <w:spacing w:line="360" w:lineRule="auto"/>
        <w:ind w:firstLine="420" w:firstLineChars="200"/>
        <w:rPr>
          <w:rFonts w:hint="eastAsia" w:ascii="宋体" w:hAnsi="宋体" w:cs="宋体"/>
          <w:szCs w:val="21"/>
        </w:rPr>
      </w:pPr>
      <w:r>
        <w:rPr>
          <w:rFonts w:hint="eastAsia" w:ascii="宋体" w:hAnsi="宋体" w:cs="宋体"/>
          <w:szCs w:val="21"/>
        </w:rPr>
        <w:t>（5）与省级浙水好喝系统对接</w:t>
      </w:r>
    </w:p>
    <w:p w14:paraId="234C85BD">
      <w:pPr>
        <w:spacing w:line="360" w:lineRule="auto"/>
        <w:ind w:firstLine="420" w:firstLineChars="200"/>
        <w:rPr>
          <w:rFonts w:hint="eastAsia" w:ascii="宋体" w:hAnsi="宋体" w:cs="宋体"/>
          <w:szCs w:val="21"/>
        </w:rPr>
      </w:pPr>
      <w:r>
        <w:rPr>
          <w:rFonts w:hint="eastAsia" w:ascii="宋体" w:hAnsi="宋体" w:cs="宋体"/>
          <w:szCs w:val="21"/>
        </w:rPr>
        <w:t>与省级浙水好喝应用进行对接，将浙水好喝应用所需的水厂水质水量监测数据按照规定的频次要求上报。</w:t>
      </w:r>
    </w:p>
    <w:p w14:paraId="39AC001C">
      <w:pPr>
        <w:spacing w:line="360" w:lineRule="auto"/>
        <w:ind w:firstLine="420" w:firstLineChars="200"/>
        <w:rPr>
          <w:rFonts w:hint="eastAsia" w:ascii="宋体" w:hAnsi="宋体" w:cs="宋体"/>
          <w:szCs w:val="21"/>
        </w:rPr>
      </w:pPr>
      <w:r>
        <w:rPr>
          <w:rFonts w:hint="eastAsia" w:ascii="宋体" w:hAnsi="宋体" w:cs="宋体"/>
          <w:szCs w:val="21"/>
        </w:rPr>
        <w:t>（6）与微信平台对接</w:t>
      </w:r>
    </w:p>
    <w:p w14:paraId="6FE6205A">
      <w:pPr>
        <w:spacing w:line="360" w:lineRule="auto"/>
        <w:ind w:firstLine="420" w:firstLineChars="200"/>
        <w:rPr>
          <w:rFonts w:hint="eastAsia" w:ascii="宋体" w:hAnsi="宋体" w:cs="宋体"/>
          <w:szCs w:val="21"/>
        </w:rPr>
      </w:pPr>
      <w:r>
        <w:rPr>
          <w:rFonts w:hint="eastAsia" w:ascii="宋体" w:hAnsi="宋体" w:cs="宋体"/>
          <w:szCs w:val="21"/>
        </w:rPr>
        <w:t>对接微信平台，实现将用水户姓名、户号、用水量、应交水费等数据同步给微信，同时获取微信实缴水费、缴费时间等数据，支撑在线缴费功能的实现。</w:t>
      </w:r>
    </w:p>
    <w:p w14:paraId="48E915AE">
      <w:pPr>
        <w:pStyle w:val="4"/>
        <w:spacing w:line="360" w:lineRule="auto"/>
        <w:rPr>
          <w:rFonts w:hint="eastAsia" w:ascii="宋体" w:hAnsi="宋体" w:cs="宋体"/>
          <w:sz w:val="21"/>
          <w:szCs w:val="21"/>
        </w:rPr>
      </w:pPr>
      <w:bookmarkStart w:id="1" w:name="_Toc24678"/>
      <w:bookmarkStart w:id="2" w:name="_Toc12677"/>
      <w:bookmarkStart w:id="3" w:name="_Toc25157"/>
      <w:r>
        <w:rPr>
          <w:rFonts w:hint="eastAsia" w:ascii="宋体" w:hAnsi="宋体" w:cs="宋体"/>
          <w:sz w:val="21"/>
          <w:szCs w:val="21"/>
        </w:rPr>
        <w:t>水资源监测预报应用</w:t>
      </w:r>
      <w:bookmarkEnd w:id="1"/>
      <w:bookmarkEnd w:id="2"/>
      <w:bookmarkEnd w:id="3"/>
    </w:p>
    <w:p w14:paraId="6F22FC25">
      <w:pPr>
        <w:spacing w:line="360" w:lineRule="auto"/>
        <w:ind w:firstLine="420" w:firstLineChars="200"/>
        <w:rPr>
          <w:rFonts w:hint="eastAsia" w:ascii="宋体" w:hAnsi="宋体" w:cs="宋体"/>
          <w:szCs w:val="21"/>
        </w:rPr>
      </w:pPr>
      <w:r>
        <w:rPr>
          <w:rFonts w:hint="eastAsia" w:ascii="宋体" w:hAnsi="宋体" w:cs="宋体"/>
          <w:szCs w:val="21"/>
        </w:rPr>
        <w:t>根据宁海县水资源管理工作实际需求，融合已建水利业务系统关键业务数据，打造宁海县水资源监测预报平台，主要包括水资源大屏、应用系统、手机端。</w:t>
      </w:r>
    </w:p>
    <w:p w14:paraId="7AA7EC9A">
      <w:pPr>
        <w:widowControl/>
        <w:jc w:val="left"/>
        <w:rPr>
          <w:rFonts w:hint="eastAsia" w:ascii="宋体" w:hAnsi="宋体" w:cs="宋体"/>
          <w:szCs w:val="21"/>
        </w:rPr>
      </w:pPr>
      <w:r>
        <w:rPr>
          <w:rFonts w:hint="eastAsia" w:ascii="宋体" w:hAnsi="宋体" w:cs="宋体"/>
          <w:szCs w:val="21"/>
        </w:rPr>
        <w:t>水资源大屏</w:t>
      </w:r>
    </w:p>
    <w:p w14:paraId="2670571E">
      <w:pPr>
        <w:pStyle w:val="4"/>
        <w:spacing w:line="360" w:lineRule="auto"/>
        <w:rPr>
          <w:rFonts w:hint="eastAsia" w:ascii="宋体" w:hAnsi="宋体" w:eastAsia="宋体" w:cs="宋体"/>
          <w:sz w:val="21"/>
          <w:szCs w:val="21"/>
        </w:rPr>
      </w:pPr>
      <w:r>
        <w:rPr>
          <w:rFonts w:hint="eastAsia" w:ascii="宋体" w:hAnsi="宋体" w:cs="宋体"/>
          <w:sz w:val="21"/>
          <w:szCs w:val="21"/>
        </w:rPr>
        <w:t>省级应用贯通</w:t>
      </w:r>
    </w:p>
    <w:p w14:paraId="1740A3C3">
      <w:pPr>
        <w:spacing w:line="360" w:lineRule="auto"/>
        <w:ind w:firstLine="420" w:firstLineChars="200"/>
        <w:rPr>
          <w:rFonts w:hint="eastAsia" w:ascii="宋体" w:hAnsi="宋体" w:cs="宋体"/>
          <w:szCs w:val="21"/>
        </w:rPr>
      </w:pPr>
      <w:r>
        <w:rPr>
          <w:rFonts w:hint="eastAsia" w:ascii="宋体" w:hAnsi="宋体" w:cs="宋体"/>
          <w:szCs w:val="21"/>
        </w:rPr>
        <w:t>整合已建水灾害防御大屏和水灾害驾驶舱，新建宁海县水资源大屏，包括雨情信息、水情信息、风险预警、重要视频等。</w:t>
      </w:r>
    </w:p>
    <w:p w14:paraId="51A6F5E0">
      <w:pPr>
        <w:pStyle w:val="5"/>
        <w:spacing w:line="360" w:lineRule="auto"/>
        <w:rPr>
          <w:rFonts w:hint="eastAsia" w:ascii="宋体" w:hAnsi="宋体" w:eastAsia="宋体" w:cs="宋体"/>
          <w:sz w:val="21"/>
          <w:szCs w:val="21"/>
        </w:rPr>
      </w:pPr>
      <w:r>
        <w:rPr>
          <w:rFonts w:hint="eastAsia" w:ascii="宋体" w:hAnsi="宋体" w:eastAsia="宋体" w:cs="宋体"/>
          <w:sz w:val="21"/>
          <w:szCs w:val="21"/>
        </w:rPr>
        <w:t>应用系统</w:t>
      </w:r>
    </w:p>
    <w:p w14:paraId="14E459A5">
      <w:pPr>
        <w:pStyle w:val="6"/>
        <w:spacing w:line="360" w:lineRule="auto"/>
        <w:rPr>
          <w:rFonts w:hint="eastAsia" w:ascii="宋体" w:hAnsi="宋体" w:eastAsia="宋体" w:cs="宋体"/>
          <w:sz w:val="21"/>
          <w:szCs w:val="21"/>
        </w:rPr>
      </w:pPr>
      <w:r>
        <w:rPr>
          <w:rFonts w:hint="eastAsia" w:ascii="宋体" w:hAnsi="宋体" w:eastAsia="宋体" w:cs="宋体"/>
          <w:sz w:val="21"/>
          <w:szCs w:val="21"/>
        </w:rPr>
        <w:t>综合首页</w:t>
      </w:r>
    </w:p>
    <w:p w14:paraId="508F5378">
      <w:pPr>
        <w:spacing w:line="360" w:lineRule="auto"/>
        <w:ind w:firstLine="420" w:firstLineChars="200"/>
        <w:rPr>
          <w:rFonts w:hint="eastAsia" w:ascii="宋体" w:hAnsi="宋体" w:cs="宋体"/>
          <w:szCs w:val="21"/>
        </w:rPr>
      </w:pPr>
      <w:r>
        <w:rPr>
          <w:rFonts w:hint="eastAsia" w:ascii="宋体" w:hAnsi="宋体" w:cs="宋体"/>
          <w:szCs w:val="21"/>
        </w:rPr>
        <w:t>接入全县水文监测、气象预报实时数据，综合归集全域范围内的水雨情监视信息、气象信息、预警信息等，包括预警总览、雨情信息、水情信息、重点监控等内容。</w:t>
      </w:r>
    </w:p>
    <w:p w14:paraId="3AF2098C">
      <w:pPr>
        <w:pStyle w:val="6"/>
        <w:spacing w:line="360" w:lineRule="auto"/>
        <w:rPr>
          <w:rFonts w:hint="eastAsia" w:ascii="宋体" w:hAnsi="宋体" w:eastAsia="宋体" w:cs="宋体"/>
          <w:sz w:val="21"/>
          <w:szCs w:val="21"/>
        </w:rPr>
      </w:pPr>
      <w:r>
        <w:rPr>
          <w:rFonts w:hint="eastAsia" w:ascii="宋体" w:hAnsi="宋体" w:eastAsia="宋体" w:cs="宋体"/>
          <w:sz w:val="21"/>
          <w:szCs w:val="21"/>
        </w:rPr>
        <w:t>雨情信息</w:t>
      </w:r>
    </w:p>
    <w:p w14:paraId="69221668">
      <w:pPr>
        <w:spacing w:line="360" w:lineRule="auto"/>
        <w:ind w:firstLine="420" w:firstLineChars="200"/>
        <w:rPr>
          <w:rFonts w:hint="eastAsia" w:ascii="宋体" w:hAnsi="宋体" w:cs="宋体"/>
          <w:szCs w:val="21"/>
        </w:rPr>
      </w:pPr>
      <w:r>
        <w:rPr>
          <w:rFonts w:hint="eastAsia" w:ascii="宋体" w:hAnsi="宋体" w:cs="宋体"/>
          <w:szCs w:val="21"/>
        </w:rPr>
        <w:t>基于地图、表格等多种形式开展全县雨情实时监视，包括：实时雨情、雨情分析、区域面雨量、降雨分布等模块。</w:t>
      </w:r>
    </w:p>
    <w:p w14:paraId="7A225A53">
      <w:pPr>
        <w:pStyle w:val="6"/>
        <w:spacing w:line="360" w:lineRule="auto"/>
        <w:rPr>
          <w:rFonts w:hint="eastAsia" w:ascii="宋体" w:hAnsi="宋体" w:eastAsia="宋体" w:cs="宋体"/>
          <w:sz w:val="21"/>
          <w:szCs w:val="21"/>
        </w:rPr>
      </w:pPr>
      <w:r>
        <w:rPr>
          <w:rFonts w:hint="eastAsia" w:ascii="宋体" w:hAnsi="宋体" w:eastAsia="宋体" w:cs="宋体"/>
          <w:sz w:val="21"/>
          <w:szCs w:val="21"/>
        </w:rPr>
        <w:t>水情信息</w:t>
      </w:r>
    </w:p>
    <w:p w14:paraId="78D6F40E">
      <w:pPr>
        <w:spacing w:line="360" w:lineRule="auto"/>
        <w:ind w:firstLine="420" w:firstLineChars="200"/>
        <w:rPr>
          <w:rFonts w:hint="eastAsia" w:ascii="宋体" w:hAnsi="宋体" w:cs="宋体"/>
          <w:szCs w:val="21"/>
        </w:rPr>
      </w:pPr>
      <w:r>
        <w:rPr>
          <w:rFonts w:hint="eastAsia" w:ascii="宋体" w:hAnsi="宋体" w:cs="宋体"/>
          <w:szCs w:val="21"/>
        </w:rPr>
        <w:t>构建实时水情、河道水情、水库水情、声光电水情、潮位水情、流量统计模块，实现水库、河道、声光电、潮位、流量等监测站水位、流量的实时监视。</w:t>
      </w:r>
    </w:p>
    <w:p w14:paraId="749B641F">
      <w:pPr>
        <w:pStyle w:val="6"/>
        <w:spacing w:line="360" w:lineRule="auto"/>
        <w:rPr>
          <w:rFonts w:hint="eastAsia" w:ascii="宋体" w:hAnsi="宋体" w:eastAsia="宋体" w:cs="宋体"/>
          <w:sz w:val="21"/>
          <w:szCs w:val="21"/>
        </w:rPr>
      </w:pPr>
      <w:r>
        <w:rPr>
          <w:rFonts w:hint="eastAsia" w:ascii="宋体" w:hAnsi="宋体" w:eastAsia="宋体" w:cs="宋体"/>
          <w:sz w:val="21"/>
          <w:szCs w:val="21"/>
        </w:rPr>
        <w:t>视频监控</w:t>
      </w:r>
    </w:p>
    <w:p w14:paraId="0A56954D">
      <w:pPr>
        <w:spacing w:line="360" w:lineRule="auto"/>
        <w:ind w:firstLine="420" w:firstLineChars="200"/>
        <w:rPr>
          <w:rFonts w:hint="eastAsia" w:ascii="宋体" w:hAnsi="宋体" w:cs="宋体"/>
          <w:szCs w:val="21"/>
        </w:rPr>
      </w:pPr>
      <w:r>
        <w:rPr>
          <w:rFonts w:hint="eastAsia" w:ascii="宋体" w:hAnsi="宋体" w:cs="宋体"/>
          <w:szCs w:val="21"/>
        </w:rPr>
        <w:t>接入重点水库、河段、声光电设备等实时监控视频，实现视频一屏展示，支持不同视频点快速定位，查看河道、水库现场实时情况。针对水位涨势明显可能出现或者已出现洪水河道自动启动视频抓图。提供洪水事件及关联图片、影像资料的管理功能。</w:t>
      </w:r>
    </w:p>
    <w:p w14:paraId="2964B7B3">
      <w:pPr>
        <w:pStyle w:val="6"/>
        <w:spacing w:line="360" w:lineRule="auto"/>
        <w:rPr>
          <w:rFonts w:hint="eastAsia" w:ascii="宋体" w:hAnsi="宋体" w:eastAsia="宋体" w:cs="宋体"/>
          <w:sz w:val="21"/>
          <w:szCs w:val="21"/>
        </w:rPr>
      </w:pPr>
      <w:r>
        <w:rPr>
          <w:rFonts w:hint="eastAsia" w:ascii="宋体" w:hAnsi="宋体" w:eastAsia="宋体" w:cs="宋体"/>
          <w:sz w:val="21"/>
          <w:szCs w:val="21"/>
        </w:rPr>
        <w:t>智能报表</w:t>
      </w:r>
    </w:p>
    <w:p w14:paraId="134651FF">
      <w:pPr>
        <w:spacing w:line="360" w:lineRule="auto"/>
        <w:ind w:firstLine="420" w:firstLineChars="200"/>
        <w:rPr>
          <w:rFonts w:hint="eastAsia" w:ascii="宋体" w:hAnsi="宋体" w:cs="宋体"/>
          <w:szCs w:val="21"/>
        </w:rPr>
      </w:pPr>
      <w:r>
        <w:rPr>
          <w:rFonts w:hint="eastAsia" w:ascii="宋体" w:hAnsi="宋体" w:cs="宋体"/>
          <w:szCs w:val="21"/>
        </w:rPr>
        <w:t>根据用户需求，自动生成各类水雨情报表和总结报告，以文字、图形、表格等多种形式展示。具体报表分为防汛总览、雨情报表、水情报表、汛情简报、山洪简报、个性化报表等。</w:t>
      </w:r>
    </w:p>
    <w:p w14:paraId="62FFFE05">
      <w:pPr>
        <w:pStyle w:val="6"/>
        <w:spacing w:line="360" w:lineRule="auto"/>
        <w:rPr>
          <w:rFonts w:hint="eastAsia" w:ascii="宋体" w:hAnsi="宋体" w:eastAsia="宋体" w:cs="宋体"/>
          <w:sz w:val="21"/>
          <w:szCs w:val="21"/>
        </w:rPr>
      </w:pPr>
      <w:r>
        <w:rPr>
          <w:rFonts w:hint="eastAsia" w:ascii="宋体" w:hAnsi="宋体" w:eastAsia="宋体" w:cs="宋体"/>
          <w:sz w:val="21"/>
          <w:szCs w:val="21"/>
        </w:rPr>
        <w:t>形势研判</w:t>
      </w:r>
    </w:p>
    <w:p w14:paraId="346CDADC">
      <w:pPr>
        <w:spacing w:line="360" w:lineRule="auto"/>
        <w:ind w:firstLine="420" w:firstLineChars="200"/>
        <w:rPr>
          <w:rFonts w:hint="eastAsia" w:ascii="宋体" w:hAnsi="宋体" w:cs="宋体"/>
          <w:szCs w:val="21"/>
        </w:rPr>
      </w:pPr>
      <w:r>
        <w:rPr>
          <w:rFonts w:hint="eastAsia" w:ascii="宋体" w:hAnsi="宋体" w:cs="宋体"/>
          <w:szCs w:val="21"/>
        </w:rPr>
        <w:t>包括流域概化图、凫溪流域水文预报及杨梅岭水库预报模块。基于一张图落图展示宁海县流域主要控制站点和水库站点，为水资源调度提供数据可视化支撑。构建凫溪流域水文预报模型开展洪家塔水文预报。构建杨梅岭水库预报模型，开展杨梅岭水库来水和水位预报，为优化水库水资源调度和配置提供决策支撑。</w:t>
      </w:r>
    </w:p>
    <w:p w14:paraId="18D7949A">
      <w:pPr>
        <w:pStyle w:val="6"/>
        <w:spacing w:line="360" w:lineRule="auto"/>
        <w:rPr>
          <w:rFonts w:hint="eastAsia" w:ascii="宋体" w:hAnsi="宋体" w:eastAsia="宋体" w:cs="宋体"/>
          <w:sz w:val="21"/>
          <w:szCs w:val="21"/>
        </w:rPr>
      </w:pPr>
      <w:r>
        <w:rPr>
          <w:rFonts w:hint="eastAsia" w:ascii="宋体" w:hAnsi="宋体" w:eastAsia="宋体" w:cs="宋体"/>
          <w:sz w:val="21"/>
          <w:szCs w:val="21"/>
        </w:rPr>
        <w:t>值班值守</w:t>
      </w:r>
    </w:p>
    <w:p w14:paraId="0E2E43C9">
      <w:pPr>
        <w:spacing w:line="360" w:lineRule="auto"/>
        <w:ind w:firstLine="420" w:firstLineChars="200"/>
        <w:rPr>
          <w:rFonts w:hint="eastAsia" w:ascii="宋体" w:hAnsi="宋体" w:cs="宋体"/>
          <w:szCs w:val="21"/>
        </w:rPr>
      </w:pPr>
      <w:r>
        <w:rPr>
          <w:rFonts w:hint="eastAsia" w:ascii="宋体" w:hAnsi="宋体" w:cs="宋体"/>
          <w:szCs w:val="21"/>
        </w:rPr>
        <w:t>值班值守模块集成水资源监测预报应用关键信息和值班人员常用功能，方便值班人员开展工作，同时提供值班人员管理、值班短信提醒等功能。具体分为值班值守、值班管理两个子模块。</w:t>
      </w:r>
    </w:p>
    <w:p w14:paraId="0A301C21">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后台管理</w:t>
      </w:r>
    </w:p>
    <w:p w14:paraId="6F9BFC4A">
      <w:pPr>
        <w:spacing w:line="360" w:lineRule="auto"/>
        <w:ind w:firstLine="420" w:firstLineChars="200"/>
        <w:rPr>
          <w:rFonts w:hint="eastAsia" w:ascii="宋体" w:hAnsi="宋体" w:cs="宋体"/>
          <w:szCs w:val="21"/>
        </w:rPr>
      </w:pPr>
      <w:r>
        <w:rPr>
          <w:rFonts w:hint="eastAsia" w:ascii="宋体" w:hAnsi="宋体" w:cs="宋体"/>
          <w:szCs w:val="21"/>
        </w:rPr>
        <w:t>提供基础信息、预警管理、遥测数据、用户管理、角色权限管理、日志管理等管理功能。</w:t>
      </w:r>
    </w:p>
    <w:p w14:paraId="61E661AD">
      <w:pPr>
        <w:pStyle w:val="5"/>
        <w:spacing w:line="360" w:lineRule="auto"/>
        <w:rPr>
          <w:rFonts w:hint="eastAsia" w:ascii="宋体" w:hAnsi="宋体" w:eastAsia="宋体" w:cs="宋体"/>
          <w:sz w:val="21"/>
          <w:szCs w:val="21"/>
        </w:rPr>
      </w:pPr>
      <w:r>
        <w:rPr>
          <w:rFonts w:hint="eastAsia" w:ascii="宋体" w:hAnsi="宋体" w:eastAsia="宋体" w:cs="宋体"/>
          <w:sz w:val="21"/>
          <w:szCs w:val="21"/>
        </w:rPr>
        <w:t>移动端</w:t>
      </w:r>
    </w:p>
    <w:p w14:paraId="4F4439C6">
      <w:pPr>
        <w:spacing w:line="360" w:lineRule="auto"/>
        <w:ind w:firstLine="420" w:firstLineChars="200"/>
        <w:rPr>
          <w:rFonts w:hint="eastAsia" w:ascii="宋体" w:hAnsi="宋体" w:cs="宋体"/>
          <w:szCs w:val="21"/>
        </w:rPr>
      </w:pPr>
      <w:r>
        <w:rPr>
          <w:rFonts w:hint="eastAsia" w:ascii="宋体" w:hAnsi="宋体" w:cs="宋体"/>
          <w:szCs w:val="21"/>
        </w:rPr>
        <w:t>支持实时水雨情、水雨情简报、气象信息、视频监控、水利工程、声光电预警等信息查询与展示，综合反映当前水雨情态势情况，供水利人员进行实时决策、在线管控，有效提高办事效率。包括水雨情摘要、水文简报、实时雨情、河道水情、水库水情、气象信息、视频监控、工程信息、声光电预警、预警统计等功能。</w:t>
      </w:r>
    </w:p>
    <w:p w14:paraId="0669C4A6">
      <w:pPr>
        <w:pStyle w:val="4"/>
        <w:spacing w:line="360" w:lineRule="auto"/>
        <w:rPr>
          <w:rFonts w:hint="eastAsia" w:ascii="宋体" w:hAnsi="宋体" w:cs="宋体"/>
          <w:sz w:val="21"/>
          <w:szCs w:val="21"/>
        </w:rPr>
      </w:pPr>
      <w:r>
        <w:rPr>
          <w:rFonts w:hint="eastAsia" w:ascii="宋体" w:hAnsi="宋体" w:cs="宋体"/>
          <w:sz w:val="21"/>
          <w:szCs w:val="21"/>
        </w:rPr>
        <w:t>省级应用贯通</w:t>
      </w:r>
    </w:p>
    <w:p w14:paraId="60B0B4C6">
      <w:pPr>
        <w:spacing w:line="360" w:lineRule="auto"/>
        <w:ind w:firstLine="420" w:firstLineChars="200"/>
        <w:rPr>
          <w:rFonts w:hint="eastAsia" w:ascii="宋体" w:hAnsi="宋体" w:cs="宋体"/>
          <w:szCs w:val="21"/>
        </w:rPr>
      </w:pPr>
      <w:r>
        <w:rPr>
          <w:rFonts w:hint="eastAsia" w:ascii="宋体" w:hAnsi="宋体" w:cs="宋体"/>
          <w:szCs w:val="21"/>
        </w:rPr>
        <w:t>包括水管理平台信创改造和农村供水业务联动。</w:t>
      </w:r>
    </w:p>
    <w:p w14:paraId="6B7180F1">
      <w:pPr>
        <w:pStyle w:val="5"/>
        <w:spacing w:line="360" w:lineRule="auto"/>
        <w:rPr>
          <w:rFonts w:hint="eastAsia" w:ascii="宋体" w:hAnsi="宋体" w:eastAsia="宋体" w:cs="宋体"/>
          <w:sz w:val="21"/>
          <w:szCs w:val="21"/>
        </w:rPr>
      </w:pPr>
      <w:r>
        <w:rPr>
          <w:rFonts w:hint="eastAsia" w:ascii="宋体" w:hAnsi="宋体" w:eastAsia="宋体" w:cs="宋体"/>
          <w:sz w:val="21"/>
          <w:szCs w:val="21"/>
        </w:rPr>
        <w:t>水管理平台信创改造</w:t>
      </w:r>
    </w:p>
    <w:p w14:paraId="3714458D">
      <w:pPr>
        <w:spacing w:line="360" w:lineRule="auto"/>
        <w:ind w:firstLine="420" w:firstLineChars="200"/>
        <w:rPr>
          <w:rFonts w:hint="eastAsia" w:ascii="宋体" w:hAnsi="宋体" w:cs="宋体"/>
          <w:szCs w:val="21"/>
        </w:rPr>
      </w:pPr>
      <w:r>
        <w:rPr>
          <w:rFonts w:hint="eastAsia" w:ascii="宋体" w:hAnsi="宋体" w:cs="宋体"/>
          <w:szCs w:val="21"/>
        </w:rPr>
        <w:t>宁海水管理平台需要开展信创改造，改造后基础设施体系中原有宁海县政务公有云替代为宁海县政务信创云，操作系统、数据库替代为国产软件，同时需要迁移数据及兼容国产电脑桌面端浏览器。</w:t>
      </w:r>
    </w:p>
    <w:p w14:paraId="4DF7746F">
      <w:pPr>
        <w:pStyle w:val="6"/>
        <w:spacing w:line="360" w:lineRule="auto"/>
        <w:rPr>
          <w:rFonts w:hint="eastAsia" w:ascii="宋体" w:hAnsi="宋体" w:eastAsia="宋体" w:cs="宋体"/>
          <w:sz w:val="21"/>
          <w:szCs w:val="21"/>
        </w:rPr>
      </w:pPr>
      <w:r>
        <w:rPr>
          <w:rFonts w:hint="eastAsia" w:ascii="宋体" w:hAnsi="宋体" w:eastAsia="宋体" w:cs="宋体"/>
          <w:sz w:val="21"/>
          <w:szCs w:val="21"/>
        </w:rPr>
        <w:t>系统适配改造</w:t>
      </w:r>
    </w:p>
    <w:p w14:paraId="33DE922A">
      <w:pPr>
        <w:spacing w:line="360" w:lineRule="auto"/>
        <w:ind w:firstLine="420" w:firstLineChars="200"/>
        <w:rPr>
          <w:rFonts w:hint="eastAsia" w:ascii="宋体" w:hAnsi="宋体" w:cs="宋体"/>
          <w:szCs w:val="21"/>
        </w:rPr>
      </w:pPr>
      <w:r>
        <w:rPr>
          <w:rFonts w:hint="eastAsia" w:ascii="宋体" w:hAnsi="宋体" w:cs="宋体"/>
          <w:szCs w:val="21"/>
        </w:rPr>
        <w:t>1）信创服务器操作系统适配</w:t>
      </w:r>
    </w:p>
    <w:p w14:paraId="3CCE2D96">
      <w:pPr>
        <w:spacing w:line="360" w:lineRule="auto"/>
        <w:ind w:firstLine="420" w:firstLineChars="200"/>
        <w:rPr>
          <w:rFonts w:hint="eastAsia" w:ascii="宋体" w:hAnsi="宋体" w:cs="宋体"/>
          <w:szCs w:val="21"/>
        </w:rPr>
      </w:pPr>
      <w:r>
        <w:rPr>
          <w:rFonts w:hint="eastAsia" w:ascii="宋体" w:hAnsi="宋体" w:cs="宋体"/>
          <w:szCs w:val="21"/>
        </w:rPr>
        <w:t>原系统软件使用Windows操作系统，本次适配改造采用国产操作系统，需针对信创服务器操作系统进行适配。</w:t>
      </w:r>
    </w:p>
    <w:p w14:paraId="49E200FB">
      <w:pPr>
        <w:spacing w:line="360" w:lineRule="auto"/>
        <w:ind w:firstLine="420" w:firstLineChars="200"/>
        <w:rPr>
          <w:rFonts w:hint="eastAsia" w:ascii="宋体" w:hAnsi="宋体" w:cs="宋体"/>
          <w:szCs w:val="21"/>
        </w:rPr>
      </w:pPr>
      <w:r>
        <w:rPr>
          <w:rFonts w:hint="eastAsia" w:ascii="宋体" w:hAnsi="宋体" w:cs="宋体"/>
          <w:szCs w:val="21"/>
        </w:rPr>
        <w:t>2）信创关系型数据库适配</w:t>
      </w:r>
    </w:p>
    <w:p w14:paraId="76BE75C1">
      <w:pPr>
        <w:spacing w:line="360" w:lineRule="auto"/>
        <w:ind w:firstLine="420" w:firstLineChars="200"/>
        <w:rPr>
          <w:rFonts w:hint="eastAsia" w:ascii="宋体" w:hAnsi="宋体" w:cs="宋体"/>
          <w:szCs w:val="21"/>
        </w:rPr>
      </w:pPr>
      <w:r>
        <w:rPr>
          <w:rFonts w:hint="eastAsia" w:ascii="宋体" w:hAnsi="宋体" w:cs="宋体"/>
          <w:szCs w:val="21"/>
        </w:rPr>
        <w:t>原应用系统软件采用mysql-5.7数据库，本次适配改造采用基于兼容mysql国产数据库系统。</w:t>
      </w:r>
    </w:p>
    <w:p w14:paraId="4624CF24">
      <w:pPr>
        <w:spacing w:line="360" w:lineRule="auto"/>
        <w:ind w:firstLine="420" w:firstLineChars="200"/>
        <w:rPr>
          <w:rFonts w:hint="eastAsia" w:ascii="宋体" w:hAnsi="宋体" w:cs="宋体"/>
          <w:szCs w:val="21"/>
        </w:rPr>
      </w:pPr>
      <w:r>
        <w:rPr>
          <w:rFonts w:hint="eastAsia" w:ascii="宋体" w:hAnsi="宋体" w:cs="宋体"/>
          <w:szCs w:val="21"/>
        </w:rPr>
        <w:t>3）桌面终端浏览器适配</w:t>
      </w:r>
    </w:p>
    <w:p w14:paraId="6E37A7D0">
      <w:pPr>
        <w:spacing w:line="360" w:lineRule="auto"/>
        <w:ind w:firstLine="420" w:firstLineChars="200"/>
        <w:rPr>
          <w:rFonts w:hint="eastAsia" w:ascii="宋体" w:hAnsi="宋体" w:cs="宋体"/>
          <w:szCs w:val="21"/>
        </w:rPr>
      </w:pPr>
      <w:r>
        <w:rPr>
          <w:rFonts w:hint="eastAsia" w:ascii="宋体" w:hAnsi="宋体" w:cs="宋体"/>
          <w:szCs w:val="21"/>
        </w:rPr>
        <w:t>针对国产操作系统的桌面终端浏览器进行适配。</w:t>
      </w:r>
    </w:p>
    <w:p w14:paraId="1A098962">
      <w:pPr>
        <w:pStyle w:val="6"/>
        <w:spacing w:line="360" w:lineRule="auto"/>
        <w:rPr>
          <w:rFonts w:hint="eastAsia" w:ascii="宋体" w:hAnsi="宋体" w:eastAsia="宋体" w:cs="宋体"/>
          <w:sz w:val="21"/>
          <w:szCs w:val="21"/>
        </w:rPr>
      </w:pPr>
      <w:r>
        <w:rPr>
          <w:rFonts w:hint="eastAsia" w:ascii="宋体" w:hAnsi="宋体" w:eastAsia="宋体" w:cs="宋体"/>
          <w:sz w:val="21"/>
          <w:szCs w:val="21"/>
        </w:rPr>
        <w:t>系统功能改造</w:t>
      </w:r>
    </w:p>
    <w:p w14:paraId="034439F3">
      <w:pPr>
        <w:spacing w:line="360" w:lineRule="auto"/>
        <w:ind w:firstLine="420" w:firstLineChars="200"/>
        <w:rPr>
          <w:rFonts w:hint="eastAsia" w:ascii="宋体" w:hAnsi="宋体" w:cs="宋体"/>
          <w:szCs w:val="21"/>
        </w:rPr>
      </w:pPr>
      <w:r>
        <w:rPr>
          <w:rFonts w:hint="eastAsia" w:ascii="宋体" w:hAnsi="宋体" w:cs="宋体"/>
          <w:szCs w:val="21"/>
        </w:rPr>
        <w:t>1）强化统一用户支撑</w:t>
      </w:r>
    </w:p>
    <w:p w14:paraId="7D07BEDC">
      <w:pPr>
        <w:spacing w:line="360" w:lineRule="auto"/>
        <w:ind w:firstLine="420" w:firstLineChars="200"/>
        <w:rPr>
          <w:rFonts w:hint="eastAsia" w:ascii="宋体" w:hAnsi="宋体" w:cs="宋体"/>
          <w:szCs w:val="21"/>
        </w:rPr>
      </w:pPr>
      <w:r>
        <w:rPr>
          <w:rFonts w:hint="eastAsia" w:ascii="宋体" w:hAnsi="宋体" w:cs="宋体"/>
          <w:szCs w:val="21"/>
        </w:rPr>
        <w:t>为构建全县水利行业用户统一认证机制，实现用户分类分级管理。</w:t>
      </w:r>
    </w:p>
    <w:p w14:paraId="3805FC38">
      <w:pPr>
        <w:spacing w:line="360" w:lineRule="auto"/>
        <w:ind w:firstLine="420" w:firstLineChars="200"/>
        <w:rPr>
          <w:rFonts w:hint="eastAsia" w:ascii="宋体" w:hAnsi="宋体" w:cs="宋体"/>
          <w:szCs w:val="21"/>
        </w:rPr>
      </w:pPr>
      <w:r>
        <w:rPr>
          <w:rFonts w:hint="eastAsia" w:ascii="宋体" w:hAnsi="宋体" w:cs="宋体"/>
          <w:szCs w:val="21"/>
        </w:rPr>
        <w:t>2）统一安全支撑</w:t>
      </w:r>
    </w:p>
    <w:p w14:paraId="1476C199">
      <w:pPr>
        <w:spacing w:line="360" w:lineRule="auto"/>
        <w:ind w:firstLine="420" w:firstLineChars="200"/>
        <w:rPr>
          <w:rFonts w:hint="eastAsia" w:ascii="宋体" w:hAnsi="宋体" w:cs="宋体"/>
          <w:szCs w:val="21"/>
        </w:rPr>
      </w:pPr>
      <w:r>
        <w:rPr>
          <w:rFonts w:hint="eastAsia" w:ascii="宋体" w:hAnsi="宋体" w:cs="宋体"/>
          <w:szCs w:val="21"/>
        </w:rPr>
        <w:t>按照信息化平台安全运行维护规范，提升自身数据和应用安全防护能力，对重要数据资源和应用实行分级分类安全管理。</w:t>
      </w:r>
    </w:p>
    <w:p w14:paraId="5DF6CFD7">
      <w:pPr>
        <w:pStyle w:val="6"/>
        <w:spacing w:line="360" w:lineRule="auto"/>
        <w:rPr>
          <w:rFonts w:hint="eastAsia" w:ascii="宋体" w:hAnsi="宋体" w:eastAsia="宋体" w:cs="宋体"/>
          <w:sz w:val="21"/>
          <w:szCs w:val="21"/>
        </w:rPr>
      </w:pPr>
      <w:r>
        <w:rPr>
          <w:rFonts w:hint="eastAsia" w:ascii="宋体" w:hAnsi="宋体" w:eastAsia="宋体" w:cs="宋体"/>
          <w:sz w:val="21"/>
          <w:szCs w:val="21"/>
        </w:rPr>
        <w:t>历史数据迁移</w:t>
      </w:r>
    </w:p>
    <w:p w14:paraId="6D238713">
      <w:pPr>
        <w:spacing w:line="360" w:lineRule="auto"/>
        <w:ind w:firstLine="420" w:firstLineChars="200"/>
        <w:rPr>
          <w:rFonts w:hint="eastAsia" w:ascii="宋体" w:hAnsi="宋体" w:cs="宋体"/>
          <w:szCs w:val="21"/>
        </w:rPr>
      </w:pPr>
      <w:r>
        <w:rPr>
          <w:rFonts w:hint="eastAsia" w:ascii="宋体" w:hAnsi="宋体" w:cs="宋体"/>
          <w:szCs w:val="21"/>
        </w:rPr>
        <w:t>由于数据库软件将更换成信创数据库，因此原有数据库中的相关数据需要迁移到信创数据库中，本项目需要迁移水管理平台所有数据至信创云服务器。</w:t>
      </w:r>
    </w:p>
    <w:p w14:paraId="7DE407AC">
      <w:pPr>
        <w:pStyle w:val="6"/>
        <w:spacing w:line="360" w:lineRule="auto"/>
        <w:rPr>
          <w:rFonts w:hint="eastAsia" w:ascii="宋体" w:hAnsi="宋体" w:eastAsia="宋体" w:cs="宋体"/>
          <w:sz w:val="21"/>
          <w:szCs w:val="21"/>
        </w:rPr>
      </w:pPr>
      <w:r>
        <w:rPr>
          <w:rFonts w:hint="eastAsia" w:ascii="宋体" w:hAnsi="宋体" w:eastAsia="宋体" w:cs="宋体"/>
          <w:sz w:val="21"/>
          <w:szCs w:val="21"/>
        </w:rPr>
        <w:t>农村供水业务联动</w:t>
      </w:r>
    </w:p>
    <w:p w14:paraId="541F6AB1">
      <w:pPr>
        <w:spacing w:line="360" w:lineRule="auto"/>
        <w:ind w:firstLine="420" w:firstLineChars="200"/>
        <w:rPr>
          <w:rFonts w:hint="eastAsia" w:ascii="宋体" w:hAnsi="宋体" w:cs="宋体"/>
          <w:szCs w:val="21"/>
        </w:rPr>
      </w:pPr>
      <w:r>
        <w:rPr>
          <w:rFonts w:hint="eastAsia" w:ascii="宋体" w:hAnsi="宋体" w:cs="宋体"/>
          <w:szCs w:val="21"/>
        </w:rPr>
        <w:t>按照《浙里“九龙联动治水”应用市县贯通业务需求》，实现从上至下的业务纵向贯通；分类归纳各业务应用入口的基础上，以GIS地图为依托，建设“宁水安全”、“宁水好喝”、“宁水美丽”、“宁水节约”、“宁水畅通”、“宁水清廉”、“宁水文化”等专题看板，分门别类展示不同治水业务条线重要数据和信息，支持地图与看板数据联动。搭建“建设投资”、“民生实事”、“水利问题七张清单”3个水利建设看板，展示水利建设计划进度情况。</w:t>
      </w:r>
    </w:p>
    <w:p w14:paraId="30081AE8">
      <w:pPr>
        <w:spacing w:line="360" w:lineRule="auto"/>
        <w:ind w:firstLine="420" w:firstLineChars="200"/>
        <w:rPr>
          <w:rFonts w:hint="eastAsia" w:ascii="宋体" w:hAnsi="宋体" w:cs="宋体"/>
          <w:szCs w:val="21"/>
        </w:rPr>
      </w:pPr>
      <w:r>
        <w:rPr>
          <w:rFonts w:hint="eastAsia" w:ascii="宋体" w:hAnsi="宋体" w:cs="宋体"/>
          <w:szCs w:val="21"/>
        </w:rPr>
        <w:t>1）“宁水安全”专题看板</w:t>
      </w:r>
    </w:p>
    <w:p w14:paraId="076E402C">
      <w:pPr>
        <w:spacing w:line="360" w:lineRule="auto"/>
        <w:ind w:firstLine="420" w:firstLineChars="200"/>
        <w:rPr>
          <w:rFonts w:hint="eastAsia" w:ascii="宋体" w:hAnsi="宋体" w:cs="宋体"/>
          <w:szCs w:val="21"/>
        </w:rPr>
      </w:pPr>
      <w:r>
        <w:rPr>
          <w:rFonts w:hint="eastAsia" w:ascii="宋体" w:hAnsi="宋体" w:cs="宋体"/>
          <w:szCs w:val="21"/>
        </w:rPr>
        <w:t>抽取水灾害防御业务应用核心数据，展示宁海县降雨情况，山洪、水库、河道预警情况等水灾害相关数据。</w:t>
      </w:r>
    </w:p>
    <w:p w14:paraId="4AA32890">
      <w:pPr>
        <w:spacing w:line="360" w:lineRule="auto"/>
        <w:ind w:firstLine="420" w:firstLineChars="200"/>
        <w:rPr>
          <w:rFonts w:hint="eastAsia" w:ascii="宋体" w:hAnsi="宋体" w:cs="宋体"/>
          <w:szCs w:val="21"/>
        </w:rPr>
      </w:pPr>
      <w:r>
        <w:rPr>
          <w:rFonts w:hint="eastAsia" w:ascii="宋体" w:hAnsi="宋体" w:cs="宋体"/>
          <w:szCs w:val="21"/>
        </w:rPr>
        <w:t>2）“宁水好喝”专题看板</w:t>
      </w:r>
    </w:p>
    <w:p w14:paraId="5A1A9C2F">
      <w:pPr>
        <w:spacing w:line="360" w:lineRule="auto"/>
        <w:ind w:firstLine="420" w:firstLineChars="200"/>
        <w:rPr>
          <w:rFonts w:hint="eastAsia" w:ascii="宋体" w:hAnsi="宋体" w:cs="宋体"/>
          <w:szCs w:val="21"/>
        </w:rPr>
      </w:pPr>
      <w:r>
        <w:rPr>
          <w:rFonts w:hint="eastAsia" w:ascii="宋体" w:hAnsi="宋体" w:cs="宋体"/>
          <w:szCs w:val="21"/>
        </w:rPr>
        <w:t>围绕宁海供水基础情况、已有管理应用，建设宁水好喝专题看板，综合展示宁海城乡供水水厂及水源地运行管理相关核心要素，包括供水概况、水质检测等数据信息。</w:t>
      </w:r>
    </w:p>
    <w:p w14:paraId="782C8BE5">
      <w:pPr>
        <w:spacing w:line="360" w:lineRule="auto"/>
        <w:ind w:firstLine="420" w:firstLineChars="200"/>
        <w:rPr>
          <w:rFonts w:hint="eastAsia" w:ascii="宋体" w:hAnsi="宋体" w:cs="宋体"/>
          <w:szCs w:val="21"/>
        </w:rPr>
      </w:pPr>
      <w:r>
        <w:rPr>
          <w:rFonts w:hint="eastAsia" w:ascii="宋体" w:hAnsi="宋体" w:cs="宋体"/>
          <w:szCs w:val="21"/>
        </w:rPr>
        <w:t>3）“宁水美丽”专题看板</w:t>
      </w:r>
    </w:p>
    <w:p w14:paraId="3C994DD1">
      <w:pPr>
        <w:spacing w:line="360" w:lineRule="auto"/>
        <w:ind w:firstLine="420" w:firstLineChars="200"/>
        <w:rPr>
          <w:rFonts w:hint="eastAsia" w:ascii="宋体" w:hAnsi="宋体" w:cs="宋体"/>
          <w:szCs w:val="21"/>
        </w:rPr>
      </w:pPr>
      <w:r>
        <w:rPr>
          <w:rFonts w:hint="eastAsia" w:ascii="宋体" w:hAnsi="宋体" w:cs="宋体"/>
          <w:szCs w:val="21"/>
        </w:rPr>
        <w:t>围绕河长履职情况、断面水质和河湖健康指数三方面相关重要信息进行展示，聚焦河湖长制、河湖事件管控与河湖断面水质相关工作，展示河长、河湖问题、河湖水质的相关信息。</w:t>
      </w:r>
    </w:p>
    <w:p w14:paraId="0DC03947">
      <w:pPr>
        <w:spacing w:line="360" w:lineRule="auto"/>
        <w:ind w:firstLine="420" w:firstLineChars="200"/>
        <w:rPr>
          <w:rFonts w:hint="eastAsia" w:ascii="宋体" w:hAnsi="宋体" w:cs="宋体"/>
          <w:szCs w:val="21"/>
        </w:rPr>
      </w:pPr>
      <w:r>
        <w:rPr>
          <w:rFonts w:hint="eastAsia" w:ascii="宋体" w:hAnsi="宋体" w:cs="宋体"/>
          <w:szCs w:val="21"/>
        </w:rPr>
        <w:t>4）“宁水节约”专题看板</w:t>
      </w:r>
    </w:p>
    <w:p w14:paraId="59E49D74">
      <w:pPr>
        <w:spacing w:line="360" w:lineRule="auto"/>
        <w:ind w:firstLine="420" w:firstLineChars="200"/>
        <w:rPr>
          <w:rFonts w:hint="eastAsia" w:ascii="宋体" w:hAnsi="宋体" w:cs="宋体"/>
          <w:szCs w:val="21"/>
        </w:rPr>
      </w:pPr>
      <w:r>
        <w:rPr>
          <w:rFonts w:hint="eastAsia" w:ascii="宋体" w:hAnsi="宋体" w:cs="宋体"/>
          <w:szCs w:val="21"/>
        </w:rPr>
        <w:t>接入宁海县水资源管理应用核心数据，展示宁海县水资源取用情况。包括水资源态势、水资源量、用水双控等信息。</w:t>
      </w:r>
    </w:p>
    <w:p w14:paraId="0DA7CB8B">
      <w:pPr>
        <w:spacing w:line="360" w:lineRule="auto"/>
        <w:ind w:firstLine="420" w:firstLineChars="200"/>
        <w:rPr>
          <w:rFonts w:hint="eastAsia" w:ascii="宋体" w:hAnsi="宋体" w:cs="宋体"/>
          <w:szCs w:val="21"/>
        </w:rPr>
      </w:pPr>
      <w:r>
        <w:rPr>
          <w:rFonts w:hint="eastAsia" w:ascii="宋体" w:hAnsi="宋体" w:cs="宋体"/>
          <w:szCs w:val="21"/>
        </w:rPr>
        <w:t>5）“宁水畅通”专题看板</w:t>
      </w:r>
    </w:p>
    <w:p w14:paraId="5005B2C2">
      <w:pPr>
        <w:spacing w:line="360" w:lineRule="auto"/>
        <w:ind w:firstLine="420" w:firstLineChars="200"/>
        <w:rPr>
          <w:rFonts w:hint="eastAsia" w:ascii="宋体" w:hAnsi="宋体" w:cs="宋体"/>
          <w:szCs w:val="21"/>
        </w:rPr>
      </w:pPr>
      <w:r>
        <w:rPr>
          <w:rFonts w:hint="eastAsia" w:ascii="宋体" w:hAnsi="宋体" w:cs="宋体"/>
          <w:szCs w:val="21"/>
        </w:rPr>
        <w:t>管控宁海水网，掌握水利工程情况，集中展示宁海水网要素信息，包括宁海水库概况，水库风险、水利工程分布等。</w:t>
      </w:r>
    </w:p>
    <w:p w14:paraId="6CB26DA0">
      <w:pPr>
        <w:spacing w:line="360" w:lineRule="auto"/>
        <w:ind w:firstLine="420" w:firstLineChars="200"/>
        <w:rPr>
          <w:rFonts w:hint="eastAsia" w:ascii="宋体" w:hAnsi="宋体" w:cs="宋体"/>
          <w:szCs w:val="21"/>
        </w:rPr>
      </w:pPr>
      <w:r>
        <w:rPr>
          <w:rFonts w:hint="eastAsia" w:ascii="宋体" w:hAnsi="宋体" w:cs="宋体"/>
          <w:szCs w:val="21"/>
        </w:rPr>
        <w:t>6）“宁水清廉”专题看板</w:t>
      </w:r>
    </w:p>
    <w:p w14:paraId="63465AFA">
      <w:pPr>
        <w:spacing w:line="360" w:lineRule="auto"/>
        <w:ind w:firstLine="420" w:firstLineChars="200"/>
        <w:rPr>
          <w:rFonts w:hint="eastAsia" w:ascii="宋体" w:hAnsi="宋体" w:cs="宋体"/>
          <w:szCs w:val="21"/>
        </w:rPr>
      </w:pPr>
      <w:r>
        <w:rPr>
          <w:rFonts w:hint="eastAsia" w:ascii="宋体" w:hAnsi="宋体" w:cs="宋体"/>
          <w:szCs w:val="21"/>
        </w:rPr>
        <w:t>接入“透明工程”核心数据，展示宁海县建设项目的建设过程信息。</w:t>
      </w:r>
    </w:p>
    <w:p w14:paraId="7A201CF2">
      <w:pPr>
        <w:spacing w:line="360" w:lineRule="auto"/>
        <w:ind w:firstLine="420" w:firstLineChars="200"/>
        <w:rPr>
          <w:rFonts w:hint="eastAsia" w:ascii="宋体" w:hAnsi="宋体" w:cs="宋体"/>
          <w:szCs w:val="21"/>
        </w:rPr>
      </w:pPr>
      <w:r>
        <w:rPr>
          <w:rFonts w:hint="eastAsia" w:ascii="宋体" w:hAnsi="宋体" w:cs="宋体"/>
          <w:szCs w:val="21"/>
        </w:rPr>
        <w:t>7）“宁水文化”专题看板</w:t>
      </w:r>
    </w:p>
    <w:p w14:paraId="7E53E295">
      <w:pPr>
        <w:spacing w:line="360" w:lineRule="auto"/>
        <w:ind w:firstLine="420" w:firstLineChars="200"/>
        <w:rPr>
          <w:rFonts w:hint="eastAsia" w:ascii="宋体" w:hAnsi="宋体" w:cs="宋体"/>
          <w:szCs w:val="21"/>
        </w:rPr>
      </w:pPr>
      <w:r>
        <w:rPr>
          <w:rFonts w:hint="eastAsia" w:ascii="宋体" w:hAnsi="宋体" w:cs="宋体"/>
          <w:szCs w:val="21"/>
        </w:rPr>
        <w:t>接入省级“浙水文化”核心数据，展示宁海县水文化信息。</w:t>
      </w:r>
    </w:p>
    <w:p w14:paraId="6FCD801F">
      <w:pPr>
        <w:spacing w:line="360" w:lineRule="auto"/>
        <w:ind w:firstLine="420" w:firstLineChars="200"/>
        <w:rPr>
          <w:rFonts w:hint="eastAsia" w:ascii="宋体" w:hAnsi="宋体" w:cs="宋体"/>
          <w:szCs w:val="21"/>
        </w:rPr>
      </w:pPr>
      <w:r>
        <w:rPr>
          <w:rFonts w:hint="eastAsia" w:ascii="宋体" w:hAnsi="宋体" w:cs="宋体"/>
          <w:szCs w:val="21"/>
        </w:rPr>
        <w:t>8）省级应用数据看板</w:t>
      </w:r>
    </w:p>
    <w:p w14:paraId="315EDAD5">
      <w:pPr>
        <w:spacing w:line="360" w:lineRule="auto"/>
        <w:ind w:firstLine="420" w:firstLineChars="200"/>
        <w:rPr>
          <w:rFonts w:hint="eastAsia" w:ascii="宋体" w:hAnsi="宋体" w:cs="宋体"/>
          <w:szCs w:val="21"/>
        </w:rPr>
      </w:pPr>
      <w:r>
        <w:rPr>
          <w:rFonts w:hint="eastAsia" w:ascii="宋体" w:hAnsi="宋体" w:cs="宋体"/>
          <w:szCs w:val="21"/>
        </w:rPr>
        <w:t>展示宁海县水利项目水利投资、资金来源等相关信息。结合水利民生实事，将人民群众最关注的水利信息集中展示。根据省水利问题七张清单应用，展示水利问题相关信息。</w:t>
      </w:r>
    </w:p>
    <w:p w14:paraId="7F20B3CA">
      <w:pPr>
        <w:spacing w:line="360" w:lineRule="auto"/>
        <w:ind w:firstLine="420" w:firstLineChars="200"/>
        <w:rPr>
          <w:rFonts w:hint="eastAsia" w:ascii="宋体" w:hAnsi="宋体" w:cs="宋体"/>
          <w:szCs w:val="21"/>
        </w:rPr>
      </w:pPr>
      <w:r>
        <w:rPr>
          <w:rFonts w:hint="eastAsia" w:ascii="宋体" w:hAnsi="宋体" w:cs="宋体"/>
          <w:szCs w:val="21"/>
        </w:rPr>
        <w:t>9）预警事件</w:t>
      </w:r>
    </w:p>
    <w:p w14:paraId="68A9DE7B">
      <w:pPr>
        <w:spacing w:line="360" w:lineRule="auto"/>
        <w:ind w:firstLine="420" w:firstLineChars="200"/>
        <w:sectPr>
          <w:headerReference r:id="rId8" w:type="default"/>
          <w:footerReference r:id="rId9" w:type="default"/>
          <w:pgSz w:w="11906" w:h="16838"/>
          <w:pgMar w:top="1474" w:right="1701" w:bottom="1474" w:left="1701" w:header="851" w:footer="992" w:gutter="0"/>
          <w:pgNumType w:fmt="decimal" w:start="1"/>
          <w:cols w:space="425" w:num="1"/>
          <w:docGrid w:type="lines" w:linePitch="312" w:charSpace="0"/>
        </w:sectPr>
      </w:pPr>
      <w:r>
        <w:rPr>
          <w:rFonts w:hint="eastAsia" w:ascii="宋体" w:hAnsi="宋体" w:cs="宋体"/>
          <w:szCs w:val="21"/>
        </w:rPr>
        <w:t>整合接入宁水安全、宁水好喝业务条线预警信息，通过地图展示当前涉水预警事件，支持前往业务系统查看详细处置状态。</w:t>
      </w:r>
    </w:p>
    <w:p w14:paraId="3DB0FAF0">
      <w:pPr>
        <w:pStyle w:val="3"/>
        <w:jc w:val="center"/>
        <w:rPr>
          <w:rFonts w:hint="eastAsia"/>
        </w:rPr>
      </w:pPr>
      <w:r>
        <w:rPr>
          <w:rFonts w:hint="eastAsia"/>
        </w:rPr>
        <w:t>详细清单</w:t>
      </w:r>
    </w:p>
    <w:tbl>
      <w:tblPr>
        <w:tblStyle w:val="33"/>
        <w:tblW w:w="88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05"/>
        <w:gridCol w:w="4272"/>
        <w:gridCol w:w="180"/>
        <w:gridCol w:w="735"/>
        <w:gridCol w:w="120"/>
        <w:gridCol w:w="765"/>
      </w:tblGrid>
      <w:tr w14:paraId="145D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0A5031F">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序号</w:t>
            </w:r>
          </w:p>
        </w:tc>
        <w:tc>
          <w:tcPr>
            <w:tcW w:w="2205" w:type="dxa"/>
            <w:shd w:val="clear" w:color="auto" w:fill="FFFFFF"/>
            <w:vAlign w:val="center"/>
          </w:tcPr>
          <w:p w14:paraId="6AD2B8B5">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货物名称</w:t>
            </w:r>
          </w:p>
        </w:tc>
        <w:tc>
          <w:tcPr>
            <w:tcW w:w="4272" w:type="dxa"/>
            <w:shd w:val="clear" w:color="auto" w:fill="FFFFFF"/>
            <w:vAlign w:val="center"/>
          </w:tcPr>
          <w:p w14:paraId="075F7CA1">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参数规格</w:t>
            </w:r>
          </w:p>
        </w:tc>
        <w:tc>
          <w:tcPr>
            <w:tcW w:w="915" w:type="dxa"/>
            <w:gridSpan w:val="2"/>
            <w:shd w:val="clear" w:color="auto" w:fill="FFFFFF"/>
            <w:vAlign w:val="center"/>
          </w:tcPr>
          <w:p w14:paraId="10C8B356">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单位</w:t>
            </w:r>
          </w:p>
        </w:tc>
        <w:tc>
          <w:tcPr>
            <w:tcW w:w="885" w:type="dxa"/>
            <w:gridSpan w:val="2"/>
            <w:shd w:val="clear" w:color="auto" w:fill="FFFFFF"/>
            <w:vAlign w:val="center"/>
          </w:tcPr>
          <w:p w14:paraId="0CF32F0E">
            <w:pPr>
              <w:widowControl/>
              <w:jc w:val="center"/>
              <w:textAlignment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数量</w:t>
            </w:r>
          </w:p>
        </w:tc>
      </w:tr>
      <w:tr w14:paraId="769A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877" w:type="dxa"/>
            <w:gridSpan w:val="7"/>
            <w:shd w:val="clear" w:color="auto" w:fill="FFFFFF"/>
            <w:vAlign w:val="center"/>
          </w:tcPr>
          <w:p w14:paraId="714CDD51">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硬件部分</w:t>
            </w:r>
          </w:p>
        </w:tc>
      </w:tr>
      <w:tr w14:paraId="4557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77" w:type="dxa"/>
            <w:gridSpan w:val="7"/>
            <w:tcBorders>
              <w:bottom w:val="nil"/>
            </w:tcBorders>
            <w:shd w:val="clear" w:color="auto" w:fill="FFFFFF"/>
            <w:vAlign w:val="center"/>
          </w:tcPr>
          <w:p w14:paraId="56DB30B7">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 w:val="0"/>
                <w:bCs w:val="0"/>
                <w:color w:val="000000" w:themeColor="text1"/>
                <w:sz w:val="18"/>
                <w:szCs w:val="18"/>
                <w14:textFill>
                  <w14:solidFill>
                    <w14:schemeClr w14:val="tx1"/>
                  </w14:solidFill>
                </w14:textFill>
              </w:rPr>
              <w:t>供水站（厂）感知监测</w:t>
            </w:r>
          </w:p>
        </w:tc>
      </w:tr>
      <w:tr w14:paraId="6A85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8877" w:type="dxa"/>
            <w:gridSpan w:val="7"/>
            <w:shd w:val="clear" w:color="auto" w:fill="FFFFFF"/>
            <w:vAlign w:val="center"/>
          </w:tcPr>
          <w:p w14:paraId="01AB2562">
            <w:pPr>
              <w:jc w:val="left"/>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1、水源地监测提升</w:t>
            </w:r>
          </w:p>
        </w:tc>
      </w:tr>
      <w:tr w14:paraId="1E49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3" w:hRule="atLeast"/>
        </w:trPr>
        <w:tc>
          <w:tcPr>
            <w:tcW w:w="600" w:type="dxa"/>
            <w:shd w:val="clear" w:color="auto" w:fill="FFFFFF"/>
            <w:vAlign w:val="center"/>
          </w:tcPr>
          <w:p w14:paraId="2BED4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shd w:val="clear" w:color="auto" w:fill="FFFFFF"/>
            <w:vAlign w:val="center"/>
          </w:tcPr>
          <w:p w14:paraId="54692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北斗通信模块  </w:t>
            </w:r>
          </w:p>
        </w:tc>
        <w:tc>
          <w:tcPr>
            <w:tcW w:w="4452" w:type="dxa"/>
            <w:gridSpan w:val="2"/>
            <w:shd w:val="clear" w:color="auto" w:fill="FFFFFF"/>
            <w:vAlign w:val="center"/>
          </w:tcPr>
          <w:p w14:paraId="68B9A5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1.具有北斗三号 RDSS 通信功能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2.具有邻频抗干扰功能，主要对 4G 和 WIFI 信号有抑制功能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3.RDSS 通信成功率：≥95％（暗室测试）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4.接收灵敏度：对于专用段 24kbps 信息帧，误码率：≤1×10-5 （信号功率-153dBW）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5.发射信号 EIRP 值：3 dBW≤EIRP≤13dBW（方位角 0°～360°，仰角 20°～90°时，含 20°和 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6.RNSS 捕获灵敏度≤-133dBm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7.RNSS定位精度：水平定位精度优于 5m，高程定位精度优于 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8.首次定位时间：冷启动≤35s，热启动≤2s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9.提供专线数据推送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10.通过北斗卫星导航产品1001质量检测中心检测并取得检验报告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11.通过《水利北斗短报文通信规约（试行）》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12.通过《北斗三号区域短报文民用终端入网检测规程》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RNSS性能指标：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13.定位频点：北斗三号:B1C、北斗二号 :B1I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14.定位精度:≤2.5M CEP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15.速度:≤0.1m/s CEP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16.1pps精度:≤20ns</w:t>
            </w:r>
          </w:p>
          <w:p w14:paraId="6BE86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17.热启动:≤1s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18.灵敏度:冷启动: ≥-148dBm；热启动:≥-155dBm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19.速度:≤515m/s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整机性能指标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20.一体机尺寸：≤Φ136mm±1mm×93mm±1mm （不含支脚、接插座）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21.三防：IP67防护等级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22.供电要求：9-36V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环境适应性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23.工作温度:-20℃~+70℃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24.存储温度:-40℃~+85℃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25.防水防尘等级:IP67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北斗星通|神州天鸿|北斗天汇</w:t>
            </w:r>
          </w:p>
        </w:tc>
        <w:tc>
          <w:tcPr>
            <w:tcW w:w="855" w:type="dxa"/>
            <w:gridSpan w:val="2"/>
            <w:shd w:val="clear" w:color="auto" w:fill="FFFFFF"/>
            <w:vAlign w:val="center"/>
          </w:tcPr>
          <w:p w14:paraId="6A7EA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4EC64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C7F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3" w:hRule="atLeast"/>
        </w:trPr>
        <w:tc>
          <w:tcPr>
            <w:tcW w:w="600" w:type="dxa"/>
            <w:shd w:val="clear" w:color="auto" w:fill="FFFFFF"/>
            <w:vAlign w:val="center"/>
          </w:tcPr>
          <w:p w14:paraId="44580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shd w:val="clear" w:color="auto" w:fill="FFFFFF"/>
            <w:vAlign w:val="center"/>
          </w:tcPr>
          <w:p w14:paraId="66E96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太阳能电池</w:t>
            </w:r>
          </w:p>
        </w:tc>
        <w:tc>
          <w:tcPr>
            <w:tcW w:w="4452" w:type="dxa"/>
            <w:gridSpan w:val="2"/>
            <w:shd w:val="clear" w:color="auto" w:fill="FFFFFF"/>
            <w:vAlign w:val="center"/>
          </w:tcPr>
          <w:p w14:paraId="0C93A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太阳能供电系统改造  100W/80Ah，含太阳能支架</w:t>
            </w:r>
          </w:p>
        </w:tc>
        <w:tc>
          <w:tcPr>
            <w:tcW w:w="855" w:type="dxa"/>
            <w:gridSpan w:val="2"/>
            <w:shd w:val="clear" w:color="auto" w:fill="FFFFFF"/>
            <w:vAlign w:val="center"/>
          </w:tcPr>
          <w:p w14:paraId="3631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407316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BDD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00" w:type="dxa"/>
            <w:shd w:val="clear" w:color="auto" w:fill="FFFFFF"/>
            <w:vAlign w:val="center"/>
          </w:tcPr>
          <w:p w14:paraId="2CC91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shd w:val="clear" w:color="auto" w:fill="FFFFFF"/>
            <w:vAlign w:val="center"/>
          </w:tcPr>
          <w:p w14:paraId="48F0A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北斗通讯费</w:t>
            </w:r>
          </w:p>
        </w:tc>
        <w:tc>
          <w:tcPr>
            <w:tcW w:w="4452" w:type="dxa"/>
            <w:gridSpan w:val="2"/>
            <w:shd w:val="clear" w:color="auto" w:fill="FFFFFF"/>
            <w:vAlign w:val="center"/>
          </w:tcPr>
          <w:p w14:paraId="0A5EF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北斗通讯费</w:t>
            </w:r>
          </w:p>
        </w:tc>
        <w:tc>
          <w:tcPr>
            <w:tcW w:w="855" w:type="dxa"/>
            <w:gridSpan w:val="2"/>
            <w:shd w:val="clear" w:color="auto" w:fill="FFFFFF"/>
            <w:vAlign w:val="center"/>
          </w:tcPr>
          <w:p w14:paraId="496CC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5ACE8C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C92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00" w:type="dxa"/>
            <w:shd w:val="clear" w:color="auto" w:fill="FFFFFF"/>
            <w:vAlign w:val="center"/>
          </w:tcPr>
          <w:p w14:paraId="07E4B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shd w:val="clear" w:color="auto" w:fill="FFFFFF"/>
            <w:vAlign w:val="center"/>
          </w:tcPr>
          <w:p w14:paraId="36017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配套安装及附件</w:t>
            </w:r>
          </w:p>
        </w:tc>
        <w:tc>
          <w:tcPr>
            <w:tcW w:w="4452" w:type="dxa"/>
            <w:gridSpan w:val="2"/>
            <w:shd w:val="clear" w:color="auto" w:fill="FFFFFF"/>
            <w:vAlign w:val="center"/>
          </w:tcPr>
          <w:p w14:paraId="1E06D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配套安装及附件  供电、信号线缆，保护套管、安装调试等</w:t>
            </w:r>
          </w:p>
        </w:tc>
        <w:tc>
          <w:tcPr>
            <w:tcW w:w="855" w:type="dxa"/>
            <w:gridSpan w:val="2"/>
            <w:shd w:val="clear" w:color="auto" w:fill="FFFFFF"/>
            <w:vAlign w:val="center"/>
          </w:tcPr>
          <w:p w14:paraId="764C3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765" w:type="dxa"/>
            <w:shd w:val="clear" w:color="auto" w:fill="FFFFFF"/>
            <w:vAlign w:val="center"/>
          </w:tcPr>
          <w:p w14:paraId="38B8F7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13B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8877" w:type="dxa"/>
            <w:gridSpan w:val="7"/>
            <w:shd w:val="clear" w:color="auto" w:fill="FFFFFF"/>
            <w:vAlign w:val="center"/>
          </w:tcPr>
          <w:p w14:paraId="2AE4269B">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2、水池液位监测</w:t>
            </w:r>
          </w:p>
        </w:tc>
      </w:tr>
      <w:tr w14:paraId="0B10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5" w:hRule="atLeast"/>
        </w:trPr>
        <w:tc>
          <w:tcPr>
            <w:tcW w:w="600" w:type="dxa"/>
            <w:shd w:val="clear" w:color="auto" w:fill="FFFFFF"/>
            <w:vAlign w:val="center"/>
          </w:tcPr>
          <w:p w14:paraId="195FA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shd w:val="clear" w:color="auto" w:fill="FFFFFF"/>
            <w:vAlign w:val="center"/>
          </w:tcPr>
          <w:p w14:paraId="528D9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投入式液位计  </w:t>
            </w:r>
          </w:p>
        </w:tc>
        <w:tc>
          <w:tcPr>
            <w:tcW w:w="4452" w:type="dxa"/>
            <w:gridSpan w:val="2"/>
            <w:shd w:val="clear" w:color="auto" w:fill="FFFFFF"/>
            <w:vAlign w:val="center"/>
          </w:tcPr>
          <w:p w14:paraId="55F0BA85">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仪器测量量程:10m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2.水位测量精度：＜0.05% FS，水位测量准确度:在0~10m测量范围检测点40个，最大误差为0.5cm，且符合水文行业1级精度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3.水位分辨率：1毫米。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4.水温测量精度：0.2度且水温准确性在水温15℃~40℃范围内，水温最大误差＜ 0.1℃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5.温度测量分辨率：0.05℃。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6.电导率精度：1.5%F·S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7.探头工作温度范围：-40℃～+80℃。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8.时钟误差：不大于±10s（10d）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9.具有外接电源供电功能，外部电池与内部电池可自动切换功能，并有电源反接保护功能；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10.外部供电工作电压范围：9V～30V。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11.外壳材质：316L不锈钢或其它更高的防腐蚀等级的材料。</w:t>
            </w:r>
          </w:p>
          <w:p w14:paraId="71862DCB">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12.★符合GB/T 11828.2-2005《水位测量仪器 第2部分：压力式水位计》要求，提供水利部水文仪器及岩土工程仪器质量监督检验测试中心出具的检测报告，提供复印件并加盖原厂公章；</w:t>
            </w:r>
          </w:p>
          <w:p w14:paraId="257350BE">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13.设备符合GB/T 2423.1-2008《电工电子产品环境试验第2部分:试验方法 试验A：低温》和GB/T 2423.2-2008《电工电子产品环境试验第2部分 试验方法 试验B：高温》高低温检测标准；</w:t>
            </w:r>
          </w:p>
          <w:p w14:paraId="32282474">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14.压力式水位计防护等级满足IP68要求</w:t>
            </w:r>
          </w:p>
          <w:p w14:paraId="0C605382">
            <w:pPr>
              <w:widowControl/>
              <w:jc w:val="left"/>
              <w:textAlignment w:val="center"/>
              <w:rPr>
                <w:color w:val="auto"/>
              </w:rPr>
            </w:pPr>
            <w:r>
              <w:rPr>
                <w:rFonts w:hint="eastAsia" w:ascii="宋体" w:hAnsi="宋体" w:cs="宋体"/>
                <w:color w:val="auto"/>
                <w:kern w:val="0"/>
                <w:sz w:val="18"/>
                <w:szCs w:val="18"/>
                <w:lang w:bidi="ar"/>
              </w:rPr>
              <w:t>15.符合GB/T 2951.11-2008《电缆和光缆绝缘和护套材料通过试验方法 第11部分》要求，护套老化前抗张强度≥35N/mm²</w:t>
            </w:r>
          </w:p>
          <w:p w14:paraId="533FAB66">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16.★符合JJG（交通）033-2015《水运工程 地下水位计》准确度等级1要求，提供第三方检测机构检测报告复印件并加盖原厂公章</w:t>
            </w:r>
          </w:p>
          <w:p w14:paraId="7EDD0F71">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17.★水位计对介质无污染，产品有利于人体健康及环境保护，提供有资质的检定部门 ROHS认证并加盖原厂公章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恒瑞|润辰|麦克</w:t>
            </w:r>
          </w:p>
        </w:tc>
        <w:tc>
          <w:tcPr>
            <w:tcW w:w="855" w:type="dxa"/>
            <w:gridSpan w:val="2"/>
            <w:shd w:val="clear" w:color="auto" w:fill="FFFFFF"/>
            <w:vAlign w:val="center"/>
          </w:tcPr>
          <w:p w14:paraId="2CFF5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65" w:type="dxa"/>
            <w:shd w:val="clear" w:color="auto" w:fill="FFFFFF"/>
            <w:vAlign w:val="center"/>
          </w:tcPr>
          <w:p w14:paraId="153B1C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4308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600" w:type="dxa"/>
            <w:shd w:val="clear" w:color="auto" w:fill="FFFFFF"/>
            <w:vAlign w:val="center"/>
          </w:tcPr>
          <w:p w14:paraId="475EB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shd w:val="clear" w:color="auto" w:fill="FFFFFF"/>
            <w:vAlign w:val="center"/>
          </w:tcPr>
          <w:p w14:paraId="428E43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遥测终端  </w:t>
            </w:r>
          </w:p>
        </w:tc>
        <w:tc>
          <w:tcPr>
            <w:tcW w:w="4452" w:type="dxa"/>
            <w:gridSpan w:val="2"/>
            <w:shd w:val="clear" w:color="auto" w:fill="FFFFFF"/>
            <w:vAlign w:val="center"/>
          </w:tcPr>
          <w:p w14:paraId="3E11E300">
            <w:pPr>
              <w:keepNext w:val="0"/>
              <w:keepLines w:val="0"/>
              <w:widowControl/>
              <w:numPr>
                <w:ilvl w:val="0"/>
                <w:numId w:val="11"/>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《SZY206-2016 水资源监测数据传输规约》、《SL651-2014 水文监测数据通信规约》；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2.采集和传输一体化,集传统水文水资源监控装置功能与2.5G/3G/4G传输功能于一体，实现水文/水资源数据的采集、存储、显示、控制、报警及传输等综合功能；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2个翻斗式雨量计接口、1个12位格雷码接口、2个RS232接口、2个RS485接口、1个SDI-12接口、8路模拟量输入接口（16位AD、支持4-20mA电流或0-5V电压信号）、8路开关量输入接口、2路开关量输出接口、8路继电器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4.静态值守电流小于1mA；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5.终端支持水利内网，能够接入浙江省水文通信平台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6.内嵌标准TCP/IP协议栈，4个中心同步数据透明传输；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7.长期保存设定参数及历史数据，提供16MB的数据存储空间，同时支持TF卡存储；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8.本地配置方式：支持液晶/键盘配置方式和串口配置</w:t>
            </w:r>
            <w:r>
              <w:rPr>
                <w:rFonts w:hint="eastAsia" w:ascii="宋体" w:hAnsi="宋体" w:eastAsia="宋体" w:cs="宋体"/>
                <w:i w:val="0"/>
                <w:iCs w:val="0"/>
                <w:color w:val="auto"/>
                <w:kern w:val="0"/>
                <w:sz w:val="18"/>
                <w:szCs w:val="18"/>
                <w:u w:val="none"/>
                <w:lang w:val="en-US" w:eastAsia="zh-CN" w:bidi="ar"/>
              </w:rPr>
              <w:t>方式；</w:t>
            </w:r>
          </w:p>
          <w:p w14:paraId="62D886A2">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9.音频报警功率（室外）≥25W；</w:t>
            </w:r>
          </w:p>
          <w:p w14:paraId="20823914">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10.整机平均无故障时间：&gt;50000h。</w:t>
            </w:r>
          </w:p>
          <w:p w14:paraId="4C3EA6E1">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11.★支持水位异常值自动过滤以防误报，提供第三方检测机构检测报告复印件并加盖原厂公章；</w:t>
            </w:r>
          </w:p>
          <w:p w14:paraId="560A8C4C">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12.具备远程人工中断报警和启动报警的功能；</w:t>
            </w:r>
          </w:p>
          <w:p w14:paraId="15437728">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13.工作温度：-40℃至+75℃；</w:t>
            </w:r>
          </w:p>
          <w:p w14:paraId="262A58E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auto"/>
                <w:kern w:val="0"/>
                <w:sz w:val="18"/>
                <w:szCs w:val="18"/>
                <w:lang w:bidi="ar"/>
              </w:rPr>
              <w:t>14.★具有国家版权局颁发的遥测终端嵌入式软件著作权登记证书，提供登记证书扫描件并加盖原厂公章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定川|四信|宏电</w:t>
            </w:r>
          </w:p>
        </w:tc>
        <w:tc>
          <w:tcPr>
            <w:tcW w:w="855" w:type="dxa"/>
            <w:gridSpan w:val="2"/>
            <w:shd w:val="clear" w:color="auto" w:fill="FFFFFF"/>
            <w:vAlign w:val="center"/>
          </w:tcPr>
          <w:p w14:paraId="0864C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0F768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2987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trPr>
        <w:tc>
          <w:tcPr>
            <w:tcW w:w="600" w:type="dxa"/>
            <w:shd w:val="clear" w:color="auto" w:fill="FFFFFF"/>
            <w:vAlign w:val="center"/>
          </w:tcPr>
          <w:p w14:paraId="1C3E1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shd w:val="clear" w:color="auto" w:fill="FFFFFF"/>
            <w:vAlign w:val="center"/>
          </w:tcPr>
          <w:p w14:paraId="7C21C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太阳能供电系统  </w:t>
            </w:r>
          </w:p>
        </w:tc>
        <w:tc>
          <w:tcPr>
            <w:tcW w:w="4452" w:type="dxa"/>
            <w:gridSpan w:val="2"/>
            <w:shd w:val="clear" w:color="auto" w:fill="FFFFFF"/>
            <w:vAlign w:val="center"/>
          </w:tcPr>
          <w:p w14:paraId="34C0F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80W/65Ah</w:t>
            </w:r>
          </w:p>
        </w:tc>
        <w:tc>
          <w:tcPr>
            <w:tcW w:w="855" w:type="dxa"/>
            <w:gridSpan w:val="2"/>
            <w:shd w:val="clear" w:color="auto" w:fill="FFFFFF"/>
            <w:vAlign w:val="center"/>
          </w:tcPr>
          <w:p w14:paraId="28990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1B6172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2EBC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trPr>
        <w:tc>
          <w:tcPr>
            <w:tcW w:w="600" w:type="dxa"/>
            <w:shd w:val="clear" w:color="auto" w:fill="FFFFFF"/>
            <w:vAlign w:val="center"/>
          </w:tcPr>
          <w:p w14:paraId="6182E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shd w:val="clear" w:color="auto" w:fill="FFFFFF"/>
            <w:vAlign w:val="center"/>
          </w:tcPr>
          <w:p w14:paraId="07374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室外设备箱  </w:t>
            </w:r>
          </w:p>
        </w:tc>
        <w:tc>
          <w:tcPr>
            <w:tcW w:w="4452" w:type="dxa"/>
            <w:gridSpan w:val="2"/>
            <w:shd w:val="clear" w:color="auto" w:fill="FFFFFF"/>
            <w:vAlign w:val="center"/>
          </w:tcPr>
          <w:p w14:paraId="53715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400mm*500mm*200mm，304不锈钢，板厚1.5mm，含导轨、空开、继电器、避雷器等</w:t>
            </w:r>
          </w:p>
        </w:tc>
        <w:tc>
          <w:tcPr>
            <w:tcW w:w="855" w:type="dxa"/>
            <w:gridSpan w:val="2"/>
            <w:shd w:val="clear" w:color="auto" w:fill="FFFFFF"/>
            <w:vAlign w:val="center"/>
          </w:tcPr>
          <w:p w14:paraId="0A8E8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18D40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5CB6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600" w:type="dxa"/>
            <w:shd w:val="clear" w:color="auto" w:fill="FFFFFF"/>
            <w:vAlign w:val="center"/>
          </w:tcPr>
          <w:p w14:paraId="6510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shd w:val="clear" w:color="auto" w:fill="FFFFFF"/>
            <w:vAlign w:val="center"/>
          </w:tcPr>
          <w:p w14:paraId="20770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立杆及基础  </w:t>
            </w:r>
          </w:p>
        </w:tc>
        <w:tc>
          <w:tcPr>
            <w:tcW w:w="4452" w:type="dxa"/>
            <w:gridSpan w:val="2"/>
            <w:shd w:val="clear" w:color="auto" w:fill="FFFFFF"/>
            <w:vAlign w:val="center"/>
          </w:tcPr>
          <w:p w14:paraId="2EF5F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定制热镀锌钢管，高度3.5m，壁厚≥3mm；浇筑尺寸：600mm*600mm*800mm；根据现场实际情况开挖及浇筑</w:t>
            </w:r>
          </w:p>
        </w:tc>
        <w:tc>
          <w:tcPr>
            <w:tcW w:w="855" w:type="dxa"/>
            <w:gridSpan w:val="2"/>
            <w:shd w:val="clear" w:color="auto" w:fill="FFFFFF"/>
            <w:vAlign w:val="center"/>
          </w:tcPr>
          <w:p w14:paraId="04F6F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595551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1409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5" w:hRule="atLeast"/>
        </w:trPr>
        <w:tc>
          <w:tcPr>
            <w:tcW w:w="600" w:type="dxa"/>
            <w:shd w:val="clear" w:color="auto" w:fill="FFFFFF"/>
            <w:vAlign w:val="center"/>
          </w:tcPr>
          <w:p w14:paraId="42B61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shd w:val="clear" w:color="auto" w:fill="FFFFFF"/>
            <w:vAlign w:val="center"/>
          </w:tcPr>
          <w:p w14:paraId="177BA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防雷接地  </w:t>
            </w:r>
          </w:p>
        </w:tc>
        <w:tc>
          <w:tcPr>
            <w:tcW w:w="4452" w:type="dxa"/>
            <w:gridSpan w:val="2"/>
            <w:shd w:val="clear" w:color="auto" w:fill="FFFFFF"/>
            <w:vAlign w:val="center"/>
          </w:tcPr>
          <w:p w14:paraId="33C98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定制，电阻不大于10欧姆；垂直接地体采用40×40×4mm热镀锌角钢，长度为2m，水平接地体宜采用40×4mm热镀锌扁钢，接地极埋深不小于0.5m。</w:t>
            </w:r>
          </w:p>
        </w:tc>
        <w:tc>
          <w:tcPr>
            <w:tcW w:w="855" w:type="dxa"/>
            <w:gridSpan w:val="2"/>
            <w:shd w:val="clear" w:color="auto" w:fill="FFFFFF"/>
            <w:vAlign w:val="center"/>
          </w:tcPr>
          <w:p w14:paraId="66158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65" w:type="dxa"/>
            <w:shd w:val="clear" w:color="auto" w:fill="FFFFFF"/>
            <w:vAlign w:val="center"/>
          </w:tcPr>
          <w:p w14:paraId="28F4CA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3947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3DF8F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shd w:val="clear" w:color="auto" w:fill="FFFFFF"/>
            <w:vAlign w:val="center"/>
          </w:tcPr>
          <w:p w14:paraId="33829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通讯费</w:t>
            </w:r>
          </w:p>
        </w:tc>
        <w:tc>
          <w:tcPr>
            <w:tcW w:w="4452" w:type="dxa"/>
            <w:gridSpan w:val="2"/>
            <w:shd w:val="clear" w:color="auto" w:fill="FFFFFF"/>
            <w:vAlign w:val="center"/>
          </w:tcPr>
          <w:p w14:paraId="5C2DB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通讯费  3年，4G通讯费用</w:t>
            </w:r>
          </w:p>
        </w:tc>
        <w:tc>
          <w:tcPr>
            <w:tcW w:w="855" w:type="dxa"/>
            <w:gridSpan w:val="2"/>
            <w:shd w:val="clear" w:color="auto" w:fill="FFFFFF"/>
            <w:vAlign w:val="center"/>
          </w:tcPr>
          <w:p w14:paraId="19E9A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64B9A7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276D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3903F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shd w:val="clear" w:color="auto" w:fill="FFFFFF"/>
            <w:vAlign w:val="center"/>
          </w:tcPr>
          <w:p w14:paraId="04338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2B022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  原水池供电线缆及敷设、信号线缆，保护套管等</w:t>
            </w:r>
          </w:p>
        </w:tc>
        <w:tc>
          <w:tcPr>
            <w:tcW w:w="855" w:type="dxa"/>
            <w:gridSpan w:val="2"/>
            <w:shd w:val="clear" w:color="auto" w:fill="FFFFFF"/>
            <w:vAlign w:val="center"/>
          </w:tcPr>
          <w:p w14:paraId="33EC5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7488E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113A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309DC9B">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3、进水浊度监测</w:t>
            </w:r>
          </w:p>
        </w:tc>
      </w:tr>
      <w:tr w14:paraId="775A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5" w:hRule="atLeast"/>
        </w:trPr>
        <w:tc>
          <w:tcPr>
            <w:tcW w:w="600" w:type="dxa"/>
            <w:shd w:val="clear" w:color="auto" w:fill="FFFFFF"/>
            <w:vAlign w:val="center"/>
          </w:tcPr>
          <w:p w14:paraId="48512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shd w:val="clear" w:color="auto" w:fill="FFFFFF"/>
            <w:vAlign w:val="center"/>
          </w:tcPr>
          <w:p w14:paraId="6BF53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进水浊度仪  </w:t>
            </w:r>
          </w:p>
        </w:tc>
        <w:tc>
          <w:tcPr>
            <w:tcW w:w="4452" w:type="dxa"/>
            <w:gridSpan w:val="2"/>
            <w:shd w:val="clear" w:color="auto" w:fill="FFFFFF"/>
            <w:vAlign w:val="center"/>
          </w:tcPr>
          <w:p w14:paraId="0849F3E3">
            <w:pPr>
              <w:widowControl/>
              <w:jc w:val="left"/>
              <w:textAlignment w:val="center"/>
              <w:rPr>
                <w:rFonts w:hint="eastAsia" w:ascii="宋体" w:hAnsi="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1.测量原理： 90°光散射法；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2.浊度量程：0～ 100NTU；</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3.浊度分辨率：0.001~0.1NTU，视不同量程而定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4.浊度精确度：0.001-40NTU时为测量值的±2%或±0.015NTU，取大者；40-100NTU为测量值的±5%；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color w:val="auto"/>
                <w:kern w:val="0"/>
                <w:sz w:val="18"/>
                <w:szCs w:val="18"/>
                <w:lang w:bidi="ar"/>
              </w:rPr>
              <w:t>5.★浊度传感器电源正负极反接保护；传感器RS485 A/B端错接电源保护。（提供所投产品省级或以上检测报告复印件并加盖原厂公章）；</w:t>
            </w:r>
          </w:p>
          <w:p w14:paraId="39117C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定川|普贝斯|聚光</w:t>
            </w:r>
          </w:p>
        </w:tc>
        <w:tc>
          <w:tcPr>
            <w:tcW w:w="855" w:type="dxa"/>
            <w:gridSpan w:val="2"/>
            <w:shd w:val="clear" w:color="auto" w:fill="FFFFFF"/>
            <w:vAlign w:val="center"/>
          </w:tcPr>
          <w:p w14:paraId="16CB4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65" w:type="dxa"/>
            <w:shd w:val="clear" w:color="auto" w:fill="FFFFFF"/>
            <w:vAlign w:val="center"/>
          </w:tcPr>
          <w:p w14:paraId="126943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71E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00" w:type="dxa"/>
            <w:shd w:val="clear" w:color="auto" w:fill="FFFFFF"/>
            <w:vAlign w:val="center"/>
          </w:tcPr>
          <w:p w14:paraId="4111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shd w:val="clear" w:color="auto" w:fill="FFFFFF"/>
            <w:vAlign w:val="center"/>
          </w:tcPr>
          <w:p w14:paraId="58020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浊度仪安装背板</w:t>
            </w:r>
          </w:p>
        </w:tc>
        <w:tc>
          <w:tcPr>
            <w:tcW w:w="4452" w:type="dxa"/>
            <w:gridSpan w:val="2"/>
            <w:shd w:val="clear" w:color="auto" w:fill="FFFFFF"/>
            <w:vAlign w:val="center"/>
          </w:tcPr>
          <w:p w14:paraId="6A68A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高强度，具备良好的耐腐蚀性能，用于固定进水浊度仪安装固定</w:t>
            </w:r>
          </w:p>
        </w:tc>
        <w:tc>
          <w:tcPr>
            <w:tcW w:w="855" w:type="dxa"/>
            <w:gridSpan w:val="2"/>
            <w:shd w:val="clear" w:color="auto" w:fill="FFFFFF"/>
            <w:vAlign w:val="center"/>
          </w:tcPr>
          <w:p w14:paraId="35F3D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40A30B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2739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40EFB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shd w:val="clear" w:color="auto" w:fill="FFFFFF"/>
            <w:vAlign w:val="center"/>
          </w:tcPr>
          <w:p w14:paraId="636F4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浊度探头耗材费</w:t>
            </w:r>
          </w:p>
        </w:tc>
        <w:tc>
          <w:tcPr>
            <w:tcW w:w="4452" w:type="dxa"/>
            <w:gridSpan w:val="2"/>
            <w:shd w:val="clear" w:color="auto" w:fill="FFFFFF"/>
            <w:vAlign w:val="center"/>
          </w:tcPr>
          <w:p w14:paraId="19C56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提供1次浊度探头更换服务</w:t>
            </w:r>
          </w:p>
        </w:tc>
        <w:tc>
          <w:tcPr>
            <w:tcW w:w="855" w:type="dxa"/>
            <w:gridSpan w:val="2"/>
            <w:shd w:val="clear" w:color="auto" w:fill="FFFFFF"/>
            <w:vAlign w:val="center"/>
          </w:tcPr>
          <w:p w14:paraId="3F854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168211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D47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00" w:type="dxa"/>
            <w:shd w:val="clear" w:color="auto" w:fill="FFFFFF"/>
            <w:vAlign w:val="center"/>
          </w:tcPr>
          <w:p w14:paraId="61294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shd w:val="clear" w:color="auto" w:fill="FFFFFF"/>
            <w:vAlign w:val="center"/>
          </w:tcPr>
          <w:p w14:paraId="2B7D9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取水管路</w:t>
            </w:r>
          </w:p>
        </w:tc>
        <w:tc>
          <w:tcPr>
            <w:tcW w:w="4452" w:type="dxa"/>
            <w:gridSpan w:val="2"/>
            <w:shd w:val="clear" w:color="auto" w:fill="FFFFFF"/>
            <w:vAlign w:val="center"/>
          </w:tcPr>
          <w:p w14:paraId="0EE49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在取水管道上开孔，采用硅胶软管，接入进水端浊度监测设备</w:t>
            </w:r>
          </w:p>
        </w:tc>
        <w:tc>
          <w:tcPr>
            <w:tcW w:w="855" w:type="dxa"/>
            <w:gridSpan w:val="2"/>
            <w:shd w:val="clear" w:color="auto" w:fill="FFFFFF"/>
            <w:vAlign w:val="center"/>
          </w:tcPr>
          <w:p w14:paraId="70354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10EB00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749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00" w:type="dxa"/>
            <w:shd w:val="clear" w:color="auto" w:fill="FFFFFF"/>
            <w:vAlign w:val="center"/>
          </w:tcPr>
          <w:p w14:paraId="26A62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shd w:val="clear" w:color="auto" w:fill="FFFFFF"/>
            <w:vAlign w:val="center"/>
          </w:tcPr>
          <w:p w14:paraId="7A343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61DC9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  进水端供电线缆及敷设、信号线缆，保护套管等</w:t>
            </w:r>
          </w:p>
        </w:tc>
        <w:tc>
          <w:tcPr>
            <w:tcW w:w="855" w:type="dxa"/>
            <w:gridSpan w:val="2"/>
            <w:shd w:val="clear" w:color="auto" w:fill="FFFFFF"/>
            <w:vAlign w:val="center"/>
          </w:tcPr>
          <w:p w14:paraId="4248D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79890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5B3C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5A4D193">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4、水质在线监测</w:t>
            </w:r>
          </w:p>
        </w:tc>
      </w:tr>
      <w:tr w14:paraId="03F5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4" w:hRule="atLeast"/>
        </w:trPr>
        <w:tc>
          <w:tcPr>
            <w:tcW w:w="600" w:type="dxa"/>
            <w:shd w:val="clear" w:color="auto" w:fill="FFFFFF"/>
            <w:vAlign w:val="center"/>
          </w:tcPr>
          <w:p w14:paraId="5C181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shd w:val="clear" w:color="auto" w:fill="FFFFFF"/>
            <w:vAlign w:val="center"/>
          </w:tcPr>
          <w:p w14:paraId="41B36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管网多参数分析仪（一体式） </w:t>
            </w:r>
          </w:p>
        </w:tc>
        <w:tc>
          <w:tcPr>
            <w:tcW w:w="4452" w:type="dxa"/>
            <w:gridSpan w:val="2"/>
            <w:shd w:val="clear" w:color="auto" w:fill="FFFFFF"/>
            <w:vAlign w:val="center"/>
          </w:tcPr>
          <w:p w14:paraId="664E9592">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(1)★仪器支持节水(间隔测量)模式，可设置间隔式测量周期；（提供省会、直辖市及以上计量院的检测报告复印件并加盖原厂公章）</w:t>
            </w:r>
          </w:p>
          <w:p w14:paraId="15FBF943">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(2)分析仪仪器支持外部泵阀控制，可设置启动间隔，启动时间，缺水延时；</w:t>
            </w:r>
          </w:p>
          <w:p w14:paraId="4EFF3835">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(3)分析仪在间歇式测量模式下能智能识别有效数据；</w:t>
            </w:r>
          </w:p>
          <w:p w14:paraId="0AC265B8">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(4)仪器支持外部2路485信号的因子接入，可在仪器上编辑因子名称、分辨率及单位；</w:t>
            </w:r>
          </w:p>
          <w:p w14:paraId="00803292">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(5)分析仪同时支持220VAC，24VDC两种供电模式；</w:t>
            </w:r>
          </w:p>
          <w:p w14:paraId="590418F7">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(6)分析仪带有密码权限管理功能，管理员可根据权限现场修改设置各分界面及菜单密码；</w:t>
            </w:r>
          </w:p>
          <w:p w14:paraId="5F34AA80">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(7)分析仪具备扩展功能，最多可同时监测显示9个参数；</w:t>
            </w:r>
          </w:p>
          <w:p w14:paraId="16D62481">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(8)仪器支持外部(4~20) mA信号的因子接入，可在仪器上编辑因子名称、分辨率及单位</w:t>
            </w:r>
          </w:p>
          <w:p w14:paraId="6B75240C">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(9)仪器自带无线模块，支持2G/3G/ 4G全网通无线传输</w:t>
            </w:r>
          </w:p>
          <w:p w14:paraId="2AB34FEC">
            <w:pPr>
              <w:keepNext w:val="0"/>
              <w:keepLines w:val="0"/>
              <w:widowControl/>
              <w:suppressLineNumbers w:val="0"/>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(10)★浊度分辨率: 0.0001 NTU,余氯分辨率:0.01 mg/L,pH分辨率: 0.01， 电导率分辨率: 0.1 μS/cm。（提供省会、直辖市及以上计量院的检测报告复印件并加盖原厂公章）</w:t>
            </w:r>
          </w:p>
          <w:p w14:paraId="2F9EC0CD">
            <w:pPr>
              <w:widowControl/>
              <w:jc w:val="left"/>
              <w:textAlignment w:val="center"/>
              <w:rPr>
                <w:rFonts w:hint="eastAsia" w:ascii="宋体" w:hAnsi="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pH传感器技术参数：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（1）测量范围：pH  0 ~ 14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（2）工作原理：电极法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（3）电极材料：玻璃电极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（4）分辨率：0.01pH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（5）重复性：±0.1pH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（6）漂移（24H）:±0.1pH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（7）温度补偿精度：±0.1pH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（8）示值误差：±0.1 pH;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（9）响应时间：T90 &lt; 30秒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（10）实际水样对比：±0.1pH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余氯传感器技术参数：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（1）测量范围：余氯：0 ~ 5（20）mg/L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（2）分辨率：0.01mg/l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（3）工作原理：三电极恒电位法 ，不更换电极，支持现场余氯、二氧化氯测量模式切换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（4）重复性：±3%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（5）零点漂移（24H）：±2%FS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（6）响应时间：≤60S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（7）测量下限：0.02mg/l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（8）示值误差：±0.05mg/l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（9）实际水样对比：±0.05 mg/L（≤0.1 mg/L时），＜10%（＞0.1 mg/L时）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（10）测量流速：0.5~1.2L/min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color w:val="auto"/>
                <w:kern w:val="0"/>
                <w:sz w:val="18"/>
                <w:szCs w:val="18"/>
                <w:lang w:bidi="ar"/>
              </w:rPr>
              <w:t>（11）★余氯带自动流速补偿，自动pH补偿功能；（提供省会、直辖市及以上计量院的检测报告复印件并加盖原厂公章）</w:t>
            </w:r>
          </w:p>
          <w:p w14:paraId="099A6AD1">
            <w:pPr>
              <w:keepNext w:val="0"/>
              <w:keepLines w:val="0"/>
              <w:widowControl/>
              <w:suppressLineNumbers w:val="0"/>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维护：★余氯支持气泡自清洗，可设置清洗间隔（提供省会、直辖市及以上计量院的检测报告复印件并加盖原厂公章）</w:t>
            </w:r>
          </w:p>
          <w:p w14:paraId="11E912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浊度传感器技术参数：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（1）测量范围：浊度：0</w:t>
            </w:r>
          </w:p>
          <w:p w14:paraId="293B8F83">
            <w:pPr>
              <w:widowControl/>
              <w:jc w:val="left"/>
              <w:textAlignment w:val="center"/>
              <w:rPr>
                <w:rFonts w:hint="eastAsia" w:ascii="宋体" w:hAnsi="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～20/50/100NTU（量程自动切）；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（2）工作原理：90°散射光法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（3）光源：LED光源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（4）分辨率：0.0001NTU</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（5）重复性：±2%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（6）零点漂移（24H）:±3%FS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（7）量程漂移（24H）：±3%FS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（8）响应时间：≤30S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（9）示值误差：±2%或±0.02NTU（取最大者）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color w:val="auto"/>
                <w:kern w:val="0"/>
                <w:sz w:val="18"/>
                <w:szCs w:val="18"/>
                <w:lang w:bidi="ar"/>
              </w:rPr>
              <w:t>（10）实际水样对比：±10%</w:t>
            </w:r>
          </w:p>
          <w:p w14:paraId="78CABB73">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（11）★浊度具有消泡装置，采用光强监测，有光源衰减光信号补偿功能；（提供省会、直辖市及以上计量院的检测报告复印件并加盖原厂公章）</w:t>
            </w:r>
          </w:p>
          <w:p w14:paraId="1F229434">
            <w:pPr>
              <w:keepNext w:val="0"/>
              <w:keepLines w:val="0"/>
              <w:widowControl/>
              <w:suppressLineNumbers w:val="0"/>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（12）浊度支持自清洗、自排污，可设置清洗间隔</w:t>
            </w:r>
          </w:p>
          <w:p w14:paraId="2C3BDC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定川|普贝斯|聚光</w:t>
            </w:r>
          </w:p>
        </w:tc>
        <w:tc>
          <w:tcPr>
            <w:tcW w:w="855" w:type="dxa"/>
            <w:gridSpan w:val="2"/>
            <w:shd w:val="clear" w:color="auto" w:fill="FFFFFF"/>
            <w:vAlign w:val="center"/>
          </w:tcPr>
          <w:p w14:paraId="62F41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765" w:type="dxa"/>
            <w:shd w:val="clear" w:color="auto" w:fill="FFFFFF"/>
            <w:vAlign w:val="center"/>
          </w:tcPr>
          <w:p w14:paraId="7B5EB3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62B8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09D9C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shd w:val="clear" w:color="auto" w:fill="FFFFFF"/>
            <w:vAlign w:val="center"/>
          </w:tcPr>
          <w:p w14:paraId="6879E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水质安装背板</w:t>
            </w:r>
          </w:p>
        </w:tc>
        <w:tc>
          <w:tcPr>
            <w:tcW w:w="4452" w:type="dxa"/>
            <w:gridSpan w:val="2"/>
            <w:shd w:val="clear" w:color="auto" w:fill="FFFFFF"/>
            <w:vAlign w:val="center"/>
          </w:tcPr>
          <w:p w14:paraId="2D178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水质安装背板  高强度，具备良好的耐腐蚀性能，用于固定管网多参数分析仪</w:t>
            </w:r>
          </w:p>
        </w:tc>
        <w:tc>
          <w:tcPr>
            <w:tcW w:w="855" w:type="dxa"/>
            <w:gridSpan w:val="2"/>
            <w:shd w:val="clear" w:color="auto" w:fill="FFFFFF"/>
            <w:vAlign w:val="center"/>
          </w:tcPr>
          <w:p w14:paraId="75D23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19709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660B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6C844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shd w:val="clear" w:color="auto" w:fill="FFFFFF"/>
            <w:vAlign w:val="center"/>
          </w:tcPr>
          <w:p w14:paraId="0F133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水质仪表探头耗材费</w:t>
            </w:r>
          </w:p>
        </w:tc>
        <w:tc>
          <w:tcPr>
            <w:tcW w:w="4452" w:type="dxa"/>
            <w:gridSpan w:val="2"/>
            <w:shd w:val="clear" w:color="auto" w:fill="FFFFFF"/>
            <w:vAlign w:val="center"/>
          </w:tcPr>
          <w:p w14:paraId="34732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水质仪表探头耗材费  提供1次浊度、余氯探头更换服务</w:t>
            </w:r>
          </w:p>
        </w:tc>
        <w:tc>
          <w:tcPr>
            <w:tcW w:w="855" w:type="dxa"/>
            <w:gridSpan w:val="2"/>
            <w:shd w:val="clear" w:color="auto" w:fill="FFFFFF"/>
            <w:vAlign w:val="center"/>
          </w:tcPr>
          <w:p w14:paraId="27B3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51B66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6FC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159CD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shd w:val="clear" w:color="auto" w:fill="FFFFFF"/>
            <w:vAlign w:val="center"/>
          </w:tcPr>
          <w:p w14:paraId="72C85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取水管路</w:t>
            </w:r>
          </w:p>
        </w:tc>
        <w:tc>
          <w:tcPr>
            <w:tcW w:w="4452" w:type="dxa"/>
            <w:gridSpan w:val="2"/>
            <w:shd w:val="clear" w:color="auto" w:fill="FFFFFF"/>
            <w:vAlign w:val="center"/>
          </w:tcPr>
          <w:p w14:paraId="7AF9E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取水管路  在取水管道上开孔，采用硅胶软管，接入出水端水质监测设备</w:t>
            </w:r>
          </w:p>
        </w:tc>
        <w:tc>
          <w:tcPr>
            <w:tcW w:w="855" w:type="dxa"/>
            <w:gridSpan w:val="2"/>
            <w:shd w:val="clear" w:color="auto" w:fill="FFFFFF"/>
            <w:vAlign w:val="center"/>
          </w:tcPr>
          <w:p w14:paraId="625FC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05E566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6D53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3F53A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shd w:val="clear" w:color="auto" w:fill="FFFFFF"/>
            <w:vAlign w:val="center"/>
          </w:tcPr>
          <w:p w14:paraId="38DD9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42745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  出水端供电线缆及敷设、信号线缆，保护套管等</w:t>
            </w:r>
          </w:p>
        </w:tc>
        <w:tc>
          <w:tcPr>
            <w:tcW w:w="855" w:type="dxa"/>
            <w:gridSpan w:val="2"/>
            <w:shd w:val="clear" w:color="auto" w:fill="FFFFFF"/>
            <w:vAlign w:val="center"/>
          </w:tcPr>
          <w:p w14:paraId="07CDB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665B30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51F7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C468A95">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5、视频监视系统</w:t>
            </w:r>
          </w:p>
        </w:tc>
      </w:tr>
      <w:tr w14:paraId="7952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0" w:hRule="atLeast"/>
        </w:trPr>
        <w:tc>
          <w:tcPr>
            <w:tcW w:w="600" w:type="dxa"/>
            <w:shd w:val="clear" w:color="auto" w:fill="FFFFFF"/>
            <w:vAlign w:val="center"/>
          </w:tcPr>
          <w:p w14:paraId="6EA56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shd w:val="clear" w:color="auto" w:fill="FFFFFF"/>
            <w:vAlign w:val="center"/>
          </w:tcPr>
          <w:p w14:paraId="09035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智能球机  </w:t>
            </w:r>
          </w:p>
        </w:tc>
        <w:tc>
          <w:tcPr>
            <w:tcW w:w="4452" w:type="dxa"/>
            <w:gridSpan w:val="2"/>
            <w:shd w:val="clear" w:color="auto" w:fill="FFFFFF"/>
            <w:vAlign w:val="center"/>
          </w:tcPr>
          <w:p w14:paraId="21D96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传感器类型：全景：1/2.8英寸CMOS；细节：1/2.8英寸CMOS；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最低照度：全景：（单目镜头）彩色：0.001Lux@F1.0，黑白：0.0001Lux@F1.0；细节：彩色：0.005lux@F1.6（1/25s，30IRE ，增益100），黑白：0.0005lux@F1.6（1/25s，30IRE ，增益100）0Lux（红外灯开启）；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最大补光距离：全景：30m（白光）；细节：150m（红外）；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细节相机支持不小于23倍光学变倍、16倍数字变倍；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设备支持全景摄像机与细节摄像机互为180°夹角监控；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支持快速智能切换，当更换智能模式时设备不重启，新智能使能后即可生效；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支持不少于1路音频输入和1路音频输出；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内置不少于2路报警输入和1路报警输出，支持报警联动功能；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支持国密算法 SM1、SM2、SM3、SM4，支持GB35114 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0DF1A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055836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r>
      <w:tr w14:paraId="5CDA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0" w:hRule="atLeast"/>
        </w:trPr>
        <w:tc>
          <w:tcPr>
            <w:tcW w:w="600" w:type="dxa"/>
            <w:shd w:val="clear" w:color="auto" w:fill="FFFFFF"/>
            <w:vAlign w:val="center"/>
          </w:tcPr>
          <w:p w14:paraId="12D30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shd w:val="clear" w:color="auto" w:fill="FFFFFF"/>
            <w:vAlign w:val="center"/>
          </w:tcPr>
          <w:p w14:paraId="5F4AC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智能枪机  </w:t>
            </w:r>
          </w:p>
        </w:tc>
        <w:tc>
          <w:tcPr>
            <w:tcW w:w="4452" w:type="dxa"/>
            <w:gridSpan w:val="2"/>
            <w:shd w:val="clear" w:color="auto" w:fill="FFFFFF"/>
            <w:vAlign w:val="center"/>
          </w:tcPr>
          <w:p w14:paraId="1D39AA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传感器类型：1/3英寸CMOS；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最大分辨率：2688×1520；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最大补光距离：80m（红外）;30m（暖光）；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补光灯：2颗（红外灯）;2颗（暖光灯）；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镜头焦距：3.6mm；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镜头光圈：F1.6；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视场角：水平：84°；垂直：45°；对角：100°；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通用行为分析：绊线入侵，区域入侵；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走廊模式：90°/270°（在2688×1520分辨率及以下支持）；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内置MIC：支持，内置1个MIC；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内置扬声器：支持；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报警事件：无SD卡;SD卡空间不足;SD卡出错;网络断开;IP冲突;非法访问;动态检测;视频遮挡;音频异常侦测;电压检测;智能动检;安全异常;声音报警（内置3种语音可选，支持用户自定义语音导入）;绊线入侵;区域入侵；</w:t>
            </w:r>
          </w:p>
          <w:p w14:paraId="09F7C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接入标准：ONVIF（Profile S &amp; Profile G &amp; Profile T）；CGI；GB/T28181-2022（双国标）；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预览最大用户数：20个（总带宽48Ｍ）；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最大Micro SD卡：256GB；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18119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1527A3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0A5C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5" w:hRule="atLeast"/>
        </w:trPr>
        <w:tc>
          <w:tcPr>
            <w:tcW w:w="600" w:type="dxa"/>
            <w:shd w:val="clear" w:color="auto" w:fill="FFFFFF"/>
            <w:vAlign w:val="center"/>
          </w:tcPr>
          <w:p w14:paraId="52E54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shd w:val="clear" w:color="auto" w:fill="FFFFFF"/>
            <w:vAlign w:val="center"/>
          </w:tcPr>
          <w:p w14:paraId="6CD78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交换机  </w:t>
            </w:r>
          </w:p>
        </w:tc>
        <w:tc>
          <w:tcPr>
            <w:tcW w:w="4452" w:type="dxa"/>
            <w:gridSpan w:val="2"/>
            <w:shd w:val="clear" w:color="auto" w:fill="FFFFFF"/>
            <w:vAlign w:val="center"/>
          </w:tcPr>
          <w:p w14:paraId="6F727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8口千兆交换机 金属外壳  1、层级：非管理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2、交换容量：256Gbps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3、包转发率：30Mpps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4、业务端口/槽位描述：Port 1-8: 8 × RJ-45 10/100/1000MbpsPort 9-10: 2 × SFP 1000MbpsPort 11: 1 × RJ-45 10/100/1000Mbps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5、工作温度：-30℃～+65℃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6、工作湿度：10%～90%RH（无凝结）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7、功耗：满载功率：8.6W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8、供电方式：外置电源:12 VDC,2A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9、静电防护：空气：8 Kv;接触：6 kV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10、雷电防护：共模：4 kV;差模：2 kV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11、安装方式：桌面式安装；导轨式安装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华三|华为|迪普</w:t>
            </w:r>
          </w:p>
        </w:tc>
        <w:tc>
          <w:tcPr>
            <w:tcW w:w="855" w:type="dxa"/>
            <w:gridSpan w:val="2"/>
            <w:shd w:val="clear" w:color="auto" w:fill="FFFFFF"/>
            <w:vAlign w:val="center"/>
          </w:tcPr>
          <w:p w14:paraId="514EA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218B1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CEC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600" w:type="dxa"/>
            <w:shd w:val="clear" w:color="auto" w:fill="FFFFFF"/>
            <w:vAlign w:val="center"/>
          </w:tcPr>
          <w:p w14:paraId="1559A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shd w:val="clear" w:color="auto" w:fill="FFFFFF"/>
            <w:vAlign w:val="center"/>
          </w:tcPr>
          <w:p w14:paraId="41234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立杆及基础  </w:t>
            </w:r>
          </w:p>
        </w:tc>
        <w:tc>
          <w:tcPr>
            <w:tcW w:w="4452" w:type="dxa"/>
            <w:gridSpan w:val="2"/>
            <w:shd w:val="clear" w:color="auto" w:fill="FFFFFF"/>
            <w:vAlign w:val="center"/>
          </w:tcPr>
          <w:p w14:paraId="14C46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定制热镀锌钢管，高度3.5m，壁厚≥3mm；根据现场实际情况开挖及浇筑</w:t>
            </w:r>
          </w:p>
        </w:tc>
        <w:tc>
          <w:tcPr>
            <w:tcW w:w="855" w:type="dxa"/>
            <w:gridSpan w:val="2"/>
            <w:shd w:val="clear" w:color="auto" w:fill="FFFFFF"/>
            <w:vAlign w:val="center"/>
          </w:tcPr>
          <w:p w14:paraId="4B8E1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0D2CF0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r>
      <w:tr w14:paraId="481E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12699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shd w:val="clear" w:color="auto" w:fill="FFFFFF"/>
            <w:vAlign w:val="center"/>
          </w:tcPr>
          <w:p w14:paraId="11FC4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室外设备箱  </w:t>
            </w:r>
          </w:p>
        </w:tc>
        <w:tc>
          <w:tcPr>
            <w:tcW w:w="4452" w:type="dxa"/>
            <w:gridSpan w:val="2"/>
            <w:shd w:val="clear" w:color="auto" w:fill="FFFFFF"/>
            <w:vAlign w:val="center"/>
          </w:tcPr>
          <w:p w14:paraId="0AD63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300mm*400mm*200mm，304不锈钢，板厚1.5mm，含导轨、空开、继电器、避雷器等</w:t>
            </w:r>
          </w:p>
        </w:tc>
        <w:tc>
          <w:tcPr>
            <w:tcW w:w="855" w:type="dxa"/>
            <w:gridSpan w:val="2"/>
            <w:shd w:val="clear" w:color="auto" w:fill="FFFFFF"/>
            <w:vAlign w:val="center"/>
          </w:tcPr>
          <w:p w14:paraId="296DF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74FF2D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r>
      <w:tr w14:paraId="39A5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0C6D2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shd w:val="clear" w:color="auto" w:fill="FFFFFF"/>
            <w:vAlign w:val="center"/>
          </w:tcPr>
          <w:p w14:paraId="76CD5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信号避雷装置安装</w:t>
            </w:r>
          </w:p>
        </w:tc>
        <w:tc>
          <w:tcPr>
            <w:tcW w:w="4452" w:type="dxa"/>
            <w:gridSpan w:val="2"/>
            <w:shd w:val="clear" w:color="auto" w:fill="FFFFFF"/>
            <w:vAlign w:val="center"/>
          </w:tcPr>
          <w:p w14:paraId="3BEC2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二合一电源防雷器  网络/电源二合一防雷器</w:t>
            </w:r>
          </w:p>
        </w:tc>
        <w:tc>
          <w:tcPr>
            <w:tcW w:w="855" w:type="dxa"/>
            <w:gridSpan w:val="2"/>
            <w:shd w:val="clear" w:color="auto" w:fill="FFFFFF"/>
            <w:vAlign w:val="center"/>
          </w:tcPr>
          <w:p w14:paraId="7CCB7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2F08DB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r>
      <w:tr w14:paraId="01DE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63F1A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shd w:val="clear" w:color="auto" w:fill="FFFFFF"/>
            <w:vAlign w:val="center"/>
          </w:tcPr>
          <w:p w14:paraId="48A0D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防雷接地  </w:t>
            </w:r>
          </w:p>
        </w:tc>
        <w:tc>
          <w:tcPr>
            <w:tcW w:w="4452" w:type="dxa"/>
            <w:gridSpan w:val="2"/>
            <w:shd w:val="clear" w:color="auto" w:fill="FFFFFF"/>
            <w:vAlign w:val="center"/>
          </w:tcPr>
          <w:p w14:paraId="42A77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定制，电阻不大于10欧姆；</w:t>
            </w:r>
          </w:p>
        </w:tc>
        <w:tc>
          <w:tcPr>
            <w:tcW w:w="855" w:type="dxa"/>
            <w:gridSpan w:val="2"/>
            <w:shd w:val="clear" w:color="auto" w:fill="FFFFFF"/>
            <w:vAlign w:val="center"/>
          </w:tcPr>
          <w:p w14:paraId="1D50A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36F55C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r>
      <w:tr w14:paraId="080C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7ADF0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shd w:val="clear" w:color="auto" w:fill="FFFFFF"/>
            <w:vAlign w:val="center"/>
          </w:tcPr>
          <w:p w14:paraId="13D3A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2EEF3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  视频前端供电线缆及敷设、信号线缆，保护套管等</w:t>
            </w:r>
          </w:p>
        </w:tc>
        <w:tc>
          <w:tcPr>
            <w:tcW w:w="855" w:type="dxa"/>
            <w:gridSpan w:val="2"/>
            <w:shd w:val="clear" w:color="auto" w:fill="FFFFFF"/>
            <w:vAlign w:val="center"/>
          </w:tcPr>
          <w:p w14:paraId="1230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6D3921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1BFD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F17E4C5">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6、电子围栏配置</w:t>
            </w:r>
          </w:p>
        </w:tc>
      </w:tr>
      <w:tr w14:paraId="54B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0" w:hRule="atLeast"/>
        </w:trPr>
        <w:tc>
          <w:tcPr>
            <w:tcW w:w="600" w:type="dxa"/>
            <w:shd w:val="clear" w:color="auto" w:fill="FFFFFF"/>
            <w:vAlign w:val="center"/>
          </w:tcPr>
          <w:p w14:paraId="300A4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shd w:val="clear" w:color="auto" w:fill="FFFFFF"/>
            <w:vAlign w:val="center"/>
          </w:tcPr>
          <w:p w14:paraId="2F040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4线双防区主机包  </w:t>
            </w:r>
          </w:p>
        </w:tc>
        <w:tc>
          <w:tcPr>
            <w:tcW w:w="4452" w:type="dxa"/>
            <w:gridSpan w:val="2"/>
            <w:shd w:val="clear" w:color="auto" w:fill="FFFFFF"/>
            <w:vAlign w:val="center"/>
          </w:tcPr>
          <w:p w14:paraId="6CC11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LCD液晶显示，高低压切换功能，可根据安全需要灵活选择，多种电压输出值可调节，独有的闪控技术，可以实现每根合金线都有高压脉冲,4线6线可灵活选择；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双防区; 支持12V辅电输出，支持2路常开/常闭报警输出，支持2路警号输出；支持短路、断线、防拆报警，设备故障自动检测；输出电压峰值：5KV～10KV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输出低压峰值：700～1000V；输出电量峰值：&lt;10A；脉冲宽度（脉冲持续时间）：≤0.1s；脉冲间隔时间：1s～1.5s；；脉冲输出电量：2.5mC；脉冲输出能量：≤5.0J；输入电压: AC24V或DC24V，标配电源适配器，系统正常工作功耗：12W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海康威视|大华|广拓</w:t>
            </w:r>
          </w:p>
        </w:tc>
        <w:tc>
          <w:tcPr>
            <w:tcW w:w="855" w:type="dxa"/>
            <w:gridSpan w:val="2"/>
            <w:shd w:val="clear" w:color="auto" w:fill="FFFFFF"/>
            <w:vAlign w:val="center"/>
          </w:tcPr>
          <w:p w14:paraId="7A62B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7819CD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7E1A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0" w:type="dxa"/>
            <w:shd w:val="clear" w:color="auto" w:fill="FFFFFF"/>
            <w:vAlign w:val="center"/>
          </w:tcPr>
          <w:p w14:paraId="6903D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shd w:val="clear" w:color="auto" w:fill="FFFFFF"/>
            <w:vAlign w:val="center"/>
          </w:tcPr>
          <w:p w14:paraId="079A2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20#合金线</w:t>
            </w:r>
          </w:p>
        </w:tc>
        <w:tc>
          <w:tcPr>
            <w:tcW w:w="4452" w:type="dxa"/>
            <w:gridSpan w:val="2"/>
            <w:shd w:val="clear" w:color="auto" w:fill="FFFFFF"/>
            <w:vAlign w:val="center"/>
          </w:tcPr>
          <w:p w14:paraId="0D008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400米/盘 ,多股铝镁18号合金线，高强度，不易折断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海康威视|大华|广拓</w:t>
            </w:r>
          </w:p>
        </w:tc>
        <w:tc>
          <w:tcPr>
            <w:tcW w:w="855" w:type="dxa"/>
            <w:gridSpan w:val="2"/>
            <w:shd w:val="clear" w:color="auto" w:fill="FFFFFF"/>
            <w:vAlign w:val="center"/>
          </w:tcPr>
          <w:p w14:paraId="22D66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65" w:type="dxa"/>
            <w:shd w:val="clear" w:color="auto" w:fill="FFFFFF"/>
            <w:vAlign w:val="center"/>
          </w:tcPr>
          <w:p w14:paraId="5C8AF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14:paraId="348E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35142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shd w:val="clear" w:color="auto" w:fill="FFFFFF"/>
            <w:vAlign w:val="center"/>
          </w:tcPr>
          <w:p w14:paraId="57916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高压绝缘导线100m/盘</w:t>
            </w:r>
          </w:p>
        </w:tc>
        <w:tc>
          <w:tcPr>
            <w:tcW w:w="4452" w:type="dxa"/>
            <w:gridSpan w:val="2"/>
            <w:shd w:val="clear" w:color="auto" w:fill="FFFFFF"/>
            <w:vAlign w:val="center"/>
          </w:tcPr>
          <w:p w14:paraId="0970C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高压绝缘导线100m/盘  耐高压15KV，单芯硅胶绝缘材质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海康威视|大华|广拓</w:t>
            </w:r>
          </w:p>
        </w:tc>
        <w:tc>
          <w:tcPr>
            <w:tcW w:w="855" w:type="dxa"/>
            <w:gridSpan w:val="2"/>
            <w:shd w:val="clear" w:color="auto" w:fill="FFFFFF"/>
            <w:vAlign w:val="center"/>
          </w:tcPr>
          <w:p w14:paraId="71382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69340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7942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00" w:type="dxa"/>
            <w:shd w:val="clear" w:color="auto" w:fill="FFFFFF"/>
            <w:vAlign w:val="center"/>
          </w:tcPr>
          <w:p w14:paraId="05831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shd w:val="clear" w:color="auto" w:fill="FFFFFF"/>
            <w:vAlign w:val="center"/>
          </w:tcPr>
          <w:p w14:paraId="5F61E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入侵探测设备</w:t>
            </w:r>
          </w:p>
        </w:tc>
        <w:tc>
          <w:tcPr>
            <w:tcW w:w="4452" w:type="dxa"/>
            <w:gridSpan w:val="2"/>
            <w:shd w:val="clear" w:color="auto" w:fill="FFFFFF"/>
            <w:vAlign w:val="center"/>
          </w:tcPr>
          <w:p w14:paraId="58786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电子围栏控制键盘  分辨率：128x64；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LCD屏尺寸：56.27x38.35mm；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支持对报警机进行布撤防参数设置；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支持通过快捷键报警；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支持多用户权限操作；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可显示报警机的运行状态；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采用LCD液晶屏，支持可视化操作；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即插即用，和报警主机连接无须重启；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支持壁挂和手持操作；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海康威视|大华|广拓</w:t>
            </w:r>
          </w:p>
        </w:tc>
        <w:tc>
          <w:tcPr>
            <w:tcW w:w="855" w:type="dxa"/>
            <w:gridSpan w:val="2"/>
            <w:shd w:val="clear" w:color="auto" w:fill="FFFFFF"/>
            <w:vAlign w:val="center"/>
          </w:tcPr>
          <w:p w14:paraId="6FEF2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414EE7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0411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600" w:type="dxa"/>
            <w:shd w:val="clear" w:color="auto" w:fill="FFFFFF"/>
            <w:vAlign w:val="center"/>
          </w:tcPr>
          <w:p w14:paraId="4FFB0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shd w:val="clear" w:color="auto" w:fill="FFFFFF"/>
            <w:vAlign w:val="center"/>
          </w:tcPr>
          <w:p w14:paraId="56F1F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73042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对主机进行市电供电，含供电线缆及敷设，保护套管、绝缘子、接地桩、各种杆件、警示牌、声光报警器等全套相关安装材料</w:t>
            </w:r>
          </w:p>
        </w:tc>
        <w:tc>
          <w:tcPr>
            <w:tcW w:w="855" w:type="dxa"/>
            <w:gridSpan w:val="2"/>
            <w:shd w:val="clear" w:color="auto" w:fill="FFFFFF"/>
            <w:vAlign w:val="center"/>
          </w:tcPr>
          <w:p w14:paraId="75584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60B6F4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39B3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044786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7、门禁系统配置</w:t>
            </w:r>
          </w:p>
        </w:tc>
      </w:tr>
      <w:tr w14:paraId="74A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0" w:hRule="atLeast"/>
        </w:trPr>
        <w:tc>
          <w:tcPr>
            <w:tcW w:w="600" w:type="dxa"/>
            <w:shd w:val="clear" w:color="auto" w:fill="FFFFFF"/>
            <w:vAlign w:val="center"/>
          </w:tcPr>
          <w:p w14:paraId="57039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shd w:val="clear" w:color="auto" w:fill="FFFFFF"/>
            <w:vAlign w:val="center"/>
          </w:tcPr>
          <w:p w14:paraId="03EA4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灵性锁 （带不锈钢防水罩） </w:t>
            </w:r>
          </w:p>
        </w:tc>
        <w:tc>
          <w:tcPr>
            <w:tcW w:w="4452" w:type="dxa"/>
            <w:gridSpan w:val="2"/>
            <w:shd w:val="clear" w:color="auto" w:fill="FFFFFF"/>
            <w:vAlign w:val="center"/>
          </w:tcPr>
          <w:p w14:paraId="04E4D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表面工艺：镀镍；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钥头数量：单头；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锁舌长度：22mm；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锁芯等级：B级锁芯；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适用门型：木门\金属门\防火门等；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信号输出：COM/NO/NC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自动关门：开锁后如不开门，延时15秒后自动重新上锁；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耗电低：耗电量仅相当于电控锁的五分之一；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寿命长：使用寿命可达35万次；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声音提示：开锁和关门时都会有声音提示；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安装方便：安装方式简单，方便用户安装；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适用于木门、金属门、防火门；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开门方式：外部钥匙，内部旋钮；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防水等级IP54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海康威视|大华|广拓</w:t>
            </w:r>
          </w:p>
        </w:tc>
        <w:tc>
          <w:tcPr>
            <w:tcW w:w="855" w:type="dxa"/>
            <w:gridSpan w:val="2"/>
            <w:shd w:val="clear" w:color="auto" w:fill="FFFFFF"/>
            <w:vAlign w:val="center"/>
          </w:tcPr>
          <w:p w14:paraId="33C8E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7766F1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6C4C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600" w:type="dxa"/>
            <w:shd w:val="clear" w:color="auto" w:fill="FFFFFF"/>
            <w:vAlign w:val="center"/>
          </w:tcPr>
          <w:p w14:paraId="6906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shd w:val="clear" w:color="auto" w:fill="FFFFFF"/>
            <w:vAlign w:val="center"/>
          </w:tcPr>
          <w:p w14:paraId="03CA1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出门按钮  </w:t>
            </w:r>
          </w:p>
        </w:tc>
        <w:tc>
          <w:tcPr>
            <w:tcW w:w="4452" w:type="dxa"/>
            <w:gridSpan w:val="2"/>
            <w:shd w:val="clear" w:color="auto" w:fill="FFFFFF"/>
            <w:vAlign w:val="center"/>
          </w:tcPr>
          <w:p w14:paraId="10F07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外壳材料：塑料外壳；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产品尺寸：86mm×86mm×25mm；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工作温度：-30℃～+60℃；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工作湿度：≤95%；</w:t>
            </w:r>
          </w:p>
        </w:tc>
        <w:tc>
          <w:tcPr>
            <w:tcW w:w="855" w:type="dxa"/>
            <w:gridSpan w:val="2"/>
            <w:shd w:val="clear" w:color="auto" w:fill="FFFFFF"/>
            <w:vAlign w:val="center"/>
          </w:tcPr>
          <w:p w14:paraId="3C6A3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17EBC3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A91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5" w:hRule="atLeast"/>
        </w:trPr>
        <w:tc>
          <w:tcPr>
            <w:tcW w:w="600" w:type="dxa"/>
            <w:shd w:val="clear" w:color="auto" w:fill="FFFFFF"/>
            <w:vAlign w:val="center"/>
          </w:tcPr>
          <w:p w14:paraId="5DCBC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shd w:val="clear" w:color="auto" w:fill="FFFFFF"/>
            <w:vAlign w:val="center"/>
          </w:tcPr>
          <w:p w14:paraId="277A3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7寸智能门禁一体机 （带不锈钢防水罩） </w:t>
            </w:r>
          </w:p>
        </w:tc>
        <w:tc>
          <w:tcPr>
            <w:tcW w:w="4452" w:type="dxa"/>
            <w:gridSpan w:val="2"/>
            <w:shd w:val="clear" w:color="auto" w:fill="FFFFFF"/>
            <w:vAlign w:val="center"/>
          </w:tcPr>
          <w:p w14:paraId="69045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主处理器：高性能嵌入式处理器；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显示屏：7英寸显示屏；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屏幕类型：电容触摸屏；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广告播放：支持图文、视频广告播放；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摄像头：2MP CMOS高清双摄像头；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外壳材料：钢化玻璃/PC+ABS；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远程验证：支持；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黑白名单设定：支持；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实时监控：支持；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多重认证：支持；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WEB配置：支持；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主动注册：支持；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门超时报警：支持；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非法闯入报警：支持；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非法卡超次报警：支持；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海康威视|大华|广拓</w:t>
            </w:r>
          </w:p>
        </w:tc>
        <w:tc>
          <w:tcPr>
            <w:tcW w:w="855" w:type="dxa"/>
            <w:gridSpan w:val="2"/>
            <w:shd w:val="clear" w:color="auto" w:fill="FFFFFF"/>
            <w:vAlign w:val="center"/>
          </w:tcPr>
          <w:p w14:paraId="28C49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606BEA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346F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74757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shd w:val="clear" w:color="auto" w:fill="FFFFFF"/>
            <w:vAlign w:val="center"/>
          </w:tcPr>
          <w:p w14:paraId="44707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6DA8F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  供电、信号线缆，保护套管等全套安装材料</w:t>
            </w:r>
          </w:p>
        </w:tc>
        <w:tc>
          <w:tcPr>
            <w:tcW w:w="855" w:type="dxa"/>
            <w:gridSpan w:val="2"/>
            <w:shd w:val="clear" w:color="auto" w:fill="FFFFFF"/>
            <w:vAlign w:val="center"/>
          </w:tcPr>
          <w:p w14:paraId="02124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7F42B1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675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8219887">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8、远传水表配置</w:t>
            </w:r>
          </w:p>
        </w:tc>
      </w:tr>
      <w:tr w14:paraId="7EE9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5" w:hRule="atLeast"/>
        </w:trPr>
        <w:tc>
          <w:tcPr>
            <w:tcW w:w="600" w:type="dxa"/>
            <w:shd w:val="clear" w:color="auto" w:fill="FFFFFF"/>
            <w:vAlign w:val="center"/>
          </w:tcPr>
          <w:p w14:paraId="74DE6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shd w:val="clear" w:color="auto" w:fill="FFFFFF"/>
            <w:vAlign w:val="center"/>
          </w:tcPr>
          <w:p w14:paraId="33F5F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入户无线远传水表  </w:t>
            </w:r>
          </w:p>
        </w:tc>
        <w:tc>
          <w:tcPr>
            <w:tcW w:w="4452" w:type="dxa"/>
            <w:gridSpan w:val="2"/>
            <w:shd w:val="clear" w:color="auto" w:fill="FFFFFF"/>
            <w:vAlign w:val="center"/>
          </w:tcPr>
          <w:p w14:paraId="22220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口径：根据现场定制，不锈钢材质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度盘最小读数：0.00001；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最大读数：99999.9999；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工作电压：DC3.6V（锂电池）;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发射功率：23dBm±2dB;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介质温度：冷水表0℃~40℃;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工作环境温度：-25℃~55℃;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通讯方式：NB-IoT、Cat.1、无线局域网、卫星通信;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杭州水表|宁波水表|金卡</w:t>
            </w:r>
          </w:p>
        </w:tc>
        <w:tc>
          <w:tcPr>
            <w:tcW w:w="855" w:type="dxa"/>
            <w:gridSpan w:val="2"/>
            <w:shd w:val="clear" w:color="auto" w:fill="FFFFFF"/>
            <w:vAlign w:val="center"/>
          </w:tcPr>
          <w:p w14:paraId="6AAA5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45BF30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64EC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85570CB">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9、出水流量监测</w:t>
            </w:r>
          </w:p>
        </w:tc>
      </w:tr>
      <w:tr w14:paraId="6D43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59C336A">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原有流量计数据接入</w:t>
            </w:r>
          </w:p>
        </w:tc>
      </w:tr>
      <w:tr w14:paraId="51BE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600" w:type="dxa"/>
            <w:shd w:val="clear" w:color="auto" w:fill="FFFFFF"/>
            <w:vAlign w:val="center"/>
          </w:tcPr>
          <w:p w14:paraId="46749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shd w:val="clear" w:color="auto" w:fill="FFFFFF"/>
            <w:vAlign w:val="center"/>
          </w:tcPr>
          <w:p w14:paraId="605EB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定制设备箱  </w:t>
            </w:r>
          </w:p>
        </w:tc>
        <w:tc>
          <w:tcPr>
            <w:tcW w:w="4452" w:type="dxa"/>
            <w:gridSpan w:val="2"/>
            <w:shd w:val="clear" w:color="auto" w:fill="FFFFFF"/>
            <w:vAlign w:val="center"/>
          </w:tcPr>
          <w:p w14:paraId="00DFD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一体式设备箱，尺寸不小于500mm*600mm*250mm；304不锈钢，板厚1.5mm，含导轨、空开、继电器、避雷器等</w:t>
            </w:r>
          </w:p>
        </w:tc>
        <w:tc>
          <w:tcPr>
            <w:tcW w:w="855" w:type="dxa"/>
            <w:gridSpan w:val="2"/>
            <w:shd w:val="clear" w:color="auto" w:fill="FFFFFF"/>
            <w:vAlign w:val="center"/>
          </w:tcPr>
          <w:p w14:paraId="5AA75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7BCB47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1B7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26DC9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shd w:val="clear" w:color="auto" w:fill="FFFFFF"/>
            <w:vAlign w:val="center"/>
          </w:tcPr>
          <w:p w14:paraId="42329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太阳能供电系统  </w:t>
            </w:r>
          </w:p>
        </w:tc>
        <w:tc>
          <w:tcPr>
            <w:tcW w:w="4452" w:type="dxa"/>
            <w:gridSpan w:val="2"/>
            <w:shd w:val="clear" w:color="auto" w:fill="FFFFFF"/>
            <w:vAlign w:val="center"/>
          </w:tcPr>
          <w:p w14:paraId="7F139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40W/38Ah，及配套支架</w:t>
            </w:r>
          </w:p>
        </w:tc>
        <w:tc>
          <w:tcPr>
            <w:tcW w:w="855" w:type="dxa"/>
            <w:gridSpan w:val="2"/>
            <w:shd w:val="clear" w:color="auto" w:fill="FFFFFF"/>
            <w:vAlign w:val="center"/>
          </w:tcPr>
          <w:p w14:paraId="4048B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62480E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785C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5" w:hRule="atLeast"/>
        </w:trPr>
        <w:tc>
          <w:tcPr>
            <w:tcW w:w="600" w:type="dxa"/>
            <w:shd w:val="clear" w:color="auto" w:fill="FFFFFF"/>
            <w:vAlign w:val="center"/>
          </w:tcPr>
          <w:p w14:paraId="3A399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shd w:val="clear" w:color="auto" w:fill="FFFFFF"/>
            <w:vAlign w:val="center"/>
          </w:tcPr>
          <w:p w14:paraId="07C76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遥测终端  </w:t>
            </w:r>
          </w:p>
        </w:tc>
        <w:tc>
          <w:tcPr>
            <w:tcW w:w="4452" w:type="dxa"/>
            <w:gridSpan w:val="2"/>
            <w:shd w:val="clear" w:color="auto" w:fill="FFFFFF"/>
            <w:vAlign w:val="center"/>
          </w:tcPr>
          <w:p w14:paraId="69032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1.《SZY206-2016 水资源监测数据传输规约》、《SL651-2014 水文监测数据通信规约》；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2.采集和传输一体化,集传统水文水资源监控装置功能与2.5G/3G/4G传输功能于一体，实现水文/水资源数据的采集、存储、显示、控制、报警及传输等综合功能；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供2个翻斗式雨量计接口、1个12位格雷码接口、2个RS232接口、2个RS485接口、1个SDI-12接口、8路模拟量输入接口（16位AD、支持4-20mA电流或0-5V电压信号）、8路开关量输入接口、2路开关量输出接口、8路继电器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4.静态值守电流小于1mA；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5.终端支持水利内网，能够接入浙江省水文通信平台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6.内嵌标准TCP/IP协议栈，4个中心同步数据透明传输；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7.长期保存设定参数及历史数据，提供16MB的数据存储空间，同时支持TF卡存储；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8.本地配置方式：支持液晶/键盘配置方式和串口配置方式；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定川|四信|宏电</w:t>
            </w:r>
          </w:p>
        </w:tc>
        <w:tc>
          <w:tcPr>
            <w:tcW w:w="855" w:type="dxa"/>
            <w:gridSpan w:val="2"/>
            <w:shd w:val="clear" w:color="auto" w:fill="FFFFFF"/>
            <w:vAlign w:val="center"/>
          </w:tcPr>
          <w:p w14:paraId="5015A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4529DF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5A01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3B86A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shd w:val="clear" w:color="auto" w:fill="FFFFFF"/>
            <w:vAlign w:val="center"/>
          </w:tcPr>
          <w:p w14:paraId="5CD8D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信号分路器  </w:t>
            </w:r>
          </w:p>
        </w:tc>
        <w:tc>
          <w:tcPr>
            <w:tcW w:w="4452" w:type="dxa"/>
            <w:gridSpan w:val="2"/>
            <w:shd w:val="clear" w:color="auto" w:fill="FFFFFF"/>
            <w:vAlign w:val="center"/>
          </w:tcPr>
          <w:p w14:paraId="382FB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485信号分路器</w:t>
            </w:r>
          </w:p>
        </w:tc>
        <w:tc>
          <w:tcPr>
            <w:tcW w:w="855" w:type="dxa"/>
            <w:gridSpan w:val="2"/>
            <w:shd w:val="clear" w:color="auto" w:fill="FFFFFF"/>
            <w:vAlign w:val="center"/>
          </w:tcPr>
          <w:p w14:paraId="4BEB9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24D8D8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30AC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01320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shd w:val="clear" w:color="auto" w:fill="FFFFFF"/>
            <w:vAlign w:val="center"/>
          </w:tcPr>
          <w:p w14:paraId="6FD69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通讯费</w:t>
            </w:r>
          </w:p>
        </w:tc>
        <w:tc>
          <w:tcPr>
            <w:tcW w:w="4452" w:type="dxa"/>
            <w:gridSpan w:val="2"/>
            <w:shd w:val="clear" w:color="auto" w:fill="FFFFFF"/>
            <w:vAlign w:val="center"/>
          </w:tcPr>
          <w:p w14:paraId="57C59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通讯费  3年，4G通讯费用</w:t>
            </w:r>
          </w:p>
        </w:tc>
        <w:tc>
          <w:tcPr>
            <w:tcW w:w="855" w:type="dxa"/>
            <w:gridSpan w:val="2"/>
            <w:shd w:val="clear" w:color="auto" w:fill="FFFFFF"/>
            <w:vAlign w:val="center"/>
          </w:tcPr>
          <w:p w14:paraId="6D1D8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292376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0D7D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0238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05" w:type="dxa"/>
            <w:shd w:val="clear" w:color="auto" w:fill="FFFFFF"/>
            <w:vAlign w:val="center"/>
          </w:tcPr>
          <w:p w14:paraId="75D41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0BD1E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  供电、信号线缆，保护套管、安装调试等</w:t>
            </w:r>
          </w:p>
        </w:tc>
        <w:tc>
          <w:tcPr>
            <w:tcW w:w="855" w:type="dxa"/>
            <w:gridSpan w:val="2"/>
            <w:shd w:val="clear" w:color="auto" w:fill="FFFFFF"/>
            <w:vAlign w:val="center"/>
          </w:tcPr>
          <w:p w14:paraId="6BC1C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06199D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62CC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EA9D4C5">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供水站出水管道（DN50)</w:t>
            </w:r>
          </w:p>
        </w:tc>
      </w:tr>
      <w:tr w14:paraId="314F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trPr>
        <w:tc>
          <w:tcPr>
            <w:tcW w:w="600" w:type="dxa"/>
            <w:shd w:val="clear" w:color="auto" w:fill="FFFFFF"/>
            <w:vAlign w:val="center"/>
          </w:tcPr>
          <w:p w14:paraId="583DE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205" w:type="dxa"/>
            <w:shd w:val="clear" w:color="auto" w:fill="FFFFFF"/>
            <w:vAlign w:val="center"/>
          </w:tcPr>
          <w:p w14:paraId="7CEAB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电磁流量计（DN50）  </w:t>
            </w:r>
          </w:p>
        </w:tc>
        <w:tc>
          <w:tcPr>
            <w:tcW w:w="4452" w:type="dxa"/>
            <w:gridSpan w:val="2"/>
            <w:shd w:val="clear" w:color="auto" w:fill="FFFFFF"/>
            <w:vAlign w:val="center"/>
          </w:tcPr>
          <w:p w14:paraId="3576B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精度：0.5级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电极材料：316L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通讯方式：RS485，modbus协议,4-20mA信号及脉冲输出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内衬：氯丁橡胶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显示：瞬时流量、累计流量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防护等级：传感器IP68，转换器IP65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表体型式：分体型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安装方式：法兰安装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线长：20米  承压：1.6Mpa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源牌|美控|惠达</w:t>
            </w:r>
          </w:p>
        </w:tc>
        <w:tc>
          <w:tcPr>
            <w:tcW w:w="855" w:type="dxa"/>
            <w:gridSpan w:val="2"/>
            <w:shd w:val="clear" w:color="auto" w:fill="FFFFFF"/>
            <w:vAlign w:val="center"/>
          </w:tcPr>
          <w:p w14:paraId="3B1F4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65" w:type="dxa"/>
            <w:shd w:val="clear" w:color="auto" w:fill="FFFFFF"/>
            <w:vAlign w:val="center"/>
          </w:tcPr>
          <w:p w14:paraId="61073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6750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600" w:type="dxa"/>
            <w:shd w:val="clear" w:color="auto" w:fill="FFFFFF"/>
            <w:vAlign w:val="center"/>
          </w:tcPr>
          <w:p w14:paraId="2FD8A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05" w:type="dxa"/>
            <w:shd w:val="clear" w:color="auto" w:fill="FFFFFF"/>
            <w:vAlign w:val="center"/>
          </w:tcPr>
          <w:p w14:paraId="18757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管道改造  </w:t>
            </w:r>
          </w:p>
        </w:tc>
        <w:tc>
          <w:tcPr>
            <w:tcW w:w="4452" w:type="dxa"/>
            <w:gridSpan w:val="2"/>
            <w:shd w:val="clear" w:color="auto" w:fill="FFFFFF"/>
            <w:vAlign w:val="center"/>
          </w:tcPr>
          <w:p w14:paraId="5B6BC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1、管道开挖，切割管道、增加管段、伸缩节及法兰连接；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2、为保证管道满管，必要时需对管道进行改造。</w:t>
            </w:r>
          </w:p>
        </w:tc>
        <w:tc>
          <w:tcPr>
            <w:tcW w:w="855" w:type="dxa"/>
            <w:gridSpan w:val="2"/>
            <w:shd w:val="clear" w:color="auto" w:fill="FFFFFF"/>
            <w:vAlign w:val="center"/>
          </w:tcPr>
          <w:p w14:paraId="1BCE3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1DC982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7924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02184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05" w:type="dxa"/>
            <w:shd w:val="clear" w:color="auto" w:fill="FFFFFF"/>
            <w:vAlign w:val="center"/>
          </w:tcPr>
          <w:p w14:paraId="25429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管线敷设费</w:t>
            </w:r>
          </w:p>
        </w:tc>
        <w:tc>
          <w:tcPr>
            <w:tcW w:w="4452" w:type="dxa"/>
            <w:gridSpan w:val="2"/>
            <w:shd w:val="clear" w:color="auto" w:fill="FFFFFF"/>
            <w:vAlign w:val="center"/>
          </w:tcPr>
          <w:p w14:paraId="549B8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管线敷设费  流量计电源线、信号线采购以及穿管敷设</w:t>
            </w:r>
          </w:p>
        </w:tc>
        <w:tc>
          <w:tcPr>
            <w:tcW w:w="855" w:type="dxa"/>
            <w:gridSpan w:val="2"/>
            <w:shd w:val="clear" w:color="auto" w:fill="FFFFFF"/>
            <w:vAlign w:val="center"/>
          </w:tcPr>
          <w:p w14:paraId="61EAB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5E8972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0ADA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8CCCF05">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供水站出水管道（DN100)</w:t>
            </w:r>
          </w:p>
        </w:tc>
      </w:tr>
      <w:tr w14:paraId="1BCC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trPr>
        <w:tc>
          <w:tcPr>
            <w:tcW w:w="600" w:type="dxa"/>
            <w:shd w:val="clear" w:color="auto" w:fill="FFFFFF"/>
            <w:vAlign w:val="center"/>
          </w:tcPr>
          <w:p w14:paraId="10E31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05" w:type="dxa"/>
            <w:shd w:val="clear" w:color="auto" w:fill="FFFFFF"/>
            <w:vAlign w:val="center"/>
          </w:tcPr>
          <w:p w14:paraId="2A58B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电磁流量计（DN100）</w:t>
            </w:r>
          </w:p>
        </w:tc>
        <w:tc>
          <w:tcPr>
            <w:tcW w:w="4452" w:type="dxa"/>
            <w:gridSpan w:val="2"/>
            <w:shd w:val="clear" w:color="auto" w:fill="FFFFFF"/>
            <w:vAlign w:val="center"/>
          </w:tcPr>
          <w:p w14:paraId="73A1E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电源：AC220V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精度：0.5级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电极材料：316L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通讯方式：RS485，modbus协议,4-20mA信号及脉冲输出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内衬：氯丁橡胶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显示：瞬时流量、累计流量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防护等级：传感器IP68，转换器IP65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表体型式：分体型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安装方式：法兰安装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线长：20米  承压：1.6Mpa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源牌|美控|惠达</w:t>
            </w:r>
          </w:p>
        </w:tc>
        <w:tc>
          <w:tcPr>
            <w:tcW w:w="855" w:type="dxa"/>
            <w:gridSpan w:val="2"/>
            <w:shd w:val="clear" w:color="auto" w:fill="FFFFFF"/>
            <w:vAlign w:val="center"/>
          </w:tcPr>
          <w:p w14:paraId="3C1E8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65" w:type="dxa"/>
            <w:shd w:val="clear" w:color="auto" w:fill="FFFFFF"/>
            <w:vAlign w:val="center"/>
          </w:tcPr>
          <w:p w14:paraId="051070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r>
      <w:tr w14:paraId="606D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600" w:type="dxa"/>
            <w:shd w:val="clear" w:color="auto" w:fill="FFFFFF"/>
            <w:vAlign w:val="center"/>
          </w:tcPr>
          <w:p w14:paraId="3708B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05" w:type="dxa"/>
            <w:shd w:val="clear" w:color="auto" w:fill="FFFFFF"/>
            <w:vAlign w:val="center"/>
          </w:tcPr>
          <w:p w14:paraId="765FD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管道改造</w:t>
            </w:r>
          </w:p>
        </w:tc>
        <w:tc>
          <w:tcPr>
            <w:tcW w:w="4452" w:type="dxa"/>
            <w:gridSpan w:val="2"/>
            <w:shd w:val="clear" w:color="auto" w:fill="FFFFFF"/>
            <w:vAlign w:val="center"/>
          </w:tcPr>
          <w:p w14:paraId="738FC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1、管道开挖，切割管道、增加管段、伸缩节及法兰连接；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2、为保证管道满管，必要时需对管道进行改造。</w:t>
            </w:r>
          </w:p>
        </w:tc>
        <w:tc>
          <w:tcPr>
            <w:tcW w:w="855" w:type="dxa"/>
            <w:gridSpan w:val="2"/>
            <w:shd w:val="clear" w:color="auto" w:fill="FFFFFF"/>
            <w:vAlign w:val="center"/>
          </w:tcPr>
          <w:p w14:paraId="2BD5B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0260B7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r>
      <w:tr w14:paraId="4550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5352C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05" w:type="dxa"/>
            <w:shd w:val="clear" w:color="auto" w:fill="FFFFFF"/>
            <w:vAlign w:val="center"/>
          </w:tcPr>
          <w:p w14:paraId="2937A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管线敷设费</w:t>
            </w:r>
          </w:p>
        </w:tc>
        <w:tc>
          <w:tcPr>
            <w:tcW w:w="4452" w:type="dxa"/>
            <w:gridSpan w:val="2"/>
            <w:shd w:val="clear" w:color="auto" w:fill="FFFFFF"/>
            <w:vAlign w:val="center"/>
          </w:tcPr>
          <w:p w14:paraId="5F454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管线敷设费  流量计电源线、信号线采购以及穿管敷设</w:t>
            </w:r>
          </w:p>
        </w:tc>
        <w:tc>
          <w:tcPr>
            <w:tcW w:w="855" w:type="dxa"/>
            <w:gridSpan w:val="2"/>
            <w:shd w:val="clear" w:color="auto" w:fill="FFFFFF"/>
            <w:vAlign w:val="center"/>
          </w:tcPr>
          <w:p w14:paraId="7333D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1E2E9D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r>
      <w:tr w14:paraId="309C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4A9DA9D">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供水站出水管道（DN150)</w:t>
            </w:r>
          </w:p>
        </w:tc>
      </w:tr>
      <w:tr w14:paraId="3C0E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trPr>
        <w:tc>
          <w:tcPr>
            <w:tcW w:w="600" w:type="dxa"/>
            <w:shd w:val="clear" w:color="auto" w:fill="FFFFFF"/>
            <w:vAlign w:val="center"/>
          </w:tcPr>
          <w:p w14:paraId="6947D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05" w:type="dxa"/>
            <w:shd w:val="clear" w:color="auto" w:fill="FFFFFF"/>
            <w:vAlign w:val="center"/>
          </w:tcPr>
          <w:p w14:paraId="1DD02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电磁流量计（DN150）</w:t>
            </w:r>
          </w:p>
        </w:tc>
        <w:tc>
          <w:tcPr>
            <w:tcW w:w="4452" w:type="dxa"/>
            <w:gridSpan w:val="2"/>
            <w:shd w:val="clear" w:color="auto" w:fill="FFFFFF"/>
            <w:vAlign w:val="center"/>
          </w:tcPr>
          <w:p w14:paraId="68787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精度：0.5级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电极材料：316L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通讯方式：RS485，modbus协议,4-20mA信号及脉冲输出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内衬：氯丁橡胶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显示：瞬时流量、累计流量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防护等级：传感器IP68，转换器IP65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表体型式：分体型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安装方式：法兰安装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线长：20米  承压：1.6Mpa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源牌|美控|惠达</w:t>
            </w:r>
          </w:p>
        </w:tc>
        <w:tc>
          <w:tcPr>
            <w:tcW w:w="855" w:type="dxa"/>
            <w:gridSpan w:val="2"/>
            <w:shd w:val="clear" w:color="auto" w:fill="FFFFFF"/>
            <w:vAlign w:val="center"/>
          </w:tcPr>
          <w:p w14:paraId="57EE3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65" w:type="dxa"/>
            <w:shd w:val="clear" w:color="auto" w:fill="FFFFFF"/>
            <w:vAlign w:val="center"/>
          </w:tcPr>
          <w:p w14:paraId="67A83B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E4E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00" w:type="dxa"/>
            <w:shd w:val="clear" w:color="auto" w:fill="FFFFFF"/>
            <w:vAlign w:val="center"/>
          </w:tcPr>
          <w:p w14:paraId="15050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05" w:type="dxa"/>
            <w:shd w:val="clear" w:color="auto" w:fill="FFFFFF"/>
            <w:vAlign w:val="center"/>
          </w:tcPr>
          <w:p w14:paraId="23A8C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管道改造</w:t>
            </w:r>
          </w:p>
        </w:tc>
        <w:tc>
          <w:tcPr>
            <w:tcW w:w="4452" w:type="dxa"/>
            <w:gridSpan w:val="2"/>
            <w:shd w:val="clear" w:color="auto" w:fill="FFFFFF"/>
            <w:vAlign w:val="center"/>
          </w:tcPr>
          <w:p w14:paraId="134B0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1、管道开挖，切割管道、增加管段、伸缩节及法兰连接；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2、为保证管道满管，必要时需对管道进行改造。</w:t>
            </w:r>
          </w:p>
        </w:tc>
        <w:tc>
          <w:tcPr>
            <w:tcW w:w="855" w:type="dxa"/>
            <w:gridSpan w:val="2"/>
            <w:shd w:val="clear" w:color="auto" w:fill="FFFFFF"/>
            <w:vAlign w:val="center"/>
          </w:tcPr>
          <w:p w14:paraId="405E1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7B09A6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7756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38270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05" w:type="dxa"/>
            <w:shd w:val="clear" w:color="auto" w:fill="FFFFFF"/>
            <w:vAlign w:val="center"/>
          </w:tcPr>
          <w:p w14:paraId="484FA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管线敷设费</w:t>
            </w:r>
          </w:p>
        </w:tc>
        <w:tc>
          <w:tcPr>
            <w:tcW w:w="4452" w:type="dxa"/>
            <w:gridSpan w:val="2"/>
            <w:shd w:val="clear" w:color="auto" w:fill="FFFFFF"/>
            <w:vAlign w:val="center"/>
          </w:tcPr>
          <w:p w14:paraId="4BF1ED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管线敷设费  流量计电源线、信号线采购以及穿管敷设</w:t>
            </w:r>
          </w:p>
        </w:tc>
        <w:tc>
          <w:tcPr>
            <w:tcW w:w="855" w:type="dxa"/>
            <w:gridSpan w:val="2"/>
            <w:shd w:val="clear" w:color="auto" w:fill="FFFFFF"/>
            <w:vAlign w:val="center"/>
          </w:tcPr>
          <w:p w14:paraId="4E95A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770C43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2BA5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4EB06A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水站自动管控系统</w:t>
            </w:r>
          </w:p>
        </w:tc>
      </w:tr>
      <w:tr w14:paraId="3A74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E38D8D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1、LCU控制柜</w:t>
            </w:r>
          </w:p>
        </w:tc>
      </w:tr>
      <w:tr w14:paraId="3BE8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5" w:hRule="atLeast"/>
        </w:trPr>
        <w:tc>
          <w:tcPr>
            <w:tcW w:w="600" w:type="dxa"/>
            <w:shd w:val="clear" w:color="auto" w:fill="FFFFFF"/>
            <w:vAlign w:val="center"/>
          </w:tcPr>
          <w:p w14:paraId="0E852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shd w:val="clear" w:color="auto" w:fill="FFFFFF"/>
            <w:vAlign w:val="center"/>
          </w:tcPr>
          <w:p w14:paraId="3F2DC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PLC  </w:t>
            </w:r>
          </w:p>
        </w:tc>
        <w:tc>
          <w:tcPr>
            <w:tcW w:w="4452" w:type="dxa"/>
            <w:gridSpan w:val="2"/>
            <w:shd w:val="clear" w:color="auto" w:fill="FFFFFF"/>
            <w:vAlign w:val="center"/>
          </w:tcPr>
          <w:p w14:paraId="1749C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1.集成高速处理器芯片，位指令执行时间可达 0.15μs；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2.通过信号板可扩展通信端口、模拟量通道、数字量通道和时钟保持功能；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3.SR/ST CPU 模块本体集成以太网接口和 RS485 串口，支持以太网接口下载程序；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 Modbus RTU、USS、PROFIBUS-DP、自由口通信等；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5.本体最多集成 3 路 100KHz 高速脉冲输出；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6.支持通用 Micro SD 卡下载程序、更新 PLC 固件和恢复出厂设置。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西门子|施耐德|GE</w:t>
            </w:r>
          </w:p>
        </w:tc>
        <w:tc>
          <w:tcPr>
            <w:tcW w:w="855" w:type="dxa"/>
            <w:gridSpan w:val="2"/>
            <w:shd w:val="clear" w:color="auto" w:fill="FFFFFF"/>
            <w:vAlign w:val="center"/>
          </w:tcPr>
          <w:p w14:paraId="12E10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015671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7948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5" w:hRule="atLeast"/>
        </w:trPr>
        <w:tc>
          <w:tcPr>
            <w:tcW w:w="600" w:type="dxa"/>
            <w:shd w:val="clear" w:color="auto" w:fill="FFFFFF"/>
            <w:vAlign w:val="center"/>
          </w:tcPr>
          <w:p w14:paraId="601D2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shd w:val="clear" w:color="auto" w:fill="FFFFFF"/>
            <w:vAlign w:val="center"/>
          </w:tcPr>
          <w:p w14:paraId="2E136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工业级网管交换机  </w:t>
            </w:r>
          </w:p>
        </w:tc>
        <w:tc>
          <w:tcPr>
            <w:tcW w:w="4452" w:type="dxa"/>
            <w:gridSpan w:val="2"/>
            <w:shd w:val="clear" w:color="auto" w:fill="FFFFFF"/>
            <w:vAlign w:val="center"/>
          </w:tcPr>
          <w:p w14:paraId="1D773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1、8口工业交换机；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2、支持双路DC9~60V宽电压电源供电或者单路AC85-264V/DC110~370V隔离电源供电，提高设备可靠性；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3、具有-40-85℃极端环境温度适应能力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海康威视|大华|宽域</w:t>
            </w:r>
          </w:p>
        </w:tc>
        <w:tc>
          <w:tcPr>
            <w:tcW w:w="855" w:type="dxa"/>
            <w:gridSpan w:val="2"/>
            <w:shd w:val="clear" w:color="auto" w:fill="FFFFFF"/>
            <w:vAlign w:val="center"/>
          </w:tcPr>
          <w:p w14:paraId="39238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3D6866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42E4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20D97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shd w:val="clear" w:color="auto" w:fill="FFFFFF"/>
            <w:vAlign w:val="center"/>
          </w:tcPr>
          <w:p w14:paraId="60EA6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UPS电源  </w:t>
            </w:r>
          </w:p>
        </w:tc>
        <w:tc>
          <w:tcPr>
            <w:tcW w:w="4452" w:type="dxa"/>
            <w:gridSpan w:val="2"/>
            <w:shd w:val="clear" w:color="auto" w:fill="FFFFFF"/>
            <w:vAlign w:val="center"/>
          </w:tcPr>
          <w:p w14:paraId="53942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UUPS类型:机架式；额定容量：1KVA；额定功率：800W；额定电压：220VAC；额定频率：50/60Hz；带后备电池。2节120AH,一个电池柜.后备时间大于1小时。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科士达|山特|科华</w:t>
            </w:r>
          </w:p>
        </w:tc>
        <w:tc>
          <w:tcPr>
            <w:tcW w:w="855" w:type="dxa"/>
            <w:gridSpan w:val="2"/>
            <w:shd w:val="clear" w:color="auto" w:fill="FFFFFF"/>
            <w:vAlign w:val="center"/>
          </w:tcPr>
          <w:p w14:paraId="3D52D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6BDB4B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94E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trPr>
        <w:tc>
          <w:tcPr>
            <w:tcW w:w="600" w:type="dxa"/>
            <w:shd w:val="clear" w:color="auto" w:fill="FFFFFF"/>
            <w:vAlign w:val="center"/>
          </w:tcPr>
          <w:p w14:paraId="1CF75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shd w:val="clear" w:color="auto" w:fill="FFFFFF"/>
            <w:vAlign w:val="center"/>
          </w:tcPr>
          <w:p w14:paraId="0397E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温湿度控制器  </w:t>
            </w:r>
          </w:p>
        </w:tc>
        <w:tc>
          <w:tcPr>
            <w:tcW w:w="4452" w:type="dxa"/>
            <w:gridSpan w:val="2"/>
            <w:shd w:val="clear" w:color="auto" w:fill="FFFFFF"/>
            <w:vAlign w:val="center"/>
          </w:tcPr>
          <w:p w14:paraId="74D85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控制器含传感器和加热器；测量控制温度：-19.9~99.9℃；测量控制湿度：1~99.9%RH；RS485通信，MODBUS协议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麦克|安科瑞|科飞</w:t>
            </w:r>
          </w:p>
        </w:tc>
        <w:tc>
          <w:tcPr>
            <w:tcW w:w="855" w:type="dxa"/>
            <w:gridSpan w:val="2"/>
            <w:shd w:val="clear" w:color="auto" w:fill="FFFFFF"/>
            <w:vAlign w:val="center"/>
          </w:tcPr>
          <w:p w14:paraId="34DC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65" w:type="dxa"/>
            <w:shd w:val="clear" w:color="auto" w:fill="FFFFFF"/>
            <w:vAlign w:val="center"/>
          </w:tcPr>
          <w:p w14:paraId="7303ED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3D8B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trPr>
        <w:tc>
          <w:tcPr>
            <w:tcW w:w="600" w:type="dxa"/>
            <w:shd w:val="clear" w:color="auto" w:fill="FFFFFF"/>
            <w:vAlign w:val="center"/>
          </w:tcPr>
          <w:p w14:paraId="7406F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shd w:val="clear" w:color="auto" w:fill="FFFFFF"/>
            <w:vAlign w:val="center"/>
          </w:tcPr>
          <w:p w14:paraId="757BB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单相电源避雷器  </w:t>
            </w:r>
          </w:p>
        </w:tc>
        <w:tc>
          <w:tcPr>
            <w:tcW w:w="4452" w:type="dxa"/>
            <w:gridSpan w:val="2"/>
            <w:shd w:val="clear" w:color="auto" w:fill="FFFFFF"/>
            <w:vAlign w:val="center"/>
          </w:tcPr>
          <w:p w14:paraId="7D75B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额定工作电压：220VAC，标称放电电流(8/20μs)：10kA，最大放电电流(8/20μs)：20kA，最大持续运行电压:320VAC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易龙|雷迅|莱特智慧</w:t>
            </w:r>
          </w:p>
        </w:tc>
        <w:tc>
          <w:tcPr>
            <w:tcW w:w="855" w:type="dxa"/>
            <w:gridSpan w:val="2"/>
            <w:shd w:val="clear" w:color="auto" w:fill="FFFFFF"/>
            <w:vAlign w:val="center"/>
          </w:tcPr>
          <w:p w14:paraId="5CE78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4581C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B1A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600" w:type="dxa"/>
            <w:shd w:val="clear" w:color="auto" w:fill="FFFFFF"/>
            <w:vAlign w:val="center"/>
          </w:tcPr>
          <w:p w14:paraId="3602F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shd w:val="clear" w:color="auto" w:fill="FFFFFF"/>
            <w:vAlign w:val="center"/>
          </w:tcPr>
          <w:p w14:paraId="660C8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信号避雷器  </w:t>
            </w:r>
          </w:p>
        </w:tc>
        <w:tc>
          <w:tcPr>
            <w:tcW w:w="4452" w:type="dxa"/>
            <w:gridSpan w:val="2"/>
            <w:shd w:val="clear" w:color="auto" w:fill="FFFFFF"/>
            <w:vAlign w:val="center"/>
          </w:tcPr>
          <w:p w14:paraId="357EC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额定工作电压Un：12V；最大持续电压UC：15V；额定工作电流In：300mA；SPD实验类别：C2；标称放电电流Isc；对称/非对称 ：125A/5kA；电压保护水平Up;对称/非对称：24V/0.6kV；工作频率：≤2.0MHz；插入损耗：≤3dB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易龙|雷迅|莱特智慧</w:t>
            </w:r>
          </w:p>
        </w:tc>
        <w:tc>
          <w:tcPr>
            <w:tcW w:w="855" w:type="dxa"/>
            <w:gridSpan w:val="2"/>
            <w:shd w:val="clear" w:color="auto" w:fill="FFFFFF"/>
            <w:vAlign w:val="center"/>
          </w:tcPr>
          <w:p w14:paraId="6B131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6CB1E5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07D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41313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shd w:val="clear" w:color="auto" w:fill="FFFFFF"/>
            <w:vAlign w:val="center"/>
          </w:tcPr>
          <w:p w14:paraId="4AE8B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机柜附件</w:t>
            </w:r>
          </w:p>
        </w:tc>
        <w:tc>
          <w:tcPr>
            <w:tcW w:w="4452" w:type="dxa"/>
            <w:gridSpan w:val="2"/>
            <w:shd w:val="clear" w:color="auto" w:fill="FFFFFF"/>
            <w:vAlign w:val="center"/>
          </w:tcPr>
          <w:p w14:paraId="1BCFB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机柜附件  继电器、断路器、端子、指示灯、按钮、风扇、开关电源等</w:t>
            </w:r>
          </w:p>
        </w:tc>
        <w:tc>
          <w:tcPr>
            <w:tcW w:w="855" w:type="dxa"/>
            <w:gridSpan w:val="2"/>
            <w:shd w:val="clear" w:color="auto" w:fill="FFFFFF"/>
            <w:vAlign w:val="center"/>
          </w:tcPr>
          <w:p w14:paraId="4F298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1AEAD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57B4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5736A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shd w:val="clear" w:color="auto" w:fill="FFFFFF"/>
            <w:vAlign w:val="center"/>
          </w:tcPr>
          <w:p w14:paraId="4E118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全屋防雷接地  </w:t>
            </w:r>
          </w:p>
        </w:tc>
        <w:tc>
          <w:tcPr>
            <w:tcW w:w="4452" w:type="dxa"/>
            <w:gridSpan w:val="2"/>
            <w:shd w:val="clear" w:color="auto" w:fill="FFFFFF"/>
            <w:vAlign w:val="center"/>
          </w:tcPr>
          <w:p w14:paraId="588A4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定制，电阻不大于10欧姆；</w:t>
            </w:r>
          </w:p>
        </w:tc>
        <w:tc>
          <w:tcPr>
            <w:tcW w:w="855" w:type="dxa"/>
            <w:gridSpan w:val="2"/>
            <w:shd w:val="clear" w:color="auto" w:fill="FFFFFF"/>
            <w:vAlign w:val="center"/>
          </w:tcPr>
          <w:p w14:paraId="68091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209AB3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3A33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600" w:type="dxa"/>
            <w:shd w:val="clear" w:color="auto" w:fill="FFFFFF"/>
            <w:vAlign w:val="center"/>
          </w:tcPr>
          <w:p w14:paraId="10108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shd w:val="clear" w:color="auto" w:fill="FFFFFF"/>
            <w:vAlign w:val="center"/>
          </w:tcPr>
          <w:p w14:paraId="1A6BE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LCU柜柜体  </w:t>
            </w:r>
          </w:p>
        </w:tc>
        <w:tc>
          <w:tcPr>
            <w:tcW w:w="4452" w:type="dxa"/>
            <w:gridSpan w:val="2"/>
            <w:shd w:val="clear" w:color="auto" w:fill="FFFFFF"/>
            <w:vAlign w:val="center"/>
          </w:tcPr>
          <w:p w14:paraId="0801E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室内柜体尺寸：800*600*1500mm（宽*深*高），柜体厚度不低于1.5毫米；柜体采用碳钢防锈喷塑处理；喷塑厚度不小于0.06毫米；含基础槽钢铺设,含柜子成套集成，柜内线路基础安装</w:t>
            </w:r>
          </w:p>
        </w:tc>
        <w:tc>
          <w:tcPr>
            <w:tcW w:w="855" w:type="dxa"/>
            <w:gridSpan w:val="2"/>
            <w:shd w:val="clear" w:color="auto" w:fill="FFFFFF"/>
            <w:vAlign w:val="center"/>
          </w:tcPr>
          <w:p w14:paraId="3FDED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4AF2D4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2E9B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00" w:type="dxa"/>
            <w:shd w:val="clear" w:color="auto" w:fill="FFFFFF"/>
            <w:vAlign w:val="center"/>
          </w:tcPr>
          <w:p w14:paraId="48D0A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shd w:val="clear" w:color="auto" w:fill="FFFFFF"/>
            <w:vAlign w:val="center"/>
          </w:tcPr>
          <w:p w14:paraId="5A1CA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监控组态软件开发  </w:t>
            </w:r>
          </w:p>
        </w:tc>
        <w:tc>
          <w:tcPr>
            <w:tcW w:w="4452" w:type="dxa"/>
            <w:gridSpan w:val="2"/>
            <w:shd w:val="clear" w:color="auto" w:fill="FFFFFF"/>
            <w:vAlign w:val="center"/>
          </w:tcPr>
          <w:p w14:paraId="26DC6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120座供水站的组态软件开发，监控组态运行软件包含数据采集和处理、全站运行监视、设备远程控制操作调节、事故处理指导和恢复操作指导、运行维护管理等多个功能模块，并按照标准化运行的原则要求进行开发</w:t>
            </w:r>
          </w:p>
        </w:tc>
        <w:tc>
          <w:tcPr>
            <w:tcW w:w="855" w:type="dxa"/>
            <w:gridSpan w:val="2"/>
            <w:shd w:val="clear" w:color="auto" w:fill="FFFFFF"/>
            <w:vAlign w:val="center"/>
          </w:tcPr>
          <w:p w14:paraId="77CA9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1D8DF8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36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00" w:type="dxa"/>
            <w:shd w:val="clear" w:color="auto" w:fill="FFFFFF"/>
            <w:vAlign w:val="center"/>
          </w:tcPr>
          <w:p w14:paraId="4F980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shd w:val="clear" w:color="auto" w:fill="FFFFFF"/>
            <w:vAlign w:val="center"/>
          </w:tcPr>
          <w:p w14:paraId="1B6E4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组态运行软件  </w:t>
            </w:r>
          </w:p>
        </w:tc>
        <w:tc>
          <w:tcPr>
            <w:tcW w:w="4452" w:type="dxa"/>
            <w:gridSpan w:val="2"/>
            <w:shd w:val="clear" w:color="auto" w:fill="FFFFFF"/>
            <w:vAlign w:val="center"/>
          </w:tcPr>
          <w:p w14:paraId="0632C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工控组态软件无限点，服务器版</w:t>
            </w:r>
          </w:p>
        </w:tc>
        <w:tc>
          <w:tcPr>
            <w:tcW w:w="855" w:type="dxa"/>
            <w:gridSpan w:val="2"/>
            <w:shd w:val="clear" w:color="auto" w:fill="FFFFFF"/>
            <w:vAlign w:val="center"/>
          </w:tcPr>
          <w:p w14:paraId="7F92C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79B29B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FC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600" w:type="dxa"/>
            <w:shd w:val="clear" w:color="auto" w:fill="FFFFFF"/>
            <w:vAlign w:val="center"/>
          </w:tcPr>
          <w:p w14:paraId="1D1A6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shd w:val="clear" w:color="auto" w:fill="FFFFFF"/>
            <w:vAlign w:val="center"/>
          </w:tcPr>
          <w:p w14:paraId="499AE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PLC控制程序  </w:t>
            </w:r>
          </w:p>
        </w:tc>
        <w:tc>
          <w:tcPr>
            <w:tcW w:w="4452" w:type="dxa"/>
            <w:gridSpan w:val="2"/>
            <w:shd w:val="clear" w:color="auto" w:fill="FFFFFF"/>
            <w:vAlign w:val="center"/>
          </w:tcPr>
          <w:p w14:paraId="3DADD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信息采集:水量、水质实时监测；阀门逻辑控制：</w:t>
            </w:r>
          </w:p>
        </w:tc>
        <w:tc>
          <w:tcPr>
            <w:tcW w:w="855" w:type="dxa"/>
            <w:gridSpan w:val="2"/>
            <w:shd w:val="clear" w:color="auto" w:fill="FFFFFF"/>
            <w:vAlign w:val="center"/>
          </w:tcPr>
          <w:p w14:paraId="4B991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424B1E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67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600" w:type="dxa"/>
            <w:shd w:val="clear" w:color="auto" w:fill="FFFFFF"/>
            <w:vAlign w:val="center"/>
          </w:tcPr>
          <w:p w14:paraId="5629F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shd w:val="clear" w:color="auto" w:fill="FFFFFF"/>
            <w:vAlign w:val="center"/>
          </w:tcPr>
          <w:p w14:paraId="42393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电动蝶阀  </w:t>
            </w:r>
          </w:p>
        </w:tc>
        <w:tc>
          <w:tcPr>
            <w:tcW w:w="4452" w:type="dxa"/>
            <w:gridSpan w:val="2"/>
            <w:shd w:val="clear" w:color="auto" w:fill="FFFFFF"/>
            <w:vAlign w:val="center"/>
          </w:tcPr>
          <w:p w14:paraId="334C4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220V供电，输入开关量信号；阀体材质：不锈钢；连接方式：法兰连接；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富莱斯|弗尼森|巨良</w:t>
            </w:r>
          </w:p>
        </w:tc>
        <w:tc>
          <w:tcPr>
            <w:tcW w:w="855" w:type="dxa"/>
            <w:gridSpan w:val="2"/>
            <w:shd w:val="clear" w:color="auto" w:fill="FFFFFF"/>
            <w:vAlign w:val="center"/>
          </w:tcPr>
          <w:p w14:paraId="05A87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5216AE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48BF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00" w:type="dxa"/>
            <w:shd w:val="clear" w:color="auto" w:fill="FFFFFF"/>
            <w:vAlign w:val="center"/>
          </w:tcPr>
          <w:p w14:paraId="54894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shd w:val="clear" w:color="auto" w:fill="FFFFFF"/>
            <w:vAlign w:val="center"/>
          </w:tcPr>
          <w:p w14:paraId="47A6A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w:t>
            </w:r>
          </w:p>
        </w:tc>
        <w:tc>
          <w:tcPr>
            <w:tcW w:w="4452" w:type="dxa"/>
            <w:gridSpan w:val="2"/>
            <w:shd w:val="clear" w:color="auto" w:fill="FFFFFF"/>
            <w:vAlign w:val="center"/>
          </w:tcPr>
          <w:p w14:paraId="4EBDD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线缆及辅材  供电、信号线缆，保护套管等</w:t>
            </w:r>
          </w:p>
        </w:tc>
        <w:tc>
          <w:tcPr>
            <w:tcW w:w="855" w:type="dxa"/>
            <w:gridSpan w:val="2"/>
            <w:shd w:val="clear" w:color="auto" w:fill="FFFFFF"/>
            <w:vAlign w:val="center"/>
          </w:tcPr>
          <w:p w14:paraId="7B242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606013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4759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trPr>
        <w:tc>
          <w:tcPr>
            <w:tcW w:w="600" w:type="dxa"/>
            <w:shd w:val="clear" w:color="auto" w:fill="FFFFFF"/>
            <w:vAlign w:val="center"/>
          </w:tcPr>
          <w:p w14:paraId="68CEE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shd w:val="clear" w:color="auto" w:fill="FFFFFF"/>
            <w:vAlign w:val="center"/>
          </w:tcPr>
          <w:p w14:paraId="6A28A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站内线管整理  </w:t>
            </w:r>
          </w:p>
        </w:tc>
        <w:tc>
          <w:tcPr>
            <w:tcW w:w="4452" w:type="dxa"/>
            <w:gridSpan w:val="2"/>
            <w:shd w:val="clear" w:color="auto" w:fill="FFFFFF"/>
            <w:vAlign w:val="center"/>
          </w:tcPr>
          <w:p w14:paraId="7D896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主要将前期建设的管道、线缆统一重新整理，有条件的站点尽可能采用桥架走线，无条件的站点将原有管线重新统一预埋整理，补充优质管道，更换质量较差、通信质量低的线缆，最终做到站内干净整洁。</w:t>
            </w:r>
          </w:p>
        </w:tc>
        <w:tc>
          <w:tcPr>
            <w:tcW w:w="855" w:type="dxa"/>
            <w:gridSpan w:val="2"/>
            <w:shd w:val="clear" w:color="auto" w:fill="FFFFFF"/>
            <w:vAlign w:val="center"/>
          </w:tcPr>
          <w:p w14:paraId="3565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78B58A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44ED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11775D4">
            <w:pPr>
              <w:jc w:val="left"/>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sz w:val="18"/>
                <w:szCs w:val="18"/>
                <w:u w:val="none"/>
              </w:rPr>
              <w:t>支撑保障体系</w:t>
            </w:r>
          </w:p>
        </w:tc>
      </w:tr>
      <w:tr w14:paraId="62B4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C7C600E">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1、会议室升级配备</w:t>
            </w:r>
          </w:p>
        </w:tc>
      </w:tr>
      <w:tr w14:paraId="1D04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70E65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shd w:val="clear" w:color="auto" w:fill="FFFFFF"/>
            <w:vAlign w:val="center"/>
          </w:tcPr>
          <w:p w14:paraId="3791A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定制操作台</w:t>
            </w:r>
          </w:p>
        </w:tc>
        <w:tc>
          <w:tcPr>
            <w:tcW w:w="4452" w:type="dxa"/>
            <w:gridSpan w:val="2"/>
            <w:shd w:val="clear" w:color="auto" w:fill="FFFFFF"/>
            <w:vAlign w:val="center"/>
          </w:tcPr>
          <w:p w14:paraId="074B0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二席操作台，配套2把办公椅</w:t>
            </w:r>
          </w:p>
        </w:tc>
        <w:tc>
          <w:tcPr>
            <w:tcW w:w="855" w:type="dxa"/>
            <w:gridSpan w:val="2"/>
            <w:shd w:val="clear" w:color="auto" w:fill="FFFFFF"/>
            <w:vAlign w:val="center"/>
          </w:tcPr>
          <w:p w14:paraId="3998A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0D0DDF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B3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trPr>
        <w:tc>
          <w:tcPr>
            <w:tcW w:w="600" w:type="dxa"/>
            <w:shd w:val="clear" w:color="auto" w:fill="FFFFFF"/>
            <w:vAlign w:val="center"/>
          </w:tcPr>
          <w:p w14:paraId="5161D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shd w:val="clear" w:color="auto" w:fill="FFFFFF"/>
            <w:vAlign w:val="center"/>
          </w:tcPr>
          <w:p w14:paraId="4487F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操作工作站  </w:t>
            </w:r>
          </w:p>
        </w:tc>
        <w:tc>
          <w:tcPr>
            <w:tcW w:w="4452" w:type="dxa"/>
            <w:gridSpan w:val="2"/>
            <w:shd w:val="clear" w:color="auto" w:fill="FFFFFF"/>
            <w:vAlign w:val="center"/>
          </w:tcPr>
          <w:p w14:paraId="29A00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台式电脑整机（信创电脑CPU、16G内存、512G硬盘容量）显示器≥24.5英寸 ，带键鼠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中科可控|浪潮|华为</w:t>
            </w:r>
          </w:p>
        </w:tc>
        <w:tc>
          <w:tcPr>
            <w:tcW w:w="855" w:type="dxa"/>
            <w:gridSpan w:val="2"/>
            <w:shd w:val="clear" w:color="auto" w:fill="FFFFFF"/>
            <w:vAlign w:val="center"/>
          </w:tcPr>
          <w:p w14:paraId="29E53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01423E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0A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00" w:type="dxa"/>
            <w:shd w:val="clear" w:color="auto" w:fill="FFFFFF"/>
            <w:vAlign w:val="center"/>
          </w:tcPr>
          <w:p w14:paraId="7B64F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shd w:val="clear" w:color="auto" w:fill="FFFFFF"/>
            <w:vAlign w:val="center"/>
          </w:tcPr>
          <w:p w14:paraId="5E292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移动工作站  </w:t>
            </w:r>
          </w:p>
        </w:tc>
        <w:tc>
          <w:tcPr>
            <w:tcW w:w="4452" w:type="dxa"/>
            <w:gridSpan w:val="2"/>
            <w:shd w:val="clear" w:color="auto" w:fill="FFFFFF"/>
            <w:vAlign w:val="center"/>
          </w:tcPr>
          <w:p w14:paraId="31122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CPU规格不低于Ultra 7 155H，32GB/1TB；144Hz刷新率；2USB+1HDMI接口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中科可控|浪潮|华为</w:t>
            </w:r>
          </w:p>
        </w:tc>
        <w:tc>
          <w:tcPr>
            <w:tcW w:w="855" w:type="dxa"/>
            <w:gridSpan w:val="2"/>
            <w:shd w:val="clear" w:color="auto" w:fill="FFFFFF"/>
            <w:vAlign w:val="center"/>
          </w:tcPr>
          <w:p w14:paraId="2E246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68301C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75F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0" w:hRule="atLeast"/>
        </w:trPr>
        <w:tc>
          <w:tcPr>
            <w:tcW w:w="600" w:type="dxa"/>
            <w:shd w:val="clear" w:color="auto" w:fill="FFFFFF"/>
            <w:vAlign w:val="center"/>
          </w:tcPr>
          <w:p w14:paraId="54AF2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shd w:val="clear" w:color="auto" w:fill="FFFFFF"/>
            <w:vAlign w:val="center"/>
          </w:tcPr>
          <w:p w14:paraId="78F98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100寸会议显示器  </w:t>
            </w:r>
          </w:p>
        </w:tc>
        <w:tc>
          <w:tcPr>
            <w:tcW w:w="4452" w:type="dxa"/>
            <w:gridSpan w:val="2"/>
            <w:shd w:val="clear" w:color="auto" w:fill="FFFFFF"/>
            <w:vAlign w:val="center"/>
          </w:tcPr>
          <w:p w14:paraId="34AEA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1、显示屏尺寸 100英寸（16：9）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2、显示屏类型 LED液晶显示屏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3、物理分辨率 3840（H）×2160（V）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4、显示色彩 10bit, 1.07B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5、刷新率 4K-60HZ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6、亮度 ≤350cd/m2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7、对比度 5000：1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8、视角（度） 178°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9、显示屏防护 4mm全钢化高防爆-防眩光玻璃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10、背光灯寿命 50000小时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11、触摸嵌入方式 内置一体式，非外挂式，前拆设计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触摸感应技术 红外感应识别触摸技术（20点）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12、书写方式 手指、触摸笔或其他直径不小于5mm非透明物体（多点8mm）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13、光标速度 120点/s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艾索|海康威视|大华</w:t>
            </w:r>
          </w:p>
        </w:tc>
        <w:tc>
          <w:tcPr>
            <w:tcW w:w="855" w:type="dxa"/>
            <w:gridSpan w:val="2"/>
            <w:shd w:val="clear" w:color="auto" w:fill="FFFFFF"/>
            <w:vAlign w:val="center"/>
          </w:tcPr>
          <w:p w14:paraId="504CB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2CB5CF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04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600" w:type="dxa"/>
            <w:shd w:val="clear" w:color="auto" w:fill="FFFFFF"/>
            <w:vAlign w:val="center"/>
          </w:tcPr>
          <w:p w14:paraId="58E1E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shd w:val="clear" w:color="auto" w:fill="FFFFFF"/>
            <w:vAlign w:val="center"/>
          </w:tcPr>
          <w:p w14:paraId="489B0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定制移动推车</w:t>
            </w:r>
          </w:p>
        </w:tc>
        <w:tc>
          <w:tcPr>
            <w:tcW w:w="4452" w:type="dxa"/>
            <w:gridSpan w:val="2"/>
            <w:shd w:val="clear" w:color="auto" w:fill="FFFFFF"/>
            <w:vAlign w:val="center"/>
          </w:tcPr>
          <w:p w14:paraId="1DFC8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定制移动推车  高度调节上下可调，脚踏式刹车轮，一体式底座 承重能力强</w:t>
            </w:r>
          </w:p>
        </w:tc>
        <w:tc>
          <w:tcPr>
            <w:tcW w:w="855" w:type="dxa"/>
            <w:gridSpan w:val="2"/>
            <w:shd w:val="clear" w:color="auto" w:fill="FFFFFF"/>
            <w:vAlign w:val="center"/>
          </w:tcPr>
          <w:p w14:paraId="4D3C4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5DAA4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0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0" w:hRule="atLeast"/>
        </w:trPr>
        <w:tc>
          <w:tcPr>
            <w:tcW w:w="600" w:type="dxa"/>
            <w:shd w:val="clear" w:color="auto" w:fill="FFFFFF"/>
            <w:vAlign w:val="center"/>
          </w:tcPr>
          <w:p w14:paraId="5E64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shd w:val="clear" w:color="auto" w:fill="FFFFFF"/>
            <w:vAlign w:val="center"/>
          </w:tcPr>
          <w:p w14:paraId="45FB2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工业数据服务器 </w:t>
            </w:r>
          </w:p>
        </w:tc>
        <w:tc>
          <w:tcPr>
            <w:tcW w:w="4452" w:type="dxa"/>
            <w:gridSpan w:val="2"/>
            <w:shd w:val="clear" w:color="auto" w:fill="FFFFFF"/>
            <w:vAlign w:val="center"/>
          </w:tcPr>
          <w:p w14:paraId="6E42E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CPU：2颗 (16核，2.5GHz)；信创服务器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内存:32G ，最大支持扩展至1TB内存；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硬盘：2块1T SATA，支持14个盘位（2.5寸/3.5寸）；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阵列卡：支持RAID 0/1/5/6/10/50/60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电源：标配550W×2；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中科可控|浪潮|华为</w:t>
            </w:r>
          </w:p>
        </w:tc>
        <w:tc>
          <w:tcPr>
            <w:tcW w:w="855" w:type="dxa"/>
            <w:gridSpan w:val="2"/>
            <w:shd w:val="clear" w:color="auto" w:fill="FFFFFF"/>
            <w:vAlign w:val="center"/>
          </w:tcPr>
          <w:p w14:paraId="0A65F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55081B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E1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0" w:hRule="atLeast"/>
        </w:trPr>
        <w:tc>
          <w:tcPr>
            <w:tcW w:w="600" w:type="dxa"/>
            <w:shd w:val="clear" w:color="auto" w:fill="FFFFFF"/>
            <w:vAlign w:val="center"/>
          </w:tcPr>
          <w:p w14:paraId="19D2A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shd w:val="clear" w:color="auto" w:fill="FFFFFF"/>
            <w:vAlign w:val="center"/>
          </w:tcPr>
          <w:p w14:paraId="67CB3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接入交换机  </w:t>
            </w:r>
          </w:p>
        </w:tc>
        <w:tc>
          <w:tcPr>
            <w:tcW w:w="4452" w:type="dxa"/>
            <w:gridSpan w:val="2"/>
            <w:shd w:val="clear" w:color="auto" w:fill="FFFFFF"/>
            <w:vAlign w:val="center"/>
          </w:tcPr>
          <w:p w14:paraId="11B1C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1、产品性能：交换容量≥336Gbps，整机转发性能≥96Mpps；千兆电口≥24个；千兆光口≥4个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2、为防止设备吸入过多粉尘，引发设备故障，要求交换机使用无风扇设计,为减少噪音污染，要求设备符合国家标准GB3096-2008中最高级别0类噪音标准。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3、工作环境：为保障设备环境适应能力，要求设备支持0℃-70℃ 宽温工作。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4、路由特性：支持静态路由、RIP、OSPF；OSPF路由表容量≥12K；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5、网络管理：支持中文管理界面、WEB管理接口、SNMP v1/v2/v3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华三|华为|迪普</w:t>
            </w:r>
          </w:p>
        </w:tc>
        <w:tc>
          <w:tcPr>
            <w:tcW w:w="855" w:type="dxa"/>
            <w:gridSpan w:val="2"/>
            <w:shd w:val="clear" w:color="auto" w:fill="FFFFFF"/>
            <w:vAlign w:val="center"/>
          </w:tcPr>
          <w:p w14:paraId="46618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533FDF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84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5" w:hRule="atLeast"/>
        </w:trPr>
        <w:tc>
          <w:tcPr>
            <w:tcW w:w="600" w:type="dxa"/>
            <w:shd w:val="clear" w:color="auto" w:fill="FFFFFF"/>
            <w:vAlign w:val="center"/>
          </w:tcPr>
          <w:p w14:paraId="62F31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shd w:val="clear" w:color="auto" w:fill="FFFFFF"/>
            <w:vAlign w:val="center"/>
          </w:tcPr>
          <w:p w14:paraId="529AB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核心交换机  </w:t>
            </w:r>
          </w:p>
        </w:tc>
        <w:tc>
          <w:tcPr>
            <w:tcW w:w="4452" w:type="dxa"/>
            <w:gridSpan w:val="2"/>
            <w:shd w:val="clear" w:color="auto" w:fill="FFFFFF"/>
            <w:vAlign w:val="center"/>
          </w:tcPr>
          <w:p w14:paraId="50F4E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1、配置要求：交换容量≥880Gbps，包转发率≥570Mpps；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2、配置：10/100/1000M电口≥48，万兆光口≥6个，接口卡扩展槽位≥1,槽位可扩展万兆接口卡；实配双电源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3、虚拟化：支持多虚一虚拟化技术，将多台物理设备虚拟化为1台逻辑设备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4、设备功耗≤70W；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5、设备支持0-70℃宽温工作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6、路由特性：支持IPv4和IPv6的三层路由功能，支持静态路由、RIP、OSPF、BGP；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7、OSPF路由表容量≥12K；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华三|华为|迪普</w:t>
            </w:r>
          </w:p>
        </w:tc>
        <w:tc>
          <w:tcPr>
            <w:tcW w:w="855" w:type="dxa"/>
            <w:gridSpan w:val="2"/>
            <w:shd w:val="clear" w:color="auto" w:fill="FFFFFF"/>
            <w:vAlign w:val="center"/>
          </w:tcPr>
          <w:p w14:paraId="5B95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3C3A47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2F5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25CFE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shd w:val="clear" w:color="auto" w:fill="FFFFFF"/>
            <w:vAlign w:val="center"/>
          </w:tcPr>
          <w:p w14:paraId="66257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线缆及辅材  </w:t>
            </w:r>
          </w:p>
        </w:tc>
        <w:tc>
          <w:tcPr>
            <w:tcW w:w="4452" w:type="dxa"/>
            <w:gridSpan w:val="2"/>
            <w:shd w:val="clear" w:color="auto" w:fill="FFFFFF"/>
            <w:vAlign w:val="center"/>
          </w:tcPr>
          <w:p w14:paraId="21BA3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包含音指挥调度中心所有电源线、视频连接线、电源线、信号线等</w:t>
            </w:r>
          </w:p>
        </w:tc>
        <w:tc>
          <w:tcPr>
            <w:tcW w:w="855" w:type="dxa"/>
            <w:gridSpan w:val="2"/>
            <w:shd w:val="clear" w:color="auto" w:fill="FFFFFF"/>
            <w:vAlign w:val="center"/>
          </w:tcPr>
          <w:p w14:paraId="2AA69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5" w:type="dxa"/>
            <w:shd w:val="clear" w:color="auto" w:fill="FFFFFF"/>
            <w:vAlign w:val="center"/>
          </w:tcPr>
          <w:p w14:paraId="09663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35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8877" w:type="dxa"/>
            <w:gridSpan w:val="7"/>
            <w:shd w:val="clear" w:color="auto" w:fill="FFFFFF"/>
            <w:vAlign w:val="center"/>
          </w:tcPr>
          <w:p w14:paraId="7C96FA35">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2、水利局视频存储及监控改造</w:t>
            </w:r>
          </w:p>
        </w:tc>
      </w:tr>
      <w:tr w14:paraId="42E7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5" w:hRule="atLeast"/>
        </w:trPr>
        <w:tc>
          <w:tcPr>
            <w:tcW w:w="600" w:type="dxa"/>
            <w:shd w:val="clear" w:color="auto" w:fill="FFFFFF"/>
            <w:vAlign w:val="center"/>
          </w:tcPr>
          <w:p w14:paraId="0D280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shd w:val="clear" w:color="auto" w:fill="FFFFFF"/>
            <w:vAlign w:val="center"/>
          </w:tcPr>
          <w:p w14:paraId="57A10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视频基础模块  </w:t>
            </w:r>
          </w:p>
        </w:tc>
        <w:tc>
          <w:tcPr>
            <w:tcW w:w="4452" w:type="dxa"/>
            <w:gridSpan w:val="2"/>
            <w:shd w:val="clear" w:color="auto" w:fill="FFFFFF"/>
            <w:vAlign w:val="center"/>
          </w:tcPr>
          <w:p w14:paraId="05ABE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1、支持最大区域数量：2万；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2、支持最大组织数量：5万；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3、支持最大用户数量：20万；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4、支持最大同时在线用户数量：5000；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5、支持最大角色数量：1万；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6、支持最大人员数量：30万；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7、支持最大卡片数量：30万；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8、紧急报警设备接入数量：500。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007AE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18B71D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73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6AE63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shd w:val="clear" w:color="auto" w:fill="FFFFFF"/>
            <w:vAlign w:val="center"/>
          </w:tcPr>
          <w:p w14:paraId="452DFE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w:t>
            </w:r>
          </w:p>
        </w:tc>
        <w:tc>
          <w:tcPr>
            <w:tcW w:w="4452" w:type="dxa"/>
            <w:gridSpan w:val="2"/>
            <w:shd w:val="clear" w:color="auto" w:fill="FFFFFF"/>
            <w:vAlign w:val="center"/>
          </w:tcPr>
          <w:p w14:paraId="321B4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  本级监控点路数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08263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w:t>
            </w:r>
          </w:p>
        </w:tc>
        <w:tc>
          <w:tcPr>
            <w:tcW w:w="765" w:type="dxa"/>
            <w:shd w:val="clear" w:color="auto" w:fill="FFFFFF"/>
            <w:vAlign w:val="center"/>
          </w:tcPr>
          <w:p w14:paraId="007DB2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7206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1AC89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shd w:val="clear" w:color="auto" w:fill="FFFFFF"/>
            <w:vAlign w:val="center"/>
          </w:tcPr>
          <w:p w14:paraId="59291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视频级联管理</w:t>
            </w:r>
          </w:p>
        </w:tc>
        <w:tc>
          <w:tcPr>
            <w:tcW w:w="4452" w:type="dxa"/>
            <w:gridSpan w:val="2"/>
            <w:shd w:val="clear" w:color="auto" w:fill="FFFFFF"/>
            <w:vAlign w:val="center"/>
          </w:tcPr>
          <w:p w14:paraId="2413D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视频级联管理  对级联的视频点位进行管理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53881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shd w:val="clear" w:color="auto" w:fill="FFFFFF"/>
            <w:vAlign w:val="center"/>
          </w:tcPr>
          <w:p w14:paraId="293366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DF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0" w:hRule="atLeast"/>
        </w:trPr>
        <w:tc>
          <w:tcPr>
            <w:tcW w:w="600" w:type="dxa"/>
            <w:shd w:val="clear" w:color="auto" w:fill="FFFFFF"/>
            <w:vAlign w:val="center"/>
          </w:tcPr>
          <w:p w14:paraId="4871F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shd w:val="clear" w:color="auto" w:fill="FFFFFF"/>
            <w:vAlign w:val="center"/>
          </w:tcPr>
          <w:p w14:paraId="7A221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视频运维管理</w:t>
            </w:r>
          </w:p>
        </w:tc>
        <w:tc>
          <w:tcPr>
            <w:tcW w:w="4452" w:type="dxa"/>
            <w:gridSpan w:val="2"/>
            <w:shd w:val="clear" w:color="auto" w:fill="FFFFFF"/>
            <w:vAlign w:val="center"/>
          </w:tcPr>
          <w:p w14:paraId="066757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设备网络管理应用，对接入平台的视频设备，及时发现故障设备和掉线设备，使运维工作更加高效，便利。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一、视频网络管理                                                 1、支持监控摄像机、编码设备、存储设备等物联设备在线状态、工作状态、硬盘状态、指标采集。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2、支持监控点通道的在线状态指标检测。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3、支持告警信息统计展现。并支持对监控点、编码设备、NVR/CVR、云储存告警阈值进行配置。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视频质量诊断应用，提供视频图像诊断和监测服务。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1、支持监控点通道的图像质量诊断结果统计和查看。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2、支持图像模糊、图像过亮、图像偏色、图像过暗、图像过亮、视频抖动、视频丢帧、场景变换、视频遮挡、对比度、条纹干扰、噪声干扰、信号丢失、黑白图像指标诊断。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3、支持码流分辨率、编码格式指标采集。。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4、支持诊断对比图查看和诊断结果矫正功能。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5、支持巡检计划配置，可以按照类型和资源以及自定义的巡检周期进行</w:t>
            </w:r>
          </w:p>
          <w:p w14:paraId="3DC06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巡检计划配置。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6、支持监控点图像质量统计报表，展现各类诊断故障数量。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7、支持SDK、ehome、isup5.0、GB28181协议。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3FDD3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55F04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03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600" w:type="dxa"/>
            <w:shd w:val="clear" w:color="auto" w:fill="FFFFFF"/>
            <w:vAlign w:val="center"/>
          </w:tcPr>
          <w:p w14:paraId="58D28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shd w:val="clear" w:color="auto" w:fill="FFFFFF"/>
            <w:vAlign w:val="center"/>
          </w:tcPr>
          <w:p w14:paraId="55156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无水尺水位识别</w:t>
            </w:r>
          </w:p>
        </w:tc>
        <w:tc>
          <w:tcPr>
            <w:tcW w:w="4452" w:type="dxa"/>
            <w:gridSpan w:val="2"/>
            <w:shd w:val="clear" w:color="auto" w:fill="FFFFFF"/>
            <w:vAlign w:val="center"/>
          </w:tcPr>
          <w:p w14:paraId="296A7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支持通过虚拟水尺的绘制，识别水位。需要依赖【前端智能调度或后端智能调度】，进行语义分割算法的智能分析。绘制的水尺，和水域岸边的分割线应尽量保持垂直。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34A6B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2E68C3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79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trPr>
        <w:tc>
          <w:tcPr>
            <w:tcW w:w="600" w:type="dxa"/>
            <w:shd w:val="clear" w:color="auto" w:fill="FFFFFF"/>
            <w:vAlign w:val="center"/>
          </w:tcPr>
          <w:p w14:paraId="399EE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shd w:val="clear" w:color="auto" w:fill="FFFFFF"/>
            <w:vAlign w:val="center"/>
          </w:tcPr>
          <w:p w14:paraId="7D232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中心管理服务器 </w:t>
            </w:r>
          </w:p>
        </w:tc>
        <w:tc>
          <w:tcPr>
            <w:tcW w:w="4452" w:type="dxa"/>
            <w:gridSpan w:val="2"/>
            <w:shd w:val="clear" w:color="auto" w:fill="FFFFFF"/>
            <w:vAlign w:val="center"/>
          </w:tcPr>
          <w:p w14:paraId="3E7A5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2U单路标准机架式服务器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CPU：配置1颗 x86架构HYGON 7380处理器，核数≥32核，主频≥2.2GHz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内存：配置64G DDR4，16根内存插槽，最大支持扩展至2TB内存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硬盘：配置2块600G 10K 2.5寸SAS硬盘；最高可选支持12块3.5寸(兼容2.5寸)热插拔SATA/SAS硬盘，可选支持2块后置2.5寸热插拔SATA/SAS硬盘;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阵列卡：配置SAS_HBA卡（支持RAID 0/1/10）；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PCIE扩展：支持6个PCIe扩展插槽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网口：板载2个千兆电口；支持选配10GbE、25GbE SFP+等多种网络接口；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电源：配置550W（1+1）高效铂金CRPS冗余电源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机箱规格：87.8mm(高)x 448mm(宽)x730mm(深)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设备重量：约28千克（不含导轨）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17E36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10AA34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6D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0" w:hRule="atLeast"/>
        </w:trPr>
        <w:tc>
          <w:tcPr>
            <w:tcW w:w="600" w:type="dxa"/>
            <w:shd w:val="clear" w:color="auto" w:fill="FFFFFF"/>
            <w:vAlign w:val="center"/>
          </w:tcPr>
          <w:p w14:paraId="3559D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shd w:val="clear" w:color="auto" w:fill="FFFFFF"/>
            <w:vAlign w:val="center"/>
          </w:tcPr>
          <w:p w14:paraId="45F66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流媒体服务器  </w:t>
            </w:r>
          </w:p>
        </w:tc>
        <w:tc>
          <w:tcPr>
            <w:tcW w:w="4452" w:type="dxa"/>
            <w:gridSpan w:val="2"/>
            <w:shd w:val="clear" w:color="auto" w:fill="FFFFFF"/>
            <w:vAlign w:val="center"/>
          </w:tcPr>
          <w:p w14:paraId="6078B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2U单路标准机架式服务器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CPU：配置1颗 x86架构HYGON 7380处理器，核数≥32核，主频≥2.2GHz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内存：配置64G DDR4，16根内存插槽，最大支持扩展至2TB内存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硬盘：配置2块600G 10K 2.5寸SAS硬盘；最高可选支持12块3.5寸(兼容2.5寸)热插拔SATA/SAS硬盘，可选支持2块后置2.5寸热插拔SATA/SAS硬盘;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阵列卡：配置SAS_HBA卡（支持RAID 0/1/10）；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PCIE扩展：支持6个PCIe扩展插槽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网口：板载2个千兆电口；支持选配10GbE、25GbE SFP+等多种网络接口；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电源：配置550W（1+1）高效铂金CRPS冗余电源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机箱规格：87.8mm(高)x 448mm(宽)x730mm(深)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设备重量：约28千克（不含导轨）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4E7AC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18D85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E0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0" w:hRule="atLeast"/>
        </w:trPr>
        <w:tc>
          <w:tcPr>
            <w:tcW w:w="600" w:type="dxa"/>
            <w:shd w:val="clear" w:color="auto" w:fill="FFFFFF"/>
            <w:vAlign w:val="center"/>
          </w:tcPr>
          <w:p w14:paraId="3A20A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shd w:val="clear" w:color="auto" w:fill="FFFFFF"/>
            <w:vAlign w:val="center"/>
          </w:tcPr>
          <w:p w14:paraId="41A85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中心存储  </w:t>
            </w:r>
          </w:p>
        </w:tc>
        <w:tc>
          <w:tcPr>
            <w:tcW w:w="4452" w:type="dxa"/>
            <w:gridSpan w:val="2"/>
            <w:shd w:val="clear" w:color="auto" w:fill="FFFFFF"/>
            <w:vAlign w:val="center"/>
          </w:tcPr>
          <w:p w14:paraId="79D3A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4U机架式36盘位网络存储设备，搭载64位多核处理器，1+1冗余电源、冗余风扇，实现7×24小时稳定运行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处理器：1颗64位多核处理器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系统内存：8GB（可扩展至64GB）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系统盘：1×240GB SSD（后置）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存储接口：36个SATA接口，支持硬盘热插拔，已配置36块16TB硬盘，总容量达576TB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网络接口：4个2.5G数据网口，1个千兆管理口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其他接口：1×COM，2×USB2.0（前置），2×USB3.0（后置），1×VGA（前置），1×HDMI（后置）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整机电源：800W，1+1冗余电源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590B0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55A2B3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F41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5" w:hRule="atLeast"/>
        </w:trPr>
        <w:tc>
          <w:tcPr>
            <w:tcW w:w="600" w:type="dxa"/>
            <w:shd w:val="clear" w:color="auto" w:fill="FFFFFF"/>
            <w:vAlign w:val="center"/>
          </w:tcPr>
          <w:p w14:paraId="7CEE7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shd w:val="clear" w:color="auto" w:fill="FFFFFF"/>
            <w:vAlign w:val="center"/>
          </w:tcPr>
          <w:p w14:paraId="04329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企业级硬盘  </w:t>
            </w:r>
          </w:p>
        </w:tc>
        <w:tc>
          <w:tcPr>
            <w:tcW w:w="4452" w:type="dxa"/>
            <w:gridSpan w:val="2"/>
            <w:shd w:val="clear" w:color="auto" w:fill="FFFFFF"/>
            <w:vAlign w:val="center"/>
          </w:tcPr>
          <w:p w14:paraId="5BD1D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10TB容量，3.5英寸外形尺寸和SATA3.0接口，7200RPM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空气盘， CMR传统磁记录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传输速率263MB/s，流畅存储视频有效防止丢帧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MTBF可达2,000,000小时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高级格式（AF）512e扇区技术，保障硬盘扇区4K对齐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满足数据严苛的7*24小时运行可靠性、安全性的需求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支持5年有限质保服务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海康威视|大华|宇视</w:t>
            </w:r>
          </w:p>
        </w:tc>
        <w:tc>
          <w:tcPr>
            <w:tcW w:w="855" w:type="dxa"/>
            <w:gridSpan w:val="2"/>
            <w:shd w:val="clear" w:color="auto" w:fill="FFFFFF"/>
            <w:vAlign w:val="center"/>
          </w:tcPr>
          <w:p w14:paraId="2B00C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4714A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054A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7BAC293">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2、通讯网络</w:t>
            </w:r>
          </w:p>
        </w:tc>
      </w:tr>
      <w:tr w14:paraId="47B4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36A6A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shd w:val="clear" w:color="auto" w:fill="FFFFFF"/>
            <w:vAlign w:val="center"/>
          </w:tcPr>
          <w:p w14:paraId="18A86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提升泵站VPN</w:t>
            </w:r>
          </w:p>
        </w:tc>
        <w:tc>
          <w:tcPr>
            <w:tcW w:w="4452" w:type="dxa"/>
            <w:gridSpan w:val="2"/>
            <w:shd w:val="clear" w:color="auto" w:fill="FFFFFF"/>
            <w:vAlign w:val="center"/>
          </w:tcPr>
          <w:p w14:paraId="6ECE6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提升泵站VPN  50M VPN</w:t>
            </w:r>
          </w:p>
        </w:tc>
        <w:tc>
          <w:tcPr>
            <w:tcW w:w="855" w:type="dxa"/>
            <w:gridSpan w:val="2"/>
            <w:shd w:val="clear" w:color="auto" w:fill="FFFFFF"/>
            <w:vAlign w:val="center"/>
          </w:tcPr>
          <w:p w14:paraId="4D877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275F2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CA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683A2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shd w:val="clear" w:color="auto" w:fill="FFFFFF"/>
            <w:vAlign w:val="center"/>
          </w:tcPr>
          <w:p w14:paraId="0F3CA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提升泵站自建光缆</w:t>
            </w:r>
          </w:p>
        </w:tc>
        <w:tc>
          <w:tcPr>
            <w:tcW w:w="4452" w:type="dxa"/>
            <w:gridSpan w:val="2"/>
            <w:shd w:val="clear" w:color="auto" w:fill="FFFFFF"/>
            <w:vAlign w:val="center"/>
          </w:tcPr>
          <w:p w14:paraId="10242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提升泵站自建光缆  提升泵站至供水站光缆敷设</w:t>
            </w:r>
          </w:p>
        </w:tc>
        <w:tc>
          <w:tcPr>
            <w:tcW w:w="855" w:type="dxa"/>
            <w:gridSpan w:val="2"/>
            <w:shd w:val="clear" w:color="auto" w:fill="FFFFFF"/>
            <w:vAlign w:val="center"/>
          </w:tcPr>
          <w:p w14:paraId="3A31D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765" w:type="dxa"/>
            <w:shd w:val="clear" w:color="auto" w:fill="FFFFFF"/>
            <w:vAlign w:val="center"/>
          </w:tcPr>
          <w:p w14:paraId="7ACC2D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14:paraId="260D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78844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shd w:val="clear" w:color="auto" w:fill="FFFFFF"/>
            <w:vAlign w:val="center"/>
          </w:tcPr>
          <w:p w14:paraId="56ADC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供水站数据VPN</w:t>
            </w:r>
          </w:p>
        </w:tc>
        <w:tc>
          <w:tcPr>
            <w:tcW w:w="4452" w:type="dxa"/>
            <w:gridSpan w:val="2"/>
            <w:shd w:val="clear" w:color="auto" w:fill="FFFFFF"/>
            <w:vAlign w:val="center"/>
          </w:tcPr>
          <w:p w14:paraId="1A23E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供水站数据VPN  100M VPN</w:t>
            </w:r>
          </w:p>
        </w:tc>
        <w:tc>
          <w:tcPr>
            <w:tcW w:w="855" w:type="dxa"/>
            <w:gridSpan w:val="2"/>
            <w:shd w:val="clear" w:color="auto" w:fill="FFFFFF"/>
            <w:vAlign w:val="center"/>
          </w:tcPr>
          <w:p w14:paraId="4C5BB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717A5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4522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6B849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shd w:val="clear" w:color="auto" w:fill="FFFFFF"/>
            <w:vAlign w:val="center"/>
          </w:tcPr>
          <w:p w14:paraId="23FBC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工控汇总链路</w:t>
            </w:r>
          </w:p>
        </w:tc>
        <w:tc>
          <w:tcPr>
            <w:tcW w:w="4452" w:type="dxa"/>
            <w:gridSpan w:val="2"/>
            <w:shd w:val="clear" w:color="auto" w:fill="FFFFFF"/>
            <w:vAlign w:val="center"/>
          </w:tcPr>
          <w:p w14:paraId="07BC9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工控汇总链路  500M工控专线VPN</w:t>
            </w:r>
          </w:p>
        </w:tc>
        <w:tc>
          <w:tcPr>
            <w:tcW w:w="855" w:type="dxa"/>
            <w:gridSpan w:val="2"/>
            <w:shd w:val="clear" w:color="auto" w:fill="FFFFFF"/>
            <w:vAlign w:val="center"/>
          </w:tcPr>
          <w:p w14:paraId="20CB0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256B3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84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14DB8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shd w:val="clear" w:color="auto" w:fill="FFFFFF"/>
            <w:vAlign w:val="center"/>
          </w:tcPr>
          <w:p w14:paraId="75524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裸光纤</w:t>
            </w:r>
          </w:p>
        </w:tc>
        <w:tc>
          <w:tcPr>
            <w:tcW w:w="4452" w:type="dxa"/>
            <w:gridSpan w:val="2"/>
            <w:shd w:val="clear" w:color="auto" w:fill="FFFFFF"/>
            <w:vAlign w:val="center"/>
          </w:tcPr>
          <w:p w14:paraId="6008A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裸光纤  运营商至水利局光纤</w:t>
            </w:r>
          </w:p>
        </w:tc>
        <w:tc>
          <w:tcPr>
            <w:tcW w:w="855" w:type="dxa"/>
            <w:gridSpan w:val="2"/>
            <w:shd w:val="clear" w:color="auto" w:fill="FFFFFF"/>
            <w:vAlign w:val="center"/>
          </w:tcPr>
          <w:p w14:paraId="45FCC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127991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C9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42E28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shd w:val="clear" w:color="auto" w:fill="FFFFFF"/>
            <w:vAlign w:val="center"/>
          </w:tcPr>
          <w:p w14:paraId="1EAB4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政务外网专线</w:t>
            </w:r>
          </w:p>
        </w:tc>
        <w:tc>
          <w:tcPr>
            <w:tcW w:w="4452" w:type="dxa"/>
            <w:gridSpan w:val="2"/>
            <w:shd w:val="clear" w:color="auto" w:fill="FFFFFF"/>
            <w:vAlign w:val="center"/>
          </w:tcPr>
          <w:p w14:paraId="73BA7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政务外网专线  水利局数据传输外网专线</w:t>
            </w:r>
          </w:p>
        </w:tc>
        <w:tc>
          <w:tcPr>
            <w:tcW w:w="855" w:type="dxa"/>
            <w:gridSpan w:val="2"/>
            <w:shd w:val="clear" w:color="auto" w:fill="FFFFFF"/>
            <w:vAlign w:val="center"/>
          </w:tcPr>
          <w:p w14:paraId="0B187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项/3年</w:t>
            </w:r>
          </w:p>
        </w:tc>
        <w:tc>
          <w:tcPr>
            <w:tcW w:w="765" w:type="dxa"/>
            <w:shd w:val="clear" w:color="auto" w:fill="FFFFFF"/>
            <w:vAlign w:val="center"/>
          </w:tcPr>
          <w:p w14:paraId="5A9E13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4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9316B66">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3、网络安全配置</w:t>
            </w:r>
          </w:p>
        </w:tc>
      </w:tr>
      <w:tr w14:paraId="142E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trPr>
        <w:tc>
          <w:tcPr>
            <w:tcW w:w="600" w:type="dxa"/>
            <w:shd w:val="clear" w:color="auto" w:fill="FFFFFF"/>
            <w:vAlign w:val="center"/>
          </w:tcPr>
          <w:p w14:paraId="03432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shd w:val="clear" w:color="auto" w:fill="FFFFFF"/>
            <w:vAlign w:val="center"/>
          </w:tcPr>
          <w:p w14:paraId="4CDB9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工控防火墙 </w:t>
            </w:r>
          </w:p>
        </w:tc>
        <w:tc>
          <w:tcPr>
            <w:tcW w:w="4452" w:type="dxa"/>
            <w:gridSpan w:val="2"/>
            <w:shd w:val="clear" w:color="auto" w:fill="FFFFFF"/>
            <w:vAlign w:val="center"/>
          </w:tcPr>
          <w:p w14:paraId="6B725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国产化工业防火墙，国产化CPU，2U机架式，冗余电源；标配6个10/100/1000M Base-TX网络接口（2对bypass），4个千兆SFP插槽，2个网络接口扩展槽位；默认支持工业协议深度解析和控制功能；标配128G SSD固态硬盘；整机吞吐性能10Gbps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0BAEB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373200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14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5" w:hRule="atLeast"/>
        </w:trPr>
        <w:tc>
          <w:tcPr>
            <w:tcW w:w="600" w:type="dxa"/>
            <w:shd w:val="clear" w:color="auto" w:fill="FFFFFF"/>
            <w:vAlign w:val="center"/>
          </w:tcPr>
          <w:p w14:paraId="131C9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shd w:val="clear" w:color="auto" w:fill="FFFFFF"/>
            <w:vAlign w:val="center"/>
          </w:tcPr>
          <w:p w14:paraId="6909A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工控隔离网闸  </w:t>
            </w:r>
          </w:p>
        </w:tc>
        <w:tc>
          <w:tcPr>
            <w:tcW w:w="4452" w:type="dxa"/>
            <w:gridSpan w:val="2"/>
            <w:shd w:val="clear" w:color="auto" w:fill="FFFFFF"/>
            <w:vAlign w:val="center"/>
          </w:tcPr>
          <w:p w14:paraId="2986F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国产化CPU以及操作系统，2U机箱，单电源；整机配备2块液晶屏。 内网接口：1个HA口，1个管理口，4个千兆电口，4个千兆SFP插槽，2个扩展槽位。 外网接口：1个HA口，1个管理口，4个千兆电口，4个千兆SFP插槽，2个扩展槽位。 软件系统：默认包含全功能模块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27270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0460AD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55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600" w:type="dxa"/>
            <w:shd w:val="clear" w:color="auto" w:fill="FFFFFF"/>
            <w:vAlign w:val="center"/>
          </w:tcPr>
          <w:p w14:paraId="145E7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shd w:val="clear" w:color="auto" w:fill="FFFFFF"/>
            <w:vAlign w:val="center"/>
          </w:tcPr>
          <w:p w14:paraId="4B941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工控日志审计  </w:t>
            </w:r>
          </w:p>
        </w:tc>
        <w:tc>
          <w:tcPr>
            <w:tcW w:w="4452" w:type="dxa"/>
            <w:gridSpan w:val="2"/>
            <w:shd w:val="clear" w:color="auto" w:fill="FFFFFF"/>
            <w:vAlign w:val="center"/>
          </w:tcPr>
          <w:p w14:paraId="7EDB0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国产化CPU以及操作系统，2U上架设备，1个RJ-45 Console口，6个10/100/1000 Base-T接口，2千兆光接口插槽（不含光模块），2个USB口，2扩展插槽，1T SSD硬盘，32G内存，冗余电源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45F50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5FAEA1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02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trPr>
        <w:tc>
          <w:tcPr>
            <w:tcW w:w="600" w:type="dxa"/>
            <w:shd w:val="clear" w:color="auto" w:fill="FFFFFF"/>
            <w:vAlign w:val="center"/>
          </w:tcPr>
          <w:p w14:paraId="5C21B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shd w:val="clear" w:color="auto" w:fill="FFFFFF"/>
            <w:vAlign w:val="center"/>
          </w:tcPr>
          <w:p w14:paraId="7CE1F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工控安全卫士  </w:t>
            </w:r>
          </w:p>
        </w:tc>
        <w:tc>
          <w:tcPr>
            <w:tcW w:w="4452" w:type="dxa"/>
            <w:gridSpan w:val="2"/>
            <w:shd w:val="clear" w:color="auto" w:fill="FFFFFF"/>
            <w:vAlign w:val="center"/>
          </w:tcPr>
          <w:p w14:paraId="4F08B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要求：配备工业主机白名单防护、网络白名单防护、外设管控、漏洞检查、主机基线检测及加固、非法外联监测、账户白名单、主机登录动态令牌认证、告警与日志审计和安全感知平台大屏等功能；本次配置10个网络版客户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0630D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65" w:type="dxa"/>
            <w:shd w:val="clear" w:color="auto" w:fill="FFFFFF"/>
            <w:vAlign w:val="center"/>
          </w:tcPr>
          <w:p w14:paraId="2DEE42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EB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trPr>
        <w:tc>
          <w:tcPr>
            <w:tcW w:w="600" w:type="dxa"/>
            <w:shd w:val="clear" w:color="auto" w:fill="FFFFFF"/>
            <w:vAlign w:val="center"/>
          </w:tcPr>
          <w:p w14:paraId="27D5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shd w:val="clear" w:color="auto" w:fill="FFFFFF"/>
            <w:vAlign w:val="center"/>
          </w:tcPr>
          <w:p w14:paraId="0F548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业务防火墙  </w:t>
            </w:r>
          </w:p>
        </w:tc>
        <w:tc>
          <w:tcPr>
            <w:tcW w:w="4452" w:type="dxa"/>
            <w:gridSpan w:val="2"/>
            <w:shd w:val="clear" w:color="auto" w:fill="FFFFFF"/>
            <w:vAlign w:val="center"/>
          </w:tcPr>
          <w:p w14:paraId="63627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国产化CPU以及操作系统，2U设备,单电源；标配7个10/100/1000M Base-TX，4个SFP插槽；默认配置4T机械硬盘；默认支持IPSec VPN和SSL VPN模块（200个并发用户）；开通IPS模块，AV模块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705B7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62291C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10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600" w:type="dxa"/>
            <w:shd w:val="clear" w:color="auto" w:fill="FFFFFF"/>
            <w:vAlign w:val="center"/>
          </w:tcPr>
          <w:p w14:paraId="24457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shd w:val="clear" w:color="auto" w:fill="FFFFFF"/>
            <w:vAlign w:val="center"/>
          </w:tcPr>
          <w:p w14:paraId="5A239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入侵防御系统  </w:t>
            </w:r>
          </w:p>
        </w:tc>
        <w:tc>
          <w:tcPr>
            <w:tcW w:w="4452" w:type="dxa"/>
            <w:gridSpan w:val="2"/>
            <w:shd w:val="clear" w:color="auto" w:fill="FFFFFF"/>
            <w:vAlign w:val="center"/>
          </w:tcPr>
          <w:p w14:paraId="3C060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国产化CPU以及操作系统，2U上架设备，1个RJ-45 Console口，1个HA口，1个管理口，12个具备BYPASS功能的10/100/1000Base-T接口，8个千兆光口（不含光模块），2个USB口；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6B937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553AF4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41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5" w:hRule="atLeast"/>
        </w:trPr>
        <w:tc>
          <w:tcPr>
            <w:tcW w:w="600" w:type="dxa"/>
            <w:shd w:val="clear" w:color="auto" w:fill="FFFFFF"/>
            <w:vAlign w:val="center"/>
          </w:tcPr>
          <w:p w14:paraId="2B406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shd w:val="clear" w:color="auto" w:fill="FFFFFF"/>
            <w:vAlign w:val="center"/>
          </w:tcPr>
          <w:p w14:paraId="253B8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日志审计  </w:t>
            </w:r>
          </w:p>
        </w:tc>
        <w:tc>
          <w:tcPr>
            <w:tcW w:w="4452" w:type="dxa"/>
            <w:gridSpan w:val="2"/>
            <w:shd w:val="clear" w:color="auto" w:fill="FFFFFF"/>
            <w:vAlign w:val="center"/>
          </w:tcPr>
          <w:p w14:paraId="7FDA0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国产化CPU以及操作系统，1U标准机架式设备，单电源，标配6个千兆电口4个千兆光口，3个可扩展插槽，2个USB接口，内存16G，128G SSD+2TB。默认支持30个审计对象授权。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1F975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0D491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58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5" w:hRule="atLeast"/>
        </w:trPr>
        <w:tc>
          <w:tcPr>
            <w:tcW w:w="600" w:type="dxa"/>
            <w:shd w:val="clear" w:color="auto" w:fill="FFFFFF"/>
            <w:vAlign w:val="center"/>
          </w:tcPr>
          <w:p w14:paraId="1C37E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shd w:val="clear" w:color="auto" w:fill="FFFFFF"/>
            <w:vAlign w:val="center"/>
          </w:tcPr>
          <w:p w14:paraId="5E66E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数据库审计  </w:t>
            </w:r>
          </w:p>
        </w:tc>
        <w:tc>
          <w:tcPr>
            <w:tcW w:w="4452" w:type="dxa"/>
            <w:gridSpan w:val="2"/>
            <w:shd w:val="clear" w:color="auto" w:fill="FFFFFF"/>
            <w:vAlign w:val="center"/>
          </w:tcPr>
          <w:p w14:paraId="0569D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国产化CPU以及操作系统,审计一体机，1U上架专用设备，6个电口（含1个管理口，1个HA口），4个千兆SFP接口插槽，3个接口扩展槽，1个RJ45串口，硬盘4T，单电源，默认含3个被审计数据库服务数。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4DDA0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177106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30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600" w:type="dxa"/>
            <w:shd w:val="clear" w:color="auto" w:fill="FFFFFF"/>
            <w:vAlign w:val="center"/>
          </w:tcPr>
          <w:p w14:paraId="76940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shd w:val="clear" w:color="auto" w:fill="FFFFFF"/>
            <w:vAlign w:val="center"/>
          </w:tcPr>
          <w:p w14:paraId="191E0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堡垒机  </w:t>
            </w:r>
          </w:p>
        </w:tc>
        <w:tc>
          <w:tcPr>
            <w:tcW w:w="4452" w:type="dxa"/>
            <w:gridSpan w:val="2"/>
            <w:shd w:val="clear" w:color="auto" w:fill="FFFFFF"/>
            <w:vAlign w:val="center"/>
          </w:tcPr>
          <w:p w14:paraId="0B55E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国产化CPU以及操作系统,1U机架式.6个千兆电口，4个千兆光口，1个Console管理口，存储容量4TB，单电源，3个扩展槽。50个被管资源数，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奇安信|迪普|威努特</w:t>
            </w:r>
          </w:p>
        </w:tc>
        <w:tc>
          <w:tcPr>
            <w:tcW w:w="855" w:type="dxa"/>
            <w:gridSpan w:val="2"/>
            <w:shd w:val="clear" w:color="auto" w:fill="FFFFFF"/>
            <w:vAlign w:val="center"/>
          </w:tcPr>
          <w:p w14:paraId="372CE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65" w:type="dxa"/>
            <w:shd w:val="clear" w:color="auto" w:fill="FFFFFF"/>
            <w:vAlign w:val="center"/>
          </w:tcPr>
          <w:p w14:paraId="4674A7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0E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A9033D4">
            <w:pPr>
              <w:jc w:val="left"/>
              <w:rPr>
                <w:rFonts w:hint="eastAsia" w:ascii="宋体" w:hAnsi="宋体" w:cs="宋体"/>
                <w:b/>
                <w:bCs/>
                <w:color w:val="000000"/>
                <w:sz w:val="18"/>
                <w:szCs w:val="18"/>
              </w:rPr>
            </w:pPr>
            <w:r>
              <w:rPr>
                <w:rFonts w:hint="eastAsia" w:ascii="宋体" w:hAnsi="宋体" w:cs="宋体"/>
                <w:b/>
                <w:bCs/>
                <w:color w:val="000000"/>
                <w:sz w:val="18"/>
                <w:szCs w:val="18"/>
              </w:rPr>
              <w:t>信息系统软件平台</w:t>
            </w:r>
          </w:p>
        </w:tc>
      </w:tr>
      <w:tr w14:paraId="10EE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E669A41">
            <w:pPr>
              <w:jc w:val="left"/>
              <w:rPr>
                <w:rFonts w:hint="eastAsia" w:ascii="宋体" w:hAnsi="宋体" w:cs="宋体"/>
                <w:color w:val="000000"/>
                <w:sz w:val="18"/>
                <w:szCs w:val="18"/>
              </w:rPr>
            </w:pPr>
            <w:r>
              <w:rPr>
                <w:rFonts w:hint="eastAsia" w:ascii="宋体" w:hAnsi="宋体" w:cs="宋体"/>
                <w:b w:val="0"/>
                <w:bCs w:val="0"/>
                <w:color w:val="000000"/>
                <w:sz w:val="18"/>
                <w:szCs w:val="18"/>
              </w:rPr>
              <w:t>宁海县城乡智慧供水一体化管控应用</w:t>
            </w:r>
          </w:p>
        </w:tc>
      </w:tr>
      <w:tr w14:paraId="5305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42D1BFB">
            <w:pPr>
              <w:jc w:val="left"/>
              <w:rPr>
                <w:rFonts w:hint="eastAsia" w:ascii="宋体" w:hAnsi="宋体" w:cs="宋体"/>
                <w:color w:val="000000"/>
                <w:sz w:val="18"/>
                <w:szCs w:val="18"/>
              </w:rPr>
            </w:pPr>
            <w:r>
              <w:rPr>
                <w:rFonts w:hint="eastAsia" w:ascii="宋体" w:hAnsi="宋体" w:cs="宋体"/>
                <w:color w:val="000000"/>
                <w:kern w:val="0"/>
                <w:sz w:val="18"/>
                <w:szCs w:val="18"/>
                <w:lang w:bidi="ar"/>
              </w:rPr>
              <w:t>（一）城乡供水数据库</w:t>
            </w:r>
          </w:p>
        </w:tc>
      </w:tr>
      <w:tr w14:paraId="0DC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22555CA">
            <w:pPr>
              <w:jc w:val="left"/>
              <w:rPr>
                <w:rFonts w:hint="eastAsia" w:ascii="宋体" w:hAnsi="宋体" w:cs="宋体"/>
                <w:color w:val="000000"/>
                <w:sz w:val="18"/>
                <w:szCs w:val="18"/>
              </w:rPr>
            </w:pPr>
            <w:r>
              <w:rPr>
                <w:rFonts w:hint="eastAsia" w:ascii="宋体" w:hAnsi="宋体" w:cs="宋体"/>
                <w:color w:val="000000"/>
                <w:kern w:val="0"/>
                <w:sz w:val="18"/>
                <w:szCs w:val="18"/>
                <w:lang w:bidi="ar"/>
              </w:rPr>
              <w:t>1、数据库建设</w:t>
            </w:r>
          </w:p>
        </w:tc>
      </w:tr>
      <w:tr w14:paraId="1AE9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FFFFF"/>
            <w:vAlign w:val="center"/>
          </w:tcPr>
          <w:p w14:paraId="3AF3E3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205" w:type="dxa"/>
            <w:shd w:val="clear" w:color="auto" w:fill="FFFFFF"/>
            <w:vAlign w:val="center"/>
          </w:tcPr>
          <w:p w14:paraId="6791B9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基础数据库  </w:t>
            </w:r>
          </w:p>
        </w:tc>
        <w:tc>
          <w:tcPr>
            <w:tcW w:w="4272" w:type="dxa"/>
            <w:shd w:val="clear" w:color="auto" w:fill="FFFFFF"/>
            <w:vAlign w:val="center"/>
          </w:tcPr>
          <w:p w14:paraId="064A04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包括城乡供水水厂（站）信息、水源地基本情况、管理单位信息、管理人员信息、卫生监督管理信息、设备信息、工程图片、供水服务对象（镇村、社区及用水户）等数据。</w:t>
            </w:r>
          </w:p>
        </w:tc>
        <w:tc>
          <w:tcPr>
            <w:tcW w:w="915" w:type="dxa"/>
            <w:gridSpan w:val="2"/>
            <w:shd w:val="clear" w:color="auto" w:fill="FFFFFF"/>
            <w:vAlign w:val="center"/>
          </w:tcPr>
          <w:p w14:paraId="7FE7AD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975A5C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834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0" w:type="dxa"/>
            <w:shd w:val="clear" w:color="auto" w:fill="FFFFFF"/>
            <w:vAlign w:val="center"/>
          </w:tcPr>
          <w:p w14:paraId="1C13D8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205" w:type="dxa"/>
            <w:shd w:val="clear" w:color="auto" w:fill="FFFFFF"/>
            <w:vAlign w:val="center"/>
          </w:tcPr>
          <w:p w14:paraId="49D5FF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监测数据库  </w:t>
            </w:r>
          </w:p>
        </w:tc>
        <w:tc>
          <w:tcPr>
            <w:tcW w:w="4272" w:type="dxa"/>
            <w:shd w:val="clear" w:color="auto" w:fill="FFFFFF"/>
            <w:vAlign w:val="center"/>
          </w:tcPr>
          <w:p w14:paraId="05A27D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包括水质监测、水量监测、管网流量、供水水压、视频图像、水源水位、清水池/蓄水池水位、一体化膜处理设备运行状态、水表读数、设备运行状态等监测监控数据。</w:t>
            </w:r>
          </w:p>
        </w:tc>
        <w:tc>
          <w:tcPr>
            <w:tcW w:w="915" w:type="dxa"/>
            <w:gridSpan w:val="2"/>
            <w:shd w:val="clear" w:color="auto" w:fill="FFFFFF"/>
            <w:vAlign w:val="center"/>
          </w:tcPr>
          <w:p w14:paraId="778510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01C983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955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0" w:type="dxa"/>
            <w:shd w:val="clear" w:color="auto" w:fill="FFFFFF"/>
            <w:vAlign w:val="center"/>
          </w:tcPr>
          <w:p w14:paraId="164E28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205" w:type="dxa"/>
            <w:shd w:val="clear" w:color="auto" w:fill="FFFFFF"/>
            <w:vAlign w:val="center"/>
          </w:tcPr>
          <w:p w14:paraId="4CC104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业务数据库  </w:t>
            </w:r>
          </w:p>
        </w:tc>
        <w:tc>
          <w:tcPr>
            <w:tcW w:w="4272" w:type="dxa"/>
            <w:shd w:val="clear" w:color="auto" w:fill="FFFFFF"/>
            <w:vAlign w:val="center"/>
          </w:tcPr>
          <w:p w14:paraId="208244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包括城乡供水工程运行管理数据、管理台账数据、达标提标指标、统计分析数据、各类预警信息、风险识别与处置数据、水费收缴信息、水源划界数据等。</w:t>
            </w:r>
          </w:p>
        </w:tc>
        <w:tc>
          <w:tcPr>
            <w:tcW w:w="915" w:type="dxa"/>
            <w:gridSpan w:val="2"/>
            <w:shd w:val="clear" w:color="auto" w:fill="FFFFFF"/>
            <w:vAlign w:val="center"/>
          </w:tcPr>
          <w:p w14:paraId="2E69C0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EAB6BC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496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0" w:type="dxa"/>
            <w:shd w:val="clear" w:color="auto" w:fill="FFFFFF"/>
            <w:vAlign w:val="center"/>
          </w:tcPr>
          <w:p w14:paraId="41DA4E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205" w:type="dxa"/>
            <w:shd w:val="clear" w:color="auto" w:fill="FFFFFF"/>
            <w:vAlign w:val="center"/>
          </w:tcPr>
          <w:p w14:paraId="5C50B1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地理空间数据库  </w:t>
            </w:r>
          </w:p>
        </w:tc>
        <w:tc>
          <w:tcPr>
            <w:tcW w:w="4272" w:type="dxa"/>
            <w:shd w:val="clear" w:color="auto" w:fill="FFFFFF"/>
            <w:vAlign w:val="center"/>
          </w:tcPr>
          <w:p w14:paraId="3AED8A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包括水源地管理与保护区（范围）线、水厂（站）及水源地位置、监测设备位置、主干管网分布、供水区域等地理空间数据。</w:t>
            </w:r>
          </w:p>
        </w:tc>
        <w:tc>
          <w:tcPr>
            <w:tcW w:w="915" w:type="dxa"/>
            <w:gridSpan w:val="2"/>
            <w:shd w:val="clear" w:color="auto" w:fill="FFFFFF"/>
            <w:vAlign w:val="center"/>
          </w:tcPr>
          <w:p w14:paraId="7AE0D2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54C609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1AB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B7D58FE">
            <w:pPr>
              <w:jc w:val="left"/>
              <w:rPr>
                <w:rFonts w:hint="eastAsia" w:ascii="宋体" w:hAnsi="宋体" w:cs="宋体"/>
                <w:color w:val="000000"/>
                <w:sz w:val="18"/>
                <w:szCs w:val="18"/>
              </w:rPr>
            </w:pPr>
            <w:r>
              <w:rPr>
                <w:rFonts w:hint="eastAsia" w:ascii="宋体" w:hAnsi="宋体" w:cs="宋体"/>
                <w:color w:val="000000"/>
                <w:kern w:val="0"/>
                <w:sz w:val="18"/>
                <w:szCs w:val="18"/>
                <w:lang w:bidi="ar"/>
              </w:rPr>
              <w:t>2、省级数据回流实施</w:t>
            </w:r>
          </w:p>
        </w:tc>
      </w:tr>
      <w:tr w14:paraId="3ACF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70D17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205" w:type="dxa"/>
            <w:shd w:val="clear" w:color="auto" w:fill="FFFFFF"/>
            <w:vAlign w:val="center"/>
          </w:tcPr>
          <w:p w14:paraId="6C9403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回流数据库表建设 </w:t>
            </w:r>
          </w:p>
        </w:tc>
        <w:tc>
          <w:tcPr>
            <w:tcW w:w="4272" w:type="dxa"/>
            <w:shd w:val="clear" w:color="auto" w:fill="FFFFFF"/>
            <w:vAlign w:val="center"/>
          </w:tcPr>
          <w:p w14:paraId="7ABFB69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按照省级提供的目录，开展回流数据库表建设。</w:t>
            </w:r>
          </w:p>
        </w:tc>
        <w:tc>
          <w:tcPr>
            <w:tcW w:w="915" w:type="dxa"/>
            <w:gridSpan w:val="2"/>
            <w:shd w:val="clear" w:color="auto" w:fill="FFFFFF"/>
            <w:vAlign w:val="center"/>
          </w:tcPr>
          <w:p w14:paraId="2B8331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BDD679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F64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1FCA9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2205" w:type="dxa"/>
            <w:shd w:val="clear" w:color="auto" w:fill="FFFFFF"/>
            <w:vAlign w:val="center"/>
          </w:tcPr>
          <w:p w14:paraId="12FCD2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回流数据同步  </w:t>
            </w:r>
          </w:p>
        </w:tc>
        <w:tc>
          <w:tcPr>
            <w:tcW w:w="4272" w:type="dxa"/>
            <w:shd w:val="clear" w:color="auto" w:fill="FFFFFF"/>
            <w:vAlign w:val="center"/>
          </w:tcPr>
          <w:p w14:paraId="6C8C77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配置数据回流任务，开展数据同步工作。</w:t>
            </w:r>
          </w:p>
        </w:tc>
        <w:tc>
          <w:tcPr>
            <w:tcW w:w="915" w:type="dxa"/>
            <w:gridSpan w:val="2"/>
            <w:shd w:val="clear" w:color="auto" w:fill="FFFFFF"/>
            <w:vAlign w:val="center"/>
          </w:tcPr>
          <w:p w14:paraId="566583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3990E6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E78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52D53C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205" w:type="dxa"/>
            <w:shd w:val="clear" w:color="auto" w:fill="FFFFFF"/>
            <w:vAlign w:val="center"/>
          </w:tcPr>
          <w:p w14:paraId="6870A6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任务巡检 </w:t>
            </w:r>
          </w:p>
        </w:tc>
        <w:tc>
          <w:tcPr>
            <w:tcW w:w="4272" w:type="dxa"/>
            <w:shd w:val="clear" w:color="auto" w:fill="FFFFFF"/>
            <w:vAlign w:val="center"/>
          </w:tcPr>
          <w:p w14:paraId="7FE83A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检查任务运行时间、任务状态等，及时发现回流异常</w:t>
            </w:r>
          </w:p>
        </w:tc>
        <w:tc>
          <w:tcPr>
            <w:tcW w:w="915" w:type="dxa"/>
            <w:gridSpan w:val="2"/>
            <w:shd w:val="clear" w:color="auto" w:fill="FFFFFF"/>
            <w:vAlign w:val="center"/>
          </w:tcPr>
          <w:p w14:paraId="1DBD2C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30B97D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FAE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0" w:type="dxa"/>
            <w:shd w:val="clear" w:color="auto" w:fill="FFFFFF"/>
            <w:vAlign w:val="center"/>
          </w:tcPr>
          <w:p w14:paraId="6CD186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2205" w:type="dxa"/>
            <w:shd w:val="clear" w:color="auto" w:fill="FFFFFF"/>
            <w:vAlign w:val="center"/>
          </w:tcPr>
          <w:p w14:paraId="5A9D95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任务失败修复 </w:t>
            </w:r>
          </w:p>
        </w:tc>
        <w:tc>
          <w:tcPr>
            <w:tcW w:w="4272" w:type="dxa"/>
            <w:shd w:val="clear" w:color="auto" w:fill="FFFFFF"/>
            <w:vAlign w:val="center"/>
          </w:tcPr>
          <w:p w14:paraId="073251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及时修复失败任务，确保下次回流任务的成功启动</w:t>
            </w:r>
          </w:p>
        </w:tc>
        <w:tc>
          <w:tcPr>
            <w:tcW w:w="915" w:type="dxa"/>
            <w:gridSpan w:val="2"/>
            <w:shd w:val="clear" w:color="auto" w:fill="FFFFFF"/>
            <w:vAlign w:val="center"/>
          </w:tcPr>
          <w:p w14:paraId="7FD5AE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4DA953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C6A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0" w:type="dxa"/>
            <w:shd w:val="clear" w:color="auto" w:fill="FFFFFF"/>
            <w:vAlign w:val="center"/>
          </w:tcPr>
          <w:p w14:paraId="6E0D9A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2205" w:type="dxa"/>
            <w:shd w:val="clear" w:color="auto" w:fill="FFFFFF"/>
            <w:vAlign w:val="center"/>
          </w:tcPr>
          <w:p w14:paraId="1CFA27F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回流任务更新 </w:t>
            </w:r>
          </w:p>
        </w:tc>
        <w:tc>
          <w:tcPr>
            <w:tcW w:w="4272" w:type="dxa"/>
            <w:shd w:val="clear" w:color="auto" w:fill="FFFFFF"/>
            <w:vAlign w:val="center"/>
          </w:tcPr>
          <w:p w14:paraId="074D5F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省级数据仓目录调整引起的库表和任务调整，包括每个回流目录对应库表结构的调整引起的回流任务重新配置等</w:t>
            </w:r>
          </w:p>
        </w:tc>
        <w:tc>
          <w:tcPr>
            <w:tcW w:w="915" w:type="dxa"/>
            <w:gridSpan w:val="2"/>
            <w:shd w:val="clear" w:color="auto" w:fill="FFFFFF"/>
            <w:vAlign w:val="center"/>
          </w:tcPr>
          <w:p w14:paraId="749BC3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D8CF9C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170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00" w:type="dxa"/>
            <w:shd w:val="clear" w:color="auto" w:fill="FFFFFF"/>
            <w:vAlign w:val="center"/>
          </w:tcPr>
          <w:p w14:paraId="08DD36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2205" w:type="dxa"/>
            <w:shd w:val="clear" w:color="auto" w:fill="FFFFFF"/>
            <w:vAlign w:val="center"/>
          </w:tcPr>
          <w:p w14:paraId="36134B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回流数据回补 </w:t>
            </w:r>
          </w:p>
        </w:tc>
        <w:tc>
          <w:tcPr>
            <w:tcW w:w="4272" w:type="dxa"/>
            <w:shd w:val="clear" w:color="auto" w:fill="FFFFFF"/>
            <w:vAlign w:val="center"/>
          </w:tcPr>
          <w:p w14:paraId="2DCC037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省级数据仓数据由于数源单位推送失败或延迟，导致数据缺失，需要回补数据到宁海县水利数据库</w:t>
            </w:r>
          </w:p>
        </w:tc>
        <w:tc>
          <w:tcPr>
            <w:tcW w:w="915" w:type="dxa"/>
            <w:gridSpan w:val="2"/>
            <w:shd w:val="clear" w:color="auto" w:fill="FFFFFF"/>
            <w:vAlign w:val="center"/>
          </w:tcPr>
          <w:p w14:paraId="2F3130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C4088E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C75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DBC58B1">
            <w:pPr>
              <w:jc w:val="left"/>
              <w:rPr>
                <w:rFonts w:hint="eastAsia" w:ascii="宋体" w:hAnsi="宋体" w:cs="宋体"/>
                <w:color w:val="000000"/>
                <w:sz w:val="18"/>
                <w:szCs w:val="18"/>
              </w:rPr>
            </w:pPr>
            <w:r>
              <w:rPr>
                <w:rFonts w:hint="eastAsia" w:ascii="宋体" w:hAnsi="宋体" w:cs="宋体"/>
                <w:color w:val="000000"/>
                <w:kern w:val="0"/>
                <w:sz w:val="18"/>
                <w:szCs w:val="18"/>
                <w:lang w:bidi="ar"/>
              </w:rPr>
              <w:t>3、本级数据汇集入库</w:t>
            </w:r>
          </w:p>
        </w:tc>
      </w:tr>
      <w:tr w14:paraId="11AD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81864E2">
            <w:pPr>
              <w:jc w:val="left"/>
              <w:rPr>
                <w:rFonts w:hint="eastAsia" w:ascii="宋体" w:hAnsi="宋体" w:cs="宋体"/>
                <w:color w:val="000000"/>
                <w:sz w:val="18"/>
                <w:szCs w:val="18"/>
              </w:rPr>
            </w:pPr>
            <w:r>
              <w:rPr>
                <w:rFonts w:hint="eastAsia" w:ascii="宋体" w:hAnsi="宋体" w:cs="宋体"/>
                <w:color w:val="000000"/>
                <w:kern w:val="0"/>
                <w:sz w:val="18"/>
                <w:szCs w:val="18"/>
                <w:lang w:bidi="ar"/>
              </w:rPr>
              <w:t>3.1、静态数据接入</w:t>
            </w:r>
          </w:p>
        </w:tc>
      </w:tr>
      <w:tr w14:paraId="75F7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0" w:type="dxa"/>
            <w:shd w:val="clear" w:color="auto" w:fill="FFFFFF"/>
            <w:vAlign w:val="center"/>
          </w:tcPr>
          <w:p w14:paraId="74609F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205" w:type="dxa"/>
            <w:shd w:val="clear" w:color="auto" w:fill="FFFFFF"/>
            <w:vAlign w:val="center"/>
          </w:tcPr>
          <w:p w14:paraId="0C3228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用水户信息采集接入  </w:t>
            </w:r>
          </w:p>
        </w:tc>
        <w:tc>
          <w:tcPr>
            <w:tcW w:w="4272" w:type="dxa"/>
            <w:shd w:val="clear" w:color="auto" w:fill="FFFFFF"/>
            <w:vAlign w:val="center"/>
          </w:tcPr>
          <w:p w14:paraId="1CF3F7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采集全县的农村供水用水户信息，包括用水户名称、户号、地址、类型、人数、联系方式、缴费账号、供水水站等信息</w:t>
            </w:r>
          </w:p>
        </w:tc>
        <w:tc>
          <w:tcPr>
            <w:tcW w:w="915" w:type="dxa"/>
            <w:gridSpan w:val="2"/>
            <w:shd w:val="clear" w:color="auto" w:fill="FFFFFF"/>
            <w:vAlign w:val="center"/>
          </w:tcPr>
          <w:p w14:paraId="4F0604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6B61A0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805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0" w:type="dxa"/>
            <w:shd w:val="clear" w:color="auto" w:fill="FFFFFF"/>
            <w:vAlign w:val="center"/>
          </w:tcPr>
          <w:p w14:paraId="6D5168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205" w:type="dxa"/>
            <w:shd w:val="clear" w:color="auto" w:fill="FFFFFF"/>
            <w:vAlign w:val="center"/>
          </w:tcPr>
          <w:p w14:paraId="5A497A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运行管理人员  </w:t>
            </w:r>
          </w:p>
        </w:tc>
        <w:tc>
          <w:tcPr>
            <w:tcW w:w="4272" w:type="dxa"/>
            <w:shd w:val="clear" w:color="auto" w:fill="FFFFFF"/>
            <w:vAlign w:val="center"/>
          </w:tcPr>
          <w:p w14:paraId="4D9C8A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采集现有全县农村供水站运行管理人员信息，包括人员姓名、性别、年龄、学历、联系电话、负责水站、工作职责等</w:t>
            </w:r>
          </w:p>
        </w:tc>
        <w:tc>
          <w:tcPr>
            <w:tcW w:w="915" w:type="dxa"/>
            <w:gridSpan w:val="2"/>
            <w:shd w:val="clear" w:color="auto" w:fill="FFFFFF"/>
            <w:vAlign w:val="center"/>
          </w:tcPr>
          <w:p w14:paraId="68AF9E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6E9165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55B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0" w:type="dxa"/>
            <w:shd w:val="clear" w:color="auto" w:fill="FFFFFF"/>
            <w:vAlign w:val="center"/>
          </w:tcPr>
          <w:p w14:paraId="5D98E5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205" w:type="dxa"/>
            <w:shd w:val="clear" w:color="auto" w:fill="FFFFFF"/>
            <w:vAlign w:val="center"/>
          </w:tcPr>
          <w:p w14:paraId="6C7C38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供水村落信息  </w:t>
            </w:r>
          </w:p>
        </w:tc>
        <w:tc>
          <w:tcPr>
            <w:tcW w:w="4272" w:type="dxa"/>
            <w:shd w:val="clear" w:color="auto" w:fill="FFFFFF"/>
            <w:vAlign w:val="center"/>
          </w:tcPr>
          <w:p w14:paraId="61D9656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采集全县农饮水供水行政村及自然村信息，包括行政村或自然村名称、人口、所在乡镇街道、位置等</w:t>
            </w:r>
          </w:p>
        </w:tc>
        <w:tc>
          <w:tcPr>
            <w:tcW w:w="915" w:type="dxa"/>
            <w:gridSpan w:val="2"/>
            <w:shd w:val="clear" w:color="auto" w:fill="FFFFFF"/>
            <w:vAlign w:val="center"/>
          </w:tcPr>
          <w:p w14:paraId="1AF897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126564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F57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0" w:type="dxa"/>
            <w:shd w:val="clear" w:color="auto" w:fill="FFFFFF"/>
            <w:vAlign w:val="center"/>
          </w:tcPr>
          <w:p w14:paraId="22FD6C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2205" w:type="dxa"/>
            <w:shd w:val="clear" w:color="auto" w:fill="FFFFFF"/>
            <w:vAlign w:val="center"/>
          </w:tcPr>
          <w:p w14:paraId="5A99B0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供水管网数据  </w:t>
            </w:r>
          </w:p>
        </w:tc>
        <w:tc>
          <w:tcPr>
            <w:tcW w:w="4272" w:type="dxa"/>
            <w:shd w:val="clear" w:color="auto" w:fill="FFFFFF"/>
            <w:vAlign w:val="center"/>
          </w:tcPr>
          <w:p w14:paraId="0A65F0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采集农饮水相关主干管网的起始点位置、管径、管龄、材质、长度、生产厂家、生产日期等数据</w:t>
            </w:r>
          </w:p>
        </w:tc>
        <w:tc>
          <w:tcPr>
            <w:tcW w:w="915" w:type="dxa"/>
            <w:gridSpan w:val="2"/>
            <w:shd w:val="clear" w:color="auto" w:fill="FFFFFF"/>
            <w:vAlign w:val="center"/>
          </w:tcPr>
          <w:p w14:paraId="248724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5DEA89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F15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0" w:type="dxa"/>
            <w:shd w:val="clear" w:color="auto" w:fill="FFFFFF"/>
            <w:vAlign w:val="center"/>
          </w:tcPr>
          <w:p w14:paraId="626E90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2205" w:type="dxa"/>
            <w:shd w:val="clear" w:color="auto" w:fill="FFFFFF"/>
            <w:vAlign w:val="center"/>
          </w:tcPr>
          <w:p w14:paraId="7FBD5E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供水区域数据  </w:t>
            </w:r>
          </w:p>
        </w:tc>
        <w:tc>
          <w:tcPr>
            <w:tcW w:w="4272" w:type="dxa"/>
            <w:shd w:val="clear" w:color="auto" w:fill="FFFFFF"/>
            <w:vAlign w:val="center"/>
          </w:tcPr>
          <w:p w14:paraId="21C3606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采集宁海县供水区域数据，包括分区名称、区域供水水站、区域运维责任人、区域人口、面积等信息</w:t>
            </w:r>
          </w:p>
        </w:tc>
        <w:tc>
          <w:tcPr>
            <w:tcW w:w="915" w:type="dxa"/>
            <w:gridSpan w:val="2"/>
            <w:shd w:val="clear" w:color="auto" w:fill="FFFFFF"/>
            <w:vAlign w:val="center"/>
          </w:tcPr>
          <w:p w14:paraId="3B8A05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0C599A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A6A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0" w:type="dxa"/>
            <w:shd w:val="clear" w:color="auto" w:fill="FFFFFF"/>
            <w:vAlign w:val="center"/>
          </w:tcPr>
          <w:p w14:paraId="42190F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2205" w:type="dxa"/>
            <w:shd w:val="clear" w:color="auto" w:fill="FFFFFF"/>
            <w:vAlign w:val="center"/>
          </w:tcPr>
          <w:p w14:paraId="19E379E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水表数据  </w:t>
            </w:r>
          </w:p>
        </w:tc>
        <w:tc>
          <w:tcPr>
            <w:tcW w:w="4272" w:type="dxa"/>
            <w:shd w:val="clear" w:color="auto" w:fill="FFFFFF"/>
            <w:vAlign w:val="center"/>
          </w:tcPr>
          <w:p w14:paraId="6BDC6D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采集全县已有的农饮水水表数据，包括水表名称、类型、编号、水表材质、水表对应的户号、安装时间、使用年限、运维责任人等</w:t>
            </w:r>
          </w:p>
        </w:tc>
        <w:tc>
          <w:tcPr>
            <w:tcW w:w="915" w:type="dxa"/>
            <w:gridSpan w:val="2"/>
            <w:shd w:val="clear" w:color="auto" w:fill="FFFFFF"/>
            <w:vAlign w:val="center"/>
          </w:tcPr>
          <w:p w14:paraId="6E3DFA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D317DC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E3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D7345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2205" w:type="dxa"/>
            <w:shd w:val="clear" w:color="auto" w:fill="FFFFFF"/>
            <w:vAlign w:val="center"/>
          </w:tcPr>
          <w:p w14:paraId="5F9706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水费收缴信息  </w:t>
            </w:r>
          </w:p>
        </w:tc>
        <w:tc>
          <w:tcPr>
            <w:tcW w:w="4272" w:type="dxa"/>
            <w:shd w:val="clear" w:color="auto" w:fill="FFFFFF"/>
            <w:vAlign w:val="center"/>
          </w:tcPr>
          <w:p w14:paraId="07CB6C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采集水费收缴数据，包括户号、缴费周期、上期读数、本期读数、应缴水费、实缴水费等</w:t>
            </w:r>
          </w:p>
        </w:tc>
        <w:tc>
          <w:tcPr>
            <w:tcW w:w="915" w:type="dxa"/>
            <w:gridSpan w:val="2"/>
            <w:shd w:val="clear" w:color="auto" w:fill="FFFFFF"/>
            <w:vAlign w:val="center"/>
          </w:tcPr>
          <w:p w14:paraId="2AD8EC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5EB7D5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432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9B339D3">
            <w:pPr>
              <w:jc w:val="left"/>
              <w:rPr>
                <w:rFonts w:hint="eastAsia" w:ascii="宋体" w:hAnsi="宋体" w:cs="宋体"/>
                <w:color w:val="000000"/>
                <w:sz w:val="18"/>
                <w:szCs w:val="18"/>
              </w:rPr>
            </w:pPr>
            <w:r>
              <w:rPr>
                <w:rFonts w:hint="eastAsia" w:ascii="宋体" w:hAnsi="宋体" w:cs="宋体"/>
                <w:color w:val="000000"/>
                <w:kern w:val="0"/>
                <w:sz w:val="18"/>
                <w:szCs w:val="18"/>
                <w:lang w:bidi="ar"/>
              </w:rPr>
              <w:t>3.2、动态数据接入</w:t>
            </w:r>
          </w:p>
        </w:tc>
      </w:tr>
      <w:tr w14:paraId="2226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0" w:type="dxa"/>
            <w:shd w:val="clear" w:color="auto" w:fill="FFFFFF"/>
            <w:vAlign w:val="center"/>
          </w:tcPr>
          <w:p w14:paraId="6643A9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2205" w:type="dxa"/>
            <w:shd w:val="clear" w:color="auto" w:fill="FFFFFF"/>
            <w:vAlign w:val="center"/>
          </w:tcPr>
          <w:p w14:paraId="361D48B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水质数据接入  </w:t>
            </w:r>
          </w:p>
        </w:tc>
        <w:tc>
          <w:tcPr>
            <w:tcW w:w="4272" w:type="dxa"/>
            <w:shd w:val="clear" w:color="auto" w:fill="FFFFFF"/>
            <w:vAlign w:val="center"/>
          </w:tcPr>
          <w:p w14:paraId="47673D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接入120座水站的原水水质和165座水厂（站）的出厂水水质监测数据</w:t>
            </w:r>
          </w:p>
        </w:tc>
        <w:tc>
          <w:tcPr>
            <w:tcW w:w="915" w:type="dxa"/>
            <w:gridSpan w:val="2"/>
            <w:shd w:val="clear" w:color="auto" w:fill="FFFFFF"/>
            <w:vAlign w:val="center"/>
          </w:tcPr>
          <w:p w14:paraId="7F99FE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F8F6BB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C3D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0" w:type="dxa"/>
            <w:shd w:val="clear" w:color="auto" w:fill="FFFFFF"/>
            <w:vAlign w:val="center"/>
          </w:tcPr>
          <w:p w14:paraId="6BC2D8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2205" w:type="dxa"/>
            <w:shd w:val="clear" w:color="auto" w:fill="FFFFFF"/>
            <w:vAlign w:val="center"/>
          </w:tcPr>
          <w:p w14:paraId="376AB7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水量数据接入  </w:t>
            </w:r>
          </w:p>
        </w:tc>
        <w:tc>
          <w:tcPr>
            <w:tcW w:w="4272" w:type="dxa"/>
            <w:shd w:val="clear" w:color="auto" w:fill="FFFFFF"/>
            <w:vAlign w:val="center"/>
          </w:tcPr>
          <w:p w14:paraId="0DDC710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接入165座水厂（站）的出厂水水量监测数据和120座农村水厂的进水流量数据</w:t>
            </w:r>
          </w:p>
        </w:tc>
        <w:tc>
          <w:tcPr>
            <w:tcW w:w="915" w:type="dxa"/>
            <w:gridSpan w:val="2"/>
            <w:shd w:val="clear" w:color="auto" w:fill="FFFFFF"/>
            <w:vAlign w:val="center"/>
          </w:tcPr>
          <w:p w14:paraId="577EDD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186EA8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436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0" w:type="dxa"/>
            <w:shd w:val="clear" w:color="auto" w:fill="FFFFFF"/>
            <w:vAlign w:val="center"/>
          </w:tcPr>
          <w:p w14:paraId="0C49E5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2205" w:type="dxa"/>
            <w:shd w:val="clear" w:color="auto" w:fill="FFFFFF"/>
            <w:vAlign w:val="center"/>
          </w:tcPr>
          <w:p w14:paraId="27DBE4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水位（液位）数据接入  </w:t>
            </w:r>
          </w:p>
        </w:tc>
        <w:tc>
          <w:tcPr>
            <w:tcW w:w="4272" w:type="dxa"/>
            <w:shd w:val="clear" w:color="auto" w:fill="FFFFFF"/>
            <w:vAlign w:val="center"/>
          </w:tcPr>
          <w:p w14:paraId="6CA26F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接入120座水站的原水池水位、清水池液位等监测数据和水源地已有的水位监测数据</w:t>
            </w:r>
          </w:p>
        </w:tc>
        <w:tc>
          <w:tcPr>
            <w:tcW w:w="915" w:type="dxa"/>
            <w:gridSpan w:val="2"/>
            <w:shd w:val="clear" w:color="auto" w:fill="FFFFFF"/>
            <w:vAlign w:val="center"/>
          </w:tcPr>
          <w:p w14:paraId="05ADEA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765C59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4E7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0" w:type="dxa"/>
            <w:shd w:val="clear" w:color="auto" w:fill="FFFFFF"/>
            <w:vAlign w:val="center"/>
          </w:tcPr>
          <w:p w14:paraId="45F571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2205" w:type="dxa"/>
            <w:shd w:val="clear" w:color="auto" w:fill="FFFFFF"/>
            <w:vAlign w:val="center"/>
          </w:tcPr>
          <w:p w14:paraId="29D87D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膜处理设备监测数据接入 </w:t>
            </w:r>
          </w:p>
        </w:tc>
        <w:tc>
          <w:tcPr>
            <w:tcW w:w="4272" w:type="dxa"/>
            <w:shd w:val="clear" w:color="auto" w:fill="FFFFFF"/>
            <w:vAlign w:val="center"/>
          </w:tcPr>
          <w:p w14:paraId="4DFF3B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接入120座水站的膜处理设备的膜产水流量、膜池液位和启停状态等数据</w:t>
            </w:r>
          </w:p>
        </w:tc>
        <w:tc>
          <w:tcPr>
            <w:tcW w:w="915" w:type="dxa"/>
            <w:gridSpan w:val="2"/>
            <w:shd w:val="clear" w:color="auto" w:fill="FFFFFF"/>
            <w:vAlign w:val="center"/>
          </w:tcPr>
          <w:p w14:paraId="07F5F6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E78B5E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372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0" w:type="dxa"/>
            <w:shd w:val="clear" w:color="auto" w:fill="FFFFFF"/>
            <w:vAlign w:val="center"/>
          </w:tcPr>
          <w:p w14:paraId="137300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2205" w:type="dxa"/>
            <w:shd w:val="clear" w:color="auto" w:fill="FFFFFF"/>
            <w:vAlign w:val="center"/>
          </w:tcPr>
          <w:p w14:paraId="288BF2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其他动态数据  </w:t>
            </w:r>
          </w:p>
        </w:tc>
        <w:tc>
          <w:tcPr>
            <w:tcW w:w="4272" w:type="dxa"/>
            <w:shd w:val="clear" w:color="auto" w:fill="FFFFFF"/>
            <w:vAlign w:val="center"/>
          </w:tcPr>
          <w:p w14:paraId="2229EB8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包括120座水站及已有的水源视频、水表读数、巡检数据、电子围栏状态、消毒反冲洗状态等</w:t>
            </w:r>
          </w:p>
        </w:tc>
        <w:tc>
          <w:tcPr>
            <w:tcW w:w="915" w:type="dxa"/>
            <w:gridSpan w:val="2"/>
            <w:shd w:val="clear" w:color="auto" w:fill="FFFFFF"/>
            <w:vAlign w:val="center"/>
          </w:tcPr>
          <w:p w14:paraId="1EF278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F5B82F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018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77" w:type="dxa"/>
            <w:gridSpan w:val="7"/>
            <w:shd w:val="clear" w:color="auto" w:fill="FFFFFF"/>
            <w:vAlign w:val="center"/>
          </w:tcPr>
          <w:p w14:paraId="51DB9F87">
            <w:pPr>
              <w:jc w:val="left"/>
              <w:rPr>
                <w:rFonts w:hint="eastAsia" w:ascii="宋体" w:hAnsi="宋体" w:cs="宋体"/>
                <w:color w:val="000000"/>
                <w:sz w:val="18"/>
                <w:szCs w:val="18"/>
              </w:rPr>
            </w:pPr>
            <w:r>
              <w:rPr>
                <w:rFonts w:hint="eastAsia" w:ascii="宋体" w:hAnsi="宋体" w:cs="宋体"/>
                <w:color w:val="000000"/>
                <w:kern w:val="0"/>
                <w:sz w:val="18"/>
                <w:szCs w:val="18"/>
                <w:lang w:bidi="ar"/>
              </w:rPr>
              <w:t>3.3、数据处理转换</w:t>
            </w:r>
          </w:p>
        </w:tc>
      </w:tr>
      <w:tr w14:paraId="3715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00" w:type="dxa"/>
            <w:shd w:val="clear" w:color="auto" w:fill="FFFFFF"/>
            <w:vAlign w:val="center"/>
          </w:tcPr>
          <w:p w14:paraId="60A36F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2205" w:type="dxa"/>
            <w:shd w:val="clear" w:color="auto" w:fill="FFFFFF"/>
            <w:vAlign w:val="center"/>
          </w:tcPr>
          <w:p w14:paraId="54503E0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数据抽取  </w:t>
            </w:r>
          </w:p>
        </w:tc>
        <w:tc>
          <w:tcPr>
            <w:tcW w:w="4272" w:type="dxa"/>
            <w:shd w:val="clear" w:color="auto" w:fill="FFFFFF"/>
            <w:vAlign w:val="center"/>
          </w:tcPr>
          <w:p w14:paraId="4199B2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别在现有已建相关业务系统抽取和从县水利数据仓中共享获取农饮水相关的数据，包括水雨情监测站点数据、取水相关数据、已有水源地水位数据、气象预报数据、水源地划界数据、山塘容积、水库库容等相关数据</w:t>
            </w:r>
          </w:p>
        </w:tc>
        <w:tc>
          <w:tcPr>
            <w:tcW w:w="915" w:type="dxa"/>
            <w:gridSpan w:val="2"/>
            <w:shd w:val="clear" w:color="auto" w:fill="FFFFFF"/>
            <w:vAlign w:val="center"/>
          </w:tcPr>
          <w:p w14:paraId="43BC89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83C043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B0B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00" w:type="dxa"/>
            <w:shd w:val="clear" w:color="auto" w:fill="FFFFFF"/>
            <w:vAlign w:val="center"/>
          </w:tcPr>
          <w:p w14:paraId="641FE7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2205" w:type="dxa"/>
            <w:shd w:val="clear" w:color="auto" w:fill="FFFFFF"/>
            <w:vAlign w:val="center"/>
          </w:tcPr>
          <w:p w14:paraId="7985B9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数据汇聚  </w:t>
            </w:r>
          </w:p>
        </w:tc>
        <w:tc>
          <w:tcPr>
            <w:tcW w:w="4272" w:type="dxa"/>
            <w:shd w:val="clear" w:color="auto" w:fill="FFFFFF"/>
            <w:vAlign w:val="center"/>
          </w:tcPr>
          <w:p w14:paraId="704902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完成各业务系统和数据仓数据抽取并同步至汇聚库，确保汇聚库与各业务系统数据一致性、及时性。</w:t>
            </w:r>
          </w:p>
        </w:tc>
        <w:tc>
          <w:tcPr>
            <w:tcW w:w="915" w:type="dxa"/>
            <w:gridSpan w:val="2"/>
            <w:shd w:val="clear" w:color="auto" w:fill="FFFFFF"/>
            <w:vAlign w:val="center"/>
          </w:tcPr>
          <w:p w14:paraId="4E71DB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5017C1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315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00" w:type="dxa"/>
            <w:shd w:val="clear" w:color="auto" w:fill="FFFFFF"/>
            <w:vAlign w:val="center"/>
          </w:tcPr>
          <w:p w14:paraId="61CFBF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2205" w:type="dxa"/>
            <w:shd w:val="clear" w:color="auto" w:fill="FFFFFF"/>
            <w:vAlign w:val="center"/>
          </w:tcPr>
          <w:p w14:paraId="09A798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数据清洗转换  </w:t>
            </w:r>
          </w:p>
        </w:tc>
        <w:tc>
          <w:tcPr>
            <w:tcW w:w="4272" w:type="dxa"/>
            <w:shd w:val="clear" w:color="auto" w:fill="FFFFFF"/>
            <w:vAlign w:val="center"/>
          </w:tcPr>
          <w:p w14:paraId="68078F0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在数据抽取汇聚的基础上，按照数据清洗规则，通过数据清洗工具，并辅以人工判断，对汇聚库采集的城乡供水数据进行清洗、整理、筛选，完成业务应用中供水相关数据的清洗、整合。</w:t>
            </w:r>
          </w:p>
        </w:tc>
        <w:tc>
          <w:tcPr>
            <w:tcW w:w="915" w:type="dxa"/>
            <w:gridSpan w:val="2"/>
            <w:shd w:val="clear" w:color="auto" w:fill="FFFFFF"/>
            <w:vAlign w:val="center"/>
          </w:tcPr>
          <w:p w14:paraId="2E5906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7732D4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8F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00" w:type="dxa"/>
            <w:shd w:val="clear" w:color="auto" w:fill="FFFFFF"/>
            <w:vAlign w:val="center"/>
          </w:tcPr>
          <w:p w14:paraId="5505A7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2205" w:type="dxa"/>
            <w:shd w:val="clear" w:color="auto" w:fill="FFFFFF"/>
            <w:vAlign w:val="center"/>
          </w:tcPr>
          <w:p w14:paraId="695CBC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数据编码入库  </w:t>
            </w:r>
          </w:p>
        </w:tc>
        <w:tc>
          <w:tcPr>
            <w:tcW w:w="4272" w:type="dxa"/>
            <w:shd w:val="clear" w:color="auto" w:fill="FFFFFF"/>
            <w:vAlign w:val="center"/>
          </w:tcPr>
          <w:p w14:paraId="474ED9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就是将清洗后的供水相关数据根据预先设置好数据源和目标对应表，将数据写入到城乡供水数据库指定表里，为统计分析和决策分析统计打下数据基础。</w:t>
            </w:r>
          </w:p>
        </w:tc>
        <w:tc>
          <w:tcPr>
            <w:tcW w:w="915" w:type="dxa"/>
            <w:gridSpan w:val="2"/>
            <w:shd w:val="clear" w:color="auto" w:fill="FFFFFF"/>
            <w:vAlign w:val="center"/>
          </w:tcPr>
          <w:p w14:paraId="6E4B17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1A57BE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7EE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476C0F87">
            <w:pPr>
              <w:jc w:val="left"/>
              <w:rPr>
                <w:rFonts w:hint="eastAsia" w:ascii="宋体" w:hAnsi="宋体" w:cs="宋体"/>
                <w:color w:val="000000"/>
                <w:sz w:val="18"/>
                <w:szCs w:val="18"/>
              </w:rPr>
            </w:pPr>
            <w:r>
              <w:rPr>
                <w:rFonts w:hint="eastAsia" w:ascii="宋体" w:hAnsi="宋体" w:cs="宋体"/>
                <w:color w:val="000000"/>
                <w:kern w:val="0"/>
                <w:sz w:val="18"/>
                <w:szCs w:val="18"/>
                <w:lang w:bidi="ar"/>
              </w:rPr>
              <w:t>3.4、风险识别管控子系统业务数据归集入仓</w:t>
            </w:r>
          </w:p>
        </w:tc>
      </w:tr>
      <w:tr w14:paraId="5E5C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E21EA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2205" w:type="dxa"/>
            <w:shd w:val="clear" w:color="auto" w:fill="FFFFFF"/>
            <w:vAlign w:val="center"/>
          </w:tcPr>
          <w:p w14:paraId="3C61FF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风险识别管控子系统业务数据归集入仓  </w:t>
            </w:r>
          </w:p>
        </w:tc>
        <w:tc>
          <w:tcPr>
            <w:tcW w:w="4272" w:type="dxa"/>
            <w:shd w:val="clear" w:color="auto" w:fill="FFFFFF"/>
            <w:vAlign w:val="center"/>
          </w:tcPr>
          <w:p w14:paraId="7313D8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对风险识别管控子系统核心业务数据按需汇聚入库</w:t>
            </w:r>
          </w:p>
        </w:tc>
        <w:tc>
          <w:tcPr>
            <w:tcW w:w="915" w:type="dxa"/>
            <w:gridSpan w:val="2"/>
            <w:shd w:val="clear" w:color="auto" w:fill="FFFFFF"/>
            <w:vAlign w:val="center"/>
          </w:tcPr>
          <w:p w14:paraId="59F1A6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B8604C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99E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7B052104">
            <w:pPr>
              <w:jc w:val="left"/>
              <w:rPr>
                <w:rFonts w:hint="eastAsia" w:ascii="宋体" w:hAnsi="宋体" w:cs="宋体"/>
                <w:color w:val="000000"/>
                <w:sz w:val="18"/>
                <w:szCs w:val="18"/>
              </w:rPr>
            </w:pPr>
            <w:r>
              <w:rPr>
                <w:rFonts w:hint="eastAsia" w:ascii="宋体" w:hAnsi="宋体" w:cs="宋体"/>
                <w:color w:val="000000"/>
                <w:kern w:val="0"/>
                <w:sz w:val="18"/>
                <w:szCs w:val="18"/>
                <w:lang w:bidi="ar"/>
              </w:rPr>
              <w:t>3.5、水费收缴管理子系统业务数据归集入仓</w:t>
            </w:r>
          </w:p>
        </w:tc>
      </w:tr>
      <w:tr w14:paraId="07D0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65C25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2205" w:type="dxa"/>
            <w:shd w:val="clear" w:color="auto" w:fill="FFFFFF"/>
            <w:vAlign w:val="center"/>
          </w:tcPr>
          <w:p w14:paraId="6880DC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水费收缴管理子系统业务数据归集入仓  </w:t>
            </w:r>
          </w:p>
        </w:tc>
        <w:tc>
          <w:tcPr>
            <w:tcW w:w="4272" w:type="dxa"/>
            <w:shd w:val="clear" w:color="auto" w:fill="FFFFFF"/>
            <w:vAlign w:val="center"/>
          </w:tcPr>
          <w:p w14:paraId="5DC475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对水费收缴管理子系统核心业务数据按需汇聚入库</w:t>
            </w:r>
          </w:p>
        </w:tc>
        <w:tc>
          <w:tcPr>
            <w:tcW w:w="915" w:type="dxa"/>
            <w:gridSpan w:val="2"/>
            <w:shd w:val="clear" w:color="auto" w:fill="FFFFFF"/>
            <w:vAlign w:val="center"/>
          </w:tcPr>
          <w:p w14:paraId="55C49D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A56E30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2A5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0676CBAC">
            <w:pPr>
              <w:jc w:val="left"/>
              <w:rPr>
                <w:rFonts w:hint="eastAsia" w:ascii="宋体" w:hAnsi="宋体" w:cs="宋体"/>
                <w:color w:val="000000"/>
                <w:sz w:val="18"/>
                <w:szCs w:val="18"/>
              </w:rPr>
            </w:pPr>
            <w:r>
              <w:rPr>
                <w:rFonts w:hint="eastAsia" w:ascii="宋体" w:hAnsi="宋体" w:cs="宋体"/>
                <w:color w:val="000000"/>
                <w:kern w:val="0"/>
                <w:sz w:val="18"/>
                <w:szCs w:val="18"/>
                <w:lang w:bidi="ar"/>
              </w:rPr>
              <w:t>3.6、档案数字管理子系统业务数据归集入仓</w:t>
            </w:r>
          </w:p>
        </w:tc>
      </w:tr>
      <w:tr w14:paraId="0A67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12E272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2205" w:type="dxa"/>
            <w:shd w:val="clear" w:color="auto" w:fill="FFFFFF"/>
            <w:vAlign w:val="center"/>
          </w:tcPr>
          <w:p w14:paraId="121179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档案数字管理子系统业务数据归集入仓  </w:t>
            </w:r>
          </w:p>
        </w:tc>
        <w:tc>
          <w:tcPr>
            <w:tcW w:w="4272" w:type="dxa"/>
            <w:shd w:val="clear" w:color="auto" w:fill="FFFFFF"/>
            <w:vAlign w:val="center"/>
          </w:tcPr>
          <w:p w14:paraId="7C11D6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对档案数字管理子系统核心业务数据按需汇聚入库</w:t>
            </w:r>
          </w:p>
        </w:tc>
        <w:tc>
          <w:tcPr>
            <w:tcW w:w="915" w:type="dxa"/>
            <w:gridSpan w:val="2"/>
            <w:shd w:val="clear" w:color="auto" w:fill="FFFFFF"/>
            <w:vAlign w:val="center"/>
          </w:tcPr>
          <w:p w14:paraId="6BE533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44ABA9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B60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342B4ACC">
            <w:pPr>
              <w:jc w:val="left"/>
              <w:rPr>
                <w:rFonts w:hint="eastAsia" w:ascii="宋体" w:hAnsi="宋体" w:cs="宋体"/>
                <w:color w:val="000000"/>
                <w:sz w:val="18"/>
                <w:szCs w:val="18"/>
              </w:rPr>
            </w:pPr>
            <w:r>
              <w:rPr>
                <w:rFonts w:hint="eastAsia" w:ascii="宋体" w:hAnsi="宋体" w:cs="宋体"/>
                <w:color w:val="000000"/>
                <w:kern w:val="0"/>
                <w:sz w:val="18"/>
                <w:szCs w:val="18"/>
                <w:lang w:bidi="ar"/>
              </w:rPr>
              <w:t>4、本级水利数据共享服务接口发布</w:t>
            </w:r>
          </w:p>
        </w:tc>
      </w:tr>
      <w:tr w14:paraId="3084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B78CF45">
            <w:pPr>
              <w:jc w:val="left"/>
              <w:rPr>
                <w:rFonts w:hint="eastAsia" w:ascii="宋体" w:hAnsi="宋体" w:cs="宋体"/>
                <w:color w:val="000000"/>
                <w:sz w:val="18"/>
                <w:szCs w:val="18"/>
              </w:rPr>
            </w:pPr>
            <w:r>
              <w:rPr>
                <w:rFonts w:hint="eastAsia" w:ascii="宋体" w:hAnsi="宋体" w:cs="宋体"/>
                <w:color w:val="000000"/>
                <w:kern w:val="0"/>
                <w:sz w:val="18"/>
                <w:szCs w:val="18"/>
                <w:lang w:bidi="ar"/>
              </w:rPr>
              <w:t>4.1、服务接口开发</w:t>
            </w:r>
          </w:p>
        </w:tc>
      </w:tr>
      <w:tr w14:paraId="16F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3413492C">
            <w:pPr>
              <w:jc w:val="left"/>
              <w:rPr>
                <w:rFonts w:hint="eastAsia" w:ascii="宋体" w:hAnsi="宋体" w:cs="宋体"/>
                <w:color w:val="000000"/>
                <w:sz w:val="18"/>
                <w:szCs w:val="18"/>
              </w:rPr>
            </w:pPr>
            <w:r>
              <w:rPr>
                <w:rFonts w:hint="eastAsia" w:ascii="宋体" w:hAnsi="宋体" w:cs="宋体"/>
                <w:color w:val="000000"/>
                <w:kern w:val="0"/>
                <w:sz w:val="18"/>
                <w:szCs w:val="18"/>
                <w:lang w:bidi="ar"/>
              </w:rPr>
              <w:t>4.1.1、水利基础数据共享服务接口开发</w:t>
            </w:r>
          </w:p>
        </w:tc>
      </w:tr>
      <w:tr w14:paraId="37FA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0" w:type="dxa"/>
            <w:shd w:val="clear" w:color="auto" w:fill="FFFFFF"/>
            <w:vAlign w:val="center"/>
          </w:tcPr>
          <w:p w14:paraId="0E02B4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2205" w:type="dxa"/>
            <w:shd w:val="clear" w:color="auto" w:fill="FFFFFF"/>
            <w:vAlign w:val="center"/>
          </w:tcPr>
          <w:p w14:paraId="04C023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江河湖泊基础数据接口  </w:t>
            </w:r>
          </w:p>
        </w:tc>
        <w:tc>
          <w:tcPr>
            <w:tcW w:w="4272" w:type="dxa"/>
            <w:shd w:val="clear" w:color="auto" w:fill="FFFFFF"/>
            <w:vAlign w:val="center"/>
          </w:tcPr>
          <w:p w14:paraId="38B88F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河段基础信息、河流名录、湖泊名录等江河湖泊基础数据接口开发</w:t>
            </w:r>
          </w:p>
        </w:tc>
        <w:tc>
          <w:tcPr>
            <w:tcW w:w="915" w:type="dxa"/>
            <w:gridSpan w:val="2"/>
            <w:shd w:val="clear" w:color="auto" w:fill="FFFFFF"/>
            <w:vAlign w:val="center"/>
          </w:tcPr>
          <w:p w14:paraId="5C7EDD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4C8843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0A3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BB2A6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2205" w:type="dxa"/>
            <w:shd w:val="clear" w:color="auto" w:fill="FFFFFF"/>
            <w:vAlign w:val="center"/>
          </w:tcPr>
          <w:p w14:paraId="14A293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水库基础数据接口  </w:t>
            </w:r>
          </w:p>
        </w:tc>
        <w:tc>
          <w:tcPr>
            <w:tcW w:w="4272" w:type="dxa"/>
            <w:shd w:val="clear" w:color="auto" w:fill="FFFFFF"/>
            <w:vAlign w:val="center"/>
          </w:tcPr>
          <w:p w14:paraId="61A95D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大中型水库、小型水库基础数据接口开发</w:t>
            </w:r>
          </w:p>
        </w:tc>
        <w:tc>
          <w:tcPr>
            <w:tcW w:w="915" w:type="dxa"/>
            <w:gridSpan w:val="2"/>
            <w:shd w:val="clear" w:color="auto" w:fill="FFFFFF"/>
            <w:vAlign w:val="center"/>
          </w:tcPr>
          <w:p w14:paraId="2DB6C9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CF8997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FA1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0" w:type="dxa"/>
            <w:shd w:val="clear" w:color="auto" w:fill="FFFFFF"/>
            <w:vAlign w:val="center"/>
          </w:tcPr>
          <w:p w14:paraId="36E4293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2205" w:type="dxa"/>
            <w:shd w:val="clear" w:color="auto" w:fill="FFFFFF"/>
            <w:vAlign w:val="center"/>
          </w:tcPr>
          <w:p w14:paraId="013357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堤防基础数据接口  </w:t>
            </w:r>
          </w:p>
        </w:tc>
        <w:tc>
          <w:tcPr>
            <w:tcW w:w="4272" w:type="dxa"/>
            <w:shd w:val="clear" w:color="auto" w:fill="FFFFFF"/>
            <w:vAlign w:val="center"/>
          </w:tcPr>
          <w:p w14:paraId="117AA32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堤防工程名录、堤防基础信息等基础数据接口开发</w:t>
            </w:r>
          </w:p>
        </w:tc>
        <w:tc>
          <w:tcPr>
            <w:tcW w:w="915" w:type="dxa"/>
            <w:gridSpan w:val="2"/>
            <w:shd w:val="clear" w:color="auto" w:fill="FFFFFF"/>
            <w:vAlign w:val="center"/>
          </w:tcPr>
          <w:p w14:paraId="34D808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F324FD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715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00" w:type="dxa"/>
            <w:shd w:val="clear" w:color="auto" w:fill="FFFFFF"/>
            <w:vAlign w:val="center"/>
          </w:tcPr>
          <w:p w14:paraId="6FE516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2205" w:type="dxa"/>
            <w:shd w:val="clear" w:color="auto" w:fill="FFFFFF"/>
            <w:vAlign w:val="center"/>
          </w:tcPr>
          <w:p w14:paraId="22468E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农村水厂基础数据接口  </w:t>
            </w:r>
          </w:p>
        </w:tc>
        <w:tc>
          <w:tcPr>
            <w:tcW w:w="4272" w:type="dxa"/>
            <w:shd w:val="clear" w:color="auto" w:fill="FFFFFF"/>
            <w:vAlign w:val="center"/>
          </w:tcPr>
          <w:p w14:paraId="2F10B43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农村供水工程管理对象关联信息、农村供水工程地下水水源关联信息、农村供水工程管理单位关联信息、农村供水工程基础信息、农村供水工程名录、农村供水工程地表水水源关联信息等基础数据接口开发</w:t>
            </w:r>
          </w:p>
        </w:tc>
        <w:tc>
          <w:tcPr>
            <w:tcW w:w="915" w:type="dxa"/>
            <w:gridSpan w:val="2"/>
            <w:shd w:val="clear" w:color="auto" w:fill="FFFFFF"/>
            <w:vAlign w:val="center"/>
          </w:tcPr>
          <w:p w14:paraId="5875DF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3CBA5B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05B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00" w:type="dxa"/>
            <w:shd w:val="clear" w:color="auto" w:fill="FFFFFF"/>
            <w:vAlign w:val="center"/>
          </w:tcPr>
          <w:p w14:paraId="64E0FF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2205" w:type="dxa"/>
            <w:shd w:val="clear" w:color="auto" w:fill="FFFFFF"/>
            <w:vAlign w:val="center"/>
          </w:tcPr>
          <w:p w14:paraId="75D565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城市水厂基础数据接口  </w:t>
            </w:r>
          </w:p>
        </w:tc>
        <w:tc>
          <w:tcPr>
            <w:tcW w:w="4272" w:type="dxa"/>
            <w:shd w:val="clear" w:color="auto" w:fill="FFFFFF"/>
            <w:vAlign w:val="center"/>
          </w:tcPr>
          <w:p w14:paraId="042499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城市水厂管理单位关联信息、城市水厂管理对象关联信息、城市水厂地下水水源关联信息、城市水厂地表水水源关联信息等基础数据接口开发</w:t>
            </w:r>
          </w:p>
        </w:tc>
        <w:tc>
          <w:tcPr>
            <w:tcW w:w="915" w:type="dxa"/>
            <w:gridSpan w:val="2"/>
            <w:shd w:val="clear" w:color="auto" w:fill="FFFFFF"/>
            <w:vAlign w:val="center"/>
          </w:tcPr>
          <w:p w14:paraId="22D886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4CC729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39A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0" w:type="dxa"/>
            <w:shd w:val="clear" w:color="auto" w:fill="FFFFFF"/>
            <w:vAlign w:val="center"/>
          </w:tcPr>
          <w:p w14:paraId="25097F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2205" w:type="dxa"/>
            <w:shd w:val="clear" w:color="auto" w:fill="FFFFFF"/>
            <w:vAlign w:val="center"/>
          </w:tcPr>
          <w:p w14:paraId="12F395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水电站基础数据接口  </w:t>
            </w:r>
          </w:p>
        </w:tc>
        <w:tc>
          <w:tcPr>
            <w:tcW w:w="4272" w:type="dxa"/>
            <w:shd w:val="clear" w:color="auto" w:fill="FFFFFF"/>
            <w:vAlign w:val="center"/>
          </w:tcPr>
          <w:p w14:paraId="7B4FF50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电站名录、电站基本信息等基础数据接口开发</w:t>
            </w:r>
          </w:p>
        </w:tc>
        <w:tc>
          <w:tcPr>
            <w:tcW w:w="915" w:type="dxa"/>
            <w:gridSpan w:val="2"/>
            <w:shd w:val="clear" w:color="auto" w:fill="FFFFFF"/>
            <w:vAlign w:val="center"/>
          </w:tcPr>
          <w:p w14:paraId="1A52A9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CCC3D5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829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00" w:type="dxa"/>
            <w:shd w:val="clear" w:color="auto" w:fill="FFFFFF"/>
            <w:vAlign w:val="center"/>
          </w:tcPr>
          <w:p w14:paraId="369CE3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2205" w:type="dxa"/>
            <w:shd w:val="clear" w:color="auto" w:fill="FFFFFF"/>
            <w:vAlign w:val="center"/>
          </w:tcPr>
          <w:p w14:paraId="02120C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水文监测站基础数据接口  </w:t>
            </w:r>
          </w:p>
        </w:tc>
        <w:tc>
          <w:tcPr>
            <w:tcW w:w="4272" w:type="dxa"/>
            <w:shd w:val="clear" w:color="auto" w:fill="FFFFFF"/>
            <w:vAlign w:val="center"/>
          </w:tcPr>
          <w:p w14:paraId="2A6F9C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水文测站名录、测站基础信息等基础数据接口开发</w:t>
            </w:r>
          </w:p>
        </w:tc>
        <w:tc>
          <w:tcPr>
            <w:tcW w:w="915" w:type="dxa"/>
            <w:gridSpan w:val="2"/>
            <w:shd w:val="clear" w:color="auto" w:fill="FFFFFF"/>
            <w:vAlign w:val="center"/>
          </w:tcPr>
          <w:p w14:paraId="7BD06A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544A93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4B7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631C988E">
            <w:pPr>
              <w:jc w:val="left"/>
              <w:rPr>
                <w:rFonts w:hint="eastAsia" w:ascii="宋体" w:hAnsi="宋体" w:cs="宋体"/>
                <w:color w:val="000000"/>
                <w:sz w:val="18"/>
                <w:szCs w:val="18"/>
              </w:rPr>
            </w:pPr>
            <w:r>
              <w:rPr>
                <w:rFonts w:hint="eastAsia" w:ascii="宋体" w:hAnsi="宋体" w:cs="宋体"/>
                <w:color w:val="000000"/>
                <w:kern w:val="0"/>
                <w:sz w:val="18"/>
                <w:szCs w:val="18"/>
                <w:lang w:bidi="ar"/>
              </w:rPr>
              <w:t>4.1.2、业务数据共享服务接口开发</w:t>
            </w:r>
          </w:p>
        </w:tc>
      </w:tr>
      <w:tr w14:paraId="285C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0" w:type="dxa"/>
            <w:shd w:val="clear" w:color="auto" w:fill="FFFFFF"/>
            <w:vAlign w:val="center"/>
          </w:tcPr>
          <w:p w14:paraId="304D8E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2205" w:type="dxa"/>
            <w:shd w:val="clear" w:color="auto" w:fill="FFFFFF"/>
            <w:vAlign w:val="center"/>
          </w:tcPr>
          <w:p w14:paraId="3EB82F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业务数据共享服务接口开发  </w:t>
            </w:r>
          </w:p>
        </w:tc>
        <w:tc>
          <w:tcPr>
            <w:tcW w:w="4272" w:type="dxa"/>
            <w:shd w:val="clear" w:color="auto" w:fill="FFFFFF"/>
            <w:vAlign w:val="center"/>
          </w:tcPr>
          <w:p w14:paraId="76041C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根据本级数据归集情况，开发业务数据共享服务接口，以15个接口计算</w:t>
            </w:r>
          </w:p>
        </w:tc>
        <w:tc>
          <w:tcPr>
            <w:tcW w:w="915" w:type="dxa"/>
            <w:gridSpan w:val="2"/>
            <w:shd w:val="clear" w:color="auto" w:fill="FFFFFF"/>
            <w:vAlign w:val="center"/>
          </w:tcPr>
          <w:p w14:paraId="269068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3CD8E6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07D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483B44D0">
            <w:pPr>
              <w:jc w:val="left"/>
              <w:rPr>
                <w:rFonts w:hint="eastAsia" w:ascii="宋体" w:hAnsi="宋体" w:cs="宋体"/>
                <w:color w:val="000000"/>
                <w:sz w:val="18"/>
                <w:szCs w:val="18"/>
              </w:rPr>
            </w:pPr>
            <w:r>
              <w:rPr>
                <w:rFonts w:hint="eastAsia" w:ascii="宋体" w:hAnsi="宋体" w:cs="宋体"/>
                <w:color w:val="000000"/>
                <w:kern w:val="0"/>
                <w:sz w:val="18"/>
                <w:szCs w:val="18"/>
                <w:lang w:bidi="ar"/>
              </w:rPr>
              <w:t>4.1.3、水位雨量实时数据共享服务接口开发</w:t>
            </w:r>
          </w:p>
        </w:tc>
      </w:tr>
      <w:tr w14:paraId="1981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ADD72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2205" w:type="dxa"/>
            <w:shd w:val="clear" w:color="auto" w:fill="FFFFFF"/>
            <w:vAlign w:val="center"/>
          </w:tcPr>
          <w:p w14:paraId="13D6D0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水位雨量实时数据共享服务接口开发  </w:t>
            </w:r>
          </w:p>
        </w:tc>
        <w:tc>
          <w:tcPr>
            <w:tcW w:w="4272" w:type="dxa"/>
            <w:shd w:val="clear" w:color="auto" w:fill="FFFFFF"/>
            <w:vAlign w:val="center"/>
          </w:tcPr>
          <w:p w14:paraId="195BEA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开发实时水库、河道水位雨量数据共享服务接口</w:t>
            </w:r>
          </w:p>
        </w:tc>
        <w:tc>
          <w:tcPr>
            <w:tcW w:w="915" w:type="dxa"/>
            <w:gridSpan w:val="2"/>
            <w:shd w:val="clear" w:color="auto" w:fill="FFFFFF"/>
            <w:vAlign w:val="center"/>
          </w:tcPr>
          <w:p w14:paraId="3645C6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8D11F0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649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55BF6C90">
            <w:pPr>
              <w:jc w:val="left"/>
              <w:rPr>
                <w:rFonts w:hint="eastAsia" w:ascii="宋体" w:hAnsi="宋体" w:cs="宋体"/>
                <w:color w:val="000000"/>
                <w:sz w:val="18"/>
                <w:szCs w:val="18"/>
              </w:rPr>
            </w:pPr>
            <w:r>
              <w:rPr>
                <w:rFonts w:hint="eastAsia" w:ascii="宋体" w:hAnsi="宋体" w:cs="宋体"/>
                <w:color w:val="000000"/>
                <w:kern w:val="0"/>
                <w:sz w:val="18"/>
                <w:szCs w:val="18"/>
                <w:lang w:bidi="ar"/>
              </w:rPr>
              <w:t>4.1.4、流量实时数据共享服务接口开发</w:t>
            </w:r>
          </w:p>
        </w:tc>
      </w:tr>
      <w:tr w14:paraId="7384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77A501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2205" w:type="dxa"/>
            <w:shd w:val="clear" w:color="auto" w:fill="FFFFFF"/>
            <w:vAlign w:val="center"/>
          </w:tcPr>
          <w:p w14:paraId="589FF4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流量实时数据共享服务接口开发  </w:t>
            </w:r>
          </w:p>
        </w:tc>
        <w:tc>
          <w:tcPr>
            <w:tcW w:w="4272" w:type="dxa"/>
            <w:shd w:val="clear" w:color="auto" w:fill="FFFFFF"/>
            <w:vAlign w:val="center"/>
          </w:tcPr>
          <w:p w14:paraId="7DC5E8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开发实时流量量数据共享服务接口</w:t>
            </w:r>
          </w:p>
        </w:tc>
        <w:tc>
          <w:tcPr>
            <w:tcW w:w="915" w:type="dxa"/>
            <w:gridSpan w:val="2"/>
            <w:shd w:val="clear" w:color="auto" w:fill="FFFFFF"/>
            <w:vAlign w:val="center"/>
          </w:tcPr>
          <w:p w14:paraId="2C0780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5D9B0D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C41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47D4C39">
            <w:pPr>
              <w:jc w:val="left"/>
              <w:rPr>
                <w:rFonts w:hint="eastAsia" w:ascii="宋体" w:hAnsi="宋体" w:cs="宋体"/>
                <w:color w:val="000000"/>
                <w:sz w:val="18"/>
                <w:szCs w:val="18"/>
              </w:rPr>
            </w:pPr>
            <w:r>
              <w:rPr>
                <w:rFonts w:hint="eastAsia" w:ascii="宋体" w:hAnsi="宋体" w:cs="宋体"/>
                <w:color w:val="000000"/>
                <w:kern w:val="0"/>
                <w:sz w:val="18"/>
                <w:szCs w:val="18"/>
                <w:lang w:bidi="ar"/>
              </w:rPr>
              <w:t>4.2、服务接口注册发布</w:t>
            </w:r>
          </w:p>
        </w:tc>
      </w:tr>
      <w:tr w14:paraId="0A0E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63454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2205" w:type="dxa"/>
            <w:shd w:val="clear" w:color="auto" w:fill="FFFFFF"/>
            <w:vAlign w:val="center"/>
          </w:tcPr>
          <w:p w14:paraId="1936C8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服务接口注册发布  </w:t>
            </w:r>
          </w:p>
        </w:tc>
        <w:tc>
          <w:tcPr>
            <w:tcW w:w="4272" w:type="dxa"/>
            <w:shd w:val="clear" w:color="auto" w:fill="FFFFFF"/>
            <w:vAlign w:val="center"/>
          </w:tcPr>
          <w:p w14:paraId="79BF84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利用省级数据共享模块完成数据共享服务接口的注册发布，应用可进行申请调用。</w:t>
            </w:r>
          </w:p>
        </w:tc>
        <w:tc>
          <w:tcPr>
            <w:tcW w:w="915" w:type="dxa"/>
            <w:gridSpan w:val="2"/>
            <w:shd w:val="clear" w:color="auto" w:fill="FFFFFF"/>
            <w:vAlign w:val="center"/>
          </w:tcPr>
          <w:p w14:paraId="4FFA33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C6549E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85B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09E558CF">
            <w:pPr>
              <w:jc w:val="left"/>
              <w:rPr>
                <w:rFonts w:hint="eastAsia" w:ascii="宋体" w:hAnsi="宋体" w:cs="宋体"/>
                <w:color w:val="000000"/>
                <w:sz w:val="18"/>
                <w:szCs w:val="18"/>
              </w:rPr>
            </w:pPr>
            <w:r>
              <w:rPr>
                <w:rFonts w:hint="eastAsia" w:ascii="宋体" w:hAnsi="宋体" w:cs="宋体"/>
                <w:color w:val="000000"/>
                <w:kern w:val="0"/>
                <w:sz w:val="18"/>
                <w:szCs w:val="18"/>
                <w:lang w:bidi="ar"/>
              </w:rPr>
              <w:t>（二）智慧供水一体化管控驾驶舱</w:t>
            </w:r>
          </w:p>
        </w:tc>
      </w:tr>
      <w:tr w14:paraId="7737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B498D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2205" w:type="dxa"/>
            <w:shd w:val="clear" w:color="auto" w:fill="FFFFFF"/>
            <w:vAlign w:val="center"/>
          </w:tcPr>
          <w:p w14:paraId="29E871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智慧供水一体化管控驾驶舱  </w:t>
            </w:r>
          </w:p>
        </w:tc>
        <w:tc>
          <w:tcPr>
            <w:tcW w:w="4272" w:type="dxa"/>
            <w:shd w:val="clear" w:color="auto" w:fill="FFFFFF"/>
            <w:vAlign w:val="center"/>
          </w:tcPr>
          <w:p w14:paraId="7E0AD08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满足实施方案</w:t>
            </w:r>
          </w:p>
        </w:tc>
        <w:tc>
          <w:tcPr>
            <w:tcW w:w="915" w:type="dxa"/>
            <w:gridSpan w:val="2"/>
            <w:shd w:val="clear" w:color="auto" w:fill="FFFFFF"/>
            <w:vAlign w:val="center"/>
          </w:tcPr>
          <w:p w14:paraId="1C9E1D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539588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CB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3570C46">
            <w:pPr>
              <w:jc w:val="left"/>
              <w:rPr>
                <w:rFonts w:hint="eastAsia" w:ascii="宋体" w:hAnsi="宋体" w:cs="宋体"/>
                <w:color w:val="000000"/>
                <w:sz w:val="18"/>
                <w:szCs w:val="18"/>
              </w:rPr>
            </w:pPr>
            <w:r>
              <w:rPr>
                <w:rFonts w:hint="eastAsia" w:ascii="宋体" w:hAnsi="宋体" w:cs="宋体"/>
                <w:color w:val="000000"/>
                <w:kern w:val="0"/>
                <w:sz w:val="18"/>
                <w:szCs w:val="18"/>
                <w:lang w:bidi="ar"/>
              </w:rPr>
              <w:t>（三）智慧业务子系统</w:t>
            </w:r>
          </w:p>
        </w:tc>
      </w:tr>
      <w:tr w14:paraId="4F31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90E6745">
            <w:pPr>
              <w:jc w:val="left"/>
              <w:rPr>
                <w:rFonts w:hint="eastAsia" w:ascii="宋体" w:hAnsi="宋体" w:cs="宋体"/>
                <w:color w:val="000000"/>
                <w:sz w:val="18"/>
                <w:szCs w:val="18"/>
              </w:rPr>
            </w:pPr>
            <w:r>
              <w:rPr>
                <w:rFonts w:hint="eastAsia" w:ascii="宋体" w:hAnsi="宋体" w:cs="宋体"/>
                <w:color w:val="000000"/>
                <w:kern w:val="0"/>
                <w:sz w:val="18"/>
                <w:szCs w:val="18"/>
                <w:lang w:bidi="ar"/>
              </w:rPr>
              <w:t>1、风险识别管控子系统</w:t>
            </w:r>
          </w:p>
        </w:tc>
      </w:tr>
      <w:tr w14:paraId="58D3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007CE91">
            <w:pPr>
              <w:jc w:val="left"/>
              <w:rPr>
                <w:rFonts w:hint="eastAsia" w:ascii="宋体" w:hAnsi="宋体" w:cs="宋体"/>
                <w:color w:val="000000"/>
                <w:sz w:val="18"/>
                <w:szCs w:val="18"/>
              </w:rPr>
            </w:pPr>
            <w:r>
              <w:rPr>
                <w:rFonts w:hint="eastAsia" w:ascii="宋体" w:hAnsi="宋体" w:cs="宋体"/>
                <w:color w:val="000000"/>
                <w:kern w:val="0"/>
                <w:sz w:val="18"/>
                <w:szCs w:val="18"/>
                <w:lang w:bidi="ar"/>
              </w:rPr>
              <w:t>1.1、风险识别管控驾驶舱</w:t>
            </w:r>
          </w:p>
        </w:tc>
      </w:tr>
      <w:tr w14:paraId="597D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C35E2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2205" w:type="dxa"/>
            <w:shd w:val="clear" w:color="auto" w:fill="FFFFFF"/>
            <w:vAlign w:val="center"/>
          </w:tcPr>
          <w:p w14:paraId="33C8E7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预报模块  </w:t>
            </w:r>
          </w:p>
        </w:tc>
        <w:tc>
          <w:tcPr>
            <w:tcW w:w="4272" w:type="dxa"/>
            <w:shd w:val="clear" w:color="auto" w:fill="FFFFFF"/>
            <w:vAlign w:val="center"/>
          </w:tcPr>
          <w:p w14:paraId="6C4C44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提供高温、台风、干旱、强降雨等各类情况的风险监测与分析预报结果</w:t>
            </w:r>
          </w:p>
        </w:tc>
        <w:tc>
          <w:tcPr>
            <w:tcW w:w="915" w:type="dxa"/>
            <w:gridSpan w:val="2"/>
            <w:shd w:val="clear" w:color="auto" w:fill="FFFFFF"/>
            <w:vAlign w:val="center"/>
          </w:tcPr>
          <w:p w14:paraId="7D7A78B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682BEA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405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0F9999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2205" w:type="dxa"/>
            <w:shd w:val="clear" w:color="auto" w:fill="FFFFFF"/>
            <w:vAlign w:val="center"/>
          </w:tcPr>
          <w:p w14:paraId="63AF69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预警模块 </w:t>
            </w:r>
          </w:p>
        </w:tc>
        <w:tc>
          <w:tcPr>
            <w:tcW w:w="4272" w:type="dxa"/>
            <w:shd w:val="clear" w:color="auto" w:fill="FFFFFF"/>
            <w:vAlign w:val="center"/>
          </w:tcPr>
          <w:p w14:paraId="450DDB7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提供强降雨、设备运行异常、水质异常、水量异常、水源旱情、视频安防等各类风险预警功能及预警分析统计</w:t>
            </w:r>
          </w:p>
        </w:tc>
        <w:tc>
          <w:tcPr>
            <w:tcW w:w="915" w:type="dxa"/>
            <w:gridSpan w:val="2"/>
            <w:shd w:val="clear" w:color="auto" w:fill="FFFFFF"/>
            <w:vAlign w:val="center"/>
          </w:tcPr>
          <w:p w14:paraId="6DAC4B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FB610D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ABF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421B58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2205" w:type="dxa"/>
            <w:shd w:val="clear" w:color="auto" w:fill="FFFFFF"/>
            <w:vAlign w:val="center"/>
          </w:tcPr>
          <w:p w14:paraId="065803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预案模块  </w:t>
            </w:r>
          </w:p>
        </w:tc>
        <w:tc>
          <w:tcPr>
            <w:tcW w:w="4272" w:type="dxa"/>
            <w:shd w:val="clear" w:color="auto" w:fill="FFFFFF"/>
            <w:vAlign w:val="center"/>
          </w:tcPr>
          <w:p w14:paraId="53BEB9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提供针对各类风险的预案匹配和处置建议智能推荐功能</w:t>
            </w:r>
          </w:p>
        </w:tc>
        <w:tc>
          <w:tcPr>
            <w:tcW w:w="915" w:type="dxa"/>
            <w:gridSpan w:val="2"/>
            <w:shd w:val="clear" w:color="auto" w:fill="FFFFFF"/>
            <w:vAlign w:val="center"/>
          </w:tcPr>
          <w:p w14:paraId="658A92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9D9760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233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EAEAA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2205" w:type="dxa"/>
            <w:shd w:val="clear" w:color="auto" w:fill="FFFFFF"/>
            <w:vAlign w:val="center"/>
          </w:tcPr>
          <w:p w14:paraId="32C610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预演模块  </w:t>
            </w:r>
          </w:p>
        </w:tc>
        <w:tc>
          <w:tcPr>
            <w:tcW w:w="4272" w:type="dxa"/>
            <w:shd w:val="clear" w:color="auto" w:fill="FFFFFF"/>
            <w:vAlign w:val="center"/>
          </w:tcPr>
          <w:p w14:paraId="6416B3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提供对突发水质污染、原水断流等供水相关事件预演管理功能</w:t>
            </w:r>
          </w:p>
        </w:tc>
        <w:tc>
          <w:tcPr>
            <w:tcW w:w="915" w:type="dxa"/>
            <w:gridSpan w:val="2"/>
            <w:shd w:val="clear" w:color="auto" w:fill="FFFFFF"/>
            <w:vAlign w:val="center"/>
          </w:tcPr>
          <w:p w14:paraId="2A6288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EDBCC3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320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4A9B3E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2205" w:type="dxa"/>
            <w:shd w:val="clear" w:color="auto" w:fill="FFFFFF"/>
            <w:vAlign w:val="center"/>
          </w:tcPr>
          <w:p w14:paraId="250BFE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风险管控模块  </w:t>
            </w:r>
          </w:p>
        </w:tc>
        <w:tc>
          <w:tcPr>
            <w:tcW w:w="4272" w:type="dxa"/>
            <w:shd w:val="clear" w:color="auto" w:fill="FFFFFF"/>
            <w:vAlign w:val="center"/>
          </w:tcPr>
          <w:p w14:paraId="388CD3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提供系统生成的预警工单汇聚展示与处置情况查询功能</w:t>
            </w:r>
          </w:p>
        </w:tc>
        <w:tc>
          <w:tcPr>
            <w:tcW w:w="915" w:type="dxa"/>
            <w:gridSpan w:val="2"/>
            <w:shd w:val="clear" w:color="auto" w:fill="FFFFFF"/>
            <w:vAlign w:val="center"/>
          </w:tcPr>
          <w:p w14:paraId="404F81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5E079E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551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C64ACBF">
            <w:pPr>
              <w:jc w:val="left"/>
              <w:rPr>
                <w:rFonts w:hint="eastAsia" w:ascii="宋体" w:hAnsi="宋体" w:cs="宋体"/>
                <w:color w:val="000000"/>
                <w:sz w:val="18"/>
                <w:szCs w:val="18"/>
              </w:rPr>
            </w:pPr>
            <w:r>
              <w:rPr>
                <w:rFonts w:hint="eastAsia" w:ascii="宋体" w:hAnsi="宋体" w:cs="宋体"/>
                <w:color w:val="000000"/>
                <w:kern w:val="0"/>
                <w:sz w:val="18"/>
                <w:szCs w:val="18"/>
                <w:lang w:bidi="ar"/>
              </w:rPr>
              <w:t>1.2、风险识别管控系统</w:t>
            </w:r>
          </w:p>
        </w:tc>
      </w:tr>
      <w:tr w14:paraId="188A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9857075">
            <w:pPr>
              <w:jc w:val="left"/>
              <w:rPr>
                <w:rFonts w:hint="eastAsia" w:ascii="宋体" w:hAnsi="宋体" w:cs="宋体"/>
                <w:color w:val="000000"/>
                <w:sz w:val="18"/>
                <w:szCs w:val="18"/>
              </w:rPr>
            </w:pPr>
            <w:r>
              <w:rPr>
                <w:rFonts w:hint="eastAsia" w:ascii="宋体" w:hAnsi="宋体" w:cs="宋体"/>
                <w:color w:val="000000"/>
                <w:kern w:val="0"/>
                <w:sz w:val="18"/>
                <w:szCs w:val="18"/>
                <w:lang w:bidi="ar"/>
              </w:rPr>
              <w:t>1.2.1、水源风险管控</w:t>
            </w:r>
          </w:p>
        </w:tc>
      </w:tr>
      <w:tr w14:paraId="663C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shd w:val="clear" w:color="auto" w:fill="FFFFFF"/>
            <w:vAlign w:val="center"/>
          </w:tcPr>
          <w:p w14:paraId="70BA0B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2205" w:type="dxa"/>
            <w:shd w:val="clear" w:color="auto" w:fill="FFFFFF"/>
            <w:vAlign w:val="center"/>
          </w:tcPr>
          <w:p w14:paraId="74EBFA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总览  </w:t>
            </w:r>
          </w:p>
        </w:tc>
        <w:tc>
          <w:tcPr>
            <w:tcW w:w="4272" w:type="dxa"/>
            <w:shd w:val="clear" w:color="auto" w:fill="FFFFFF"/>
            <w:vAlign w:val="center"/>
          </w:tcPr>
          <w:p w14:paraId="05E5AF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展示宁海县城乡供水水源数量类型统计数据、水源水量风险分析、水源水质风险分析、水源相关风险预警信息及处置情况、水源取水量数据、水源实时水质、可供水天数等统计分析信息。</w:t>
            </w:r>
          </w:p>
        </w:tc>
        <w:tc>
          <w:tcPr>
            <w:tcW w:w="915" w:type="dxa"/>
            <w:gridSpan w:val="2"/>
            <w:shd w:val="clear" w:color="auto" w:fill="FFFFFF"/>
            <w:vAlign w:val="center"/>
          </w:tcPr>
          <w:p w14:paraId="19F493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0BAE0E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423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0" w:type="dxa"/>
            <w:shd w:val="clear" w:color="auto" w:fill="FFFFFF"/>
            <w:vAlign w:val="center"/>
          </w:tcPr>
          <w:p w14:paraId="1ADDAFC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2205" w:type="dxa"/>
            <w:shd w:val="clear" w:color="auto" w:fill="FFFFFF"/>
            <w:vAlign w:val="center"/>
          </w:tcPr>
          <w:p w14:paraId="0EE50C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水源详情  </w:t>
            </w:r>
          </w:p>
        </w:tc>
        <w:tc>
          <w:tcPr>
            <w:tcW w:w="4272" w:type="dxa"/>
            <w:shd w:val="clear" w:color="auto" w:fill="FFFFFF"/>
            <w:vAlign w:val="center"/>
          </w:tcPr>
          <w:p w14:paraId="378538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展示全县各水源地基础信息、水源水厂关联信息、水源实时水质监测、实时水位、风险报警信息、视频监控信息等各类信息，为水源管理提供全方位信息支撑。</w:t>
            </w:r>
          </w:p>
        </w:tc>
        <w:tc>
          <w:tcPr>
            <w:tcW w:w="915" w:type="dxa"/>
            <w:gridSpan w:val="2"/>
            <w:shd w:val="clear" w:color="auto" w:fill="FFFFFF"/>
            <w:vAlign w:val="center"/>
          </w:tcPr>
          <w:p w14:paraId="09048E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53E4F0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233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0" w:type="dxa"/>
            <w:shd w:val="clear" w:color="auto" w:fill="FFFFFF"/>
            <w:vAlign w:val="center"/>
          </w:tcPr>
          <w:p w14:paraId="7D7CFE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2205" w:type="dxa"/>
            <w:shd w:val="clear" w:color="auto" w:fill="FFFFFF"/>
            <w:vAlign w:val="center"/>
          </w:tcPr>
          <w:p w14:paraId="10E224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水源水量监测  </w:t>
            </w:r>
          </w:p>
        </w:tc>
        <w:tc>
          <w:tcPr>
            <w:tcW w:w="4272" w:type="dxa"/>
            <w:shd w:val="clear" w:color="auto" w:fill="FFFFFF"/>
            <w:vAlign w:val="center"/>
          </w:tcPr>
          <w:p w14:paraId="4FD65F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提供水库型水源地水源实时水位、水厂取水量、水库型水源地实时库容、可供水量、保供天数等数据监测分析功能，并对水量状态按照保供天数进行分析统计。</w:t>
            </w:r>
          </w:p>
        </w:tc>
        <w:tc>
          <w:tcPr>
            <w:tcW w:w="915" w:type="dxa"/>
            <w:gridSpan w:val="2"/>
            <w:shd w:val="clear" w:color="auto" w:fill="FFFFFF"/>
            <w:vAlign w:val="center"/>
          </w:tcPr>
          <w:p w14:paraId="3CF7B1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803019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D8D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00" w:type="dxa"/>
            <w:shd w:val="clear" w:color="auto" w:fill="FFFFFF"/>
            <w:vAlign w:val="center"/>
          </w:tcPr>
          <w:p w14:paraId="270A03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2205" w:type="dxa"/>
            <w:shd w:val="clear" w:color="auto" w:fill="FFFFFF"/>
            <w:vAlign w:val="center"/>
          </w:tcPr>
          <w:p w14:paraId="08D5EB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水源水质监测  </w:t>
            </w:r>
          </w:p>
        </w:tc>
        <w:tc>
          <w:tcPr>
            <w:tcW w:w="4272" w:type="dxa"/>
            <w:shd w:val="clear" w:color="auto" w:fill="FFFFFF"/>
            <w:vAlign w:val="center"/>
          </w:tcPr>
          <w:p w14:paraId="688690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提供水源实时水质监测数据查询及不同时间维度的水质变化过程展示功能，分析统计水质不合格的水源数量和异常次数、异常原因等。</w:t>
            </w:r>
          </w:p>
        </w:tc>
        <w:tc>
          <w:tcPr>
            <w:tcW w:w="915" w:type="dxa"/>
            <w:gridSpan w:val="2"/>
            <w:shd w:val="clear" w:color="auto" w:fill="FFFFFF"/>
            <w:vAlign w:val="center"/>
          </w:tcPr>
          <w:p w14:paraId="344942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EF4CD6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DCC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0" w:type="dxa"/>
            <w:shd w:val="clear" w:color="auto" w:fill="FFFFFF"/>
            <w:vAlign w:val="center"/>
          </w:tcPr>
          <w:p w14:paraId="5843E1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2205" w:type="dxa"/>
            <w:shd w:val="clear" w:color="auto" w:fill="FFFFFF"/>
            <w:vAlign w:val="center"/>
          </w:tcPr>
          <w:p w14:paraId="440B3D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水源风险管理  </w:t>
            </w:r>
          </w:p>
        </w:tc>
        <w:tc>
          <w:tcPr>
            <w:tcW w:w="4272" w:type="dxa"/>
            <w:shd w:val="clear" w:color="auto" w:fill="FFFFFF"/>
            <w:vAlign w:val="center"/>
          </w:tcPr>
          <w:p w14:paraId="7BF37E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对水源各类风险进行统一集中管理，统计分析水源风险报警次数、报警原因；查询各水源地实时风险及历史发生的风险记录、风险处置状态等信息。</w:t>
            </w:r>
          </w:p>
        </w:tc>
        <w:tc>
          <w:tcPr>
            <w:tcW w:w="915" w:type="dxa"/>
            <w:gridSpan w:val="2"/>
            <w:shd w:val="clear" w:color="auto" w:fill="FFFFFF"/>
            <w:vAlign w:val="center"/>
          </w:tcPr>
          <w:p w14:paraId="48835C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0DB210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CAC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0" w:type="dxa"/>
            <w:shd w:val="clear" w:color="auto" w:fill="FFFFFF"/>
            <w:vAlign w:val="center"/>
          </w:tcPr>
          <w:p w14:paraId="2DD8E0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2205" w:type="dxa"/>
            <w:shd w:val="clear" w:color="auto" w:fill="FFFFFF"/>
            <w:vAlign w:val="center"/>
          </w:tcPr>
          <w:p w14:paraId="57516D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水源水质水量预测  </w:t>
            </w:r>
          </w:p>
        </w:tc>
        <w:tc>
          <w:tcPr>
            <w:tcW w:w="4272" w:type="dxa"/>
            <w:shd w:val="clear" w:color="auto" w:fill="FFFFFF"/>
            <w:vAlign w:val="center"/>
          </w:tcPr>
          <w:p w14:paraId="7DA65A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利用相关算法分析预测水源水质、水源水量，对水质变化趋势进行研判，分析预测未来一段时间内水源水量是否充足，有无原水不足、断流等风险。</w:t>
            </w:r>
          </w:p>
        </w:tc>
        <w:tc>
          <w:tcPr>
            <w:tcW w:w="915" w:type="dxa"/>
            <w:gridSpan w:val="2"/>
            <w:shd w:val="clear" w:color="auto" w:fill="FFFFFF"/>
            <w:vAlign w:val="center"/>
          </w:tcPr>
          <w:p w14:paraId="2087AD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37B262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A2C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E14E531">
            <w:pPr>
              <w:jc w:val="left"/>
              <w:rPr>
                <w:rFonts w:hint="eastAsia" w:ascii="宋体" w:hAnsi="宋体" w:cs="宋体"/>
                <w:color w:val="000000"/>
                <w:sz w:val="18"/>
                <w:szCs w:val="18"/>
              </w:rPr>
            </w:pPr>
            <w:r>
              <w:rPr>
                <w:rFonts w:hint="eastAsia" w:ascii="宋体" w:hAnsi="宋体" w:cs="宋体"/>
                <w:color w:val="000000"/>
                <w:kern w:val="0"/>
                <w:sz w:val="18"/>
                <w:szCs w:val="18"/>
                <w:lang w:bidi="ar"/>
              </w:rPr>
              <w:t>1.2.2、水厂风险管控</w:t>
            </w:r>
          </w:p>
        </w:tc>
      </w:tr>
      <w:tr w14:paraId="0DBF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00" w:type="dxa"/>
            <w:shd w:val="clear" w:color="auto" w:fill="FFFFFF"/>
            <w:vAlign w:val="center"/>
          </w:tcPr>
          <w:p w14:paraId="358E67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2205" w:type="dxa"/>
            <w:shd w:val="clear" w:color="auto" w:fill="FFFFFF"/>
            <w:vAlign w:val="center"/>
          </w:tcPr>
          <w:p w14:paraId="4974B9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总览  </w:t>
            </w:r>
          </w:p>
        </w:tc>
        <w:tc>
          <w:tcPr>
            <w:tcW w:w="4272" w:type="dxa"/>
            <w:shd w:val="clear" w:color="auto" w:fill="FFFFFF"/>
            <w:vAlign w:val="center"/>
          </w:tcPr>
          <w:p w14:paraId="09CCB5D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综合展示全县水厂水质水量各类风险识别与管控内容，可查看水厂实时水质水量监测数据，水厂水质异常、供水量不足、设备异常等各类风险报警信息及报警工单处置情况，报警原因及报警趋势统计分析、水厂报警数量排名等信息。对于各类风险，可分析风险产生原因，并给出应急处置建议。</w:t>
            </w:r>
          </w:p>
        </w:tc>
        <w:tc>
          <w:tcPr>
            <w:tcW w:w="915" w:type="dxa"/>
            <w:gridSpan w:val="2"/>
            <w:shd w:val="clear" w:color="auto" w:fill="FFFFFF"/>
            <w:vAlign w:val="center"/>
          </w:tcPr>
          <w:p w14:paraId="399652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1A94E2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847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00" w:type="dxa"/>
            <w:shd w:val="clear" w:color="auto" w:fill="FFFFFF"/>
            <w:vAlign w:val="center"/>
          </w:tcPr>
          <w:p w14:paraId="39B584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2205" w:type="dxa"/>
            <w:shd w:val="clear" w:color="auto" w:fill="FFFFFF"/>
            <w:vAlign w:val="center"/>
          </w:tcPr>
          <w:p w14:paraId="4640E6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水厂详情  </w:t>
            </w:r>
          </w:p>
        </w:tc>
        <w:tc>
          <w:tcPr>
            <w:tcW w:w="4272" w:type="dxa"/>
            <w:shd w:val="clear" w:color="auto" w:fill="FFFFFF"/>
            <w:vAlign w:val="center"/>
          </w:tcPr>
          <w:p w14:paraId="0D4B24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全县各水厂（站）基础信息、水源水厂关联信息、水厂（站）实时水质水量监测数据、清水池实时水位、进水浊度、膜处理设备状态、水厂当前风险报警信息、门禁状态、视频监控信息等各类信息，为水厂（站）管理提供全方位信息支撑。</w:t>
            </w:r>
          </w:p>
        </w:tc>
        <w:tc>
          <w:tcPr>
            <w:tcW w:w="915" w:type="dxa"/>
            <w:gridSpan w:val="2"/>
            <w:shd w:val="clear" w:color="auto" w:fill="FFFFFF"/>
            <w:vAlign w:val="center"/>
          </w:tcPr>
          <w:p w14:paraId="3BC6EC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21812F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E08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AE4F8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2205" w:type="dxa"/>
            <w:shd w:val="clear" w:color="auto" w:fill="FFFFFF"/>
            <w:vAlign w:val="center"/>
          </w:tcPr>
          <w:p w14:paraId="505D41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水质检测报表  </w:t>
            </w:r>
          </w:p>
        </w:tc>
        <w:tc>
          <w:tcPr>
            <w:tcW w:w="4272" w:type="dxa"/>
            <w:shd w:val="clear" w:color="auto" w:fill="FFFFFF"/>
            <w:vAlign w:val="center"/>
          </w:tcPr>
          <w:p w14:paraId="241C16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提供水厂（站）水质日检、月检、定期检测等各类检测数据的录入、查询统计和水质异常指标的分析等功能。</w:t>
            </w:r>
          </w:p>
        </w:tc>
        <w:tc>
          <w:tcPr>
            <w:tcW w:w="915" w:type="dxa"/>
            <w:gridSpan w:val="2"/>
            <w:shd w:val="clear" w:color="auto" w:fill="FFFFFF"/>
            <w:vAlign w:val="center"/>
          </w:tcPr>
          <w:p w14:paraId="31AC82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AA8759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C8E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0" w:type="dxa"/>
            <w:shd w:val="clear" w:color="auto" w:fill="FFFFFF"/>
            <w:vAlign w:val="center"/>
          </w:tcPr>
          <w:p w14:paraId="7DD27B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2205" w:type="dxa"/>
            <w:shd w:val="clear" w:color="auto" w:fill="FFFFFF"/>
            <w:vAlign w:val="center"/>
          </w:tcPr>
          <w:p w14:paraId="0D9530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供水量统计表  </w:t>
            </w:r>
          </w:p>
        </w:tc>
        <w:tc>
          <w:tcPr>
            <w:tcW w:w="4272" w:type="dxa"/>
            <w:shd w:val="clear" w:color="auto" w:fill="FFFFFF"/>
            <w:vAlign w:val="center"/>
          </w:tcPr>
          <w:p w14:paraId="777FCAE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提供按照日、月、年等不同维度的供水量数据统计分析功能，并支持按照片区、水厂（站）名称等查询功能。</w:t>
            </w:r>
          </w:p>
        </w:tc>
        <w:tc>
          <w:tcPr>
            <w:tcW w:w="915" w:type="dxa"/>
            <w:gridSpan w:val="2"/>
            <w:shd w:val="clear" w:color="auto" w:fill="FFFFFF"/>
            <w:vAlign w:val="center"/>
          </w:tcPr>
          <w:p w14:paraId="2EB663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DB02EE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B3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0" w:type="dxa"/>
            <w:shd w:val="clear" w:color="auto" w:fill="FFFFFF"/>
            <w:vAlign w:val="center"/>
          </w:tcPr>
          <w:p w14:paraId="4A191C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2205" w:type="dxa"/>
            <w:shd w:val="clear" w:color="auto" w:fill="FFFFFF"/>
            <w:vAlign w:val="center"/>
          </w:tcPr>
          <w:p w14:paraId="7F6B7A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水厂运行报表  </w:t>
            </w:r>
          </w:p>
        </w:tc>
        <w:tc>
          <w:tcPr>
            <w:tcW w:w="4272" w:type="dxa"/>
            <w:shd w:val="clear" w:color="auto" w:fill="FFFFFF"/>
            <w:vAlign w:val="center"/>
          </w:tcPr>
          <w:p w14:paraId="2F9BCF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提供水厂（站）出厂水实时水质、进出水流量、清水池液位等实时监测数据报表的查询导出功能，支持对异常数据的自动判断和人工修正等功能。</w:t>
            </w:r>
          </w:p>
        </w:tc>
        <w:tc>
          <w:tcPr>
            <w:tcW w:w="915" w:type="dxa"/>
            <w:gridSpan w:val="2"/>
            <w:shd w:val="clear" w:color="auto" w:fill="FFFFFF"/>
            <w:vAlign w:val="center"/>
          </w:tcPr>
          <w:p w14:paraId="1E9462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D1ED31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D9D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00" w:type="dxa"/>
            <w:shd w:val="clear" w:color="auto" w:fill="FFFFFF"/>
            <w:vAlign w:val="center"/>
          </w:tcPr>
          <w:p w14:paraId="767B22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2205" w:type="dxa"/>
            <w:shd w:val="clear" w:color="auto" w:fill="FFFFFF"/>
            <w:vAlign w:val="center"/>
          </w:tcPr>
          <w:p w14:paraId="40E4A0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水厂风险管理  </w:t>
            </w:r>
          </w:p>
        </w:tc>
        <w:tc>
          <w:tcPr>
            <w:tcW w:w="4272" w:type="dxa"/>
            <w:shd w:val="clear" w:color="auto" w:fill="FFFFFF"/>
            <w:vAlign w:val="center"/>
          </w:tcPr>
          <w:p w14:paraId="5420B2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水厂水质异常、供水量不足、设备异常等各类风险报警信息的统一集中管理功能，可查询当前及历史上各水厂发生的风险、风险对应的工单及工单当前的处置状态等，对于当前未处置的工单可进行处置闭环。</w:t>
            </w:r>
          </w:p>
        </w:tc>
        <w:tc>
          <w:tcPr>
            <w:tcW w:w="915" w:type="dxa"/>
            <w:gridSpan w:val="2"/>
            <w:shd w:val="clear" w:color="auto" w:fill="FFFFFF"/>
            <w:vAlign w:val="center"/>
          </w:tcPr>
          <w:p w14:paraId="1A5C91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E7AA41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DEF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CB0A372">
            <w:pPr>
              <w:jc w:val="left"/>
              <w:rPr>
                <w:rFonts w:hint="eastAsia" w:ascii="宋体" w:hAnsi="宋体" w:cs="宋体"/>
                <w:color w:val="000000"/>
                <w:sz w:val="18"/>
                <w:szCs w:val="18"/>
              </w:rPr>
            </w:pPr>
            <w:r>
              <w:rPr>
                <w:rFonts w:hint="eastAsia" w:ascii="宋体" w:hAnsi="宋体" w:cs="宋体"/>
                <w:color w:val="000000"/>
                <w:kern w:val="0"/>
                <w:sz w:val="18"/>
                <w:szCs w:val="18"/>
                <w:lang w:bidi="ar"/>
              </w:rPr>
              <w:t>1.2.3、强降雨风险管控</w:t>
            </w:r>
          </w:p>
        </w:tc>
      </w:tr>
      <w:tr w14:paraId="78C6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shd w:val="clear" w:color="auto" w:fill="FFFFFF"/>
            <w:vAlign w:val="center"/>
          </w:tcPr>
          <w:p w14:paraId="36B0B7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2205" w:type="dxa"/>
            <w:shd w:val="clear" w:color="auto" w:fill="FFFFFF"/>
            <w:vAlign w:val="center"/>
          </w:tcPr>
          <w:p w14:paraId="63FD3D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总览  </w:t>
            </w:r>
          </w:p>
        </w:tc>
        <w:tc>
          <w:tcPr>
            <w:tcW w:w="4272" w:type="dxa"/>
            <w:shd w:val="clear" w:color="auto" w:fill="FFFFFF"/>
            <w:vAlign w:val="center"/>
          </w:tcPr>
          <w:p w14:paraId="7C44927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提供强降雨风险发布，降雨量分析，降雨影响的水源、水站及人口分析，降雨量排名、原水水质分析等信息总览，帮助相关人员开展降雨影响分析。</w:t>
            </w:r>
          </w:p>
        </w:tc>
        <w:tc>
          <w:tcPr>
            <w:tcW w:w="915" w:type="dxa"/>
            <w:gridSpan w:val="2"/>
            <w:shd w:val="clear" w:color="auto" w:fill="FFFFFF"/>
            <w:vAlign w:val="center"/>
          </w:tcPr>
          <w:p w14:paraId="4E0648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E4DDC8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1C6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00" w:type="dxa"/>
            <w:shd w:val="clear" w:color="auto" w:fill="FFFFFF"/>
            <w:vAlign w:val="center"/>
          </w:tcPr>
          <w:p w14:paraId="017F33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2205" w:type="dxa"/>
            <w:shd w:val="clear" w:color="auto" w:fill="FFFFFF"/>
            <w:vAlign w:val="center"/>
          </w:tcPr>
          <w:p w14:paraId="71337C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强降雨风险管控  </w:t>
            </w:r>
          </w:p>
        </w:tc>
        <w:tc>
          <w:tcPr>
            <w:tcW w:w="4272" w:type="dxa"/>
            <w:shd w:val="clear" w:color="auto" w:fill="FFFFFF"/>
            <w:vAlign w:val="center"/>
          </w:tcPr>
          <w:p w14:paraId="3D94A9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过对全县雨量站点密度和单个雨量站点影响范围的分析研究，将水厂-水源-雨量站点进行关联，确定各水厂、水源地关联的特征雨量站点，对各雨量站点不同时段降雨量进行分析，对降雨量超过一定数值的站点进行预警，可查询每个站点的预警状态、预警时间等。</w:t>
            </w:r>
          </w:p>
        </w:tc>
        <w:tc>
          <w:tcPr>
            <w:tcW w:w="915" w:type="dxa"/>
            <w:gridSpan w:val="2"/>
            <w:shd w:val="clear" w:color="auto" w:fill="FFFFFF"/>
            <w:vAlign w:val="center"/>
          </w:tcPr>
          <w:p w14:paraId="25D494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208ECD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C90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9635C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2205" w:type="dxa"/>
            <w:shd w:val="clear" w:color="auto" w:fill="FFFFFF"/>
            <w:vAlign w:val="center"/>
          </w:tcPr>
          <w:p w14:paraId="67F279E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强降雨预警标准管理  </w:t>
            </w:r>
          </w:p>
        </w:tc>
        <w:tc>
          <w:tcPr>
            <w:tcW w:w="4272" w:type="dxa"/>
            <w:shd w:val="clear" w:color="auto" w:fill="FFFFFF"/>
            <w:vAlign w:val="center"/>
          </w:tcPr>
          <w:p w14:paraId="4EE94E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提供强降雨各等级预警标准的自定义设置调整功能</w:t>
            </w:r>
          </w:p>
        </w:tc>
        <w:tc>
          <w:tcPr>
            <w:tcW w:w="915" w:type="dxa"/>
            <w:gridSpan w:val="2"/>
            <w:shd w:val="clear" w:color="auto" w:fill="FFFFFF"/>
            <w:vAlign w:val="center"/>
          </w:tcPr>
          <w:p w14:paraId="757FF4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D8D2B0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851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7A3468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2205" w:type="dxa"/>
            <w:shd w:val="clear" w:color="auto" w:fill="FFFFFF"/>
            <w:vAlign w:val="center"/>
          </w:tcPr>
          <w:p w14:paraId="14E3842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雨量站点管理  </w:t>
            </w:r>
          </w:p>
        </w:tc>
        <w:tc>
          <w:tcPr>
            <w:tcW w:w="4272" w:type="dxa"/>
            <w:shd w:val="clear" w:color="auto" w:fill="FFFFFF"/>
            <w:vAlign w:val="center"/>
          </w:tcPr>
          <w:p w14:paraId="3820FC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提供雨量站点与水源水厂站点的关联管理功能</w:t>
            </w:r>
          </w:p>
        </w:tc>
        <w:tc>
          <w:tcPr>
            <w:tcW w:w="915" w:type="dxa"/>
            <w:gridSpan w:val="2"/>
            <w:shd w:val="clear" w:color="auto" w:fill="FFFFFF"/>
            <w:vAlign w:val="center"/>
          </w:tcPr>
          <w:p w14:paraId="1F9340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EA9704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A54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85D4F71">
            <w:pPr>
              <w:jc w:val="left"/>
              <w:rPr>
                <w:rFonts w:hint="eastAsia" w:ascii="宋体" w:hAnsi="宋体" w:cs="宋体"/>
                <w:color w:val="000000"/>
                <w:sz w:val="18"/>
                <w:szCs w:val="18"/>
              </w:rPr>
            </w:pPr>
            <w:r>
              <w:rPr>
                <w:rFonts w:hint="eastAsia" w:ascii="宋体" w:hAnsi="宋体" w:cs="宋体"/>
                <w:color w:val="000000"/>
                <w:kern w:val="0"/>
                <w:sz w:val="18"/>
                <w:szCs w:val="18"/>
                <w:lang w:bidi="ar"/>
              </w:rPr>
              <w:t>1.2.4、旱情风险管控</w:t>
            </w:r>
          </w:p>
        </w:tc>
      </w:tr>
      <w:tr w14:paraId="1A17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0" w:type="dxa"/>
            <w:shd w:val="clear" w:color="auto" w:fill="FFFFFF"/>
            <w:vAlign w:val="center"/>
          </w:tcPr>
          <w:p w14:paraId="731C4D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2205" w:type="dxa"/>
            <w:shd w:val="clear" w:color="auto" w:fill="FFFFFF"/>
            <w:vAlign w:val="center"/>
          </w:tcPr>
          <w:p w14:paraId="3B4FEF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总览  </w:t>
            </w:r>
          </w:p>
        </w:tc>
        <w:tc>
          <w:tcPr>
            <w:tcW w:w="4272" w:type="dxa"/>
            <w:shd w:val="clear" w:color="auto" w:fill="FFFFFF"/>
            <w:vAlign w:val="center"/>
          </w:tcPr>
          <w:p w14:paraId="7C54B2B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提供旱情信息发布，天气预报及降雨情况分析，旱情风险及处置情况查询、水源平均保供天数分析、旱情预测信息查询，旱情风险影响分析等信息总览，帮助相关人员开展旱情影响分析。</w:t>
            </w:r>
          </w:p>
        </w:tc>
        <w:tc>
          <w:tcPr>
            <w:tcW w:w="915" w:type="dxa"/>
            <w:gridSpan w:val="2"/>
            <w:shd w:val="clear" w:color="auto" w:fill="FFFFFF"/>
            <w:vAlign w:val="center"/>
          </w:tcPr>
          <w:p w14:paraId="25CC3B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C2DF52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869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00" w:type="dxa"/>
            <w:shd w:val="clear" w:color="auto" w:fill="FFFFFF"/>
            <w:vAlign w:val="center"/>
          </w:tcPr>
          <w:p w14:paraId="0F75C1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2205" w:type="dxa"/>
            <w:shd w:val="clear" w:color="auto" w:fill="FFFFFF"/>
            <w:vAlign w:val="center"/>
          </w:tcPr>
          <w:p w14:paraId="74C1782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旱情风险管控  </w:t>
            </w:r>
          </w:p>
        </w:tc>
        <w:tc>
          <w:tcPr>
            <w:tcW w:w="4272" w:type="dxa"/>
            <w:shd w:val="clear" w:color="auto" w:fill="FFFFFF"/>
            <w:vAlign w:val="center"/>
          </w:tcPr>
          <w:p w14:paraId="45959D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提供旱情风险等级、水源取水量、影响村落及人口等信息的查询、统计和旱情风险等级的自定义管理功能。对于不合理的预警反馈核实后可进行人工修正。</w:t>
            </w:r>
          </w:p>
        </w:tc>
        <w:tc>
          <w:tcPr>
            <w:tcW w:w="915" w:type="dxa"/>
            <w:gridSpan w:val="2"/>
            <w:shd w:val="clear" w:color="auto" w:fill="FFFFFF"/>
            <w:vAlign w:val="center"/>
          </w:tcPr>
          <w:p w14:paraId="4A2F93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27B9C5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2B4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5FE3CC6">
            <w:pPr>
              <w:jc w:val="left"/>
              <w:rPr>
                <w:rFonts w:hint="eastAsia" w:ascii="宋体" w:hAnsi="宋体" w:cs="宋体"/>
                <w:color w:val="000000"/>
                <w:sz w:val="18"/>
                <w:szCs w:val="18"/>
              </w:rPr>
            </w:pPr>
            <w:r>
              <w:rPr>
                <w:rFonts w:hint="eastAsia" w:ascii="宋体" w:hAnsi="宋体" w:cs="宋体"/>
                <w:color w:val="000000"/>
                <w:kern w:val="0"/>
                <w:sz w:val="18"/>
                <w:szCs w:val="18"/>
                <w:lang w:bidi="ar"/>
              </w:rPr>
              <w:t>1.2.5、风险报警管理</w:t>
            </w:r>
          </w:p>
        </w:tc>
      </w:tr>
      <w:tr w14:paraId="52F8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FFFFF"/>
            <w:vAlign w:val="center"/>
          </w:tcPr>
          <w:p w14:paraId="0A1387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2205" w:type="dxa"/>
            <w:shd w:val="clear" w:color="auto" w:fill="FFFFFF"/>
            <w:vAlign w:val="center"/>
          </w:tcPr>
          <w:p w14:paraId="6DD20A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报警工单管理  </w:t>
            </w:r>
          </w:p>
        </w:tc>
        <w:tc>
          <w:tcPr>
            <w:tcW w:w="4272" w:type="dxa"/>
            <w:shd w:val="clear" w:color="auto" w:fill="FFFFFF"/>
            <w:vAlign w:val="center"/>
          </w:tcPr>
          <w:p w14:paraId="08E4BC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源地、水厂报警记录及报警处置工单的生成和处置管理功能，可查询报警状态、报警工单处置状态、工单处置详情等查询功能，对于超时未处理工单，提供二次提醒功能；同时可以对工单进行处理，对于不合理的报警，提供自动关闭功能。</w:t>
            </w:r>
          </w:p>
        </w:tc>
        <w:tc>
          <w:tcPr>
            <w:tcW w:w="915" w:type="dxa"/>
            <w:gridSpan w:val="2"/>
            <w:shd w:val="clear" w:color="auto" w:fill="FFFFFF"/>
            <w:vAlign w:val="center"/>
          </w:tcPr>
          <w:p w14:paraId="6CBF3E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771725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B5B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0" w:type="dxa"/>
            <w:shd w:val="clear" w:color="auto" w:fill="FFFFFF"/>
            <w:vAlign w:val="center"/>
          </w:tcPr>
          <w:p w14:paraId="253CC8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w:t>
            </w:r>
          </w:p>
        </w:tc>
        <w:tc>
          <w:tcPr>
            <w:tcW w:w="2205" w:type="dxa"/>
            <w:shd w:val="clear" w:color="auto" w:fill="FFFFFF"/>
            <w:vAlign w:val="center"/>
          </w:tcPr>
          <w:p w14:paraId="6B9A75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水源报警分析  </w:t>
            </w:r>
          </w:p>
        </w:tc>
        <w:tc>
          <w:tcPr>
            <w:tcW w:w="4272" w:type="dxa"/>
            <w:shd w:val="clear" w:color="auto" w:fill="FFFFFF"/>
            <w:vAlign w:val="center"/>
          </w:tcPr>
          <w:p w14:paraId="782BE3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提供对水源日、月、年等不同维度报警的数量统计及同比、环比变化趋势统计，报警处置情况统计，日、月、年等维度的报警趋势分析和水源地报警次数、报警原因排名等。</w:t>
            </w:r>
          </w:p>
        </w:tc>
        <w:tc>
          <w:tcPr>
            <w:tcW w:w="915" w:type="dxa"/>
            <w:gridSpan w:val="2"/>
            <w:shd w:val="clear" w:color="auto" w:fill="FFFFFF"/>
            <w:vAlign w:val="center"/>
          </w:tcPr>
          <w:p w14:paraId="27BD0F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EB9FF4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5C3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600" w:type="dxa"/>
            <w:shd w:val="clear" w:color="auto" w:fill="FFFFFF"/>
            <w:vAlign w:val="center"/>
          </w:tcPr>
          <w:p w14:paraId="2B4746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w:t>
            </w:r>
          </w:p>
        </w:tc>
        <w:tc>
          <w:tcPr>
            <w:tcW w:w="2205" w:type="dxa"/>
            <w:shd w:val="clear" w:color="auto" w:fill="FFFFFF"/>
            <w:vAlign w:val="center"/>
          </w:tcPr>
          <w:p w14:paraId="688D52A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水厂报警分析  </w:t>
            </w:r>
          </w:p>
        </w:tc>
        <w:tc>
          <w:tcPr>
            <w:tcW w:w="4272" w:type="dxa"/>
            <w:shd w:val="clear" w:color="auto" w:fill="FFFFFF"/>
            <w:vAlign w:val="center"/>
          </w:tcPr>
          <w:p w14:paraId="477729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提供水厂日、月、年等不同维度报警的数量统计及同比、环比变化趋势统计，报警处置时长统计，日、月、年等维度的报警趋势分析和水厂报警次数、报警原因排名等。</w:t>
            </w:r>
          </w:p>
        </w:tc>
        <w:tc>
          <w:tcPr>
            <w:tcW w:w="915" w:type="dxa"/>
            <w:gridSpan w:val="2"/>
            <w:shd w:val="clear" w:color="auto" w:fill="FFFFFF"/>
            <w:vAlign w:val="center"/>
          </w:tcPr>
          <w:p w14:paraId="1CE4CD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A3E922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584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65204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w:t>
            </w:r>
          </w:p>
        </w:tc>
        <w:tc>
          <w:tcPr>
            <w:tcW w:w="2205" w:type="dxa"/>
            <w:shd w:val="clear" w:color="auto" w:fill="FFFFFF"/>
            <w:vAlign w:val="center"/>
          </w:tcPr>
          <w:p w14:paraId="290FF14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报警指标管理  </w:t>
            </w:r>
          </w:p>
        </w:tc>
        <w:tc>
          <w:tcPr>
            <w:tcW w:w="4272" w:type="dxa"/>
            <w:shd w:val="clear" w:color="auto" w:fill="FFFFFF"/>
            <w:vAlign w:val="center"/>
          </w:tcPr>
          <w:p w14:paraId="330104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提供对水源地、水厂等的报警类型，各类报警的具体指标，报警判定条件、超时报警时长等各类指标的修改、增加、删除等配置管理功能。</w:t>
            </w:r>
          </w:p>
        </w:tc>
        <w:tc>
          <w:tcPr>
            <w:tcW w:w="915" w:type="dxa"/>
            <w:gridSpan w:val="2"/>
            <w:shd w:val="clear" w:color="auto" w:fill="FFFFFF"/>
            <w:vAlign w:val="center"/>
          </w:tcPr>
          <w:p w14:paraId="46EA24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6B74B6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B0F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0" w:type="dxa"/>
            <w:shd w:val="clear" w:color="auto" w:fill="FFFFFF"/>
            <w:vAlign w:val="center"/>
          </w:tcPr>
          <w:p w14:paraId="6FE566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w:t>
            </w:r>
          </w:p>
        </w:tc>
        <w:tc>
          <w:tcPr>
            <w:tcW w:w="2205" w:type="dxa"/>
            <w:shd w:val="clear" w:color="auto" w:fill="FFFFFF"/>
            <w:vAlign w:val="center"/>
          </w:tcPr>
          <w:p w14:paraId="1E93A3C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应急预案管理  </w:t>
            </w:r>
          </w:p>
        </w:tc>
        <w:tc>
          <w:tcPr>
            <w:tcW w:w="4272" w:type="dxa"/>
            <w:shd w:val="clear" w:color="auto" w:fill="FFFFFF"/>
            <w:vAlign w:val="center"/>
          </w:tcPr>
          <w:p w14:paraId="0B41C5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提供对宁海县城乡供水各类应急处置预案的管理，支持一站一策信息的查询；支持对各类风险所要启动预案的设置管理功能。通过预案管理，对各类预警事件处置提供决策依据。</w:t>
            </w:r>
          </w:p>
        </w:tc>
        <w:tc>
          <w:tcPr>
            <w:tcW w:w="915" w:type="dxa"/>
            <w:gridSpan w:val="2"/>
            <w:shd w:val="clear" w:color="auto" w:fill="FFFFFF"/>
            <w:vAlign w:val="center"/>
          </w:tcPr>
          <w:p w14:paraId="3F3798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59828B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083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0" w:type="dxa"/>
            <w:shd w:val="clear" w:color="auto" w:fill="FFFFFF"/>
            <w:vAlign w:val="center"/>
          </w:tcPr>
          <w:p w14:paraId="76B8F2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w:t>
            </w:r>
          </w:p>
        </w:tc>
        <w:tc>
          <w:tcPr>
            <w:tcW w:w="2205" w:type="dxa"/>
            <w:shd w:val="clear" w:color="auto" w:fill="FFFFFF"/>
            <w:vAlign w:val="center"/>
          </w:tcPr>
          <w:p w14:paraId="3AE632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片区维护管理  </w:t>
            </w:r>
          </w:p>
        </w:tc>
        <w:tc>
          <w:tcPr>
            <w:tcW w:w="4272" w:type="dxa"/>
            <w:shd w:val="clear" w:color="auto" w:fill="FFFFFF"/>
            <w:vAlign w:val="center"/>
          </w:tcPr>
          <w:p w14:paraId="20270F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提供对全县水站所属片区的维护管理功能，包括片区包含的水站、片区责任人、责任人联系电话等，支撑预警工单的流转及处置功能实现。</w:t>
            </w:r>
          </w:p>
        </w:tc>
        <w:tc>
          <w:tcPr>
            <w:tcW w:w="915" w:type="dxa"/>
            <w:gridSpan w:val="2"/>
            <w:shd w:val="clear" w:color="auto" w:fill="FFFFFF"/>
            <w:vAlign w:val="center"/>
          </w:tcPr>
          <w:p w14:paraId="638339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2B6EE8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B62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A161C41">
            <w:pPr>
              <w:jc w:val="left"/>
              <w:rPr>
                <w:rFonts w:hint="eastAsia" w:ascii="宋体" w:hAnsi="宋体" w:cs="宋体"/>
                <w:color w:val="000000"/>
                <w:sz w:val="18"/>
                <w:szCs w:val="18"/>
              </w:rPr>
            </w:pPr>
            <w:r>
              <w:rPr>
                <w:rFonts w:hint="eastAsia" w:ascii="宋体" w:hAnsi="宋体" w:cs="宋体"/>
                <w:color w:val="000000"/>
                <w:kern w:val="0"/>
                <w:sz w:val="18"/>
                <w:szCs w:val="18"/>
                <w:lang w:bidi="ar"/>
              </w:rPr>
              <w:t>1.2.6、水源水质预测模型</w:t>
            </w:r>
          </w:p>
        </w:tc>
      </w:tr>
      <w:tr w14:paraId="6012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00" w:type="dxa"/>
            <w:shd w:val="clear" w:color="auto" w:fill="FFFFFF"/>
            <w:vAlign w:val="center"/>
          </w:tcPr>
          <w:p w14:paraId="3C4036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2205" w:type="dxa"/>
            <w:shd w:val="clear" w:color="auto" w:fill="FFFFFF"/>
            <w:vAlign w:val="center"/>
          </w:tcPr>
          <w:p w14:paraId="0F1AD2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水源水质预测模型  </w:t>
            </w:r>
          </w:p>
        </w:tc>
        <w:tc>
          <w:tcPr>
            <w:tcW w:w="4272" w:type="dxa"/>
            <w:shd w:val="clear" w:color="auto" w:fill="FFFFFF"/>
            <w:vAlign w:val="center"/>
          </w:tcPr>
          <w:p w14:paraId="5EDA0B0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对水质变化趋势进行研判，提前对管理人员预报水质预判结果、可能的影响因素和变化趋势等信息，实现水源水质恶化趋势的提前告警及预报。</w:t>
            </w:r>
          </w:p>
        </w:tc>
        <w:tc>
          <w:tcPr>
            <w:tcW w:w="915" w:type="dxa"/>
            <w:gridSpan w:val="2"/>
            <w:shd w:val="clear" w:color="auto" w:fill="FFFFFF"/>
            <w:vAlign w:val="center"/>
          </w:tcPr>
          <w:p w14:paraId="1928FF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A34FD9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A5B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087702B">
            <w:pPr>
              <w:jc w:val="left"/>
              <w:rPr>
                <w:rFonts w:hint="eastAsia" w:ascii="宋体" w:hAnsi="宋体" w:cs="宋体"/>
                <w:color w:val="000000"/>
                <w:sz w:val="18"/>
                <w:szCs w:val="18"/>
              </w:rPr>
            </w:pPr>
            <w:r>
              <w:rPr>
                <w:rFonts w:hint="eastAsia" w:ascii="宋体" w:hAnsi="宋体" w:cs="宋体"/>
                <w:color w:val="000000"/>
                <w:kern w:val="0"/>
                <w:sz w:val="18"/>
                <w:szCs w:val="18"/>
                <w:lang w:bidi="ar"/>
              </w:rPr>
              <w:t>1.2.7、水源水量预测模型</w:t>
            </w:r>
          </w:p>
        </w:tc>
      </w:tr>
      <w:tr w14:paraId="2394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00" w:type="dxa"/>
            <w:shd w:val="clear" w:color="auto" w:fill="FFFFFF"/>
            <w:vAlign w:val="center"/>
          </w:tcPr>
          <w:p w14:paraId="1FC948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2205" w:type="dxa"/>
            <w:shd w:val="clear" w:color="auto" w:fill="FFFFFF"/>
            <w:vAlign w:val="center"/>
          </w:tcPr>
          <w:p w14:paraId="235CB1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水源水量预测模型 </w:t>
            </w:r>
          </w:p>
        </w:tc>
        <w:tc>
          <w:tcPr>
            <w:tcW w:w="4272" w:type="dxa"/>
            <w:shd w:val="clear" w:color="auto" w:fill="FFFFFF"/>
            <w:vAlign w:val="center"/>
          </w:tcPr>
          <w:p w14:paraId="583D74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结合水源当前可供水量、未来天气预报情况、平均气温等因素，分析预测未来一段时间内水源水量是否充足，有无原水不足、断流等风险。</w:t>
            </w:r>
          </w:p>
        </w:tc>
        <w:tc>
          <w:tcPr>
            <w:tcW w:w="915" w:type="dxa"/>
            <w:gridSpan w:val="2"/>
            <w:shd w:val="clear" w:color="auto" w:fill="FFFFFF"/>
            <w:vAlign w:val="center"/>
          </w:tcPr>
          <w:p w14:paraId="79157D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6F9E07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6F0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136519D">
            <w:pPr>
              <w:jc w:val="left"/>
              <w:rPr>
                <w:rFonts w:hint="eastAsia" w:ascii="宋体" w:hAnsi="宋体" w:cs="宋体"/>
                <w:color w:val="000000"/>
                <w:sz w:val="18"/>
                <w:szCs w:val="18"/>
              </w:rPr>
            </w:pPr>
            <w:r>
              <w:rPr>
                <w:rFonts w:hint="eastAsia" w:ascii="宋体" w:hAnsi="宋体" w:cs="宋体"/>
                <w:color w:val="000000"/>
                <w:kern w:val="0"/>
                <w:sz w:val="18"/>
                <w:szCs w:val="18"/>
                <w:lang w:bidi="ar"/>
              </w:rPr>
              <w:t>2、在线监测监控子系统</w:t>
            </w:r>
          </w:p>
        </w:tc>
      </w:tr>
      <w:tr w14:paraId="3E13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75B1859">
            <w:pPr>
              <w:jc w:val="left"/>
              <w:rPr>
                <w:rFonts w:hint="eastAsia" w:ascii="宋体" w:hAnsi="宋体" w:cs="宋体"/>
                <w:color w:val="000000"/>
                <w:sz w:val="18"/>
                <w:szCs w:val="18"/>
              </w:rPr>
            </w:pPr>
            <w:r>
              <w:rPr>
                <w:rFonts w:hint="eastAsia" w:ascii="宋体" w:hAnsi="宋体" w:cs="宋体"/>
                <w:color w:val="000000"/>
                <w:kern w:val="0"/>
                <w:sz w:val="18"/>
                <w:szCs w:val="18"/>
                <w:lang w:bidi="ar"/>
              </w:rPr>
              <w:t>2.1、设备运行监测</w:t>
            </w:r>
          </w:p>
        </w:tc>
      </w:tr>
      <w:tr w14:paraId="6748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F6D5621">
            <w:pPr>
              <w:jc w:val="left"/>
              <w:rPr>
                <w:rFonts w:hint="eastAsia" w:ascii="宋体" w:hAnsi="宋体" w:cs="宋体"/>
                <w:color w:val="000000"/>
                <w:sz w:val="18"/>
                <w:szCs w:val="18"/>
              </w:rPr>
            </w:pPr>
            <w:r>
              <w:rPr>
                <w:rFonts w:hint="eastAsia" w:ascii="宋体" w:hAnsi="宋体" w:cs="宋体"/>
                <w:color w:val="000000"/>
                <w:kern w:val="0"/>
                <w:sz w:val="18"/>
                <w:szCs w:val="18"/>
                <w:lang w:bidi="ar"/>
              </w:rPr>
              <w:t>2.1.1、设备管理</w:t>
            </w:r>
          </w:p>
        </w:tc>
      </w:tr>
      <w:tr w14:paraId="25BA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52A3E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w:t>
            </w:r>
          </w:p>
        </w:tc>
        <w:tc>
          <w:tcPr>
            <w:tcW w:w="2205" w:type="dxa"/>
            <w:shd w:val="clear" w:color="auto" w:fill="FFFFFF"/>
            <w:vAlign w:val="center"/>
          </w:tcPr>
          <w:p w14:paraId="1786E1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信息登记  </w:t>
            </w:r>
          </w:p>
        </w:tc>
        <w:tc>
          <w:tcPr>
            <w:tcW w:w="4272" w:type="dxa"/>
            <w:shd w:val="clear" w:color="auto" w:fill="FFFFFF"/>
            <w:vAlign w:val="center"/>
          </w:tcPr>
          <w:p w14:paraId="3B7AA90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建设感知设备一览表，展示各类感知设备清单表。</w:t>
            </w:r>
          </w:p>
        </w:tc>
        <w:tc>
          <w:tcPr>
            <w:tcW w:w="915" w:type="dxa"/>
            <w:gridSpan w:val="2"/>
            <w:shd w:val="clear" w:color="auto" w:fill="FFFFFF"/>
            <w:vAlign w:val="center"/>
          </w:tcPr>
          <w:p w14:paraId="2888D9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7B96E8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F29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0" w:type="dxa"/>
            <w:shd w:val="clear" w:color="auto" w:fill="FFFFFF"/>
            <w:vAlign w:val="center"/>
          </w:tcPr>
          <w:p w14:paraId="305D21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w:t>
            </w:r>
          </w:p>
        </w:tc>
        <w:tc>
          <w:tcPr>
            <w:tcW w:w="2205" w:type="dxa"/>
            <w:shd w:val="clear" w:color="auto" w:fill="FFFFFF"/>
            <w:vAlign w:val="center"/>
          </w:tcPr>
          <w:p w14:paraId="0ADCCE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设备型号管理  </w:t>
            </w:r>
          </w:p>
        </w:tc>
        <w:tc>
          <w:tcPr>
            <w:tcW w:w="4272" w:type="dxa"/>
            <w:shd w:val="clear" w:color="auto" w:fill="FFFFFF"/>
            <w:vAlign w:val="center"/>
          </w:tcPr>
          <w:p w14:paraId="083C3B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统一管理纳入设备运行监测平台的不同设备厂商设备产品。</w:t>
            </w:r>
          </w:p>
        </w:tc>
        <w:tc>
          <w:tcPr>
            <w:tcW w:w="915" w:type="dxa"/>
            <w:gridSpan w:val="2"/>
            <w:shd w:val="clear" w:color="auto" w:fill="FFFFFF"/>
            <w:vAlign w:val="center"/>
          </w:tcPr>
          <w:p w14:paraId="46AB79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F5F2D8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EDC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AC94383">
            <w:pPr>
              <w:jc w:val="left"/>
              <w:rPr>
                <w:rFonts w:hint="eastAsia" w:ascii="宋体" w:hAnsi="宋体" w:cs="宋体"/>
                <w:color w:val="000000"/>
                <w:sz w:val="18"/>
                <w:szCs w:val="18"/>
              </w:rPr>
            </w:pPr>
            <w:r>
              <w:rPr>
                <w:rFonts w:hint="eastAsia" w:ascii="宋体" w:hAnsi="宋体" w:cs="宋体"/>
                <w:color w:val="000000"/>
                <w:kern w:val="0"/>
                <w:sz w:val="18"/>
                <w:szCs w:val="18"/>
                <w:lang w:bidi="ar"/>
              </w:rPr>
              <w:t>2.1.2、数字化资产管理</w:t>
            </w:r>
          </w:p>
        </w:tc>
      </w:tr>
      <w:tr w14:paraId="4B8D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00" w:type="dxa"/>
            <w:shd w:val="clear" w:color="auto" w:fill="FFFFFF"/>
            <w:vAlign w:val="center"/>
          </w:tcPr>
          <w:p w14:paraId="342D70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2205" w:type="dxa"/>
            <w:shd w:val="clear" w:color="auto" w:fill="FFFFFF"/>
            <w:vAlign w:val="center"/>
          </w:tcPr>
          <w:p w14:paraId="7DBD64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数字化资产管理  </w:t>
            </w:r>
          </w:p>
        </w:tc>
        <w:tc>
          <w:tcPr>
            <w:tcW w:w="4272" w:type="dxa"/>
            <w:shd w:val="clear" w:color="auto" w:fill="FFFFFF"/>
            <w:vAlign w:val="center"/>
          </w:tcPr>
          <w:p w14:paraId="2FB3CB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对水利相关数字化资产的登记和管理，包括数字化资产概览、项目管理、应用管理、资源仓库、资源登记。</w:t>
            </w:r>
          </w:p>
        </w:tc>
        <w:tc>
          <w:tcPr>
            <w:tcW w:w="915" w:type="dxa"/>
            <w:gridSpan w:val="2"/>
            <w:shd w:val="clear" w:color="auto" w:fill="FFFFFF"/>
            <w:vAlign w:val="center"/>
          </w:tcPr>
          <w:p w14:paraId="56C132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C0EEF8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1E1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8B054A3">
            <w:pPr>
              <w:jc w:val="left"/>
              <w:rPr>
                <w:rFonts w:hint="eastAsia" w:ascii="宋体" w:hAnsi="宋体" w:cs="宋体"/>
                <w:color w:val="000000"/>
                <w:sz w:val="18"/>
                <w:szCs w:val="18"/>
              </w:rPr>
            </w:pPr>
            <w:r>
              <w:rPr>
                <w:rFonts w:hint="eastAsia" w:ascii="宋体" w:hAnsi="宋体" w:cs="宋体"/>
                <w:color w:val="000000"/>
                <w:kern w:val="0"/>
                <w:sz w:val="18"/>
                <w:szCs w:val="18"/>
                <w:lang w:bidi="ar"/>
              </w:rPr>
              <w:t>2.1.3、监控与告警</w:t>
            </w:r>
          </w:p>
        </w:tc>
      </w:tr>
      <w:tr w14:paraId="600B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0" w:type="dxa"/>
            <w:shd w:val="clear" w:color="auto" w:fill="FFFFFF"/>
            <w:vAlign w:val="center"/>
          </w:tcPr>
          <w:p w14:paraId="1FE90C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w:t>
            </w:r>
          </w:p>
        </w:tc>
        <w:tc>
          <w:tcPr>
            <w:tcW w:w="2205" w:type="dxa"/>
            <w:shd w:val="clear" w:color="auto" w:fill="FFFFFF"/>
            <w:vAlign w:val="center"/>
          </w:tcPr>
          <w:p w14:paraId="7C3133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告警管理  </w:t>
            </w:r>
          </w:p>
        </w:tc>
        <w:tc>
          <w:tcPr>
            <w:tcW w:w="4272" w:type="dxa"/>
            <w:shd w:val="clear" w:color="auto" w:fill="FFFFFF"/>
            <w:vAlign w:val="center"/>
          </w:tcPr>
          <w:p w14:paraId="127C22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结合监控体系构建告警模块，可根据实际业务需要自行配置感知设备的告警触发阈值及告警方式。</w:t>
            </w:r>
          </w:p>
        </w:tc>
        <w:tc>
          <w:tcPr>
            <w:tcW w:w="915" w:type="dxa"/>
            <w:gridSpan w:val="2"/>
            <w:shd w:val="clear" w:color="auto" w:fill="FFFFFF"/>
            <w:vAlign w:val="center"/>
          </w:tcPr>
          <w:p w14:paraId="3F24F1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7F710B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46B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607FC1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2205" w:type="dxa"/>
            <w:shd w:val="clear" w:color="auto" w:fill="FFFFFF"/>
            <w:vAlign w:val="center"/>
          </w:tcPr>
          <w:p w14:paraId="737E89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业务指标异常报警  </w:t>
            </w:r>
          </w:p>
        </w:tc>
        <w:tc>
          <w:tcPr>
            <w:tcW w:w="4272" w:type="dxa"/>
            <w:shd w:val="clear" w:color="auto" w:fill="FFFFFF"/>
            <w:vAlign w:val="center"/>
          </w:tcPr>
          <w:p w14:paraId="76E18F6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对水位、水质指标等监测数据异常预警，根据系统中设置的阈值，当实时监测值超阈值时，进行监测预警。</w:t>
            </w:r>
          </w:p>
        </w:tc>
        <w:tc>
          <w:tcPr>
            <w:tcW w:w="915" w:type="dxa"/>
            <w:gridSpan w:val="2"/>
            <w:shd w:val="clear" w:color="auto" w:fill="FFFFFF"/>
            <w:vAlign w:val="center"/>
          </w:tcPr>
          <w:p w14:paraId="3D160D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869134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217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0" w:type="dxa"/>
            <w:shd w:val="clear" w:color="auto" w:fill="FFFFFF"/>
            <w:vAlign w:val="center"/>
          </w:tcPr>
          <w:p w14:paraId="73F10D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w:t>
            </w:r>
          </w:p>
        </w:tc>
        <w:tc>
          <w:tcPr>
            <w:tcW w:w="2205" w:type="dxa"/>
            <w:shd w:val="clear" w:color="auto" w:fill="FFFFFF"/>
            <w:vAlign w:val="center"/>
          </w:tcPr>
          <w:p w14:paraId="5EDD2D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设备离线报警  </w:t>
            </w:r>
          </w:p>
        </w:tc>
        <w:tc>
          <w:tcPr>
            <w:tcW w:w="4272" w:type="dxa"/>
            <w:shd w:val="clear" w:color="auto" w:fill="FFFFFF"/>
            <w:vAlign w:val="center"/>
          </w:tcPr>
          <w:p w14:paraId="73A9BB7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当监测设备出现掉线、无信号接入时，自动进行设备离线报警。</w:t>
            </w:r>
          </w:p>
        </w:tc>
        <w:tc>
          <w:tcPr>
            <w:tcW w:w="915" w:type="dxa"/>
            <w:gridSpan w:val="2"/>
            <w:shd w:val="clear" w:color="auto" w:fill="FFFFFF"/>
            <w:vAlign w:val="center"/>
          </w:tcPr>
          <w:p w14:paraId="1D09E4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114E1B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44A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0" w:type="dxa"/>
            <w:shd w:val="clear" w:color="auto" w:fill="FFFFFF"/>
            <w:vAlign w:val="center"/>
          </w:tcPr>
          <w:p w14:paraId="728607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w:t>
            </w:r>
          </w:p>
        </w:tc>
        <w:tc>
          <w:tcPr>
            <w:tcW w:w="2205" w:type="dxa"/>
            <w:shd w:val="clear" w:color="auto" w:fill="FFFFFF"/>
            <w:vAlign w:val="center"/>
          </w:tcPr>
          <w:p w14:paraId="1E0711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数据质量报警  </w:t>
            </w:r>
          </w:p>
        </w:tc>
        <w:tc>
          <w:tcPr>
            <w:tcW w:w="4272" w:type="dxa"/>
            <w:shd w:val="clear" w:color="auto" w:fill="FFFFFF"/>
            <w:vAlign w:val="center"/>
          </w:tcPr>
          <w:p w14:paraId="3B597E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当监测设备出现无监测数据值、数据骤变、数据超设备限值时，判断为数据质量异常，自动生成报警。</w:t>
            </w:r>
          </w:p>
        </w:tc>
        <w:tc>
          <w:tcPr>
            <w:tcW w:w="915" w:type="dxa"/>
            <w:gridSpan w:val="2"/>
            <w:shd w:val="clear" w:color="auto" w:fill="FFFFFF"/>
            <w:vAlign w:val="center"/>
          </w:tcPr>
          <w:p w14:paraId="02D19D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63D0AD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ECB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00B1ABF">
            <w:pPr>
              <w:jc w:val="left"/>
              <w:rPr>
                <w:rFonts w:hint="eastAsia" w:ascii="宋体" w:hAnsi="宋体" w:cs="宋体"/>
                <w:color w:val="000000"/>
                <w:sz w:val="18"/>
                <w:szCs w:val="18"/>
              </w:rPr>
            </w:pPr>
            <w:r>
              <w:rPr>
                <w:rFonts w:hint="eastAsia" w:ascii="宋体" w:hAnsi="宋体" w:cs="宋体"/>
                <w:color w:val="000000"/>
                <w:kern w:val="0"/>
                <w:sz w:val="18"/>
                <w:szCs w:val="18"/>
                <w:lang w:bidi="ar"/>
              </w:rPr>
              <w:t>2.1.4、线上运维</w:t>
            </w:r>
          </w:p>
        </w:tc>
      </w:tr>
      <w:tr w14:paraId="48BB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0" w:type="dxa"/>
            <w:shd w:val="clear" w:color="auto" w:fill="FFFFFF"/>
            <w:vAlign w:val="center"/>
          </w:tcPr>
          <w:p w14:paraId="35CDAB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w:t>
            </w:r>
          </w:p>
        </w:tc>
        <w:tc>
          <w:tcPr>
            <w:tcW w:w="2205" w:type="dxa"/>
            <w:shd w:val="clear" w:color="auto" w:fill="FFFFFF"/>
            <w:vAlign w:val="center"/>
          </w:tcPr>
          <w:p w14:paraId="22F3A2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远程信息更新 </w:t>
            </w:r>
          </w:p>
        </w:tc>
        <w:tc>
          <w:tcPr>
            <w:tcW w:w="4272" w:type="dxa"/>
            <w:shd w:val="clear" w:color="auto" w:fill="FFFFFF"/>
            <w:vAlign w:val="center"/>
          </w:tcPr>
          <w:p w14:paraId="51B588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建设感知设备远程更新模块，通过对目标设备远程下发相应指令，实现感知设备的配置文件、相关参数调整。</w:t>
            </w:r>
          </w:p>
        </w:tc>
        <w:tc>
          <w:tcPr>
            <w:tcW w:w="915" w:type="dxa"/>
            <w:gridSpan w:val="2"/>
            <w:shd w:val="clear" w:color="auto" w:fill="FFFFFF"/>
            <w:vAlign w:val="center"/>
          </w:tcPr>
          <w:p w14:paraId="613626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2475BE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9E2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0" w:type="dxa"/>
            <w:shd w:val="clear" w:color="auto" w:fill="FFFFFF"/>
            <w:vAlign w:val="center"/>
          </w:tcPr>
          <w:p w14:paraId="5A34CD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2205" w:type="dxa"/>
            <w:shd w:val="clear" w:color="auto" w:fill="FFFFFF"/>
            <w:vAlign w:val="center"/>
          </w:tcPr>
          <w:p w14:paraId="3CFDB9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远程固件升级  </w:t>
            </w:r>
          </w:p>
        </w:tc>
        <w:tc>
          <w:tcPr>
            <w:tcW w:w="4272" w:type="dxa"/>
            <w:shd w:val="clear" w:color="auto" w:fill="FFFFFF"/>
            <w:vAlign w:val="center"/>
          </w:tcPr>
          <w:p w14:paraId="72700E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建设远程固件升级模块，通过设备运行监测平台向目标设备发送固件更新通知及指令</w:t>
            </w:r>
          </w:p>
        </w:tc>
        <w:tc>
          <w:tcPr>
            <w:tcW w:w="915" w:type="dxa"/>
            <w:gridSpan w:val="2"/>
            <w:shd w:val="clear" w:color="auto" w:fill="FFFFFF"/>
            <w:vAlign w:val="center"/>
          </w:tcPr>
          <w:p w14:paraId="4DD30B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1EEE2E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9FE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shd w:val="clear" w:color="auto" w:fill="FFFFFF"/>
            <w:vAlign w:val="center"/>
          </w:tcPr>
          <w:p w14:paraId="605491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2205" w:type="dxa"/>
            <w:shd w:val="clear" w:color="auto" w:fill="FFFFFF"/>
            <w:vAlign w:val="center"/>
          </w:tcPr>
          <w:p w14:paraId="2313F1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线上工单  </w:t>
            </w:r>
          </w:p>
        </w:tc>
        <w:tc>
          <w:tcPr>
            <w:tcW w:w="4272" w:type="dxa"/>
            <w:shd w:val="clear" w:color="auto" w:fill="FFFFFF"/>
            <w:vAlign w:val="center"/>
          </w:tcPr>
          <w:p w14:paraId="771E95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设线上工单模块，在产生故障告警时，运维人员可在平台上报故障原因及处置信息，实现运维流程化管理</w:t>
            </w:r>
          </w:p>
        </w:tc>
        <w:tc>
          <w:tcPr>
            <w:tcW w:w="915" w:type="dxa"/>
            <w:gridSpan w:val="2"/>
            <w:shd w:val="clear" w:color="auto" w:fill="FFFFFF"/>
            <w:vAlign w:val="center"/>
          </w:tcPr>
          <w:p w14:paraId="09D89F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146389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77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4700FAD">
            <w:pPr>
              <w:jc w:val="left"/>
              <w:rPr>
                <w:rFonts w:hint="eastAsia" w:ascii="宋体" w:hAnsi="宋体" w:cs="宋体"/>
                <w:color w:val="000000"/>
                <w:sz w:val="18"/>
                <w:szCs w:val="18"/>
              </w:rPr>
            </w:pPr>
            <w:r>
              <w:rPr>
                <w:rFonts w:hint="eastAsia" w:ascii="宋体" w:hAnsi="宋体" w:cs="宋体"/>
                <w:color w:val="000000"/>
                <w:kern w:val="0"/>
                <w:sz w:val="18"/>
                <w:szCs w:val="18"/>
                <w:lang w:bidi="ar"/>
              </w:rPr>
              <w:t>2.1.5、数据可视化</w:t>
            </w:r>
          </w:p>
        </w:tc>
      </w:tr>
      <w:tr w14:paraId="6B69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5CB0B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w:t>
            </w:r>
          </w:p>
        </w:tc>
        <w:tc>
          <w:tcPr>
            <w:tcW w:w="2205" w:type="dxa"/>
            <w:shd w:val="clear" w:color="auto" w:fill="FFFFFF"/>
            <w:vAlign w:val="center"/>
          </w:tcPr>
          <w:p w14:paraId="7D322D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感知一张图  </w:t>
            </w:r>
          </w:p>
        </w:tc>
        <w:tc>
          <w:tcPr>
            <w:tcW w:w="4272" w:type="dxa"/>
            <w:shd w:val="clear" w:color="auto" w:fill="FFFFFF"/>
            <w:vAlign w:val="center"/>
          </w:tcPr>
          <w:p w14:paraId="424427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建设感知设备一张图，在GIS地图上展示各类设备的位置分布情况</w:t>
            </w:r>
          </w:p>
        </w:tc>
        <w:tc>
          <w:tcPr>
            <w:tcW w:w="915" w:type="dxa"/>
            <w:gridSpan w:val="2"/>
            <w:shd w:val="clear" w:color="auto" w:fill="FFFFFF"/>
            <w:vAlign w:val="center"/>
          </w:tcPr>
          <w:p w14:paraId="7809EC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D56CB2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1E9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34ADFD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w:t>
            </w:r>
          </w:p>
        </w:tc>
        <w:tc>
          <w:tcPr>
            <w:tcW w:w="2205" w:type="dxa"/>
            <w:shd w:val="clear" w:color="auto" w:fill="FFFFFF"/>
            <w:vAlign w:val="center"/>
          </w:tcPr>
          <w:p w14:paraId="01C17D3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资产概览看板  </w:t>
            </w:r>
          </w:p>
        </w:tc>
        <w:tc>
          <w:tcPr>
            <w:tcW w:w="4272" w:type="dxa"/>
            <w:shd w:val="clear" w:color="auto" w:fill="FFFFFF"/>
            <w:vAlign w:val="center"/>
          </w:tcPr>
          <w:p w14:paraId="4DC766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建设资产概览看板，汇总展示应用简报信息、资源面板、监控告警、运维服务、物联面板、待办事项、快捷入口和咨询服务。</w:t>
            </w:r>
          </w:p>
        </w:tc>
        <w:tc>
          <w:tcPr>
            <w:tcW w:w="915" w:type="dxa"/>
            <w:gridSpan w:val="2"/>
            <w:shd w:val="clear" w:color="auto" w:fill="FFFFFF"/>
            <w:vAlign w:val="center"/>
          </w:tcPr>
          <w:p w14:paraId="345C98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2EB492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9E8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6E4BCAE">
            <w:pPr>
              <w:jc w:val="left"/>
              <w:rPr>
                <w:rFonts w:hint="eastAsia" w:ascii="宋体" w:hAnsi="宋体" w:cs="宋体"/>
                <w:color w:val="000000"/>
                <w:sz w:val="18"/>
                <w:szCs w:val="18"/>
              </w:rPr>
            </w:pPr>
            <w:r>
              <w:rPr>
                <w:rFonts w:hint="eastAsia" w:ascii="宋体" w:hAnsi="宋体" w:cs="宋体"/>
                <w:color w:val="000000"/>
                <w:kern w:val="0"/>
                <w:sz w:val="18"/>
                <w:szCs w:val="18"/>
                <w:lang w:bidi="ar"/>
              </w:rPr>
              <w:t>2.1.6、协议管理</w:t>
            </w:r>
          </w:p>
        </w:tc>
      </w:tr>
      <w:tr w14:paraId="4015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6A0AD1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w:t>
            </w:r>
          </w:p>
        </w:tc>
        <w:tc>
          <w:tcPr>
            <w:tcW w:w="2205" w:type="dxa"/>
            <w:shd w:val="clear" w:color="auto" w:fill="FFFFFF"/>
            <w:vAlign w:val="center"/>
          </w:tcPr>
          <w:p w14:paraId="484794C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协议管理  </w:t>
            </w:r>
          </w:p>
        </w:tc>
        <w:tc>
          <w:tcPr>
            <w:tcW w:w="4272" w:type="dxa"/>
            <w:shd w:val="clear" w:color="auto" w:fill="FFFFFF"/>
            <w:vAlign w:val="center"/>
          </w:tcPr>
          <w:p w14:paraId="26C72DE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统一管理物联感知设备使用的TCP、UDP、MQTT等数据传输协议</w:t>
            </w:r>
          </w:p>
        </w:tc>
        <w:tc>
          <w:tcPr>
            <w:tcW w:w="915" w:type="dxa"/>
            <w:gridSpan w:val="2"/>
            <w:shd w:val="clear" w:color="auto" w:fill="FFFFFF"/>
            <w:vAlign w:val="center"/>
          </w:tcPr>
          <w:p w14:paraId="1F047A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D4909F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C45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38F3E68">
            <w:pPr>
              <w:jc w:val="left"/>
              <w:rPr>
                <w:rFonts w:hint="eastAsia" w:ascii="宋体" w:hAnsi="宋体" w:cs="宋体"/>
                <w:color w:val="000000"/>
                <w:sz w:val="18"/>
                <w:szCs w:val="18"/>
              </w:rPr>
            </w:pPr>
            <w:r>
              <w:rPr>
                <w:rFonts w:hint="eastAsia" w:ascii="宋体" w:hAnsi="宋体" w:cs="宋体"/>
                <w:color w:val="000000"/>
                <w:kern w:val="0"/>
                <w:sz w:val="18"/>
                <w:szCs w:val="18"/>
                <w:lang w:bidi="ar"/>
              </w:rPr>
              <w:t>2.1.7、数据管理</w:t>
            </w:r>
          </w:p>
        </w:tc>
      </w:tr>
      <w:tr w14:paraId="37BD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5E9F8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w:t>
            </w:r>
          </w:p>
        </w:tc>
        <w:tc>
          <w:tcPr>
            <w:tcW w:w="2205" w:type="dxa"/>
            <w:shd w:val="clear" w:color="auto" w:fill="FFFFFF"/>
            <w:vAlign w:val="center"/>
          </w:tcPr>
          <w:p w14:paraId="04CA95C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数据查询  </w:t>
            </w:r>
          </w:p>
        </w:tc>
        <w:tc>
          <w:tcPr>
            <w:tcW w:w="4272" w:type="dxa"/>
            <w:shd w:val="clear" w:color="auto" w:fill="FFFFFF"/>
            <w:vAlign w:val="center"/>
          </w:tcPr>
          <w:p w14:paraId="1F6592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系统支持当前实时数据和历史数据的查询，可以查看某一数据历史曲线。</w:t>
            </w:r>
          </w:p>
        </w:tc>
        <w:tc>
          <w:tcPr>
            <w:tcW w:w="915" w:type="dxa"/>
            <w:gridSpan w:val="2"/>
            <w:shd w:val="clear" w:color="auto" w:fill="FFFFFF"/>
            <w:vAlign w:val="center"/>
          </w:tcPr>
          <w:p w14:paraId="693193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0F051B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579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9C7FE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w:t>
            </w:r>
          </w:p>
        </w:tc>
        <w:tc>
          <w:tcPr>
            <w:tcW w:w="2205" w:type="dxa"/>
            <w:shd w:val="clear" w:color="auto" w:fill="FFFFFF"/>
            <w:vAlign w:val="center"/>
          </w:tcPr>
          <w:p w14:paraId="13946E5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日志管理  </w:t>
            </w:r>
          </w:p>
        </w:tc>
        <w:tc>
          <w:tcPr>
            <w:tcW w:w="4272" w:type="dxa"/>
            <w:shd w:val="clear" w:color="auto" w:fill="FFFFFF"/>
            <w:vAlign w:val="center"/>
          </w:tcPr>
          <w:p w14:paraId="7F7CE6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系统支持设备参数及服务器设置日志追溯，支持平台PC登录日志追溯。</w:t>
            </w:r>
          </w:p>
        </w:tc>
        <w:tc>
          <w:tcPr>
            <w:tcW w:w="915" w:type="dxa"/>
            <w:gridSpan w:val="2"/>
            <w:shd w:val="clear" w:color="auto" w:fill="FFFFFF"/>
            <w:vAlign w:val="center"/>
          </w:tcPr>
          <w:p w14:paraId="548481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FCED5D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4A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A7426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w:t>
            </w:r>
          </w:p>
        </w:tc>
        <w:tc>
          <w:tcPr>
            <w:tcW w:w="2205" w:type="dxa"/>
            <w:shd w:val="clear" w:color="auto" w:fill="FFFFFF"/>
            <w:vAlign w:val="center"/>
          </w:tcPr>
          <w:p w14:paraId="65EEC6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报表管理  </w:t>
            </w:r>
          </w:p>
        </w:tc>
        <w:tc>
          <w:tcPr>
            <w:tcW w:w="4272" w:type="dxa"/>
            <w:shd w:val="clear" w:color="auto" w:fill="FFFFFF"/>
            <w:vAlign w:val="center"/>
          </w:tcPr>
          <w:p w14:paraId="0114CB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围绕应用系统的日常巡检数据统计、设备运行数据出具运维简报。</w:t>
            </w:r>
          </w:p>
        </w:tc>
        <w:tc>
          <w:tcPr>
            <w:tcW w:w="915" w:type="dxa"/>
            <w:gridSpan w:val="2"/>
            <w:shd w:val="clear" w:color="auto" w:fill="FFFFFF"/>
            <w:vAlign w:val="center"/>
          </w:tcPr>
          <w:p w14:paraId="5819F8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B5AE7A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A55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A555159">
            <w:pPr>
              <w:jc w:val="left"/>
              <w:rPr>
                <w:rFonts w:hint="eastAsia" w:ascii="宋体" w:hAnsi="宋体" w:cs="宋体"/>
                <w:color w:val="000000"/>
                <w:sz w:val="18"/>
                <w:szCs w:val="18"/>
              </w:rPr>
            </w:pPr>
            <w:r>
              <w:rPr>
                <w:rFonts w:hint="eastAsia" w:ascii="宋体" w:hAnsi="宋体" w:cs="宋体"/>
                <w:color w:val="000000"/>
                <w:kern w:val="0"/>
                <w:sz w:val="18"/>
                <w:szCs w:val="18"/>
                <w:lang w:bidi="ar"/>
              </w:rPr>
              <w:t>2.1.8、安全监控</w:t>
            </w:r>
          </w:p>
        </w:tc>
      </w:tr>
      <w:tr w14:paraId="3A40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C5F24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w:t>
            </w:r>
          </w:p>
        </w:tc>
        <w:tc>
          <w:tcPr>
            <w:tcW w:w="2205" w:type="dxa"/>
            <w:shd w:val="clear" w:color="auto" w:fill="FFFFFF"/>
            <w:vAlign w:val="center"/>
          </w:tcPr>
          <w:p w14:paraId="2BF0F9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安全监控  </w:t>
            </w:r>
          </w:p>
        </w:tc>
        <w:tc>
          <w:tcPr>
            <w:tcW w:w="4272" w:type="dxa"/>
            <w:shd w:val="clear" w:color="auto" w:fill="FFFFFF"/>
            <w:vAlign w:val="center"/>
          </w:tcPr>
          <w:p w14:paraId="3B811E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可实现对服务器的安全监控，包括威胁监控，安全预警，漏洞扫描等</w:t>
            </w:r>
          </w:p>
        </w:tc>
        <w:tc>
          <w:tcPr>
            <w:tcW w:w="915" w:type="dxa"/>
            <w:gridSpan w:val="2"/>
            <w:shd w:val="clear" w:color="auto" w:fill="FFFFFF"/>
            <w:vAlign w:val="center"/>
          </w:tcPr>
          <w:p w14:paraId="3369D9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015D12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D70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F622FDF">
            <w:pPr>
              <w:jc w:val="left"/>
              <w:rPr>
                <w:rFonts w:hint="eastAsia" w:ascii="宋体" w:hAnsi="宋体" w:cs="宋体"/>
                <w:color w:val="000000"/>
                <w:sz w:val="18"/>
                <w:szCs w:val="18"/>
              </w:rPr>
            </w:pPr>
            <w:r>
              <w:rPr>
                <w:rFonts w:hint="eastAsia" w:ascii="宋体" w:hAnsi="宋体" w:cs="宋体"/>
                <w:color w:val="000000"/>
                <w:kern w:val="0"/>
                <w:sz w:val="18"/>
                <w:szCs w:val="18"/>
                <w:lang w:bidi="ar"/>
              </w:rPr>
              <w:t>2.1.9、应用系统巡检</w:t>
            </w:r>
          </w:p>
        </w:tc>
      </w:tr>
      <w:tr w14:paraId="61BC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46C93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2205" w:type="dxa"/>
            <w:shd w:val="clear" w:color="auto" w:fill="FFFFFF"/>
            <w:vAlign w:val="center"/>
          </w:tcPr>
          <w:p w14:paraId="1F9DBCB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应用系统巡检  </w:t>
            </w:r>
          </w:p>
        </w:tc>
        <w:tc>
          <w:tcPr>
            <w:tcW w:w="4272" w:type="dxa"/>
            <w:shd w:val="clear" w:color="auto" w:fill="FFFFFF"/>
            <w:vAlign w:val="center"/>
          </w:tcPr>
          <w:p w14:paraId="64F8BD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由运维人员定期对应用系统、数据库服务器、应用服务器、网络连接等各个方面进行巡检</w:t>
            </w:r>
          </w:p>
        </w:tc>
        <w:tc>
          <w:tcPr>
            <w:tcW w:w="915" w:type="dxa"/>
            <w:gridSpan w:val="2"/>
            <w:shd w:val="clear" w:color="auto" w:fill="FFFFFF"/>
            <w:vAlign w:val="center"/>
          </w:tcPr>
          <w:p w14:paraId="587F68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3AE9AC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C19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8A482FB">
            <w:pPr>
              <w:jc w:val="left"/>
              <w:rPr>
                <w:rFonts w:hint="eastAsia" w:ascii="宋体" w:hAnsi="宋体" w:cs="宋体"/>
                <w:color w:val="000000"/>
                <w:sz w:val="18"/>
                <w:szCs w:val="18"/>
              </w:rPr>
            </w:pPr>
            <w:r>
              <w:rPr>
                <w:rFonts w:hint="eastAsia" w:ascii="宋体" w:hAnsi="宋体" w:cs="宋体"/>
                <w:color w:val="000000"/>
                <w:kern w:val="0"/>
                <w:sz w:val="18"/>
                <w:szCs w:val="18"/>
                <w:lang w:bidi="ar"/>
              </w:rPr>
              <w:t>2.1.10、数据库运行维护</w:t>
            </w:r>
          </w:p>
        </w:tc>
      </w:tr>
      <w:tr w14:paraId="7B4A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E7E2D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w:t>
            </w:r>
          </w:p>
        </w:tc>
        <w:tc>
          <w:tcPr>
            <w:tcW w:w="2205" w:type="dxa"/>
            <w:shd w:val="clear" w:color="auto" w:fill="FFFFFF"/>
            <w:vAlign w:val="center"/>
          </w:tcPr>
          <w:p w14:paraId="4374CD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数据库运行维护  </w:t>
            </w:r>
          </w:p>
        </w:tc>
        <w:tc>
          <w:tcPr>
            <w:tcW w:w="4272" w:type="dxa"/>
            <w:shd w:val="clear" w:color="auto" w:fill="FFFFFF"/>
            <w:vAlign w:val="center"/>
          </w:tcPr>
          <w:p w14:paraId="4A7F21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通过数据库日常维护可以保证数据库的稳定性和安全性，减少数据库故障和数据丢失的风险</w:t>
            </w:r>
          </w:p>
        </w:tc>
        <w:tc>
          <w:tcPr>
            <w:tcW w:w="915" w:type="dxa"/>
            <w:gridSpan w:val="2"/>
            <w:shd w:val="clear" w:color="auto" w:fill="FFFFFF"/>
            <w:vAlign w:val="center"/>
          </w:tcPr>
          <w:p w14:paraId="70611C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8D9DBC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36D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C1CAA24">
            <w:pPr>
              <w:jc w:val="left"/>
              <w:rPr>
                <w:rFonts w:hint="eastAsia" w:ascii="宋体" w:hAnsi="宋体" w:cs="宋体"/>
                <w:color w:val="000000"/>
                <w:sz w:val="18"/>
                <w:szCs w:val="18"/>
              </w:rPr>
            </w:pPr>
            <w:r>
              <w:rPr>
                <w:rFonts w:hint="eastAsia" w:ascii="宋体" w:hAnsi="宋体" w:cs="宋体"/>
                <w:color w:val="000000"/>
                <w:kern w:val="0"/>
                <w:sz w:val="18"/>
                <w:szCs w:val="18"/>
                <w:lang w:bidi="ar"/>
              </w:rPr>
              <w:t>2.2、视频云监控</w:t>
            </w:r>
          </w:p>
        </w:tc>
      </w:tr>
      <w:tr w14:paraId="3A0F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78690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w:t>
            </w:r>
          </w:p>
        </w:tc>
        <w:tc>
          <w:tcPr>
            <w:tcW w:w="2205" w:type="dxa"/>
            <w:shd w:val="clear" w:color="auto" w:fill="FFFFFF"/>
            <w:vAlign w:val="center"/>
          </w:tcPr>
          <w:p w14:paraId="7890E2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视频监控墙  </w:t>
            </w:r>
          </w:p>
        </w:tc>
        <w:tc>
          <w:tcPr>
            <w:tcW w:w="4272" w:type="dxa"/>
            <w:shd w:val="clear" w:color="auto" w:fill="FFFFFF"/>
            <w:vAlign w:val="center"/>
          </w:tcPr>
          <w:p w14:paraId="0B87C5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建设宁海县城乡供水视频墙，可按照单个水站或多个水站进行视频展示</w:t>
            </w:r>
          </w:p>
        </w:tc>
        <w:tc>
          <w:tcPr>
            <w:tcW w:w="915" w:type="dxa"/>
            <w:gridSpan w:val="2"/>
            <w:shd w:val="clear" w:color="auto" w:fill="FFFFFF"/>
            <w:vAlign w:val="center"/>
          </w:tcPr>
          <w:p w14:paraId="1301CA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3C2FD8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2ED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4E949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w:t>
            </w:r>
          </w:p>
        </w:tc>
        <w:tc>
          <w:tcPr>
            <w:tcW w:w="2205" w:type="dxa"/>
            <w:shd w:val="clear" w:color="auto" w:fill="FFFFFF"/>
            <w:vAlign w:val="center"/>
          </w:tcPr>
          <w:p w14:paraId="34664C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视频站点维护  </w:t>
            </w:r>
          </w:p>
        </w:tc>
        <w:tc>
          <w:tcPr>
            <w:tcW w:w="4272" w:type="dxa"/>
            <w:shd w:val="clear" w:color="auto" w:fill="FFFFFF"/>
            <w:vAlign w:val="center"/>
          </w:tcPr>
          <w:p w14:paraId="2ED1DF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提供视频与水站、水源地关联维护功能和视频点位名称、地址等维护管理功能</w:t>
            </w:r>
          </w:p>
        </w:tc>
        <w:tc>
          <w:tcPr>
            <w:tcW w:w="915" w:type="dxa"/>
            <w:gridSpan w:val="2"/>
            <w:shd w:val="clear" w:color="auto" w:fill="FFFFFF"/>
            <w:vAlign w:val="center"/>
          </w:tcPr>
          <w:p w14:paraId="71DFA6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E680B6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8F5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4D137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w:t>
            </w:r>
          </w:p>
        </w:tc>
        <w:tc>
          <w:tcPr>
            <w:tcW w:w="2205" w:type="dxa"/>
            <w:shd w:val="clear" w:color="auto" w:fill="FFFFFF"/>
            <w:vAlign w:val="center"/>
          </w:tcPr>
          <w:p w14:paraId="11FFC4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站点异常报警  </w:t>
            </w:r>
          </w:p>
        </w:tc>
        <w:tc>
          <w:tcPr>
            <w:tcW w:w="4272" w:type="dxa"/>
            <w:shd w:val="clear" w:color="auto" w:fill="FFFFFF"/>
            <w:vAlign w:val="center"/>
          </w:tcPr>
          <w:p w14:paraId="5370F44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对离线或异常的视频站点进行报警管理</w:t>
            </w:r>
          </w:p>
        </w:tc>
        <w:tc>
          <w:tcPr>
            <w:tcW w:w="915" w:type="dxa"/>
            <w:gridSpan w:val="2"/>
            <w:shd w:val="clear" w:color="auto" w:fill="FFFFFF"/>
            <w:vAlign w:val="center"/>
          </w:tcPr>
          <w:p w14:paraId="43DB5B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FAC7A3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18E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7F52DDF">
            <w:pPr>
              <w:jc w:val="left"/>
              <w:rPr>
                <w:rFonts w:hint="eastAsia" w:ascii="宋体" w:hAnsi="宋体" w:cs="宋体"/>
                <w:color w:val="000000"/>
                <w:sz w:val="18"/>
                <w:szCs w:val="18"/>
              </w:rPr>
            </w:pPr>
            <w:r>
              <w:rPr>
                <w:rFonts w:hint="eastAsia" w:ascii="宋体" w:hAnsi="宋体" w:cs="宋体"/>
                <w:color w:val="000000"/>
                <w:kern w:val="0"/>
                <w:sz w:val="18"/>
                <w:szCs w:val="18"/>
                <w:lang w:bidi="ar"/>
              </w:rPr>
              <w:t>2.3、远程控制</w:t>
            </w:r>
          </w:p>
        </w:tc>
      </w:tr>
      <w:tr w14:paraId="2FC4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5DDFB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2205" w:type="dxa"/>
            <w:shd w:val="clear" w:color="auto" w:fill="FFFFFF"/>
            <w:vAlign w:val="center"/>
          </w:tcPr>
          <w:p w14:paraId="33602D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设备远程控制  </w:t>
            </w:r>
          </w:p>
        </w:tc>
        <w:tc>
          <w:tcPr>
            <w:tcW w:w="4272" w:type="dxa"/>
            <w:shd w:val="clear" w:color="auto" w:fill="FFFFFF"/>
            <w:vAlign w:val="center"/>
          </w:tcPr>
          <w:p w14:paraId="752C6A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集成接入水站自动管控系统，实现进水阀、排污阀、计量泵等的自动控制</w:t>
            </w:r>
          </w:p>
        </w:tc>
        <w:tc>
          <w:tcPr>
            <w:tcW w:w="915" w:type="dxa"/>
            <w:gridSpan w:val="2"/>
            <w:shd w:val="clear" w:color="auto" w:fill="FFFFFF"/>
            <w:vAlign w:val="center"/>
          </w:tcPr>
          <w:p w14:paraId="2E93E1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3027C2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23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0DA34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w:t>
            </w:r>
          </w:p>
        </w:tc>
        <w:tc>
          <w:tcPr>
            <w:tcW w:w="2205" w:type="dxa"/>
            <w:shd w:val="clear" w:color="auto" w:fill="FFFFFF"/>
            <w:vAlign w:val="center"/>
          </w:tcPr>
          <w:p w14:paraId="2D66F4A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门禁控制管理  </w:t>
            </w:r>
          </w:p>
        </w:tc>
        <w:tc>
          <w:tcPr>
            <w:tcW w:w="4272" w:type="dxa"/>
            <w:shd w:val="clear" w:color="auto" w:fill="FFFFFF"/>
            <w:vAlign w:val="center"/>
          </w:tcPr>
          <w:p w14:paraId="4BC7E2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实现门禁系统的开关门远程控制管理</w:t>
            </w:r>
          </w:p>
        </w:tc>
        <w:tc>
          <w:tcPr>
            <w:tcW w:w="915" w:type="dxa"/>
            <w:gridSpan w:val="2"/>
            <w:shd w:val="clear" w:color="auto" w:fill="FFFFFF"/>
            <w:vAlign w:val="center"/>
          </w:tcPr>
          <w:p w14:paraId="368FF3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F14F89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314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FF5DFD3">
            <w:pPr>
              <w:jc w:val="left"/>
              <w:rPr>
                <w:rFonts w:hint="eastAsia" w:ascii="宋体" w:hAnsi="宋体" w:cs="宋体"/>
                <w:color w:val="000000"/>
                <w:sz w:val="18"/>
                <w:szCs w:val="18"/>
              </w:rPr>
            </w:pPr>
            <w:r>
              <w:rPr>
                <w:rFonts w:hint="eastAsia" w:ascii="宋体" w:hAnsi="宋体" w:cs="宋体"/>
                <w:color w:val="000000"/>
                <w:kern w:val="0"/>
                <w:sz w:val="18"/>
                <w:szCs w:val="18"/>
                <w:lang w:bidi="ar"/>
              </w:rPr>
              <w:t>3、水费收缴管理子系统</w:t>
            </w:r>
          </w:p>
        </w:tc>
      </w:tr>
      <w:tr w14:paraId="237E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091BC49">
            <w:pPr>
              <w:jc w:val="left"/>
              <w:rPr>
                <w:rFonts w:hint="eastAsia" w:ascii="宋体" w:hAnsi="宋体" w:cs="宋体"/>
                <w:color w:val="000000"/>
                <w:sz w:val="18"/>
                <w:szCs w:val="18"/>
              </w:rPr>
            </w:pPr>
            <w:r>
              <w:rPr>
                <w:rFonts w:hint="eastAsia" w:ascii="宋体" w:hAnsi="宋体" w:cs="宋体"/>
                <w:color w:val="000000"/>
                <w:kern w:val="0"/>
                <w:sz w:val="18"/>
                <w:szCs w:val="18"/>
                <w:lang w:bidi="ar"/>
              </w:rPr>
              <w:t>3.1户表管理</w:t>
            </w:r>
          </w:p>
        </w:tc>
      </w:tr>
      <w:tr w14:paraId="5246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6F23FE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w:t>
            </w:r>
          </w:p>
        </w:tc>
        <w:tc>
          <w:tcPr>
            <w:tcW w:w="2205" w:type="dxa"/>
            <w:shd w:val="clear" w:color="auto" w:fill="FFFFFF"/>
            <w:vAlign w:val="center"/>
          </w:tcPr>
          <w:p w14:paraId="06990EB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用水户信息管理  </w:t>
            </w:r>
          </w:p>
        </w:tc>
        <w:tc>
          <w:tcPr>
            <w:tcW w:w="4272" w:type="dxa"/>
            <w:shd w:val="clear" w:color="auto" w:fill="FFFFFF"/>
            <w:vAlign w:val="center"/>
          </w:tcPr>
          <w:p w14:paraId="4905F4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提供对全县各用水户基础信息及关联户表的信息管理功能，提供信息更新、维护等功能</w:t>
            </w:r>
          </w:p>
        </w:tc>
        <w:tc>
          <w:tcPr>
            <w:tcW w:w="915" w:type="dxa"/>
            <w:gridSpan w:val="2"/>
            <w:shd w:val="clear" w:color="auto" w:fill="FFFFFF"/>
            <w:vAlign w:val="center"/>
          </w:tcPr>
          <w:p w14:paraId="7D010C6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2F4275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68D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65AD4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w:t>
            </w:r>
          </w:p>
        </w:tc>
        <w:tc>
          <w:tcPr>
            <w:tcW w:w="2205" w:type="dxa"/>
            <w:shd w:val="clear" w:color="auto" w:fill="FFFFFF"/>
            <w:vAlign w:val="center"/>
          </w:tcPr>
          <w:p w14:paraId="38FF1E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户表信息管理  </w:t>
            </w:r>
          </w:p>
        </w:tc>
        <w:tc>
          <w:tcPr>
            <w:tcW w:w="4272" w:type="dxa"/>
            <w:shd w:val="clear" w:color="auto" w:fill="FFFFFF"/>
            <w:vAlign w:val="center"/>
          </w:tcPr>
          <w:p w14:paraId="1F378D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提供户表信息管理功能，可对户表进行用水户绑定、解绑、信息变更等操作</w:t>
            </w:r>
          </w:p>
        </w:tc>
        <w:tc>
          <w:tcPr>
            <w:tcW w:w="915" w:type="dxa"/>
            <w:gridSpan w:val="2"/>
            <w:shd w:val="clear" w:color="auto" w:fill="FFFFFF"/>
            <w:vAlign w:val="center"/>
          </w:tcPr>
          <w:p w14:paraId="7165F0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BB9CD7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07A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082083A">
            <w:pPr>
              <w:jc w:val="left"/>
              <w:rPr>
                <w:rFonts w:hint="eastAsia" w:ascii="宋体" w:hAnsi="宋体" w:cs="宋体"/>
                <w:color w:val="000000"/>
                <w:sz w:val="18"/>
                <w:szCs w:val="18"/>
              </w:rPr>
            </w:pPr>
            <w:r>
              <w:rPr>
                <w:rFonts w:hint="eastAsia" w:ascii="宋体" w:hAnsi="宋体" w:cs="宋体"/>
                <w:color w:val="000000"/>
                <w:kern w:val="0"/>
                <w:sz w:val="18"/>
                <w:szCs w:val="18"/>
                <w:lang w:bidi="ar"/>
              </w:rPr>
              <w:t>3.2、抄表员管理</w:t>
            </w:r>
          </w:p>
        </w:tc>
      </w:tr>
      <w:tr w14:paraId="4C3C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D9D0E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2205" w:type="dxa"/>
            <w:shd w:val="clear" w:color="auto" w:fill="FFFFFF"/>
            <w:vAlign w:val="center"/>
          </w:tcPr>
          <w:p w14:paraId="6DCD1C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2F3B60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抄表员管理  提供对抄表员基础信息、负责的水站及水表等信息的维护管理功能。</w:t>
            </w:r>
          </w:p>
        </w:tc>
        <w:tc>
          <w:tcPr>
            <w:tcW w:w="915" w:type="dxa"/>
            <w:gridSpan w:val="2"/>
            <w:shd w:val="clear" w:color="auto" w:fill="FFFFFF"/>
            <w:vAlign w:val="center"/>
          </w:tcPr>
          <w:p w14:paraId="46C595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D8D5F7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BE3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A472BF9">
            <w:pPr>
              <w:jc w:val="left"/>
              <w:rPr>
                <w:rFonts w:hint="eastAsia" w:ascii="宋体" w:hAnsi="宋体" w:cs="宋体"/>
                <w:color w:val="000000"/>
                <w:sz w:val="18"/>
                <w:szCs w:val="18"/>
              </w:rPr>
            </w:pPr>
            <w:r>
              <w:rPr>
                <w:rFonts w:hint="eastAsia" w:ascii="宋体" w:hAnsi="宋体" w:cs="宋体"/>
                <w:color w:val="000000"/>
                <w:kern w:val="0"/>
                <w:sz w:val="18"/>
                <w:szCs w:val="18"/>
                <w:lang w:bidi="ar"/>
              </w:rPr>
              <w:t>3.3、水费抄表管理</w:t>
            </w:r>
          </w:p>
        </w:tc>
      </w:tr>
      <w:tr w14:paraId="2D59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18CA73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2205" w:type="dxa"/>
            <w:shd w:val="clear" w:color="auto" w:fill="FFFFFF"/>
            <w:vAlign w:val="center"/>
          </w:tcPr>
          <w:p w14:paraId="2617DE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抄表读数查询  </w:t>
            </w:r>
          </w:p>
        </w:tc>
        <w:tc>
          <w:tcPr>
            <w:tcW w:w="4272" w:type="dxa"/>
            <w:shd w:val="clear" w:color="auto" w:fill="FFFFFF"/>
            <w:vAlign w:val="center"/>
          </w:tcPr>
          <w:p w14:paraId="0F9CBB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可查询各抄表员上传的水表读数照片、识别读数和确认的水表读数、抄表员、抄表时间、应缴水费、实缴水费等信息</w:t>
            </w:r>
          </w:p>
        </w:tc>
        <w:tc>
          <w:tcPr>
            <w:tcW w:w="915" w:type="dxa"/>
            <w:gridSpan w:val="2"/>
            <w:shd w:val="clear" w:color="auto" w:fill="FFFFFF"/>
            <w:vAlign w:val="center"/>
          </w:tcPr>
          <w:p w14:paraId="084BAF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64C0C9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278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2F471A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w:t>
            </w:r>
          </w:p>
        </w:tc>
        <w:tc>
          <w:tcPr>
            <w:tcW w:w="2205" w:type="dxa"/>
            <w:shd w:val="clear" w:color="auto" w:fill="FFFFFF"/>
            <w:vAlign w:val="center"/>
          </w:tcPr>
          <w:p w14:paraId="5C9E6D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用水量查询  </w:t>
            </w:r>
          </w:p>
        </w:tc>
        <w:tc>
          <w:tcPr>
            <w:tcW w:w="4272" w:type="dxa"/>
            <w:shd w:val="clear" w:color="auto" w:fill="FFFFFF"/>
            <w:vAlign w:val="center"/>
          </w:tcPr>
          <w:p w14:paraId="484090C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可查询各用水户的本期用水量、上期用水量等数据及按照行政村、乡镇街道等维度的用水量统计数据，并提供导出功能</w:t>
            </w:r>
          </w:p>
        </w:tc>
        <w:tc>
          <w:tcPr>
            <w:tcW w:w="915" w:type="dxa"/>
            <w:gridSpan w:val="2"/>
            <w:shd w:val="clear" w:color="auto" w:fill="FFFFFF"/>
            <w:vAlign w:val="center"/>
          </w:tcPr>
          <w:p w14:paraId="28AF0A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CDC657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7F8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28CC3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w:t>
            </w:r>
          </w:p>
        </w:tc>
        <w:tc>
          <w:tcPr>
            <w:tcW w:w="2205" w:type="dxa"/>
            <w:shd w:val="clear" w:color="auto" w:fill="FFFFFF"/>
            <w:vAlign w:val="center"/>
          </w:tcPr>
          <w:p w14:paraId="2E695B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用水额度管理  </w:t>
            </w:r>
          </w:p>
        </w:tc>
        <w:tc>
          <w:tcPr>
            <w:tcW w:w="4272" w:type="dxa"/>
            <w:shd w:val="clear" w:color="auto" w:fill="FFFFFF"/>
            <w:vAlign w:val="center"/>
          </w:tcPr>
          <w:p w14:paraId="4B2E8B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可对各用水户的用水额度进行设置和修改管理，支持不同类型用户免费用水额度的设置。</w:t>
            </w:r>
          </w:p>
        </w:tc>
        <w:tc>
          <w:tcPr>
            <w:tcW w:w="915" w:type="dxa"/>
            <w:gridSpan w:val="2"/>
            <w:shd w:val="clear" w:color="auto" w:fill="FFFFFF"/>
            <w:vAlign w:val="center"/>
          </w:tcPr>
          <w:p w14:paraId="03FEE3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94A44E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D81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6BA88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w:t>
            </w:r>
          </w:p>
        </w:tc>
        <w:tc>
          <w:tcPr>
            <w:tcW w:w="2205" w:type="dxa"/>
            <w:shd w:val="clear" w:color="auto" w:fill="FFFFFF"/>
            <w:vAlign w:val="center"/>
          </w:tcPr>
          <w:p w14:paraId="419659B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用水量修正  </w:t>
            </w:r>
          </w:p>
        </w:tc>
        <w:tc>
          <w:tcPr>
            <w:tcW w:w="4272" w:type="dxa"/>
            <w:shd w:val="clear" w:color="auto" w:fill="FFFFFF"/>
            <w:vAlign w:val="center"/>
          </w:tcPr>
          <w:p w14:paraId="7C13E7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提供抄表数据的修正功能，对于异常数据能够自动分析提醒</w:t>
            </w:r>
          </w:p>
        </w:tc>
        <w:tc>
          <w:tcPr>
            <w:tcW w:w="915" w:type="dxa"/>
            <w:gridSpan w:val="2"/>
            <w:shd w:val="clear" w:color="auto" w:fill="FFFFFF"/>
            <w:vAlign w:val="center"/>
          </w:tcPr>
          <w:p w14:paraId="5B7F76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5289E3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C9C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26553A7">
            <w:pPr>
              <w:jc w:val="left"/>
              <w:rPr>
                <w:rFonts w:hint="eastAsia" w:ascii="宋体" w:hAnsi="宋体" w:cs="宋体"/>
                <w:color w:val="000000"/>
                <w:sz w:val="18"/>
                <w:szCs w:val="18"/>
              </w:rPr>
            </w:pPr>
            <w:r>
              <w:rPr>
                <w:rFonts w:hint="eastAsia" w:ascii="宋体" w:hAnsi="宋体" w:cs="宋体"/>
                <w:color w:val="000000"/>
                <w:kern w:val="0"/>
                <w:sz w:val="18"/>
                <w:szCs w:val="18"/>
                <w:lang w:bidi="ar"/>
              </w:rPr>
              <w:t>3.4、在线缴费</w:t>
            </w:r>
          </w:p>
        </w:tc>
      </w:tr>
      <w:tr w14:paraId="0690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0" w:type="dxa"/>
            <w:shd w:val="clear" w:color="auto" w:fill="FFFFFF"/>
            <w:vAlign w:val="center"/>
          </w:tcPr>
          <w:p w14:paraId="5EBCB5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w:t>
            </w:r>
          </w:p>
        </w:tc>
        <w:tc>
          <w:tcPr>
            <w:tcW w:w="2205" w:type="dxa"/>
            <w:shd w:val="clear" w:color="auto" w:fill="FFFFFF"/>
            <w:vAlign w:val="center"/>
          </w:tcPr>
          <w:p w14:paraId="3D6006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缴费总览  </w:t>
            </w:r>
          </w:p>
        </w:tc>
        <w:tc>
          <w:tcPr>
            <w:tcW w:w="4272" w:type="dxa"/>
            <w:shd w:val="clear" w:color="auto" w:fill="FFFFFF"/>
            <w:vAlign w:val="center"/>
          </w:tcPr>
          <w:p w14:paraId="4F9EA3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可查询全县当前农饮水缴费统计信息，如应交水费、实缴水费、应交户数、实缴户数、按时缴费率等，按时间维度、区域维度的缴费情况统计信息等</w:t>
            </w:r>
          </w:p>
        </w:tc>
        <w:tc>
          <w:tcPr>
            <w:tcW w:w="915" w:type="dxa"/>
            <w:gridSpan w:val="2"/>
            <w:shd w:val="clear" w:color="auto" w:fill="FFFFFF"/>
            <w:vAlign w:val="center"/>
          </w:tcPr>
          <w:p w14:paraId="0451BC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D6EBB3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EE2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4D31E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w:t>
            </w:r>
          </w:p>
        </w:tc>
        <w:tc>
          <w:tcPr>
            <w:tcW w:w="2205" w:type="dxa"/>
            <w:shd w:val="clear" w:color="auto" w:fill="FFFFFF"/>
            <w:vAlign w:val="center"/>
          </w:tcPr>
          <w:p w14:paraId="2CF828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当前缴费  </w:t>
            </w:r>
          </w:p>
        </w:tc>
        <w:tc>
          <w:tcPr>
            <w:tcW w:w="4272" w:type="dxa"/>
            <w:shd w:val="clear" w:color="auto" w:fill="FFFFFF"/>
            <w:vAlign w:val="center"/>
          </w:tcPr>
          <w:p w14:paraId="5AAC12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可查询当前各用水户缴费情况及每个用水户用水详情</w:t>
            </w:r>
          </w:p>
        </w:tc>
        <w:tc>
          <w:tcPr>
            <w:tcW w:w="915" w:type="dxa"/>
            <w:gridSpan w:val="2"/>
            <w:shd w:val="clear" w:color="auto" w:fill="FFFFFF"/>
            <w:vAlign w:val="center"/>
          </w:tcPr>
          <w:p w14:paraId="41A4C3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FE1AF2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7A8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95E89A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w:t>
            </w:r>
          </w:p>
        </w:tc>
        <w:tc>
          <w:tcPr>
            <w:tcW w:w="2205" w:type="dxa"/>
            <w:shd w:val="clear" w:color="auto" w:fill="FFFFFF"/>
            <w:vAlign w:val="center"/>
          </w:tcPr>
          <w:p w14:paraId="52E191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2F8C1B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历史缴费记录  可查询用水户历史用水量情况和缴费情况</w:t>
            </w:r>
          </w:p>
        </w:tc>
        <w:tc>
          <w:tcPr>
            <w:tcW w:w="915" w:type="dxa"/>
            <w:gridSpan w:val="2"/>
            <w:shd w:val="clear" w:color="auto" w:fill="FFFFFF"/>
            <w:vAlign w:val="center"/>
          </w:tcPr>
          <w:p w14:paraId="776E82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D34E6F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AFF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AFCC2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w:t>
            </w:r>
          </w:p>
        </w:tc>
        <w:tc>
          <w:tcPr>
            <w:tcW w:w="2205" w:type="dxa"/>
            <w:shd w:val="clear" w:color="auto" w:fill="FFFFFF"/>
            <w:vAlign w:val="center"/>
          </w:tcPr>
          <w:p w14:paraId="28433ED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一键催交  </w:t>
            </w:r>
          </w:p>
        </w:tc>
        <w:tc>
          <w:tcPr>
            <w:tcW w:w="4272" w:type="dxa"/>
            <w:shd w:val="clear" w:color="auto" w:fill="FFFFFF"/>
            <w:vAlign w:val="center"/>
          </w:tcPr>
          <w:p w14:paraId="59AD1FA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提供未按时缴纳水费用户统计及一键催交功能</w:t>
            </w:r>
          </w:p>
        </w:tc>
        <w:tc>
          <w:tcPr>
            <w:tcW w:w="915" w:type="dxa"/>
            <w:gridSpan w:val="2"/>
            <w:shd w:val="clear" w:color="auto" w:fill="FFFFFF"/>
            <w:vAlign w:val="center"/>
          </w:tcPr>
          <w:p w14:paraId="45E52A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914433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91B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480E6FF">
            <w:pPr>
              <w:jc w:val="left"/>
              <w:rPr>
                <w:rFonts w:hint="eastAsia" w:ascii="宋体" w:hAnsi="宋体" w:cs="宋体"/>
                <w:color w:val="000000"/>
                <w:sz w:val="18"/>
                <w:szCs w:val="18"/>
              </w:rPr>
            </w:pPr>
            <w:r>
              <w:rPr>
                <w:rFonts w:hint="eastAsia" w:ascii="宋体" w:hAnsi="宋体" w:cs="宋体"/>
                <w:color w:val="000000"/>
                <w:kern w:val="0"/>
                <w:sz w:val="18"/>
                <w:szCs w:val="18"/>
                <w:lang w:bidi="ar"/>
              </w:rPr>
              <w:t>3.5、水费统计报表</w:t>
            </w:r>
          </w:p>
        </w:tc>
      </w:tr>
      <w:tr w14:paraId="2DFE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6BB297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w:t>
            </w:r>
          </w:p>
        </w:tc>
        <w:tc>
          <w:tcPr>
            <w:tcW w:w="2205" w:type="dxa"/>
            <w:shd w:val="clear" w:color="auto" w:fill="FFFFFF"/>
            <w:vAlign w:val="center"/>
          </w:tcPr>
          <w:p w14:paraId="6A71CA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区域水费统计  </w:t>
            </w:r>
          </w:p>
        </w:tc>
        <w:tc>
          <w:tcPr>
            <w:tcW w:w="4272" w:type="dxa"/>
            <w:shd w:val="clear" w:color="auto" w:fill="FFFFFF"/>
            <w:vAlign w:val="center"/>
          </w:tcPr>
          <w:p w14:paraId="6532F0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提供按照乡镇、街道和社区/行政村等不同维度的区域水费统计分析报表</w:t>
            </w:r>
          </w:p>
        </w:tc>
        <w:tc>
          <w:tcPr>
            <w:tcW w:w="915" w:type="dxa"/>
            <w:gridSpan w:val="2"/>
            <w:shd w:val="clear" w:color="auto" w:fill="FFFFFF"/>
            <w:vAlign w:val="center"/>
          </w:tcPr>
          <w:p w14:paraId="7A7476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DCFF2E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743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6F5B80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w:t>
            </w:r>
          </w:p>
        </w:tc>
        <w:tc>
          <w:tcPr>
            <w:tcW w:w="2205" w:type="dxa"/>
            <w:shd w:val="clear" w:color="auto" w:fill="FFFFFF"/>
            <w:vAlign w:val="center"/>
          </w:tcPr>
          <w:p w14:paraId="0AC35F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水站水费统计  </w:t>
            </w:r>
          </w:p>
        </w:tc>
        <w:tc>
          <w:tcPr>
            <w:tcW w:w="4272" w:type="dxa"/>
            <w:shd w:val="clear" w:color="auto" w:fill="FFFFFF"/>
            <w:vAlign w:val="center"/>
          </w:tcPr>
          <w:p w14:paraId="43FABE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提供按照水厂站维度的水费统计分析报表</w:t>
            </w:r>
          </w:p>
        </w:tc>
        <w:tc>
          <w:tcPr>
            <w:tcW w:w="915" w:type="dxa"/>
            <w:gridSpan w:val="2"/>
            <w:shd w:val="clear" w:color="auto" w:fill="FFFFFF"/>
            <w:vAlign w:val="center"/>
          </w:tcPr>
          <w:p w14:paraId="431E75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7B8394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D07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81A1AC1">
            <w:pPr>
              <w:jc w:val="left"/>
              <w:rPr>
                <w:rFonts w:hint="eastAsia" w:ascii="宋体" w:hAnsi="宋体" w:cs="宋体"/>
                <w:color w:val="000000"/>
                <w:sz w:val="18"/>
                <w:szCs w:val="18"/>
              </w:rPr>
            </w:pPr>
            <w:r>
              <w:rPr>
                <w:rFonts w:hint="eastAsia" w:ascii="宋体" w:hAnsi="宋体" w:cs="宋体"/>
                <w:color w:val="000000"/>
                <w:kern w:val="0"/>
                <w:sz w:val="18"/>
                <w:szCs w:val="18"/>
                <w:lang w:bidi="ar"/>
              </w:rPr>
              <w:t>4、档案数字管理子系统</w:t>
            </w:r>
          </w:p>
        </w:tc>
      </w:tr>
      <w:tr w14:paraId="664E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3AA29D1">
            <w:pPr>
              <w:jc w:val="left"/>
              <w:rPr>
                <w:rFonts w:hint="eastAsia" w:ascii="宋体" w:hAnsi="宋体" w:cs="宋体"/>
                <w:color w:val="000000"/>
                <w:sz w:val="18"/>
                <w:szCs w:val="18"/>
              </w:rPr>
            </w:pPr>
            <w:r>
              <w:rPr>
                <w:rFonts w:hint="eastAsia" w:ascii="宋体" w:hAnsi="宋体" w:cs="宋体"/>
                <w:color w:val="000000"/>
                <w:kern w:val="0"/>
                <w:sz w:val="18"/>
                <w:szCs w:val="18"/>
                <w:lang w:bidi="ar"/>
              </w:rPr>
              <w:t>4.1、档案分类管理</w:t>
            </w:r>
          </w:p>
        </w:tc>
      </w:tr>
      <w:tr w14:paraId="4DC6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4604F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w:t>
            </w:r>
          </w:p>
        </w:tc>
        <w:tc>
          <w:tcPr>
            <w:tcW w:w="2205" w:type="dxa"/>
            <w:shd w:val="clear" w:color="auto" w:fill="FFFFFF"/>
            <w:vAlign w:val="center"/>
          </w:tcPr>
          <w:p w14:paraId="061950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档案类型管理  </w:t>
            </w:r>
          </w:p>
        </w:tc>
        <w:tc>
          <w:tcPr>
            <w:tcW w:w="4272" w:type="dxa"/>
            <w:shd w:val="clear" w:color="auto" w:fill="FFFFFF"/>
            <w:vAlign w:val="center"/>
          </w:tcPr>
          <w:p w14:paraId="6FB0EF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提供台账分类功能及分类台账的标签设置、核心要素设置等功能</w:t>
            </w:r>
          </w:p>
        </w:tc>
        <w:tc>
          <w:tcPr>
            <w:tcW w:w="915" w:type="dxa"/>
            <w:gridSpan w:val="2"/>
            <w:shd w:val="clear" w:color="auto" w:fill="FFFFFF"/>
            <w:vAlign w:val="center"/>
          </w:tcPr>
          <w:p w14:paraId="7975FF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1439E5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53D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1E9828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w:t>
            </w:r>
          </w:p>
        </w:tc>
        <w:tc>
          <w:tcPr>
            <w:tcW w:w="2205" w:type="dxa"/>
            <w:shd w:val="clear" w:color="auto" w:fill="FFFFFF"/>
            <w:vAlign w:val="center"/>
          </w:tcPr>
          <w:p w14:paraId="3E80E4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档案电子化管理  </w:t>
            </w:r>
          </w:p>
        </w:tc>
        <w:tc>
          <w:tcPr>
            <w:tcW w:w="4272" w:type="dxa"/>
            <w:shd w:val="clear" w:color="auto" w:fill="FFFFFF"/>
            <w:vAlign w:val="center"/>
          </w:tcPr>
          <w:p w14:paraId="382672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提供按照台账类型进行台账上传管理和初步电子化等功能</w:t>
            </w:r>
          </w:p>
        </w:tc>
        <w:tc>
          <w:tcPr>
            <w:tcW w:w="915" w:type="dxa"/>
            <w:gridSpan w:val="2"/>
            <w:shd w:val="clear" w:color="auto" w:fill="FFFFFF"/>
            <w:vAlign w:val="center"/>
          </w:tcPr>
          <w:p w14:paraId="2D7622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802F56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B82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284836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w:t>
            </w:r>
          </w:p>
        </w:tc>
        <w:tc>
          <w:tcPr>
            <w:tcW w:w="2205" w:type="dxa"/>
            <w:shd w:val="clear" w:color="auto" w:fill="FFFFFF"/>
            <w:vAlign w:val="center"/>
          </w:tcPr>
          <w:p w14:paraId="0D8849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档案查阅管理  </w:t>
            </w:r>
          </w:p>
        </w:tc>
        <w:tc>
          <w:tcPr>
            <w:tcW w:w="4272" w:type="dxa"/>
            <w:shd w:val="clear" w:color="auto" w:fill="FFFFFF"/>
            <w:vAlign w:val="center"/>
          </w:tcPr>
          <w:p w14:paraId="731B417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提供按照人员角色的档案查阅、下载、查询、维护更新等功能，可按人员角色完成不同时效的阅档授权，确保档案的安全性</w:t>
            </w:r>
          </w:p>
        </w:tc>
        <w:tc>
          <w:tcPr>
            <w:tcW w:w="915" w:type="dxa"/>
            <w:gridSpan w:val="2"/>
            <w:shd w:val="clear" w:color="auto" w:fill="FFFFFF"/>
            <w:vAlign w:val="center"/>
          </w:tcPr>
          <w:p w14:paraId="6B1B71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761A00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347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2D2DB81">
            <w:pPr>
              <w:jc w:val="left"/>
              <w:rPr>
                <w:rFonts w:hint="eastAsia" w:ascii="宋体" w:hAnsi="宋体" w:cs="宋体"/>
                <w:color w:val="000000"/>
                <w:sz w:val="18"/>
                <w:szCs w:val="18"/>
              </w:rPr>
            </w:pPr>
            <w:r>
              <w:rPr>
                <w:rFonts w:hint="eastAsia" w:ascii="宋体" w:hAnsi="宋体" w:cs="宋体"/>
                <w:color w:val="000000"/>
                <w:kern w:val="0"/>
                <w:sz w:val="18"/>
                <w:szCs w:val="18"/>
                <w:lang w:bidi="ar"/>
              </w:rPr>
              <w:t>4.2、档案统计</w:t>
            </w:r>
          </w:p>
        </w:tc>
      </w:tr>
      <w:tr w14:paraId="00ED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4320B9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w:t>
            </w:r>
          </w:p>
        </w:tc>
        <w:tc>
          <w:tcPr>
            <w:tcW w:w="2205" w:type="dxa"/>
            <w:shd w:val="clear" w:color="auto" w:fill="FFFFFF"/>
            <w:vAlign w:val="center"/>
          </w:tcPr>
          <w:p w14:paraId="5FBAA4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档案统计  </w:t>
            </w:r>
          </w:p>
        </w:tc>
        <w:tc>
          <w:tcPr>
            <w:tcW w:w="4272" w:type="dxa"/>
            <w:shd w:val="clear" w:color="auto" w:fill="FFFFFF"/>
            <w:vAlign w:val="center"/>
          </w:tcPr>
          <w:p w14:paraId="54F6CEC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提供对各类档案按照数量、类型、密级、年度等不同维度的统计分析功能，实现档案归档情况一屏总览。</w:t>
            </w:r>
          </w:p>
        </w:tc>
        <w:tc>
          <w:tcPr>
            <w:tcW w:w="915" w:type="dxa"/>
            <w:gridSpan w:val="2"/>
            <w:shd w:val="clear" w:color="auto" w:fill="FFFFFF"/>
            <w:vAlign w:val="center"/>
          </w:tcPr>
          <w:p w14:paraId="1B3DAF0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9E9BA0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CA7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0769EF7">
            <w:pPr>
              <w:jc w:val="left"/>
              <w:rPr>
                <w:rFonts w:hint="eastAsia" w:ascii="宋体" w:hAnsi="宋体" w:cs="宋体"/>
                <w:color w:val="000000"/>
                <w:sz w:val="18"/>
                <w:szCs w:val="18"/>
              </w:rPr>
            </w:pPr>
            <w:r>
              <w:rPr>
                <w:rFonts w:hint="eastAsia" w:ascii="宋体" w:hAnsi="宋体" w:cs="宋体"/>
                <w:color w:val="000000"/>
                <w:kern w:val="0"/>
                <w:sz w:val="18"/>
                <w:szCs w:val="18"/>
                <w:lang w:bidi="ar"/>
              </w:rPr>
              <w:t>(四)城乡供水一张图</w:t>
            </w:r>
          </w:p>
        </w:tc>
      </w:tr>
      <w:tr w14:paraId="53B9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A46BF8A">
            <w:pPr>
              <w:jc w:val="left"/>
              <w:rPr>
                <w:rFonts w:hint="eastAsia" w:ascii="宋体" w:hAnsi="宋体" w:cs="宋体"/>
                <w:color w:val="000000"/>
                <w:sz w:val="18"/>
                <w:szCs w:val="18"/>
              </w:rPr>
            </w:pPr>
            <w:r>
              <w:rPr>
                <w:rFonts w:hint="eastAsia" w:ascii="宋体" w:hAnsi="宋体" w:cs="宋体"/>
                <w:color w:val="000000"/>
                <w:kern w:val="0"/>
                <w:sz w:val="18"/>
                <w:szCs w:val="18"/>
                <w:lang w:bidi="ar"/>
              </w:rPr>
              <w:t>1、供水格局图层</w:t>
            </w:r>
          </w:p>
        </w:tc>
      </w:tr>
      <w:tr w14:paraId="1C79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C5CFD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w:t>
            </w:r>
          </w:p>
        </w:tc>
        <w:tc>
          <w:tcPr>
            <w:tcW w:w="2205" w:type="dxa"/>
            <w:shd w:val="clear" w:color="auto" w:fill="FFFFFF"/>
            <w:vAlign w:val="center"/>
          </w:tcPr>
          <w:p w14:paraId="2A0A9C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当前供水格局  </w:t>
            </w:r>
          </w:p>
        </w:tc>
        <w:tc>
          <w:tcPr>
            <w:tcW w:w="4272" w:type="dxa"/>
            <w:shd w:val="clear" w:color="auto" w:fill="FFFFFF"/>
            <w:vAlign w:val="center"/>
          </w:tcPr>
          <w:p w14:paraId="4EEB7E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展示宁海县当前供水工程分布情况、供水人口及村落覆盖情况等</w:t>
            </w:r>
          </w:p>
        </w:tc>
        <w:tc>
          <w:tcPr>
            <w:tcW w:w="915" w:type="dxa"/>
            <w:gridSpan w:val="2"/>
            <w:shd w:val="clear" w:color="auto" w:fill="FFFFFF"/>
            <w:vAlign w:val="center"/>
          </w:tcPr>
          <w:p w14:paraId="342F5F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CD0161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FA8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57918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w:t>
            </w:r>
          </w:p>
        </w:tc>
        <w:tc>
          <w:tcPr>
            <w:tcW w:w="2205" w:type="dxa"/>
            <w:shd w:val="clear" w:color="auto" w:fill="FFFFFF"/>
            <w:vAlign w:val="center"/>
          </w:tcPr>
          <w:p w14:paraId="1880FA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规划供水格局  </w:t>
            </w:r>
          </w:p>
        </w:tc>
        <w:tc>
          <w:tcPr>
            <w:tcW w:w="4272" w:type="dxa"/>
            <w:shd w:val="clear" w:color="auto" w:fill="FFFFFF"/>
            <w:vAlign w:val="center"/>
          </w:tcPr>
          <w:p w14:paraId="5E4D24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展示宁海县规划到十四五或十五五期间的供水工程分布情况、供水人口及村落覆盖情况等</w:t>
            </w:r>
          </w:p>
        </w:tc>
        <w:tc>
          <w:tcPr>
            <w:tcW w:w="915" w:type="dxa"/>
            <w:gridSpan w:val="2"/>
            <w:shd w:val="clear" w:color="auto" w:fill="FFFFFF"/>
            <w:vAlign w:val="center"/>
          </w:tcPr>
          <w:p w14:paraId="74A086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29F6D7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D27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5E2C3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w:t>
            </w:r>
          </w:p>
        </w:tc>
        <w:tc>
          <w:tcPr>
            <w:tcW w:w="2205" w:type="dxa"/>
            <w:shd w:val="clear" w:color="auto" w:fill="FFFFFF"/>
            <w:vAlign w:val="center"/>
          </w:tcPr>
          <w:p w14:paraId="24FFED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供水水源分布  </w:t>
            </w:r>
          </w:p>
        </w:tc>
        <w:tc>
          <w:tcPr>
            <w:tcW w:w="4272" w:type="dxa"/>
            <w:shd w:val="clear" w:color="auto" w:fill="FFFFFF"/>
            <w:vAlign w:val="center"/>
          </w:tcPr>
          <w:p w14:paraId="73DA26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展示宁海县主要供水水源及规划供水水源的分布情况、供水水厂等信息</w:t>
            </w:r>
          </w:p>
        </w:tc>
        <w:tc>
          <w:tcPr>
            <w:tcW w:w="915" w:type="dxa"/>
            <w:gridSpan w:val="2"/>
            <w:shd w:val="clear" w:color="auto" w:fill="FFFFFF"/>
            <w:vAlign w:val="center"/>
          </w:tcPr>
          <w:p w14:paraId="225632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265DD8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DD9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7DBD379">
            <w:pPr>
              <w:jc w:val="left"/>
              <w:rPr>
                <w:rFonts w:hint="eastAsia" w:ascii="宋体" w:hAnsi="宋体" w:cs="宋体"/>
                <w:color w:val="000000"/>
                <w:sz w:val="18"/>
                <w:szCs w:val="18"/>
              </w:rPr>
            </w:pPr>
            <w:r>
              <w:rPr>
                <w:rFonts w:hint="eastAsia" w:ascii="宋体" w:hAnsi="宋体" w:cs="宋体"/>
                <w:color w:val="000000"/>
                <w:kern w:val="0"/>
                <w:sz w:val="18"/>
                <w:szCs w:val="18"/>
                <w:lang w:bidi="ar"/>
              </w:rPr>
              <w:t>2、供水管网（GIS）图层</w:t>
            </w:r>
          </w:p>
        </w:tc>
      </w:tr>
      <w:tr w14:paraId="5BE7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0" w:type="dxa"/>
            <w:shd w:val="clear" w:color="auto" w:fill="FFFFFF"/>
            <w:vAlign w:val="center"/>
          </w:tcPr>
          <w:p w14:paraId="4124BA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w:t>
            </w:r>
          </w:p>
        </w:tc>
        <w:tc>
          <w:tcPr>
            <w:tcW w:w="2205" w:type="dxa"/>
            <w:shd w:val="clear" w:color="auto" w:fill="FFFFFF"/>
            <w:vAlign w:val="center"/>
          </w:tcPr>
          <w:p w14:paraId="2498F1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主干管网  </w:t>
            </w:r>
          </w:p>
        </w:tc>
        <w:tc>
          <w:tcPr>
            <w:tcW w:w="4272" w:type="dxa"/>
            <w:shd w:val="clear" w:color="auto" w:fill="FFFFFF"/>
            <w:vAlign w:val="center"/>
          </w:tcPr>
          <w:p w14:paraId="6DD6A1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落图展示宁海县供水人口在千人及以上的水厂主干管网分布情况</w:t>
            </w:r>
          </w:p>
        </w:tc>
        <w:tc>
          <w:tcPr>
            <w:tcW w:w="915" w:type="dxa"/>
            <w:gridSpan w:val="2"/>
            <w:shd w:val="clear" w:color="auto" w:fill="FFFFFF"/>
            <w:vAlign w:val="center"/>
          </w:tcPr>
          <w:p w14:paraId="5DF0BD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1BF753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560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49E2E0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w:t>
            </w:r>
          </w:p>
        </w:tc>
        <w:tc>
          <w:tcPr>
            <w:tcW w:w="2205" w:type="dxa"/>
            <w:shd w:val="clear" w:color="auto" w:fill="FFFFFF"/>
            <w:vAlign w:val="center"/>
          </w:tcPr>
          <w:p w14:paraId="434FAA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管龄信息 </w:t>
            </w:r>
          </w:p>
        </w:tc>
        <w:tc>
          <w:tcPr>
            <w:tcW w:w="4272" w:type="dxa"/>
            <w:shd w:val="clear" w:color="auto" w:fill="FFFFFF"/>
            <w:vAlign w:val="center"/>
          </w:tcPr>
          <w:p w14:paraId="31C9BD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展示主干管网的管龄信息，并统计不同年份的管道管龄情况</w:t>
            </w:r>
          </w:p>
        </w:tc>
        <w:tc>
          <w:tcPr>
            <w:tcW w:w="915" w:type="dxa"/>
            <w:gridSpan w:val="2"/>
            <w:shd w:val="clear" w:color="auto" w:fill="FFFFFF"/>
            <w:vAlign w:val="center"/>
          </w:tcPr>
          <w:p w14:paraId="0F085E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BEAACD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173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3F0CA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w:t>
            </w:r>
          </w:p>
        </w:tc>
        <w:tc>
          <w:tcPr>
            <w:tcW w:w="2205" w:type="dxa"/>
            <w:shd w:val="clear" w:color="auto" w:fill="FFFFFF"/>
            <w:vAlign w:val="center"/>
          </w:tcPr>
          <w:p w14:paraId="66CDC0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管径信息  </w:t>
            </w:r>
          </w:p>
        </w:tc>
        <w:tc>
          <w:tcPr>
            <w:tcW w:w="4272" w:type="dxa"/>
            <w:shd w:val="clear" w:color="auto" w:fill="FFFFFF"/>
            <w:vAlign w:val="center"/>
          </w:tcPr>
          <w:p w14:paraId="598532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展示不同管径管道的建设年份、运行维护单位及人员、管龄、预期更换年份等</w:t>
            </w:r>
          </w:p>
        </w:tc>
        <w:tc>
          <w:tcPr>
            <w:tcW w:w="915" w:type="dxa"/>
            <w:gridSpan w:val="2"/>
            <w:shd w:val="clear" w:color="auto" w:fill="FFFFFF"/>
            <w:vAlign w:val="center"/>
          </w:tcPr>
          <w:p w14:paraId="6D32EB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2F82E7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CAD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120FAE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w:t>
            </w:r>
          </w:p>
        </w:tc>
        <w:tc>
          <w:tcPr>
            <w:tcW w:w="2205" w:type="dxa"/>
            <w:shd w:val="clear" w:color="auto" w:fill="FFFFFF"/>
            <w:vAlign w:val="center"/>
          </w:tcPr>
          <w:p w14:paraId="52DEA8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管网状态查询  </w:t>
            </w:r>
          </w:p>
        </w:tc>
        <w:tc>
          <w:tcPr>
            <w:tcW w:w="4272" w:type="dxa"/>
            <w:shd w:val="clear" w:color="auto" w:fill="FFFFFF"/>
            <w:vAlign w:val="center"/>
          </w:tcPr>
          <w:p w14:paraId="17EA2E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展示管网当前运行状态和运维人员巡检发现的管网隐患信息，可预警提醒</w:t>
            </w:r>
          </w:p>
        </w:tc>
        <w:tc>
          <w:tcPr>
            <w:tcW w:w="915" w:type="dxa"/>
            <w:gridSpan w:val="2"/>
            <w:shd w:val="clear" w:color="auto" w:fill="FFFFFF"/>
            <w:vAlign w:val="center"/>
          </w:tcPr>
          <w:p w14:paraId="5BE8D9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02BC59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D16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5CE28E7">
            <w:pPr>
              <w:jc w:val="left"/>
              <w:rPr>
                <w:rFonts w:hint="eastAsia" w:ascii="宋体" w:hAnsi="宋体" w:cs="宋体"/>
                <w:color w:val="000000"/>
                <w:sz w:val="18"/>
                <w:szCs w:val="18"/>
              </w:rPr>
            </w:pPr>
            <w:r>
              <w:rPr>
                <w:rFonts w:hint="eastAsia" w:ascii="宋体" w:hAnsi="宋体" w:cs="宋体"/>
                <w:color w:val="000000"/>
                <w:kern w:val="0"/>
                <w:sz w:val="18"/>
                <w:szCs w:val="18"/>
                <w:lang w:bidi="ar"/>
              </w:rPr>
              <w:t>3、运维管理一张图</w:t>
            </w:r>
          </w:p>
        </w:tc>
      </w:tr>
      <w:tr w14:paraId="3F2D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67741B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w:t>
            </w:r>
          </w:p>
        </w:tc>
        <w:tc>
          <w:tcPr>
            <w:tcW w:w="2205" w:type="dxa"/>
            <w:shd w:val="clear" w:color="auto" w:fill="FFFFFF"/>
            <w:vAlign w:val="center"/>
          </w:tcPr>
          <w:p w14:paraId="02CAA9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人员分布  </w:t>
            </w:r>
          </w:p>
        </w:tc>
        <w:tc>
          <w:tcPr>
            <w:tcW w:w="4272" w:type="dxa"/>
            <w:shd w:val="clear" w:color="auto" w:fill="FFFFFF"/>
            <w:vAlign w:val="center"/>
          </w:tcPr>
          <w:p w14:paraId="4C653E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结合定位功能，实时展示宁海县运维和巡查人员分布情况和当前位置</w:t>
            </w:r>
          </w:p>
        </w:tc>
        <w:tc>
          <w:tcPr>
            <w:tcW w:w="915" w:type="dxa"/>
            <w:gridSpan w:val="2"/>
            <w:shd w:val="clear" w:color="auto" w:fill="FFFFFF"/>
            <w:vAlign w:val="center"/>
          </w:tcPr>
          <w:p w14:paraId="4E5F7C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9F4B6D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055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55DDA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w:t>
            </w:r>
          </w:p>
        </w:tc>
        <w:tc>
          <w:tcPr>
            <w:tcW w:w="2205" w:type="dxa"/>
            <w:shd w:val="clear" w:color="auto" w:fill="FFFFFF"/>
            <w:vAlign w:val="center"/>
          </w:tcPr>
          <w:p w14:paraId="547223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水厂巡查状态  </w:t>
            </w:r>
          </w:p>
        </w:tc>
        <w:tc>
          <w:tcPr>
            <w:tcW w:w="4272" w:type="dxa"/>
            <w:shd w:val="clear" w:color="auto" w:fill="FFFFFF"/>
            <w:vAlign w:val="center"/>
          </w:tcPr>
          <w:p w14:paraId="4C1FBB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展示当前未巡查水厂的点位分布情况，并可一键提醒</w:t>
            </w:r>
          </w:p>
        </w:tc>
        <w:tc>
          <w:tcPr>
            <w:tcW w:w="915" w:type="dxa"/>
            <w:gridSpan w:val="2"/>
            <w:shd w:val="clear" w:color="auto" w:fill="FFFFFF"/>
            <w:vAlign w:val="center"/>
          </w:tcPr>
          <w:p w14:paraId="008C7B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A992F9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786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53EFB2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w:t>
            </w:r>
          </w:p>
        </w:tc>
        <w:tc>
          <w:tcPr>
            <w:tcW w:w="2205" w:type="dxa"/>
            <w:shd w:val="clear" w:color="auto" w:fill="FFFFFF"/>
            <w:vAlign w:val="center"/>
          </w:tcPr>
          <w:p w14:paraId="10901D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水厂运行状态  </w:t>
            </w:r>
          </w:p>
        </w:tc>
        <w:tc>
          <w:tcPr>
            <w:tcW w:w="4272" w:type="dxa"/>
            <w:shd w:val="clear" w:color="auto" w:fill="FFFFFF"/>
            <w:vAlign w:val="center"/>
          </w:tcPr>
          <w:p w14:paraId="1DC318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展示当前存在隐患的水厂分布情况及隐患信息</w:t>
            </w:r>
          </w:p>
        </w:tc>
        <w:tc>
          <w:tcPr>
            <w:tcW w:w="915" w:type="dxa"/>
            <w:gridSpan w:val="2"/>
            <w:shd w:val="clear" w:color="auto" w:fill="FFFFFF"/>
            <w:vAlign w:val="center"/>
          </w:tcPr>
          <w:p w14:paraId="111562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7E1018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70B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5BF2FC5">
            <w:pPr>
              <w:jc w:val="left"/>
              <w:rPr>
                <w:rFonts w:hint="eastAsia" w:ascii="宋体" w:hAnsi="宋体" w:cs="宋体"/>
                <w:color w:val="000000"/>
                <w:sz w:val="18"/>
                <w:szCs w:val="18"/>
              </w:rPr>
            </w:pPr>
            <w:r>
              <w:rPr>
                <w:rFonts w:hint="eastAsia" w:ascii="宋体" w:hAnsi="宋体" w:cs="宋体"/>
                <w:color w:val="000000"/>
                <w:kern w:val="0"/>
                <w:sz w:val="18"/>
                <w:szCs w:val="18"/>
                <w:lang w:bidi="ar"/>
              </w:rPr>
              <w:t>（五）供水移动端</w:t>
            </w:r>
          </w:p>
        </w:tc>
      </w:tr>
      <w:tr w14:paraId="1431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8FD1D31">
            <w:pPr>
              <w:jc w:val="left"/>
              <w:rPr>
                <w:rFonts w:hint="eastAsia" w:ascii="宋体" w:hAnsi="宋体" w:cs="宋体"/>
                <w:color w:val="000000"/>
                <w:sz w:val="18"/>
                <w:szCs w:val="18"/>
              </w:rPr>
            </w:pPr>
            <w:r>
              <w:rPr>
                <w:rFonts w:hint="eastAsia" w:ascii="宋体" w:hAnsi="宋体" w:cs="宋体"/>
                <w:color w:val="000000"/>
                <w:kern w:val="0"/>
                <w:sz w:val="18"/>
                <w:szCs w:val="18"/>
                <w:lang w:bidi="ar"/>
              </w:rPr>
              <w:t>1、供水管理小程序</w:t>
            </w:r>
          </w:p>
        </w:tc>
      </w:tr>
      <w:tr w14:paraId="54C2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159B570">
            <w:pPr>
              <w:jc w:val="left"/>
              <w:rPr>
                <w:rFonts w:hint="eastAsia" w:ascii="宋体" w:hAnsi="宋体" w:cs="宋体"/>
                <w:color w:val="000000"/>
                <w:sz w:val="18"/>
                <w:szCs w:val="18"/>
              </w:rPr>
            </w:pPr>
            <w:r>
              <w:rPr>
                <w:rFonts w:hint="eastAsia" w:ascii="宋体" w:hAnsi="宋体" w:cs="宋体"/>
                <w:color w:val="000000"/>
                <w:kern w:val="0"/>
                <w:sz w:val="18"/>
                <w:szCs w:val="18"/>
                <w:lang w:bidi="ar"/>
              </w:rPr>
              <w:t>1.1、水费收缴</w:t>
            </w:r>
          </w:p>
        </w:tc>
      </w:tr>
      <w:tr w14:paraId="10F2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1E4B88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w:t>
            </w:r>
          </w:p>
        </w:tc>
        <w:tc>
          <w:tcPr>
            <w:tcW w:w="2205" w:type="dxa"/>
            <w:shd w:val="clear" w:color="auto" w:fill="FFFFFF"/>
            <w:vAlign w:val="center"/>
          </w:tcPr>
          <w:p w14:paraId="03D717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人工水费录入  </w:t>
            </w:r>
          </w:p>
        </w:tc>
        <w:tc>
          <w:tcPr>
            <w:tcW w:w="4272" w:type="dxa"/>
            <w:shd w:val="clear" w:color="auto" w:fill="FFFFFF"/>
            <w:vAlign w:val="center"/>
          </w:tcPr>
          <w:p w14:paraId="563E5F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提供人工录入当前水表读数、用水量、应缴水费、实缴水费等信息的功能</w:t>
            </w:r>
          </w:p>
        </w:tc>
        <w:tc>
          <w:tcPr>
            <w:tcW w:w="915" w:type="dxa"/>
            <w:gridSpan w:val="2"/>
            <w:shd w:val="clear" w:color="auto" w:fill="FFFFFF"/>
            <w:vAlign w:val="center"/>
          </w:tcPr>
          <w:p w14:paraId="579630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2217DF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51C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B5940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w:t>
            </w:r>
          </w:p>
        </w:tc>
        <w:tc>
          <w:tcPr>
            <w:tcW w:w="2205" w:type="dxa"/>
            <w:shd w:val="clear" w:color="auto" w:fill="FFFFFF"/>
            <w:vAlign w:val="center"/>
          </w:tcPr>
          <w:p w14:paraId="6F3AED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水表自动识别  </w:t>
            </w:r>
          </w:p>
        </w:tc>
        <w:tc>
          <w:tcPr>
            <w:tcW w:w="4272" w:type="dxa"/>
            <w:shd w:val="clear" w:color="auto" w:fill="FFFFFF"/>
            <w:vAlign w:val="center"/>
          </w:tcPr>
          <w:p w14:paraId="18C03AB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提供水表读数的拍照上传和自动识别功能</w:t>
            </w:r>
          </w:p>
        </w:tc>
        <w:tc>
          <w:tcPr>
            <w:tcW w:w="915" w:type="dxa"/>
            <w:gridSpan w:val="2"/>
            <w:shd w:val="clear" w:color="auto" w:fill="FFFFFF"/>
            <w:vAlign w:val="center"/>
          </w:tcPr>
          <w:p w14:paraId="53AA0C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FDA899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D01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0B0F5D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w:t>
            </w:r>
          </w:p>
        </w:tc>
        <w:tc>
          <w:tcPr>
            <w:tcW w:w="2205" w:type="dxa"/>
            <w:shd w:val="clear" w:color="auto" w:fill="FFFFFF"/>
            <w:vAlign w:val="center"/>
          </w:tcPr>
          <w:p w14:paraId="207E9F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异常数据提醒  </w:t>
            </w:r>
          </w:p>
        </w:tc>
        <w:tc>
          <w:tcPr>
            <w:tcW w:w="4272" w:type="dxa"/>
            <w:shd w:val="clear" w:color="auto" w:fill="FFFFFF"/>
            <w:vAlign w:val="center"/>
          </w:tcPr>
          <w:p w14:paraId="16071F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根据历史水表读数，自动判断人工或是识别出来的水表读数是否正常，存在异常的，在界面上进行提醒</w:t>
            </w:r>
          </w:p>
        </w:tc>
        <w:tc>
          <w:tcPr>
            <w:tcW w:w="915" w:type="dxa"/>
            <w:gridSpan w:val="2"/>
            <w:shd w:val="clear" w:color="auto" w:fill="FFFFFF"/>
            <w:vAlign w:val="center"/>
          </w:tcPr>
          <w:p w14:paraId="600681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83D507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35F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F43ABEA">
            <w:pPr>
              <w:jc w:val="left"/>
              <w:rPr>
                <w:rFonts w:hint="eastAsia" w:ascii="宋体" w:hAnsi="宋体" w:cs="宋体"/>
                <w:color w:val="000000"/>
                <w:sz w:val="18"/>
                <w:szCs w:val="18"/>
              </w:rPr>
            </w:pPr>
            <w:r>
              <w:rPr>
                <w:rFonts w:hint="eastAsia" w:ascii="宋体" w:hAnsi="宋体" w:cs="宋体"/>
                <w:color w:val="000000"/>
                <w:kern w:val="0"/>
                <w:sz w:val="18"/>
                <w:szCs w:val="18"/>
                <w:lang w:bidi="ar"/>
              </w:rPr>
              <w:t>1.2、隐患处理</w:t>
            </w:r>
          </w:p>
        </w:tc>
      </w:tr>
      <w:tr w14:paraId="1A45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28503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w:t>
            </w:r>
          </w:p>
        </w:tc>
        <w:tc>
          <w:tcPr>
            <w:tcW w:w="2205" w:type="dxa"/>
            <w:shd w:val="clear" w:color="auto" w:fill="FFFFFF"/>
            <w:vAlign w:val="center"/>
          </w:tcPr>
          <w:p w14:paraId="33A917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隐患处理  </w:t>
            </w:r>
          </w:p>
        </w:tc>
        <w:tc>
          <w:tcPr>
            <w:tcW w:w="4272" w:type="dxa"/>
            <w:shd w:val="clear" w:color="auto" w:fill="FFFFFF"/>
            <w:vAlign w:val="center"/>
          </w:tcPr>
          <w:p w14:paraId="0FD842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提供巡查发现的隐患信息上报、分发、接收、处理信息反馈等全过程的移动在线管理功能。</w:t>
            </w:r>
          </w:p>
        </w:tc>
        <w:tc>
          <w:tcPr>
            <w:tcW w:w="915" w:type="dxa"/>
            <w:gridSpan w:val="2"/>
            <w:shd w:val="clear" w:color="auto" w:fill="FFFFFF"/>
            <w:vAlign w:val="center"/>
          </w:tcPr>
          <w:p w14:paraId="37EDC1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B8141D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C02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BB802FD">
            <w:pPr>
              <w:jc w:val="left"/>
              <w:rPr>
                <w:rFonts w:hint="eastAsia" w:ascii="宋体" w:hAnsi="宋体" w:cs="宋体"/>
                <w:color w:val="000000"/>
                <w:sz w:val="18"/>
                <w:szCs w:val="18"/>
              </w:rPr>
            </w:pPr>
            <w:r>
              <w:rPr>
                <w:rFonts w:hint="eastAsia" w:ascii="宋体" w:hAnsi="宋体" w:cs="宋体"/>
                <w:color w:val="000000"/>
                <w:kern w:val="0"/>
                <w:sz w:val="18"/>
                <w:szCs w:val="18"/>
                <w:lang w:bidi="ar"/>
              </w:rPr>
              <w:t>1.3、水厂基础信息</w:t>
            </w:r>
          </w:p>
        </w:tc>
      </w:tr>
      <w:tr w14:paraId="1D10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9CC43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w:t>
            </w:r>
          </w:p>
        </w:tc>
        <w:tc>
          <w:tcPr>
            <w:tcW w:w="2205" w:type="dxa"/>
            <w:shd w:val="clear" w:color="auto" w:fill="FFFFFF"/>
            <w:vAlign w:val="center"/>
          </w:tcPr>
          <w:p w14:paraId="2B6ED3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水厂基础信息  </w:t>
            </w:r>
          </w:p>
        </w:tc>
        <w:tc>
          <w:tcPr>
            <w:tcW w:w="4272" w:type="dxa"/>
            <w:shd w:val="clear" w:color="auto" w:fill="FFFFFF"/>
            <w:vAlign w:val="center"/>
          </w:tcPr>
          <w:p w14:paraId="15F622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提供水厂工程基础信息、管理单位信息、工程管理责任人等相关信息的查看功能。</w:t>
            </w:r>
          </w:p>
        </w:tc>
        <w:tc>
          <w:tcPr>
            <w:tcW w:w="915" w:type="dxa"/>
            <w:gridSpan w:val="2"/>
            <w:shd w:val="clear" w:color="auto" w:fill="FFFFFF"/>
            <w:vAlign w:val="center"/>
          </w:tcPr>
          <w:p w14:paraId="7FF4C4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01A8DF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B68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41001BD">
            <w:pPr>
              <w:jc w:val="left"/>
              <w:rPr>
                <w:rFonts w:hint="eastAsia" w:ascii="宋体" w:hAnsi="宋体" w:cs="宋体"/>
                <w:color w:val="000000"/>
                <w:sz w:val="18"/>
                <w:szCs w:val="18"/>
              </w:rPr>
            </w:pPr>
            <w:r>
              <w:rPr>
                <w:rFonts w:hint="eastAsia" w:ascii="宋体" w:hAnsi="宋体" w:cs="宋体"/>
                <w:color w:val="000000"/>
                <w:kern w:val="0"/>
                <w:sz w:val="18"/>
                <w:szCs w:val="18"/>
                <w:lang w:bidi="ar"/>
              </w:rPr>
              <w:t>1.4、水厂运行状态</w:t>
            </w:r>
          </w:p>
        </w:tc>
      </w:tr>
      <w:tr w14:paraId="3181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4564B5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w:t>
            </w:r>
          </w:p>
        </w:tc>
        <w:tc>
          <w:tcPr>
            <w:tcW w:w="2205" w:type="dxa"/>
            <w:shd w:val="clear" w:color="auto" w:fill="FFFFFF"/>
            <w:vAlign w:val="center"/>
          </w:tcPr>
          <w:p w14:paraId="346040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水厂运行状态  </w:t>
            </w:r>
          </w:p>
        </w:tc>
        <w:tc>
          <w:tcPr>
            <w:tcW w:w="4272" w:type="dxa"/>
            <w:shd w:val="clear" w:color="auto" w:fill="FFFFFF"/>
            <w:vAlign w:val="center"/>
          </w:tcPr>
          <w:p w14:paraId="0F0181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提供水厂供水状态的在线查看功能，如当前水厂是否正常供水、实时供水流量、当日累计供水量等信息。</w:t>
            </w:r>
          </w:p>
        </w:tc>
        <w:tc>
          <w:tcPr>
            <w:tcW w:w="915" w:type="dxa"/>
            <w:gridSpan w:val="2"/>
            <w:shd w:val="clear" w:color="auto" w:fill="FFFFFF"/>
            <w:vAlign w:val="center"/>
          </w:tcPr>
          <w:p w14:paraId="112750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E496DC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5C4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04F58D8">
            <w:pPr>
              <w:jc w:val="left"/>
              <w:rPr>
                <w:rFonts w:hint="eastAsia" w:ascii="宋体" w:hAnsi="宋体" w:cs="宋体"/>
                <w:color w:val="000000"/>
                <w:sz w:val="18"/>
                <w:szCs w:val="18"/>
              </w:rPr>
            </w:pPr>
            <w:r>
              <w:rPr>
                <w:rFonts w:hint="eastAsia" w:ascii="宋体" w:hAnsi="宋体" w:cs="宋体"/>
                <w:color w:val="000000"/>
                <w:kern w:val="0"/>
                <w:sz w:val="18"/>
                <w:szCs w:val="18"/>
                <w:lang w:bidi="ar"/>
              </w:rPr>
              <w:t>1.5、水质信息查询</w:t>
            </w:r>
          </w:p>
        </w:tc>
      </w:tr>
      <w:tr w14:paraId="7F1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0F36F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w:t>
            </w:r>
          </w:p>
        </w:tc>
        <w:tc>
          <w:tcPr>
            <w:tcW w:w="2205" w:type="dxa"/>
            <w:shd w:val="clear" w:color="auto" w:fill="FFFFFF"/>
            <w:vAlign w:val="center"/>
          </w:tcPr>
          <w:p w14:paraId="78F45E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水质信息查询  </w:t>
            </w:r>
          </w:p>
        </w:tc>
        <w:tc>
          <w:tcPr>
            <w:tcW w:w="4272" w:type="dxa"/>
            <w:shd w:val="clear" w:color="auto" w:fill="FFFFFF"/>
            <w:vAlign w:val="center"/>
          </w:tcPr>
          <w:p w14:paraId="0FFEB4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提供城乡供水水厂水质抽检数据、实时水质监测数据的在线查看功能。</w:t>
            </w:r>
          </w:p>
        </w:tc>
        <w:tc>
          <w:tcPr>
            <w:tcW w:w="915" w:type="dxa"/>
            <w:gridSpan w:val="2"/>
            <w:shd w:val="clear" w:color="auto" w:fill="FFFFFF"/>
            <w:vAlign w:val="center"/>
          </w:tcPr>
          <w:p w14:paraId="602354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881D55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645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AD537AF">
            <w:pPr>
              <w:jc w:val="left"/>
              <w:rPr>
                <w:rFonts w:hint="eastAsia" w:ascii="宋体" w:hAnsi="宋体" w:cs="宋体"/>
                <w:color w:val="000000"/>
                <w:sz w:val="18"/>
                <w:szCs w:val="18"/>
              </w:rPr>
            </w:pPr>
            <w:r>
              <w:rPr>
                <w:rFonts w:hint="eastAsia" w:ascii="宋体" w:hAnsi="宋体" w:cs="宋体"/>
                <w:color w:val="000000"/>
                <w:kern w:val="0"/>
                <w:sz w:val="18"/>
                <w:szCs w:val="18"/>
                <w:lang w:bidi="ar"/>
              </w:rPr>
              <w:t>2、供水服务小程序</w:t>
            </w:r>
          </w:p>
        </w:tc>
      </w:tr>
      <w:tr w14:paraId="7D18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1D812D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w:t>
            </w:r>
          </w:p>
        </w:tc>
        <w:tc>
          <w:tcPr>
            <w:tcW w:w="2205" w:type="dxa"/>
            <w:shd w:val="clear" w:color="auto" w:fill="FFFFFF"/>
            <w:vAlign w:val="center"/>
          </w:tcPr>
          <w:p w14:paraId="414C1C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我的水厂（站）  </w:t>
            </w:r>
          </w:p>
        </w:tc>
        <w:tc>
          <w:tcPr>
            <w:tcW w:w="4272" w:type="dxa"/>
            <w:shd w:val="clear" w:color="auto" w:fill="FFFFFF"/>
            <w:vAlign w:val="center"/>
          </w:tcPr>
          <w:p w14:paraId="55C622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提供水厂（站）名称、地址、规模、类型、供水水源、管理单位、管理人员及人员联系方式等基础信息查询功能。</w:t>
            </w:r>
          </w:p>
        </w:tc>
        <w:tc>
          <w:tcPr>
            <w:tcW w:w="915" w:type="dxa"/>
            <w:gridSpan w:val="2"/>
            <w:shd w:val="clear" w:color="auto" w:fill="FFFFFF"/>
            <w:vAlign w:val="center"/>
          </w:tcPr>
          <w:p w14:paraId="200C68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FB9504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DA7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E5A72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w:t>
            </w:r>
          </w:p>
        </w:tc>
        <w:tc>
          <w:tcPr>
            <w:tcW w:w="2205" w:type="dxa"/>
            <w:shd w:val="clear" w:color="auto" w:fill="FFFFFF"/>
            <w:vAlign w:val="center"/>
          </w:tcPr>
          <w:p w14:paraId="1F5FCB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供水服务热线  </w:t>
            </w:r>
          </w:p>
        </w:tc>
        <w:tc>
          <w:tcPr>
            <w:tcW w:w="4272" w:type="dxa"/>
            <w:shd w:val="clear" w:color="auto" w:fill="FFFFFF"/>
            <w:vAlign w:val="center"/>
          </w:tcPr>
          <w:p w14:paraId="0D207C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提供宁海县农村供水服务热线查询和在线拨号功能。</w:t>
            </w:r>
          </w:p>
        </w:tc>
        <w:tc>
          <w:tcPr>
            <w:tcW w:w="915" w:type="dxa"/>
            <w:gridSpan w:val="2"/>
            <w:shd w:val="clear" w:color="auto" w:fill="FFFFFF"/>
            <w:vAlign w:val="center"/>
          </w:tcPr>
          <w:p w14:paraId="15CAC3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9C46C8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286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3D0A9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w:t>
            </w:r>
          </w:p>
        </w:tc>
        <w:tc>
          <w:tcPr>
            <w:tcW w:w="2205" w:type="dxa"/>
            <w:shd w:val="clear" w:color="auto" w:fill="FFFFFF"/>
            <w:vAlign w:val="center"/>
          </w:tcPr>
          <w:p w14:paraId="5AC5EF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通知公告  </w:t>
            </w:r>
          </w:p>
        </w:tc>
        <w:tc>
          <w:tcPr>
            <w:tcW w:w="4272" w:type="dxa"/>
            <w:shd w:val="clear" w:color="auto" w:fill="FFFFFF"/>
            <w:vAlign w:val="center"/>
          </w:tcPr>
          <w:p w14:paraId="70AB5C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提供停复水通知、限时供水通知和其他供水相关的通知公告发布、查询功能。</w:t>
            </w:r>
          </w:p>
        </w:tc>
        <w:tc>
          <w:tcPr>
            <w:tcW w:w="915" w:type="dxa"/>
            <w:gridSpan w:val="2"/>
            <w:shd w:val="clear" w:color="auto" w:fill="FFFFFF"/>
            <w:vAlign w:val="center"/>
          </w:tcPr>
          <w:p w14:paraId="2E82AC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C2F379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87E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4AFC9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w:t>
            </w:r>
          </w:p>
        </w:tc>
        <w:tc>
          <w:tcPr>
            <w:tcW w:w="2205" w:type="dxa"/>
            <w:shd w:val="clear" w:color="auto" w:fill="FFFFFF"/>
            <w:vAlign w:val="center"/>
          </w:tcPr>
          <w:p w14:paraId="07FE2A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用水问题反馈  </w:t>
            </w:r>
          </w:p>
        </w:tc>
        <w:tc>
          <w:tcPr>
            <w:tcW w:w="4272" w:type="dxa"/>
            <w:shd w:val="clear" w:color="auto" w:fill="FFFFFF"/>
            <w:vAlign w:val="center"/>
          </w:tcPr>
          <w:p w14:paraId="539CDC6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提供用水户用水问题在线投诉反馈及反馈问题处理进展查询、结果查询和满意度评价等功能。</w:t>
            </w:r>
          </w:p>
        </w:tc>
        <w:tc>
          <w:tcPr>
            <w:tcW w:w="915" w:type="dxa"/>
            <w:gridSpan w:val="2"/>
            <w:shd w:val="clear" w:color="auto" w:fill="FFFFFF"/>
            <w:vAlign w:val="center"/>
          </w:tcPr>
          <w:p w14:paraId="644E3D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8BE8AB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C9F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C9E27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w:t>
            </w:r>
          </w:p>
        </w:tc>
        <w:tc>
          <w:tcPr>
            <w:tcW w:w="2205" w:type="dxa"/>
            <w:shd w:val="clear" w:color="auto" w:fill="FFFFFF"/>
            <w:vAlign w:val="center"/>
          </w:tcPr>
          <w:p w14:paraId="246F78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用水量查询  </w:t>
            </w:r>
          </w:p>
        </w:tc>
        <w:tc>
          <w:tcPr>
            <w:tcW w:w="4272" w:type="dxa"/>
            <w:shd w:val="clear" w:color="auto" w:fill="FFFFFF"/>
            <w:vAlign w:val="center"/>
          </w:tcPr>
          <w:p w14:paraId="2E6647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提供用水户按照缴费周期的用水量查询功能，并提供最大用水量、最小用水量分析服务功能。</w:t>
            </w:r>
          </w:p>
        </w:tc>
        <w:tc>
          <w:tcPr>
            <w:tcW w:w="915" w:type="dxa"/>
            <w:gridSpan w:val="2"/>
            <w:shd w:val="clear" w:color="auto" w:fill="FFFFFF"/>
            <w:vAlign w:val="center"/>
          </w:tcPr>
          <w:p w14:paraId="325644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31A943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FD5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1E256E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w:t>
            </w:r>
          </w:p>
        </w:tc>
        <w:tc>
          <w:tcPr>
            <w:tcW w:w="2205" w:type="dxa"/>
            <w:shd w:val="clear" w:color="auto" w:fill="FFFFFF"/>
            <w:vAlign w:val="center"/>
          </w:tcPr>
          <w:p w14:paraId="7C55F7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用水缴费  </w:t>
            </w:r>
          </w:p>
        </w:tc>
        <w:tc>
          <w:tcPr>
            <w:tcW w:w="4272" w:type="dxa"/>
            <w:shd w:val="clear" w:color="auto" w:fill="FFFFFF"/>
            <w:vAlign w:val="center"/>
          </w:tcPr>
          <w:p w14:paraId="1136DC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提供用水缴费的入口，通过该入口，用水户可直接跳转到微信生活缴费模块进行水费缴纳、缴费记录查询等。</w:t>
            </w:r>
          </w:p>
        </w:tc>
        <w:tc>
          <w:tcPr>
            <w:tcW w:w="915" w:type="dxa"/>
            <w:gridSpan w:val="2"/>
            <w:shd w:val="clear" w:color="auto" w:fill="FFFFFF"/>
            <w:vAlign w:val="center"/>
          </w:tcPr>
          <w:p w14:paraId="57725E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5FC3AF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1D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77" w:type="dxa"/>
            <w:gridSpan w:val="7"/>
            <w:shd w:val="clear" w:color="auto" w:fill="FFFFFF"/>
            <w:vAlign w:val="center"/>
          </w:tcPr>
          <w:p w14:paraId="3D19493A">
            <w:pPr>
              <w:jc w:val="left"/>
              <w:rPr>
                <w:rFonts w:hint="eastAsia" w:ascii="宋体" w:hAnsi="宋体" w:cs="宋体"/>
                <w:color w:val="000000"/>
                <w:sz w:val="18"/>
                <w:szCs w:val="18"/>
              </w:rPr>
            </w:pPr>
            <w:r>
              <w:rPr>
                <w:rFonts w:hint="eastAsia" w:ascii="宋体" w:hAnsi="宋体" w:cs="宋体"/>
                <w:color w:val="000000"/>
                <w:kern w:val="0"/>
                <w:sz w:val="18"/>
                <w:szCs w:val="18"/>
                <w:lang w:bidi="ar"/>
              </w:rPr>
              <w:t>3、供水服务管理</w:t>
            </w:r>
          </w:p>
        </w:tc>
      </w:tr>
      <w:tr w14:paraId="6DCB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E39CC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w:t>
            </w:r>
          </w:p>
        </w:tc>
        <w:tc>
          <w:tcPr>
            <w:tcW w:w="2205" w:type="dxa"/>
            <w:shd w:val="clear" w:color="auto" w:fill="FFFFFF"/>
            <w:vAlign w:val="center"/>
          </w:tcPr>
          <w:p w14:paraId="65E993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热线电话维护  </w:t>
            </w:r>
          </w:p>
        </w:tc>
        <w:tc>
          <w:tcPr>
            <w:tcW w:w="4272" w:type="dxa"/>
            <w:shd w:val="clear" w:color="auto" w:fill="FFFFFF"/>
            <w:vAlign w:val="center"/>
          </w:tcPr>
          <w:p w14:paraId="2C6AE5C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提供后台供水热线电话维护功能，实时同步信息到移动端应用</w:t>
            </w:r>
          </w:p>
        </w:tc>
        <w:tc>
          <w:tcPr>
            <w:tcW w:w="915" w:type="dxa"/>
            <w:gridSpan w:val="2"/>
            <w:shd w:val="clear" w:color="auto" w:fill="FFFFFF"/>
            <w:vAlign w:val="center"/>
          </w:tcPr>
          <w:p w14:paraId="5CA04C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9CAF4A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74B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ECD0D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w:t>
            </w:r>
          </w:p>
        </w:tc>
        <w:tc>
          <w:tcPr>
            <w:tcW w:w="2205" w:type="dxa"/>
            <w:shd w:val="clear" w:color="auto" w:fill="FFFFFF"/>
            <w:vAlign w:val="center"/>
          </w:tcPr>
          <w:p w14:paraId="78B8323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供水通知维护  </w:t>
            </w:r>
          </w:p>
        </w:tc>
        <w:tc>
          <w:tcPr>
            <w:tcW w:w="4272" w:type="dxa"/>
            <w:shd w:val="clear" w:color="auto" w:fill="FFFFFF"/>
            <w:vAlign w:val="center"/>
          </w:tcPr>
          <w:p w14:paraId="2F20FF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提供供水相关通知公告的后台维护功能，可查询已发布的供水相关通知</w:t>
            </w:r>
          </w:p>
        </w:tc>
        <w:tc>
          <w:tcPr>
            <w:tcW w:w="915" w:type="dxa"/>
            <w:gridSpan w:val="2"/>
            <w:shd w:val="clear" w:color="auto" w:fill="FFFFFF"/>
            <w:vAlign w:val="center"/>
          </w:tcPr>
          <w:p w14:paraId="67FC99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3B25C8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4AC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7CC0B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w:t>
            </w:r>
          </w:p>
        </w:tc>
        <w:tc>
          <w:tcPr>
            <w:tcW w:w="2205" w:type="dxa"/>
            <w:shd w:val="clear" w:color="auto" w:fill="FFFFFF"/>
            <w:vAlign w:val="center"/>
          </w:tcPr>
          <w:p w14:paraId="72BAE5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供水问题处理  </w:t>
            </w:r>
          </w:p>
        </w:tc>
        <w:tc>
          <w:tcPr>
            <w:tcW w:w="4272" w:type="dxa"/>
            <w:shd w:val="clear" w:color="auto" w:fill="FFFFFF"/>
            <w:vAlign w:val="center"/>
          </w:tcPr>
          <w:p w14:paraId="4EF144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提供用水户供水反馈功能的集中查询、在线回复与处理功能，可查询历史反馈问题及处理情况</w:t>
            </w:r>
          </w:p>
        </w:tc>
        <w:tc>
          <w:tcPr>
            <w:tcW w:w="915" w:type="dxa"/>
            <w:gridSpan w:val="2"/>
            <w:shd w:val="clear" w:color="auto" w:fill="FFFFFF"/>
            <w:vAlign w:val="center"/>
          </w:tcPr>
          <w:p w14:paraId="3EB8F5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A0B2D0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BF1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579EF03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w:t>
            </w:r>
          </w:p>
        </w:tc>
        <w:tc>
          <w:tcPr>
            <w:tcW w:w="2205" w:type="dxa"/>
            <w:shd w:val="clear" w:color="auto" w:fill="FFFFFF"/>
            <w:vAlign w:val="center"/>
          </w:tcPr>
          <w:p w14:paraId="54C25C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水站信息维护  </w:t>
            </w:r>
          </w:p>
        </w:tc>
        <w:tc>
          <w:tcPr>
            <w:tcW w:w="4272" w:type="dxa"/>
            <w:shd w:val="clear" w:color="auto" w:fill="FFFFFF"/>
            <w:vAlign w:val="center"/>
          </w:tcPr>
          <w:p w14:paraId="6EF7AD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提供发布的水站信息维护功能和供水区域信息维护功能</w:t>
            </w:r>
          </w:p>
        </w:tc>
        <w:tc>
          <w:tcPr>
            <w:tcW w:w="915" w:type="dxa"/>
            <w:gridSpan w:val="2"/>
            <w:shd w:val="clear" w:color="auto" w:fill="FFFFFF"/>
            <w:vAlign w:val="center"/>
          </w:tcPr>
          <w:p w14:paraId="41F64A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8A0BBF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1F6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5A80C17">
            <w:pPr>
              <w:jc w:val="left"/>
              <w:rPr>
                <w:rFonts w:hint="eastAsia" w:ascii="宋体" w:hAnsi="宋体" w:cs="宋体"/>
                <w:color w:val="000000"/>
                <w:sz w:val="18"/>
                <w:szCs w:val="18"/>
              </w:rPr>
            </w:pPr>
            <w:r>
              <w:rPr>
                <w:rFonts w:hint="eastAsia" w:ascii="宋体" w:hAnsi="宋体" w:cs="宋体"/>
                <w:color w:val="000000"/>
                <w:kern w:val="0"/>
                <w:sz w:val="18"/>
                <w:szCs w:val="18"/>
                <w:lang w:bidi="ar"/>
              </w:rPr>
              <w:t>（六）相关系统对接</w:t>
            </w:r>
          </w:p>
        </w:tc>
      </w:tr>
      <w:tr w14:paraId="2354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64FDEE9B">
            <w:pPr>
              <w:jc w:val="left"/>
              <w:rPr>
                <w:rFonts w:hint="eastAsia" w:ascii="宋体" w:hAnsi="宋体" w:cs="宋体"/>
                <w:color w:val="000000"/>
                <w:sz w:val="18"/>
                <w:szCs w:val="18"/>
              </w:rPr>
            </w:pPr>
            <w:r>
              <w:rPr>
                <w:rFonts w:hint="eastAsia" w:ascii="宋体" w:hAnsi="宋体" w:cs="宋体"/>
                <w:color w:val="000000"/>
                <w:kern w:val="0"/>
                <w:sz w:val="18"/>
                <w:szCs w:val="18"/>
                <w:lang w:bidi="ar"/>
              </w:rPr>
              <w:t>1、与宁海县农饮水远程监控运维管理系统对接</w:t>
            </w:r>
          </w:p>
        </w:tc>
      </w:tr>
      <w:tr w14:paraId="1176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54AEA8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w:t>
            </w:r>
          </w:p>
        </w:tc>
        <w:tc>
          <w:tcPr>
            <w:tcW w:w="2205" w:type="dxa"/>
            <w:shd w:val="clear" w:color="auto" w:fill="FFFFFF"/>
            <w:vAlign w:val="center"/>
          </w:tcPr>
          <w:p w14:paraId="0BD0E8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视频集成接入  </w:t>
            </w:r>
          </w:p>
        </w:tc>
        <w:tc>
          <w:tcPr>
            <w:tcW w:w="4272" w:type="dxa"/>
            <w:shd w:val="clear" w:color="auto" w:fill="FFFFFF"/>
            <w:vAlign w:val="center"/>
          </w:tcPr>
          <w:p w14:paraId="6EE2A7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接入已有的部分农村供水视频监控数据，含接口对接费用</w:t>
            </w:r>
          </w:p>
        </w:tc>
        <w:tc>
          <w:tcPr>
            <w:tcW w:w="915" w:type="dxa"/>
            <w:gridSpan w:val="2"/>
            <w:shd w:val="clear" w:color="auto" w:fill="FFFFFF"/>
            <w:vAlign w:val="center"/>
          </w:tcPr>
          <w:p w14:paraId="4653A9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A7DC7E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676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F8845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w:t>
            </w:r>
          </w:p>
        </w:tc>
        <w:tc>
          <w:tcPr>
            <w:tcW w:w="2205" w:type="dxa"/>
            <w:shd w:val="clear" w:color="auto" w:fill="FFFFFF"/>
            <w:vAlign w:val="center"/>
          </w:tcPr>
          <w:p w14:paraId="6F448E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水质水量数据接入  </w:t>
            </w:r>
          </w:p>
        </w:tc>
        <w:tc>
          <w:tcPr>
            <w:tcW w:w="4272" w:type="dxa"/>
            <w:shd w:val="clear" w:color="auto" w:fill="FFFFFF"/>
            <w:vAlign w:val="center"/>
          </w:tcPr>
          <w:p w14:paraId="5E8CC5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接入已有的部分农村供水水质水量数据，含接口对接费用</w:t>
            </w:r>
          </w:p>
        </w:tc>
        <w:tc>
          <w:tcPr>
            <w:tcW w:w="915" w:type="dxa"/>
            <w:gridSpan w:val="2"/>
            <w:shd w:val="clear" w:color="auto" w:fill="FFFFFF"/>
            <w:vAlign w:val="center"/>
          </w:tcPr>
          <w:p w14:paraId="6C66EF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47F670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E92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E92FE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w:t>
            </w:r>
          </w:p>
        </w:tc>
        <w:tc>
          <w:tcPr>
            <w:tcW w:w="2205" w:type="dxa"/>
            <w:shd w:val="clear" w:color="auto" w:fill="FFFFFF"/>
            <w:vAlign w:val="center"/>
          </w:tcPr>
          <w:p w14:paraId="655771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设备信息接入  </w:t>
            </w:r>
          </w:p>
        </w:tc>
        <w:tc>
          <w:tcPr>
            <w:tcW w:w="4272" w:type="dxa"/>
            <w:shd w:val="clear" w:color="auto" w:fill="FFFFFF"/>
            <w:vAlign w:val="center"/>
          </w:tcPr>
          <w:p w14:paraId="76B202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接入系统已有的农村供水相关设备信息，含接口对接费用</w:t>
            </w:r>
          </w:p>
        </w:tc>
        <w:tc>
          <w:tcPr>
            <w:tcW w:w="915" w:type="dxa"/>
            <w:gridSpan w:val="2"/>
            <w:shd w:val="clear" w:color="auto" w:fill="FFFFFF"/>
            <w:vAlign w:val="center"/>
          </w:tcPr>
          <w:p w14:paraId="3B1D5B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2AD92F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BB6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0A79F43E">
            <w:pPr>
              <w:jc w:val="left"/>
              <w:rPr>
                <w:rFonts w:hint="eastAsia" w:ascii="宋体" w:hAnsi="宋体" w:cs="宋体"/>
                <w:color w:val="000000"/>
                <w:sz w:val="18"/>
                <w:szCs w:val="18"/>
              </w:rPr>
            </w:pPr>
            <w:r>
              <w:rPr>
                <w:rFonts w:hint="eastAsia" w:ascii="宋体" w:hAnsi="宋体" w:cs="宋体"/>
                <w:color w:val="000000"/>
                <w:kern w:val="0"/>
                <w:sz w:val="18"/>
                <w:szCs w:val="18"/>
                <w:lang w:bidi="ar"/>
              </w:rPr>
              <w:t>2、与宁海县水务集团智慧水务管理平台对接</w:t>
            </w:r>
          </w:p>
        </w:tc>
      </w:tr>
      <w:tr w14:paraId="47DE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B5E6E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w:t>
            </w:r>
          </w:p>
        </w:tc>
        <w:tc>
          <w:tcPr>
            <w:tcW w:w="2205" w:type="dxa"/>
            <w:shd w:val="clear" w:color="auto" w:fill="FFFFFF"/>
            <w:vAlign w:val="center"/>
          </w:tcPr>
          <w:p w14:paraId="46099B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农村供水信息推送  </w:t>
            </w:r>
          </w:p>
        </w:tc>
        <w:tc>
          <w:tcPr>
            <w:tcW w:w="4272" w:type="dxa"/>
            <w:shd w:val="clear" w:color="auto" w:fill="FFFFFF"/>
            <w:vAlign w:val="center"/>
          </w:tcPr>
          <w:p w14:paraId="0B9EB2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包括农饮水基础信息、实时水质、实时供水量等数据推送到水务集团</w:t>
            </w:r>
          </w:p>
        </w:tc>
        <w:tc>
          <w:tcPr>
            <w:tcW w:w="915" w:type="dxa"/>
            <w:gridSpan w:val="2"/>
            <w:shd w:val="clear" w:color="auto" w:fill="FFFFFF"/>
            <w:vAlign w:val="center"/>
          </w:tcPr>
          <w:p w14:paraId="003904C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985432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6C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688C95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w:t>
            </w:r>
          </w:p>
        </w:tc>
        <w:tc>
          <w:tcPr>
            <w:tcW w:w="2205" w:type="dxa"/>
            <w:shd w:val="clear" w:color="auto" w:fill="FFFFFF"/>
            <w:vAlign w:val="center"/>
          </w:tcPr>
          <w:p w14:paraId="33A188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城市水厂信息获取  </w:t>
            </w:r>
          </w:p>
        </w:tc>
        <w:tc>
          <w:tcPr>
            <w:tcW w:w="4272" w:type="dxa"/>
            <w:shd w:val="clear" w:color="auto" w:fill="FFFFFF"/>
            <w:vAlign w:val="center"/>
          </w:tcPr>
          <w:p w14:paraId="6C3520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获取城市水厂的实时供水量、供水水质等信息，对接智慧水务平台入口</w:t>
            </w:r>
          </w:p>
        </w:tc>
        <w:tc>
          <w:tcPr>
            <w:tcW w:w="915" w:type="dxa"/>
            <w:gridSpan w:val="2"/>
            <w:shd w:val="clear" w:color="auto" w:fill="FFFFFF"/>
            <w:vAlign w:val="center"/>
          </w:tcPr>
          <w:p w14:paraId="73D8EA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052B4E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208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38C58AC6">
            <w:pPr>
              <w:jc w:val="left"/>
              <w:rPr>
                <w:rFonts w:hint="eastAsia" w:ascii="宋体" w:hAnsi="宋体" w:cs="宋体"/>
                <w:color w:val="000000"/>
                <w:sz w:val="18"/>
                <w:szCs w:val="18"/>
              </w:rPr>
            </w:pPr>
            <w:r>
              <w:rPr>
                <w:rFonts w:hint="eastAsia" w:ascii="宋体" w:hAnsi="宋体" w:cs="宋体"/>
                <w:color w:val="000000"/>
                <w:kern w:val="0"/>
                <w:sz w:val="18"/>
                <w:szCs w:val="18"/>
                <w:lang w:bidi="ar"/>
              </w:rPr>
              <w:t>3、与宁海县九龙联动治水平台对接</w:t>
            </w:r>
          </w:p>
        </w:tc>
      </w:tr>
      <w:tr w14:paraId="1C4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70AC9F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w:t>
            </w:r>
          </w:p>
        </w:tc>
        <w:tc>
          <w:tcPr>
            <w:tcW w:w="2205" w:type="dxa"/>
            <w:shd w:val="clear" w:color="auto" w:fill="FFFFFF"/>
            <w:vAlign w:val="center"/>
          </w:tcPr>
          <w:p w14:paraId="14CF44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与宁海县九龙联动治水平台对接  </w:t>
            </w:r>
          </w:p>
        </w:tc>
        <w:tc>
          <w:tcPr>
            <w:tcW w:w="4272" w:type="dxa"/>
            <w:shd w:val="clear" w:color="auto" w:fill="FFFFFF"/>
            <w:vAlign w:val="center"/>
          </w:tcPr>
          <w:p w14:paraId="5E8212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完成平台统一用户认证、统一人员权限和统一门户管理，实现通过宁海县九龙联动治水平台的快捷登录</w:t>
            </w:r>
          </w:p>
        </w:tc>
        <w:tc>
          <w:tcPr>
            <w:tcW w:w="915" w:type="dxa"/>
            <w:gridSpan w:val="2"/>
            <w:shd w:val="clear" w:color="auto" w:fill="FFFFFF"/>
            <w:vAlign w:val="center"/>
          </w:tcPr>
          <w:p w14:paraId="0F8A7A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9DFAF4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A1E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6DCC52FA">
            <w:pPr>
              <w:jc w:val="left"/>
              <w:rPr>
                <w:rFonts w:hint="eastAsia" w:ascii="宋体" w:hAnsi="宋体" w:cs="宋体"/>
                <w:color w:val="000000"/>
                <w:sz w:val="18"/>
                <w:szCs w:val="18"/>
              </w:rPr>
            </w:pPr>
            <w:r>
              <w:rPr>
                <w:rFonts w:hint="eastAsia" w:ascii="宋体" w:hAnsi="宋体" w:cs="宋体"/>
                <w:color w:val="000000"/>
                <w:kern w:val="0"/>
                <w:sz w:val="18"/>
                <w:szCs w:val="18"/>
                <w:lang w:bidi="ar"/>
              </w:rPr>
              <w:t>4、与宁波市智慧水利平台对接</w:t>
            </w:r>
          </w:p>
        </w:tc>
      </w:tr>
      <w:tr w14:paraId="6C9B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381C6D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w:t>
            </w:r>
          </w:p>
        </w:tc>
        <w:tc>
          <w:tcPr>
            <w:tcW w:w="2205" w:type="dxa"/>
            <w:shd w:val="clear" w:color="auto" w:fill="FFFFFF"/>
            <w:vAlign w:val="center"/>
          </w:tcPr>
          <w:p w14:paraId="0F571A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与宁波市智慧水利平台对接  </w:t>
            </w:r>
          </w:p>
        </w:tc>
        <w:tc>
          <w:tcPr>
            <w:tcW w:w="4272" w:type="dxa"/>
            <w:shd w:val="clear" w:color="auto" w:fill="FFFFFF"/>
            <w:vAlign w:val="center"/>
          </w:tcPr>
          <w:p w14:paraId="5382A5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将城乡供水相关水质水量监测数据及其他相关基础数据，按照要求推送给宁波市智慧水利平台</w:t>
            </w:r>
          </w:p>
        </w:tc>
        <w:tc>
          <w:tcPr>
            <w:tcW w:w="915" w:type="dxa"/>
            <w:gridSpan w:val="2"/>
            <w:shd w:val="clear" w:color="auto" w:fill="FFFFFF"/>
            <w:vAlign w:val="center"/>
          </w:tcPr>
          <w:p w14:paraId="66F8C6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600838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3D1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3A0CC0ED">
            <w:pPr>
              <w:jc w:val="left"/>
              <w:rPr>
                <w:rFonts w:hint="eastAsia" w:ascii="宋体" w:hAnsi="宋体" w:cs="宋体"/>
                <w:color w:val="000000"/>
                <w:sz w:val="18"/>
                <w:szCs w:val="18"/>
              </w:rPr>
            </w:pPr>
            <w:r>
              <w:rPr>
                <w:rFonts w:hint="eastAsia" w:ascii="宋体" w:hAnsi="宋体" w:cs="宋体"/>
                <w:color w:val="000000"/>
                <w:kern w:val="0"/>
                <w:sz w:val="18"/>
                <w:szCs w:val="18"/>
                <w:lang w:bidi="ar"/>
              </w:rPr>
              <w:t>5、与省级浙水好喝应用进行对接</w:t>
            </w:r>
          </w:p>
        </w:tc>
      </w:tr>
      <w:tr w14:paraId="79C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6AAC1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w:t>
            </w:r>
          </w:p>
        </w:tc>
        <w:tc>
          <w:tcPr>
            <w:tcW w:w="2205" w:type="dxa"/>
            <w:shd w:val="clear" w:color="auto" w:fill="FFFFFF"/>
            <w:vAlign w:val="center"/>
          </w:tcPr>
          <w:p w14:paraId="3090EC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与省级浙水好喝应用进行对接  </w:t>
            </w:r>
          </w:p>
        </w:tc>
        <w:tc>
          <w:tcPr>
            <w:tcW w:w="4272" w:type="dxa"/>
            <w:shd w:val="clear" w:color="auto" w:fill="FFFFFF"/>
            <w:vAlign w:val="center"/>
          </w:tcPr>
          <w:p w14:paraId="3DB649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将浙水好喝应用所需的水厂水质水量监测数据按照规定的频次要求上报</w:t>
            </w:r>
          </w:p>
        </w:tc>
        <w:tc>
          <w:tcPr>
            <w:tcW w:w="915" w:type="dxa"/>
            <w:gridSpan w:val="2"/>
            <w:shd w:val="clear" w:color="auto" w:fill="FFFFFF"/>
            <w:vAlign w:val="center"/>
          </w:tcPr>
          <w:p w14:paraId="482188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C4A7D7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11B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365230B9">
            <w:pPr>
              <w:jc w:val="left"/>
              <w:rPr>
                <w:rFonts w:hint="eastAsia" w:ascii="宋体" w:hAnsi="宋体" w:cs="宋体"/>
                <w:color w:val="000000"/>
                <w:sz w:val="18"/>
                <w:szCs w:val="18"/>
              </w:rPr>
            </w:pPr>
            <w:r>
              <w:rPr>
                <w:rFonts w:hint="eastAsia" w:ascii="宋体" w:hAnsi="宋体" w:cs="宋体"/>
                <w:color w:val="000000"/>
                <w:kern w:val="0"/>
                <w:sz w:val="18"/>
                <w:szCs w:val="18"/>
                <w:lang w:bidi="ar"/>
              </w:rPr>
              <w:t>6、与省级浙水好喝应用进行对接</w:t>
            </w:r>
          </w:p>
        </w:tc>
      </w:tr>
      <w:tr w14:paraId="3E63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12C46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w:t>
            </w:r>
          </w:p>
        </w:tc>
        <w:tc>
          <w:tcPr>
            <w:tcW w:w="2205" w:type="dxa"/>
            <w:shd w:val="clear" w:color="auto" w:fill="FFFFFF"/>
            <w:vAlign w:val="center"/>
          </w:tcPr>
          <w:p w14:paraId="72F861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用水信息推送  </w:t>
            </w:r>
          </w:p>
        </w:tc>
        <w:tc>
          <w:tcPr>
            <w:tcW w:w="4272" w:type="dxa"/>
            <w:shd w:val="clear" w:color="auto" w:fill="FFFFFF"/>
            <w:vAlign w:val="center"/>
          </w:tcPr>
          <w:p w14:paraId="578638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将用水户姓名、户号、用水量、应交水费等用水数据同步给微信</w:t>
            </w:r>
          </w:p>
        </w:tc>
        <w:tc>
          <w:tcPr>
            <w:tcW w:w="915" w:type="dxa"/>
            <w:gridSpan w:val="2"/>
            <w:shd w:val="clear" w:color="auto" w:fill="FFFFFF"/>
            <w:vAlign w:val="center"/>
          </w:tcPr>
          <w:p w14:paraId="3D2107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8102BF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03F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C2D0A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p>
        </w:tc>
        <w:tc>
          <w:tcPr>
            <w:tcW w:w="2205" w:type="dxa"/>
            <w:shd w:val="clear" w:color="auto" w:fill="FFFFFF"/>
            <w:vAlign w:val="center"/>
          </w:tcPr>
          <w:p w14:paraId="70C94E3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缴费信息同步  </w:t>
            </w:r>
          </w:p>
        </w:tc>
        <w:tc>
          <w:tcPr>
            <w:tcW w:w="4272" w:type="dxa"/>
            <w:shd w:val="clear" w:color="auto" w:fill="FFFFFF"/>
            <w:vAlign w:val="center"/>
          </w:tcPr>
          <w:p w14:paraId="6808F8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同步获取微信实缴水费数额、缴费方式、缴费时间、缴费人员等数据</w:t>
            </w:r>
          </w:p>
        </w:tc>
        <w:tc>
          <w:tcPr>
            <w:tcW w:w="915" w:type="dxa"/>
            <w:gridSpan w:val="2"/>
            <w:shd w:val="clear" w:color="auto" w:fill="FFFFFF"/>
            <w:vAlign w:val="center"/>
          </w:tcPr>
          <w:p w14:paraId="1762D8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F7119C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814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13806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w:t>
            </w:r>
          </w:p>
        </w:tc>
        <w:tc>
          <w:tcPr>
            <w:tcW w:w="2205" w:type="dxa"/>
            <w:shd w:val="clear" w:color="auto" w:fill="FFFFFF"/>
            <w:vAlign w:val="center"/>
          </w:tcPr>
          <w:p w14:paraId="50A385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缴费功能开通  </w:t>
            </w:r>
          </w:p>
        </w:tc>
        <w:tc>
          <w:tcPr>
            <w:tcW w:w="4272" w:type="dxa"/>
            <w:shd w:val="clear" w:color="auto" w:fill="FFFFFF"/>
            <w:vAlign w:val="center"/>
          </w:tcPr>
          <w:p w14:paraId="57840A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对接开通宁海农饮水微信缴费功能，实现在线缴费</w:t>
            </w:r>
          </w:p>
        </w:tc>
        <w:tc>
          <w:tcPr>
            <w:tcW w:w="915" w:type="dxa"/>
            <w:gridSpan w:val="2"/>
            <w:shd w:val="clear" w:color="auto" w:fill="FFFFFF"/>
            <w:vAlign w:val="center"/>
          </w:tcPr>
          <w:p w14:paraId="1258B5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401E28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0CE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925AA26">
            <w:pPr>
              <w:jc w:val="left"/>
              <w:rPr>
                <w:rFonts w:hint="eastAsia" w:ascii="宋体" w:hAnsi="宋体" w:cs="宋体"/>
                <w:color w:val="000000"/>
                <w:sz w:val="18"/>
                <w:szCs w:val="18"/>
              </w:rPr>
            </w:pPr>
            <w:r>
              <w:rPr>
                <w:rFonts w:hint="eastAsia" w:ascii="宋体" w:hAnsi="宋体" w:cs="宋体"/>
                <w:b w:val="0"/>
                <w:bCs w:val="0"/>
                <w:color w:val="000000"/>
                <w:sz w:val="18"/>
                <w:szCs w:val="18"/>
              </w:rPr>
              <w:t>水资源监测预报应用</w:t>
            </w:r>
          </w:p>
        </w:tc>
      </w:tr>
      <w:tr w14:paraId="647D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0B79840">
            <w:pPr>
              <w:jc w:val="left"/>
              <w:rPr>
                <w:rFonts w:hint="eastAsia" w:ascii="宋体" w:hAnsi="宋体" w:cs="宋体"/>
                <w:color w:val="000000"/>
                <w:sz w:val="18"/>
                <w:szCs w:val="18"/>
              </w:rPr>
            </w:pPr>
            <w:r>
              <w:rPr>
                <w:rFonts w:hint="eastAsia" w:ascii="宋体" w:hAnsi="宋体" w:cs="宋体"/>
                <w:color w:val="000000"/>
                <w:kern w:val="0"/>
                <w:sz w:val="18"/>
                <w:szCs w:val="18"/>
                <w:lang w:bidi="ar"/>
              </w:rPr>
              <w:t>（一）水资源大屏</w:t>
            </w:r>
          </w:p>
        </w:tc>
      </w:tr>
      <w:tr w14:paraId="19A5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00" w:type="dxa"/>
            <w:shd w:val="clear" w:color="auto" w:fill="FFFFFF"/>
            <w:vAlign w:val="center"/>
          </w:tcPr>
          <w:p w14:paraId="0FABAF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205" w:type="dxa"/>
            <w:shd w:val="clear" w:color="auto" w:fill="FFFFFF"/>
            <w:vAlign w:val="center"/>
          </w:tcPr>
          <w:p w14:paraId="2A2350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雨情信息  </w:t>
            </w:r>
          </w:p>
        </w:tc>
        <w:tc>
          <w:tcPr>
            <w:tcW w:w="4272" w:type="dxa"/>
            <w:shd w:val="clear" w:color="auto" w:fill="FFFFFF"/>
            <w:vAlign w:val="center"/>
          </w:tcPr>
          <w:p w14:paraId="5571BB4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水文、气象实测降雨数据（分钟级）并落图展示，支持分区域、流域或站点以柱状图、降雨分布图形式对1小时、3小时、6小时、12小时、24小时等不同时段雨情统计展示，支持点击地图图标，查看实时雨量和降雨过程。</w:t>
            </w:r>
          </w:p>
        </w:tc>
        <w:tc>
          <w:tcPr>
            <w:tcW w:w="915" w:type="dxa"/>
            <w:gridSpan w:val="2"/>
            <w:shd w:val="clear" w:color="auto" w:fill="FFFFFF"/>
            <w:vAlign w:val="center"/>
          </w:tcPr>
          <w:p w14:paraId="55C2E6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5868D9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5F1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00" w:type="dxa"/>
            <w:shd w:val="clear" w:color="auto" w:fill="FFFFFF"/>
            <w:vAlign w:val="center"/>
          </w:tcPr>
          <w:p w14:paraId="58422C6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205" w:type="dxa"/>
            <w:shd w:val="clear" w:color="auto" w:fill="FFFFFF"/>
            <w:vAlign w:val="center"/>
          </w:tcPr>
          <w:p w14:paraId="070184C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水位信息  </w:t>
            </w:r>
          </w:p>
        </w:tc>
        <w:tc>
          <w:tcPr>
            <w:tcW w:w="4272" w:type="dxa"/>
            <w:shd w:val="clear" w:color="auto" w:fill="FFFFFF"/>
            <w:vAlign w:val="center"/>
          </w:tcPr>
          <w:p w14:paraId="62066FC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并落图展示水库水位、江河水位实时数据，列表展示江河实时水位、水位趋势和超警戒、超保证状态，统计展示水库实时水位、实时库容和蓄水率。支持点击地图图标，查看实时江河水位、水库水位和水位过程详情。</w:t>
            </w:r>
          </w:p>
        </w:tc>
        <w:tc>
          <w:tcPr>
            <w:tcW w:w="915" w:type="dxa"/>
            <w:gridSpan w:val="2"/>
            <w:shd w:val="clear" w:color="auto" w:fill="FFFFFF"/>
            <w:vAlign w:val="center"/>
          </w:tcPr>
          <w:p w14:paraId="4FB26F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FD020B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C27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0" w:type="dxa"/>
            <w:shd w:val="clear" w:color="auto" w:fill="FFFFFF"/>
            <w:vAlign w:val="center"/>
          </w:tcPr>
          <w:p w14:paraId="73C2A3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205" w:type="dxa"/>
            <w:shd w:val="clear" w:color="auto" w:fill="FFFFFF"/>
            <w:vAlign w:val="center"/>
          </w:tcPr>
          <w:p w14:paraId="752C08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风险预警  </w:t>
            </w:r>
          </w:p>
        </w:tc>
        <w:tc>
          <w:tcPr>
            <w:tcW w:w="4272" w:type="dxa"/>
            <w:shd w:val="clear" w:color="auto" w:fill="FFFFFF"/>
            <w:vAlign w:val="center"/>
          </w:tcPr>
          <w:p w14:paraId="1F1043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接入水库来水预报、水位超警戒/汛限、测站雨量超警等各类风险预警信息，统计并落图展示，支持点击地图图标查看预警详情。</w:t>
            </w:r>
          </w:p>
        </w:tc>
        <w:tc>
          <w:tcPr>
            <w:tcW w:w="915" w:type="dxa"/>
            <w:gridSpan w:val="2"/>
            <w:shd w:val="clear" w:color="auto" w:fill="FFFFFF"/>
            <w:vAlign w:val="center"/>
          </w:tcPr>
          <w:p w14:paraId="7C680F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A6D4C2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519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0" w:type="dxa"/>
            <w:shd w:val="clear" w:color="auto" w:fill="FFFFFF"/>
            <w:vAlign w:val="center"/>
          </w:tcPr>
          <w:p w14:paraId="197D6D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205" w:type="dxa"/>
            <w:shd w:val="clear" w:color="auto" w:fill="FFFFFF"/>
            <w:vAlign w:val="center"/>
          </w:tcPr>
          <w:p w14:paraId="06292F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重要视频  </w:t>
            </w:r>
          </w:p>
        </w:tc>
        <w:tc>
          <w:tcPr>
            <w:tcW w:w="4272" w:type="dxa"/>
            <w:shd w:val="clear" w:color="auto" w:fill="FFFFFF"/>
            <w:vAlign w:val="center"/>
          </w:tcPr>
          <w:p w14:paraId="3C5435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接入声光电设备、水库和主要河段实时监控视频点并落图展示，支持点击视频点图标查看实时监控画面。</w:t>
            </w:r>
          </w:p>
        </w:tc>
        <w:tc>
          <w:tcPr>
            <w:tcW w:w="915" w:type="dxa"/>
            <w:gridSpan w:val="2"/>
            <w:shd w:val="clear" w:color="auto" w:fill="FFFFFF"/>
            <w:vAlign w:val="center"/>
          </w:tcPr>
          <w:p w14:paraId="01FFAE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D914ED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D46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822664D">
            <w:pPr>
              <w:jc w:val="left"/>
              <w:rPr>
                <w:rFonts w:hint="eastAsia" w:ascii="宋体" w:hAnsi="宋体" w:cs="宋体"/>
                <w:color w:val="000000"/>
                <w:sz w:val="18"/>
                <w:szCs w:val="18"/>
              </w:rPr>
            </w:pPr>
            <w:r>
              <w:rPr>
                <w:rFonts w:hint="eastAsia" w:ascii="宋体" w:hAnsi="宋体" w:cs="宋体"/>
                <w:color w:val="000000"/>
                <w:kern w:val="0"/>
                <w:sz w:val="18"/>
                <w:szCs w:val="18"/>
                <w:lang w:bidi="ar"/>
              </w:rPr>
              <w:t>（二）应用系统</w:t>
            </w:r>
          </w:p>
        </w:tc>
      </w:tr>
      <w:tr w14:paraId="6A43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DAA884B">
            <w:pPr>
              <w:jc w:val="left"/>
              <w:rPr>
                <w:rFonts w:hint="eastAsia" w:ascii="宋体" w:hAnsi="宋体" w:cs="宋体"/>
                <w:color w:val="000000"/>
                <w:sz w:val="18"/>
                <w:szCs w:val="18"/>
              </w:rPr>
            </w:pPr>
            <w:r>
              <w:rPr>
                <w:rFonts w:hint="eastAsia" w:ascii="宋体" w:hAnsi="宋体" w:cs="宋体"/>
                <w:color w:val="000000"/>
                <w:kern w:val="0"/>
                <w:sz w:val="18"/>
                <w:szCs w:val="18"/>
                <w:lang w:bidi="ar"/>
              </w:rPr>
              <w:t>1、综合首页</w:t>
            </w:r>
          </w:p>
        </w:tc>
      </w:tr>
      <w:tr w14:paraId="4DB0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BABBD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205" w:type="dxa"/>
            <w:shd w:val="clear" w:color="auto" w:fill="FFFFFF"/>
            <w:vAlign w:val="center"/>
          </w:tcPr>
          <w:p w14:paraId="0C3FC8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预警总览  </w:t>
            </w:r>
          </w:p>
        </w:tc>
        <w:tc>
          <w:tcPr>
            <w:tcW w:w="4272" w:type="dxa"/>
            <w:shd w:val="clear" w:color="auto" w:fill="FFFFFF"/>
            <w:vAlign w:val="center"/>
          </w:tcPr>
          <w:p w14:paraId="5104265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展示当前雨情超警、河道超警/超保、水库超汛、水库放水、现地预警等预警统计情况。</w:t>
            </w:r>
          </w:p>
        </w:tc>
        <w:tc>
          <w:tcPr>
            <w:tcW w:w="915" w:type="dxa"/>
            <w:gridSpan w:val="2"/>
            <w:shd w:val="clear" w:color="auto" w:fill="FFFFFF"/>
            <w:vAlign w:val="center"/>
          </w:tcPr>
          <w:p w14:paraId="57DDDE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2C3277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FF2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124118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2205" w:type="dxa"/>
            <w:shd w:val="clear" w:color="auto" w:fill="FFFFFF"/>
            <w:vAlign w:val="center"/>
          </w:tcPr>
          <w:p w14:paraId="5E58F5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雨情信息  </w:t>
            </w:r>
          </w:p>
        </w:tc>
        <w:tc>
          <w:tcPr>
            <w:tcW w:w="4272" w:type="dxa"/>
            <w:shd w:val="clear" w:color="auto" w:fill="FFFFFF"/>
            <w:vAlign w:val="center"/>
          </w:tcPr>
          <w:p w14:paraId="56424E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统计展示近1、3、6、12、24、48小时不同降雨时段全县各站累计降雨情况，生成全县降雨等值面图</w:t>
            </w:r>
          </w:p>
        </w:tc>
        <w:tc>
          <w:tcPr>
            <w:tcW w:w="915" w:type="dxa"/>
            <w:gridSpan w:val="2"/>
            <w:shd w:val="clear" w:color="auto" w:fill="FFFFFF"/>
            <w:vAlign w:val="center"/>
          </w:tcPr>
          <w:p w14:paraId="11B503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BB2211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048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039DB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205" w:type="dxa"/>
            <w:shd w:val="clear" w:color="auto" w:fill="FFFFFF"/>
            <w:vAlign w:val="center"/>
          </w:tcPr>
          <w:p w14:paraId="14FA80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水情信息  </w:t>
            </w:r>
          </w:p>
        </w:tc>
        <w:tc>
          <w:tcPr>
            <w:tcW w:w="4272" w:type="dxa"/>
            <w:shd w:val="clear" w:color="auto" w:fill="FFFFFF"/>
            <w:vAlign w:val="center"/>
          </w:tcPr>
          <w:p w14:paraId="000A5D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统计展示全县各河道、水库、潮位站实时水位及超警/超保、超汛情况</w:t>
            </w:r>
          </w:p>
        </w:tc>
        <w:tc>
          <w:tcPr>
            <w:tcW w:w="915" w:type="dxa"/>
            <w:gridSpan w:val="2"/>
            <w:shd w:val="clear" w:color="auto" w:fill="FFFFFF"/>
            <w:vAlign w:val="center"/>
          </w:tcPr>
          <w:p w14:paraId="476B36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59536A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A0C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80DA1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2205" w:type="dxa"/>
            <w:shd w:val="clear" w:color="auto" w:fill="FFFFFF"/>
            <w:vAlign w:val="center"/>
          </w:tcPr>
          <w:p w14:paraId="6B71B4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预警发布  </w:t>
            </w:r>
          </w:p>
        </w:tc>
        <w:tc>
          <w:tcPr>
            <w:tcW w:w="4272" w:type="dxa"/>
            <w:shd w:val="clear" w:color="auto" w:fill="FFFFFF"/>
            <w:vAlign w:val="center"/>
          </w:tcPr>
          <w:p w14:paraId="7A4399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同步气象预警、水库放水预警等预警发布信息，支持查看预警详情内容</w:t>
            </w:r>
          </w:p>
        </w:tc>
        <w:tc>
          <w:tcPr>
            <w:tcW w:w="915" w:type="dxa"/>
            <w:gridSpan w:val="2"/>
            <w:shd w:val="clear" w:color="auto" w:fill="FFFFFF"/>
            <w:vAlign w:val="center"/>
          </w:tcPr>
          <w:p w14:paraId="1BAEDC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FF5E42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9C1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8C964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2205" w:type="dxa"/>
            <w:shd w:val="clear" w:color="auto" w:fill="FFFFFF"/>
            <w:vAlign w:val="center"/>
          </w:tcPr>
          <w:p w14:paraId="209768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降雨预报  </w:t>
            </w:r>
          </w:p>
        </w:tc>
        <w:tc>
          <w:tcPr>
            <w:tcW w:w="4272" w:type="dxa"/>
            <w:shd w:val="clear" w:color="auto" w:fill="FFFFFF"/>
            <w:vAlign w:val="center"/>
          </w:tcPr>
          <w:p w14:paraId="7FF10C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接入气象降雨预报网格数据，支持查看未来1小时、3小时、未来1日、2日、3日预报降雨分布情况</w:t>
            </w:r>
          </w:p>
        </w:tc>
        <w:tc>
          <w:tcPr>
            <w:tcW w:w="915" w:type="dxa"/>
            <w:gridSpan w:val="2"/>
            <w:shd w:val="clear" w:color="auto" w:fill="FFFFFF"/>
            <w:vAlign w:val="center"/>
          </w:tcPr>
          <w:p w14:paraId="7BE15F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7E01CB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885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70D83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2205" w:type="dxa"/>
            <w:shd w:val="clear" w:color="auto" w:fill="FFFFFF"/>
            <w:vAlign w:val="center"/>
          </w:tcPr>
          <w:p w14:paraId="41B039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气象信息  </w:t>
            </w:r>
          </w:p>
        </w:tc>
        <w:tc>
          <w:tcPr>
            <w:tcW w:w="4272" w:type="dxa"/>
            <w:shd w:val="clear" w:color="auto" w:fill="FFFFFF"/>
            <w:vAlign w:val="center"/>
          </w:tcPr>
          <w:p w14:paraId="0BE405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支持查看实时台风路径、卫星云图、气象雷达数据</w:t>
            </w:r>
          </w:p>
        </w:tc>
        <w:tc>
          <w:tcPr>
            <w:tcW w:w="915" w:type="dxa"/>
            <w:gridSpan w:val="2"/>
            <w:shd w:val="clear" w:color="auto" w:fill="FFFFFF"/>
            <w:vAlign w:val="center"/>
          </w:tcPr>
          <w:p w14:paraId="4C5F95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734E3C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5AF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5008E1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205" w:type="dxa"/>
            <w:shd w:val="clear" w:color="auto" w:fill="FFFFFF"/>
            <w:vAlign w:val="center"/>
          </w:tcPr>
          <w:p w14:paraId="399514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重点监控  </w:t>
            </w:r>
          </w:p>
        </w:tc>
        <w:tc>
          <w:tcPr>
            <w:tcW w:w="4272" w:type="dxa"/>
            <w:shd w:val="clear" w:color="auto" w:fill="FFFFFF"/>
            <w:vAlign w:val="center"/>
          </w:tcPr>
          <w:p w14:paraId="476E9A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支持查看重点关注视频实时监控数据</w:t>
            </w:r>
          </w:p>
        </w:tc>
        <w:tc>
          <w:tcPr>
            <w:tcW w:w="915" w:type="dxa"/>
            <w:gridSpan w:val="2"/>
            <w:shd w:val="clear" w:color="auto" w:fill="FFFFFF"/>
            <w:vAlign w:val="center"/>
          </w:tcPr>
          <w:p w14:paraId="022673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E1467B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7E5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3443386">
            <w:pPr>
              <w:jc w:val="left"/>
              <w:rPr>
                <w:rFonts w:hint="eastAsia" w:ascii="宋体" w:hAnsi="宋体" w:cs="宋体"/>
                <w:color w:val="000000"/>
                <w:sz w:val="18"/>
                <w:szCs w:val="18"/>
              </w:rPr>
            </w:pPr>
            <w:r>
              <w:rPr>
                <w:rFonts w:hint="eastAsia" w:ascii="宋体" w:hAnsi="宋体" w:cs="宋体"/>
                <w:color w:val="000000"/>
                <w:kern w:val="0"/>
                <w:sz w:val="18"/>
                <w:szCs w:val="18"/>
                <w:lang w:bidi="ar"/>
              </w:rPr>
              <w:t>2、雨情信息</w:t>
            </w:r>
          </w:p>
        </w:tc>
      </w:tr>
      <w:tr w14:paraId="1FAB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2B957B7">
            <w:pPr>
              <w:jc w:val="left"/>
              <w:rPr>
                <w:rFonts w:hint="eastAsia" w:ascii="宋体" w:hAnsi="宋体" w:cs="宋体"/>
                <w:color w:val="000000"/>
                <w:sz w:val="18"/>
                <w:szCs w:val="18"/>
              </w:rPr>
            </w:pPr>
            <w:r>
              <w:rPr>
                <w:rFonts w:hint="eastAsia" w:ascii="宋体" w:hAnsi="宋体" w:cs="宋体"/>
                <w:color w:val="000000"/>
                <w:kern w:val="0"/>
                <w:sz w:val="18"/>
                <w:szCs w:val="18"/>
                <w:lang w:bidi="ar"/>
              </w:rPr>
              <w:t>2.1、实时雨情</w:t>
            </w:r>
          </w:p>
        </w:tc>
      </w:tr>
      <w:tr w14:paraId="5C34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0" w:type="dxa"/>
            <w:shd w:val="clear" w:color="auto" w:fill="FFFFFF"/>
            <w:vAlign w:val="center"/>
          </w:tcPr>
          <w:p w14:paraId="28A9B1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205" w:type="dxa"/>
            <w:shd w:val="clear" w:color="auto" w:fill="FFFFFF"/>
            <w:vAlign w:val="center"/>
          </w:tcPr>
          <w:p w14:paraId="26C4EA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GIS-雨量站落图  </w:t>
            </w:r>
          </w:p>
        </w:tc>
        <w:tc>
          <w:tcPr>
            <w:tcW w:w="4272" w:type="dxa"/>
            <w:shd w:val="clear" w:color="auto" w:fill="FFFFFF"/>
            <w:vAlign w:val="center"/>
          </w:tcPr>
          <w:p w14:paraId="458CC1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GIS落图展示全县雨量监测站点分布，并以不同颜色图标区分降雨量级。支持站点列表和地图联动定位，可点击地图图标查看历史降雨过程详情。</w:t>
            </w:r>
          </w:p>
        </w:tc>
        <w:tc>
          <w:tcPr>
            <w:tcW w:w="915" w:type="dxa"/>
            <w:gridSpan w:val="2"/>
            <w:shd w:val="clear" w:color="auto" w:fill="FFFFFF"/>
            <w:vAlign w:val="center"/>
          </w:tcPr>
          <w:p w14:paraId="661126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3F1B87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B33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00" w:type="dxa"/>
            <w:shd w:val="clear" w:color="auto" w:fill="FFFFFF"/>
            <w:vAlign w:val="center"/>
          </w:tcPr>
          <w:p w14:paraId="49B08B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205" w:type="dxa"/>
            <w:shd w:val="clear" w:color="auto" w:fill="FFFFFF"/>
            <w:vAlign w:val="center"/>
          </w:tcPr>
          <w:p w14:paraId="67E547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实时雨情列表  </w:t>
            </w:r>
          </w:p>
        </w:tc>
        <w:tc>
          <w:tcPr>
            <w:tcW w:w="4272" w:type="dxa"/>
            <w:shd w:val="clear" w:color="auto" w:fill="FFFFFF"/>
            <w:vAlign w:val="center"/>
          </w:tcPr>
          <w:p w14:paraId="6FAD0E4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列表统计展示全县实时雨情情况，支持分行政区划、站点类型（水文、气象、声光电）等不同条件查询。支持全县各雨量监测站今日、昨日、近15/30分钟、近1/3/6/12/24小时等不同时段累计降雨统计并以列表形式展示，同时地图可同步生成不同时段降雨等值面图。</w:t>
            </w:r>
          </w:p>
        </w:tc>
        <w:tc>
          <w:tcPr>
            <w:tcW w:w="915" w:type="dxa"/>
            <w:gridSpan w:val="2"/>
            <w:shd w:val="clear" w:color="auto" w:fill="FFFFFF"/>
            <w:vAlign w:val="center"/>
          </w:tcPr>
          <w:p w14:paraId="4AE0E6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021AE1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D47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9452A3F">
            <w:pPr>
              <w:jc w:val="left"/>
              <w:rPr>
                <w:rFonts w:hint="eastAsia" w:ascii="宋体" w:hAnsi="宋体" w:cs="宋体"/>
                <w:color w:val="000000"/>
                <w:sz w:val="18"/>
                <w:szCs w:val="18"/>
              </w:rPr>
            </w:pPr>
            <w:r>
              <w:rPr>
                <w:rFonts w:hint="eastAsia" w:ascii="宋体" w:hAnsi="宋体" w:cs="宋体"/>
                <w:color w:val="000000"/>
                <w:kern w:val="0"/>
                <w:sz w:val="18"/>
                <w:szCs w:val="18"/>
                <w:lang w:bidi="ar"/>
              </w:rPr>
              <w:t>2.2、雨情分析</w:t>
            </w:r>
          </w:p>
        </w:tc>
      </w:tr>
      <w:tr w14:paraId="6156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00" w:type="dxa"/>
            <w:shd w:val="clear" w:color="auto" w:fill="FFFFFF"/>
            <w:vAlign w:val="center"/>
          </w:tcPr>
          <w:p w14:paraId="1C051F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2205" w:type="dxa"/>
            <w:shd w:val="clear" w:color="auto" w:fill="FFFFFF"/>
            <w:vAlign w:val="center"/>
          </w:tcPr>
          <w:p w14:paraId="6F4082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雨情分析  </w:t>
            </w:r>
          </w:p>
        </w:tc>
        <w:tc>
          <w:tcPr>
            <w:tcW w:w="4272" w:type="dxa"/>
            <w:shd w:val="clear" w:color="auto" w:fill="FFFFFF"/>
            <w:vAlign w:val="center"/>
          </w:tcPr>
          <w:p w14:paraId="247596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表格形式展示全县所有雨情站点实时雨情，包括测站名称、自定义时段累计雨量、昨日雨量、今日雨量、近15/30分钟雨量、近1/3/6/12/24小时雨量、监测时间等数据，支持按站点类型筛选及表格导出，支持自由配置重点关注站及表格字段等功能。</w:t>
            </w:r>
          </w:p>
        </w:tc>
        <w:tc>
          <w:tcPr>
            <w:tcW w:w="915" w:type="dxa"/>
            <w:gridSpan w:val="2"/>
            <w:shd w:val="clear" w:color="auto" w:fill="FFFFFF"/>
            <w:vAlign w:val="center"/>
          </w:tcPr>
          <w:p w14:paraId="6F9154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BC77E8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62A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9808F49">
            <w:pPr>
              <w:jc w:val="left"/>
              <w:rPr>
                <w:rFonts w:hint="eastAsia" w:ascii="宋体" w:hAnsi="宋体" w:cs="宋体"/>
                <w:color w:val="000000"/>
                <w:sz w:val="18"/>
                <w:szCs w:val="18"/>
              </w:rPr>
            </w:pPr>
            <w:r>
              <w:rPr>
                <w:rFonts w:hint="eastAsia" w:ascii="宋体" w:hAnsi="宋体" w:cs="宋体"/>
                <w:color w:val="000000"/>
                <w:kern w:val="0"/>
                <w:sz w:val="18"/>
                <w:szCs w:val="18"/>
                <w:lang w:bidi="ar"/>
              </w:rPr>
              <w:t>2.3、区域面雨量</w:t>
            </w:r>
          </w:p>
        </w:tc>
      </w:tr>
      <w:tr w14:paraId="7F2A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00" w:type="dxa"/>
            <w:shd w:val="clear" w:color="auto" w:fill="FFFFFF"/>
            <w:vAlign w:val="center"/>
          </w:tcPr>
          <w:p w14:paraId="73F6AE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2205" w:type="dxa"/>
            <w:shd w:val="clear" w:color="auto" w:fill="FFFFFF"/>
            <w:vAlign w:val="center"/>
          </w:tcPr>
          <w:p w14:paraId="0A286F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区域面雨量  </w:t>
            </w:r>
          </w:p>
        </w:tc>
        <w:tc>
          <w:tcPr>
            <w:tcW w:w="4272" w:type="dxa"/>
            <w:shd w:val="clear" w:color="auto" w:fill="FFFFFF"/>
            <w:vAlign w:val="center"/>
          </w:tcPr>
          <w:p w14:paraId="28064B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统计展示全县及各乡镇/区域不同时段累计降雨量和逐日/逐时降雨过程。可自定义时段，以表格形式统计各区域的面雨量信息以及参与计算站点单站雨量信息，地图同步展示各区域降雨分布情况。</w:t>
            </w:r>
          </w:p>
        </w:tc>
        <w:tc>
          <w:tcPr>
            <w:tcW w:w="915" w:type="dxa"/>
            <w:gridSpan w:val="2"/>
            <w:shd w:val="clear" w:color="auto" w:fill="FFFFFF"/>
            <w:vAlign w:val="center"/>
          </w:tcPr>
          <w:p w14:paraId="4C8262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49BBD4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BF0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191EDAE">
            <w:pPr>
              <w:jc w:val="left"/>
              <w:rPr>
                <w:rFonts w:hint="eastAsia" w:ascii="宋体" w:hAnsi="宋体" w:cs="宋体"/>
                <w:color w:val="000000"/>
                <w:sz w:val="18"/>
                <w:szCs w:val="18"/>
              </w:rPr>
            </w:pPr>
            <w:r>
              <w:rPr>
                <w:rFonts w:hint="eastAsia" w:ascii="宋体" w:hAnsi="宋体" w:cs="宋体"/>
                <w:color w:val="000000"/>
                <w:kern w:val="0"/>
                <w:sz w:val="18"/>
                <w:szCs w:val="18"/>
                <w:lang w:bidi="ar"/>
              </w:rPr>
              <w:t>2.4、降雨分布</w:t>
            </w:r>
          </w:p>
        </w:tc>
      </w:tr>
      <w:tr w14:paraId="333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0" w:type="dxa"/>
            <w:shd w:val="clear" w:color="auto" w:fill="FFFFFF"/>
            <w:vAlign w:val="center"/>
          </w:tcPr>
          <w:p w14:paraId="3F8A71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2205" w:type="dxa"/>
            <w:shd w:val="clear" w:color="auto" w:fill="FFFFFF"/>
            <w:vAlign w:val="center"/>
          </w:tcPr>
          <w:p w14:paraId="0023C1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降雨等值面绘制  </w:t>
            </w:r>
          </w:p>
        </w:tc>
        <w:tc>
          <w:tcPr>
            <w:tcW w:w="4272" w:type="dxa"/>
            <w:shd w:val="clear" w:color="auto" w:fill="FFFFFF"/>
            <w:vAlign w:val="center"/>
          </w:tcPr>
          <w:p w14:paraId="10AE27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根据设定时段、参与计算的站点及雨量级别，系统自动绘制出降雨等值线面图，支持自定义雨量分级。</w:t>
            </w:r>
          </w:p>
        </w:tc>
        <w:tc>
          <w:tcPr>
            <w:tcW w:w="915" w:type="dxa"/>
            <w:gridSpan w:val="2"/>
            <w:shd w:val="clear" w:color="auto" w:fill="FFFFFF"/>
            <w:vAlign w:val="center"/>
          </w:tcPr>
          <w:p w14:paraId="15BF65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F9E34D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1CF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00" w:type="dxa"/>
            <w:shd w:val="clear" w:color="auto" w:fill="FFFFFF"/>
            <w:vAlign w:val="center"/>
          </w:tcPr>
          <w:p w14:paraId="54FE5A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2205" w:type="dxa"/>
            <w:shd w:val="clear" w:color="auto" w:fill="FFFFFF"/>
            <w:vAlign w:val="center"/>
          </w:tcPr>
          <w:p w14:paraId="58DB9DE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逐时段降雨分布  </w:t>
            </w:r>
          </w:p>
        </w:tc>
        <w:tc>
          <w:tcPr>
            <w:tcW w:w="4272" w:type="dxa"/>
            <w:shd w:val="clear" w:color="auto" w:fill="FFFFFF"/>
            <w:vAlign w:val="center"/>
          </w:tcPr>
          <w:p w14:paraId="7F4A58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系统可自动生成逐时段的雨量分布图，通过选择某一时段的雨量分布图，系统可列出选定时段内各时段的雨量分布略简图，并可对时段内的各雨量分布进行动态播放。</w:t>
            </w:r>
          </w:p>
        </w:tc>
        <w:tc>
          <w:tcPr>
            <w:tcW w:w="915" w:type="dxa"/>
            <w:gridSpan w:val="2"/>
            <w:shd w:val="clear" w:color="auto" w:fill="FFFFFF"/>
            <w:vAlign w:val="center"/>
          </w:tcPr>
          <w:p w14:paraId="05185C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2C5370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B36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3D32B49">
            <w:pPr>
              <w:jc w:val="left"/>
              <w:rPr>
                <w:rFonts w:hint="eastAsia" w:ascii="宋体" w:hAnsi="宋体" w:cs="宋体"/>
                <w:color w:val="000000"/>
                <w:sz w:val="18"/>
                <w:szCs w:val="18"/>
              </w:rPr>
            </w:pPr>
            <w:r>
              <w:rPr>
                <w:rFonts w:hint="eastAsia" w:ascii="宋体" w:hAnsi="宋体" w:cs="宋体"/>
                <w:color w:val="000000"/>
                <w:kern w:val="0"/>
                <w:sz w:val="18"/>
                <w:szCs w:val="18"/>
                <w:lang w:bidi="ar"/>
              </w:rPr>
              <w:t>3、水情信息</w:t>
            </w:r>
          </w:p>
        </w:tc>
      </w:tr>
      <w:tr w14:paraId="54A3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B0B13A3">
            <w:pPr>
              <w:jc w:val="left"/>
              <w:rPr>
                <w:rFonts w:hint="eastAsia" w:ascii="宋体" w:hAnsi="宋体" w:cs="宋体"/>
                <w:color w:val="000000"/>
                <w:sz w:val="18"/>
                <w:szCs w:val="18"/>
              </w:rPr>
            </w:pPr>
            <w:r>
              <w:rPr>
                <w:rFonts w:hint="eastAsia" w:ascii="宋体" w:hAnsi="宋体" w:cs="宋体"/>
                <w:color w:val="000000"/>
                <w:kern w:val="0"/>
                <w:sz w:val="18"/>
                <w:szCs w:val="18"/>
                <w:lang w:bidi="ar"/>
              </w:rPr>
              <w:t>3.1、实时水情</w:t>
            </w:r>
          </w:p>
        </w:tc>
      </w:tr>
      <w:tr w14:paraId="1884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00" w:type="dxa"/>
            <w:shd w:val="clear" w:color="auto" w:fill="FFFFFF"/>
            <w:vAlign w:val="center"/>
          </w:tcPr>
          <w:p w14:paraId="41EA10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2205" w:type="dxa"/>
            <w:shd w:val="clear" w:color="auto" w:fill="FFFFFF"/>
            <w:vAlign w:val="center"/>
          </w:tcPr>
          <w:p w14:paraId="23D8E9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GIS-水位站落图  </w:t>
            </w:r>
          </w:p>
        </w:tc>
        <w:tc>
          <w:tcPr>
            <w:tcW w:w="4272" w:type="dxa"/>
            <w:shd w:val="clear" w:color="auto" w:fill="FFFFFF"/>
            <w:vAlign w:val="center"/>
          </w:tcPr>
          <w:p w14:paraId="54D2FE5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GIS落图展示全县河道、水库、声光电、潮位、地下水等监测站点分布，并以不同颜色图标标识水位站点超警或超汛情况。支持列表和地图联动定位，点击地图图标可查看水位过程详情。</w:t>
            </w:r>
          </w:p>
        </w:tc>
        <w:tc>
          <w:tcPr>
            <w:tcW w:w="915" w:type="dxa"/>
            <w:gridSpan w:val="2"/>
            <w:shd w:val="clear" w:color="auto" w:fill="FFFFFF"/>
            <w:vAlign w:val="center"/>
          </w:tcPr>
          <w:p w14:paraId="757E7E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E2CC2A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9B2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E3383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2205" w:type="dxa"/>
            <w:shd w:val="clear" w:color="auto" w:fill="FFFFFF"/>
            <w:vAlign w:val="center"/>
          </w:tcPr>
          <w:p w14:paraId="5650D9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实时水情列表  </w:t>
            </w:r>
          </w:p>
        </w:tc>
        <w:tc>
          <w:tcPr>
            <w:tcW w:w="4272" w:type="dxa"/>
            <w:shd w:val="clear" w:color="auto" w:fill="FFFFFF"/>
            <w:vAlign w:val="center"/>
          </w:tcPr>
          <w:p w14:paraId="45F37F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以列表形式展示水库、河道站实时及历史水位数据，并统计各站点超警、超汛情况，同时标识水位涨落情况，支持分站点类型查询。</w:t>
            </w:r>
          </w:p>
        </w:tc>
        <w:tc>
          <w:tcPr>
            <w:tcW w:w="915" w:type="dxa"/>
            <w:gridSpan w:val="2"/>
            <w:shd w:val="clear" w:color="auto" w:fill="FFFFFF"/>
            <w:vAlign w:val="center"/>
          </w:tcPr>
          <w:p w14:paraId="504C436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F39AEB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346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2E5FFFF">
            <w:pPr>
              <w:jc w:val="left"/>
              <w:rPr>
                <w:rFonts w:hint="eastAsia" w:ascii="宋体" w:hAnsi="宋体" w:cs="宋体"/>
                <w:color w:val="000000"/>
                <w:sz w:val="18"/>
                <w:szCs w:val="18"/>
              </w:rPr>
            </w:pPr>
            <w:r>
              <w:rPr>
                <w:rFonts w:hint="eastAsia" w:ascii="宋体" w:hAnsi="宋体" w:cs="宋体"/>
                <w:color w:val="000000"/>
                <w:kern w:val="0"/>
                <w:sz w:val="18"/>
                <w:szCs w:val="18"/>
                <w:lang w:bidi="ar"/>
              </w:rPr>
              <w:t>3.2、河道水情</w:t>
            </w:r>
          </w:p>
        </w:tc>
      </w:tr>
      <w:tr w14:paraId="6FAC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600" w:type="dxa"/>
            <w:shd w:val="clear" w:color="auto" w:fill="FFFFFF"/>
            <w:vAlign w:val="center"/>
          </w:tcPr>
          <w:p w14:paraId="76C2C5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2205" w:type="dxa"/>
            <w:shd w:val="clear" w:color="auto" w:fill="FFFFFF"/>
            <w:vAlign w:val="center"/>
          </w:tcPr>
          <w:p w14:paraId="29EFCB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河道水情  </w:t>
            </w:r>
          </w:p>
        </w:tc>
        <w:tc>
          <w:tcPr>
            <w:tcW w:w="4272" w:type="dxa"/>
            <w:shd w:val="clear" w:color="auto" w:fill="FFFFFF"/>
            <w:vAlign w:val="center"/>
          </w:tcPr>
          <w:p w14:paraId="015542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各类江河站实时水情进行监控统计，包括河道水位站、地下水位站、闸坝站等。监控内容包括测站名称、所在乡镇、8时水位、实时水位、监测时间、警戒水位、保证水位等关键信息。同时系统可根据各测站警戒、保证水位阈值，统计测站超警、超保情况，并标识出各站水位的涨落情况。支持列表展示字段、重点关注站点自由配置，支持表格导出。</w:t>
            </w:r>
          </w:p>
        </w:tc>
        <w:tc>
          <w:tcPr>
            <w:tcW w:w="915" w:type="dxa"/>
            <w:gridSpan w:val="2"/>
            <w:shd w:val="clear" w:color="auto" w:fill="FFFFFF"/>
            <w:vAlign w:val="center"/>
          </w:tcPr>
          <w:p w14:paraId="4579AE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E68187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C83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6B53F72">
            <w:pPr>
              <w:jc w:val="left"/>
              <w:rPr>
                <w:rFonts w:hint="eastAsia" w:ascii="宋体" w:hAnsi="宋体" w:cs="宋体"/>
                <w:color w:val="000000"/>
                <w:sz w:val="18"/>
                <w:szCs w:val="18"/>
              </w:rPr>
            </w:pPr>
            <w:r>
              <w:rPr>
                <w:rFonts w:hint="eastAsia" w:ascii="宋体" w:hAnsi="宋体" w:cs="宋体"/>
                <w:color w:val="000000"/>
                <w:kern w:val="0"/>
                <w:sz w:val="18"/>
                <w:szCs w:val="18"/>
                <w:lang w:bidi="ar"/>
              </w:rPr>
              <w:t>3.3、水库水情</w:t>
            </w:r>
          </w:p>
        </w:tc>
      </w:tr>
      <w:tr w14:paraId="3616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00" w:type="dxa"/>
            <w:shd w:val="clear" w:color="auto" w:fill="FFFFFF"/>
            <w:vAlign w:val="center"/>
          </w:tcPr>
          <w:p w14:paraId="1BE286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2205" w:type="dxa"/>
            <w:shd w:val="clear" w:color="auto" w:fill="FFFFFF"/>
            <w:vAlign w:val="center"/>
          </w:tcPr>
          <w:p w14:paraId="39DB3E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水库水情  </w:t>
            </w:r>
          </w:p>
        </w:tc>
        <w:tc>
          <w:tcPr>
            <w:tcW w:w="4272" w:type="dxa"/>
            <w:shd w:val="clear" w:color="auto" w:fill="FFFFFF"/>
            <w:vAlign w:val="center"/>
          </w:tcPr>
          <w:p w14:paraId="1070A3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各类水库实时水情进行监控统计，支持按水库规模分类筛选，包括大中型、小（1）型、小（2）型、山塘等。监控内容包括水库名称、所在乡镇、水库规模、8时水位、实时水位、实时库容、监测时间、汛限水位、汛限库容、正常水位、正常库容等关键信息。同时系统可根据各水库站汛限水位阈值，统计水库站超汛情况，并标识出各站水位的涨落情况。支持列表展示字段、重点关注站点自由配置，支持表格导出。</w:t>
            </w:r>
          </w:p>
        </w:tc>
        <w:tc>
          <w:tcPr>
            <w:tcW w:w="915" w:type="dxa"/>
            <w:gridSpan w:val="2"/>
            <w:shd w:val="clear" w:color="auto" w:fill="FFFFFF"/>
            <w:vAlign w:val="center"/>
          </w:tcPr>
          <w:p w14:paraId="4A8CD7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0E3796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03E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CF4814B">
            <w:pPr>
              <w:jc w:val="left"/>
              <w:rPr>
                <w:rFonts w:hint="eastAsia" w:ascii="宋体" w:hAnsi="宋体" w:cs="宋体"/>
                <w:color w:val="000000"/>
                <w:sz w:val="18"/>
                <w:szCs w:val="18"/>
              </w:rPr>
            </w:pPr>
            <w:r>
              <w:rPr>
                <w:rFonts w:hint="eastAsia" w:ascii="宋体" w:hAnsi="宋体" w:cs="宋体"/>
                <w:color w:val="000000"/>
                <w:kern w:val="0"/>
                <w:sz w:val="18"/>
                <w:szCs w:val="18"/>
                <w:lang w:bidi="ar"/>
              </w:rPr>
              <w:t>3.4、声光电水情</w:t>
            </w:r>
          </w:p>
        </w:tc>
      </w:tr>
      <w:tr w14:paraId="41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0" w:type="dxa"/>
            <w:shd w:val="clear" w:color="auto" w:fill="FFFFFF"/>
            <w:vAlign w:val="center"/>
          </w:tcPr>
          <w:p w14:paraId="27017C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2205" w:type="dxa"/>
            <w:shd w:val="clear" w:color="auto" w:fill="FFFFFF"/>
            <w:vAlign w:val="center"/>
          </w:tcPr>
          <w:p w14:paraId="56C259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声光电水情  </w:t>
            </w:r>
          </w:p>
        </w:tc>
        <w:tc>
          <w:tcPr>
            <w:tcW w:w="4272" w:type="dxa"/>
            <w:shd w:val="clear" w:color="auto" w:fill="FFFFFF"/>
            <w:vAlign w:val="center"/>
          </w:tcPr>
          <w:p w14:paraId="301278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全县已安装75套声光电设备实时水情及报警情况进行监控统计，监控内容包括设备名称、所在乡镇、8时水位、实时水位、红色报警水位、黄色报警水位等关键信息。同时系统可根据各声光电设备报警阈值，统计各设备报警情况，并标识出各设备水位的涨落情况。支持列表展示字段、重点关注站点自由配置，支持表格导出。</w:t>
            </w:r>
          </w:p>
        </w:tc>
        <w:tc>
          <w:tcPr>
            <w:tcW w:w="915" w:type="dxa"/>
            <w:gridSpan w:val="2"/>
            <w:shd w:val="clear" w:color="auto" w:fill="FFFFFF"/>
            <w:vAlign w:val="center"/>
          </w:tcPr>
          <w:p w14:paraId="06C07E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067088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A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65E9145">
            <w:pPr>
              <w:jc w:val="left"/>
              <w:rPr>
                <w:rFonts w:hint="eastAsia" w:ascii="宋体" w:hAnsi="宋体" w:cs="宋体"/>
                <w:color w:val="000000"/>
                <w:sz w:val="18"/>
                <w:szCs w:val="18"/>
              </w:rPr>
            </w:pPr>
            <w:r>
              <w:rPr>
                <w:rFonts w:hint="eastAsia" w:ascii="宋体" w:hAnsi="宋体" w:cs="宋体"/>
                <w:color w:val="000000"/>
                <w:kern w:val="0"/>
                <w:sz w:val="18"/>
                <w:szCs w:val="18"/>
                <w:lang w:bidi="ar"/>
              </w:rPr>
              <w:t>3.5、潮位水情</w:t>
            </w:r>
          </w:p>
        </w:tc>
      </w:tr>
      <w:tr w14:paraId="44C8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00" w:type="dxa"/>
            <w:shd w:val="clear" w:color="auto" w:fill="FFFFFF"/>
            <w:vAlign w:val="center"/>
          </w:tcPr>
          <w:p w14:paraId="774E05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2205" w:type="dxa"/>
            <w:shd w:val="clear" w:color="auto" w:fill="FFFFFF"/>
            <w:vAlign w:val="center"/>
          </w:tcPr>
          <w:p w14:paraId="1A8578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潮位水情  </w:t>
            </w:r>
          </w:p>
        </w:tc>
        <w:tc>
          <w:tcPr>
            <w:tcW w:w="4272" w:type="dxa"/>
            <w:shd w:val="clear" w:color="auto" w:fill="FFFFFF"/>
            <w:vAlign w:val="center"/>
          </w:tcPr>
          <w:p w14:paraId="44D27C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全县15个潮位站实时潮位进行监控统计，监控内容包括测站名称、所在海域、实时潮位、监测时间、警戒潮位等关键信息。同时系统可根据各站警戒潮位阈值，统计各站超警情况。支持列表展示字段、重点关注站点自由配置，支持表格导出。</w:t>
            </w:r>
          </w:p>
        </w:tc>
        <w:tc>
          <w:tcPr>
            <w:tcW w:w="915" w:type="dxa"/>
            <w:gridSpan w:val="2"/>
            <w:shd w:val="clear" w:color="auto" w:fill="FFFFFF"/>
            <w:vAlign w:val="center"/>
          </w:tcPr>
          <w:p w14:paraId="1690DE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ED333A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35D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1108474">
            <w:pPr>
              <w:jc w:val="left"/>
              <w:rPr>
                <w:rFonts w:hint="eastAsia" w:ascii="宋体" w:hAnsi="宋体" w:cs="宋体"/>
                <w:color w:val="000000"/>
                <w:sz w:val="18"/>
                <w:szCs w:val="18"/>
              </w:rPr>
            </w:pPr>
            <w:r>
              <w:rPr>
                <w:rFonts w:hint="eastAsia" w:ascii="宋体" w:hAnsi="宋体" w:cs="宋体"/>
                <w:color w:val="000000"/>
                <w:kern w:val="0"/>
                <w:sz w:val="18"/>
                <w:szCs w:val="18"/>
                <w:lang w:bidi="ar"/>
              </w:rPr>
              <w:t>3.6、流量监控</w:t>
            </w:r>
          </w:p>
        </w:tc>
      </w:tr>
      <w:tr w14:paraId="2DD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00" w:type="dxa"/>
            <w:shd w:val="clear" w:color="auto" w:fill="FFFFFF"/>
            <w:vAlign w:val="center"/>
          </w:tcPr>
          <w:p w14:paraId="7C9E84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2205" w:type="dxa"/>
            <w:shd w:val="clear" w:color="auto" w:fill="FFFFFF"/>
            <w:vAlign w:val="center"/>
          </w:tcPr>
          <w:p w14:paraId="4F4C84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流量监控  </w:t>
            </w:r>
          </w:p>
        </w:tc>
        <w:tc>
          <w:tcPr>
            <w:tcW w:w="4272" w:type="dxa"/>
            <w:shd w:val="clear" w:color="auto" w:fill="FFFFFF"/>
            <w:vAlign w:val="center"/>
          </w:tcPr>
          <w:p w14:paraId="177782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落图展示全县23个流量监测站点分布，支持配置不同站点流量数据来源，包括人工报汛、实测流量及计算流量。根据站点配置情况以列表及地图方式展示各站实时流量、上报时间及相应水位，支持列表和地图联动定位，点击地图图标可查看流量过程详情。</w:t>
            </w:r>
          </w:p>
        </w:tc>
        <w:tc>
          <w:tcPr>
            <w:tcW w:w="915" w:type="dxa"/>
            <w:gridSpan w:val="2"/>
            <w:shd w:val="clear" w:color="auto" w:fill="FFFFFF"/>
            <w:vAlign w:val="center"/>
          </w:tcPr>
          <w:p w14:paraId="09BA28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6482FC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438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D1A3239">
            <w:pPr>
              <w:jc w:val="left"/>
              <w:rPr>
                <w:rFonts w:hint="eastAsia" w:ascii="宋体" w:hAnsi="宋体" w:cs="宋体"/>
                <w:color w:val="000000"/>
                <w:sz w:val="18"/>
                <w:szCs w:val="18"/>
              </w:rPr>
            </w:pPr>
            <w:r>
              <w:rPr>
                <w:rFonts w:hint="eastAsia" w:ascii="宋体" w:hAnsi="宋体" w:cs="宋体"/>
                <w:color w:val="000000"/>
                <w:kern w:val="0"/>
                <w:sz w:val="18"/>
                <w:szCs w:val="18"/>
                <w:lang w:bidi="ar"/>
              </w:rPr>
              <w:t>4、视频监控</w:t>
            </w:r>
          </w:p>
        </w:tc>
      </w:tr>
      <w:tr w14:paraId="5452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A67C4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2205" w:type="dxa"/>
            <w:shd w:val="clear" w:color="auto" w:fill="FFFFFF"/>
            <w:vAlign w:val="center"/>
          </w:tcPr>
          <w:p w14:paraId="4BD420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视频监控  </w:t>
            </w:r>
          </w:p>
        </w:tc>
        <w:tc>
          <w:tcPr>
            <w:tcW w:w="4272" w:type="dxa"/>
            <w:shd w:val="clear" w:color="auto" w:fill="FFFFFF"/>
            <w:vAlign w:val="center"/>
          </w:tcPr>
          <w:p w14:paraId="6F54C2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接入重点水库、河段、声光电设备等实时监控视频，实现视频一屏展示，支持不同视频点快速定位，查看河道、水库现场实时情况。</w:t>
            </w:r>
          </w:p>
        </w:tc>
        <w:tc>
          <w:tcPr>
            <w:tcW w:w="915" w:type="dxa"/>
            <w:gridSpan w:val="2"/>
            <w:shd w:val="clear" w:color="auto" w:fill="FFFFFF"/>
            <w:vAlign w:val="center"/>
          </w:tcPr>
          <w:p w14:paraId="1C971D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BFF1AB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536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00" w:type="dxa"/>
            <w:shd w:val="clear" w:color="auto" w:fill="FFFFFF"/>
            <w:vAlign w:val="center"/>
          </w:tcPr>
          <w:p w14:paraId="023B9A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2205" w:type="dxa"/>
            <w:shd w:val="clear" w:color="auto" w:fill="FFFFFF"/>
            <w:vAlign w:val="center"/>
          </w:tcPr>
          <w:p w14:paraId="515587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智能抓图  </w:t>
            </w:r>
          </w:p>
        </w:tc>
        <w:tc>
          <w:tcPr>
            <w:tcW w:w="4272" w:type="dxa"/>
            <w:shd w:val="clear" w:color="auto" w:fill="FFFFFF"/>
            <w:vAlign w:val="center"/>
          </w:tcPr>
          <w:p w14:paraId="5E4241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河道、水库水位以及实测降雨过程情况，对关联水库或河段进行智能分析，针对水位涨势明显可能出现或者已出现洪水河道自动启动视频抓图或录屏，并生成洪水事件进行匹配，支持历史洪水事件影像、水位、雨情资料追溯查询。</w:t>
            </w:r>
          </w:p>
        </w:tc>
        <w:tc>
          <w:tcPr>
            <w:tcW w:w="915" w:type="dxa"/>
            <w:gridSpan w:val="2"/>
            <w:shd w:val="clear" w:color="auto" w:fill="FFFFFF"/>
            <w:vAlign w:val="center"/>
          </w:tcPr>
          <w:p w14:paraId="2BE1DE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F34CDA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9A4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0" w:type="dxa"/>
            <w:shd w:val="clear" w:color="auto" w:fill="FFFFFF"/>
            <w:vAlign w:val="center"/>
          </w:tcPr>
          <w:p w14:paraId="737A31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2205" w:type="dxa"/>
            <w:shd w:val="clear" w:color="auto" w:fill="FFFFFF"/>
            <w:vAlign w:val="center"/>
          </w:tcPr>
          <w:p w14:paraId="0F202D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洪水事件管理  </w:t>
            </w:r>
          </w:p>
        </w:tc>
        <w:tc>
          <w:tcPr>
            <w:tcW w:w="4272" w:type="dxa"/>
            <w:shd w:val="clear" w:color="auto" w:fill="FFFFFF"/>
            <w:vAlign w:val="center"/>
          </w:tcPr>
          <w:p w14:paraId="39BD04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提供洪水事件及关联图片、影像资料的管理功能，包括新增、编辑洪水事件，上传、删除图片及影像资料，关联站点等功能。</w:t>
            </w:r>
          </w:p>
        </w:tc>
        <w:tc>
          <w:tcPr>
            <w:tcW w:w="915" w:type="dxa"/>
            <w:gridSpan w:val="2"/>
            <w:shd w:val="clear" w:color="auto" w:fill="FFFFFF"/>
            <w:vAlign w:val="center"/>
          </w:tcPr>
          <w:p w14:paraId="07950A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957626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CE2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403A7B2">
            <w:pPr>
              <w:jc w:val="left"/>
              <w:rPr>
                <w:rFonts w:hint="eastAsia" w:ascii="宋体" w:hAnsi="宋体" w:cs="宋体"/>
                <w:color w:val="000000"/>
                <w:sz w:val="18"/>
                <w:szCs w:val="18"/>
              </w:rPr>
            </w:pPr>
            <w:r>
              <w:rPr>
                <w:rFonts w:hint="eastAsia" w:ascii="宋体" w:hAnsi="宋体" w:cs="宋体"/>
                <w:color w:val="000000"/>
                <w:kern w:val="0"/>
                <w:sz w:val="18"/>
                <w:szCs w:val="18"/>
                <w:lang w:bidi="ar"/>
              </w:rPr>
              <w:t>5、智能报表</w:t>
            </w:r>
          </w:p>
        </w:tc>
      </w:tr>
      <w:tr w14:paraId="7432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00" w:type="dxa"/>
            <w:shd w:val="clear" w:color="auto" w:fill="FFFFFF"/>
            <w:vAlign w:val="center"/>
          </w:tcPr>
          <w:p w14:paraId="50F67D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2205" w:type="dxa"/>
            <w:shd w:val="clear" w:color="auto" w:fill="FFFFFF"/>
            <w:vAlign w:val="center"/>
          </w:tcPr>
          <w:p w14:paraId="2EBA0A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水雨情总览  </w:t>
            </w:r>
          </w:p>
        </w:tc>
        <w:tc>
          <w:tcPr>
            <w:tcW w:w="4272" w:type="dxa"/>
            <w:shd w:val="clear" w:color="auto" w:fill="FFFFFF"/>
            <w:vAlign w:val="center"/>
          </w:tcPr>
          <w:p w14:paraId="2E309D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基于水雨情数据统计分析成果，生成全县水雨情情况动态总结，包括降雨空间分布、区域面雨量、河道水情、水库水情、水库蓄水、水库可纳雨量等内容。</w:t>
            </w:r>
          </w:p>
        </w:tc>
        <w:tc>
          <w:tcPr>
            <w:tcW w:w="915" w:type="dxa"/>
            <w:gridSpan w:val="2"/>
            <w:shd w:val="clear" w:color="auto" w:fill="FFFFFF"/>
            <w:vAlign w:val="center"/>
          </w:tcPr>
          <w:p w14:paraId="6420B7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4DF15B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853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00" w:type="dxa"/>
            <w:shd w:val="clear" w:color="auto" w:fill="FFFFFF"/>
            <w:vAlign w:val="center"/>
          </w:tcPr>
          <w:p w14:paraId="232667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2205" w:type="dxa"/>
            <w:shd w:val="clear" w:color="auto" w:fill="FFFFFF"/>
            <w:vAlign w:val="center"/>
          </w:tcPr>
          <w:p w14:paraId="1B8DA8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雨情报表  </w:t>
            </w:r>
          </w:p>
        </w:tc>
        <w:tc>
          <w:tcPr>
            <w:tcW w:w="4272" w:type="dxa"/>
            <w:shd w:val="clear" w:color="auto" w:fill="FFFFFF"/>
            <w:vAlign w:val="center"/>
          </w:tcPr>
          <w:p w14:paraId="7082D9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雨情报表包括单站时段雨量统计、区域面雨量统计、分钟/小时时段极值降雨统计、日极值降雨统计、逐时雨量表、逐日雨量表、逐月雨量表、逐年雨量表、特征时段雨量统计、雨量历史同期分析等。支持报表在线修改、导出等功能。</w:t>
            </w:r>
          </w:p>
        </w:tc>
        <w:tc>
          <w:tcPr>
            <w:tcW w:w="915" w:type="dxa"/>
            <w:gridSpan w:val="2"/>
            <w:shd w:val="clear" w:color="auto" w:fill="FFFFFF"/>
            <w:vAlign w:val="center"/>
          </w:tcPr>
          <w:p w14:paraId="342E9F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034BD9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70C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0" w:type="dxa"/>
            <w:shd w:val="clear" w:color="auto" w:fill="FFFFFF"/>
            <w:vAlign w:val="center"/>
          </w:tcPr>
          <w:p w14:paraId="6195E0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2205" w:type="dxa"/>
            <w:shd w:val="clear" w:color="auto" w:fill="FFFFFF"/>
            <w:vAlign w:val="center"/>
          </w:tcPr>
          <w:p w14:paraId="5EFB39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水情报表  </w:t>
            </w:r>
          </w:p>
        </w:tc>
        <w:tc>
          <w:tcPr>
            <w:tcW w:w="4272" w:type="dxa"/>
            <w:shd w:val="clear" w:color="auto" w:fill="FFFFFF"/>
            <w:vAlign w:val="center"/>
          </w:tcPr>
          <w:p w14:paraId="0CFDDD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水情报表主要包括河道水位过程、水库水位过程、河道水情、水库水雨情、潮位过程、水库蓄水同期分析等。支持报表在线修改、导出等功能。</w:t>
            </w:r>
          </w:p>
        </w:tc>
        <w:tc>
          <w:tcPr>
            <w:tcW w:w="915" w:type="dxa"/>
            <w:gridSpan w:val="2"/>
            <w:shd w:val="clear" w:color="auto" w:fill="FFFFFF"/>
            <w:vAlign w:val="center"/>
          </w:tcPr>
          <w:p w14:paraId="332BF9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8488E6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23C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0" w:type="dxa"/>
            <w:shd w:val="clear" w:color="auto" w:fill="FFFFFF"/>
            <w:vAlign w:val="center"/>
          </w:tcPr>
          <w:p w14:paraId="7E30EC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2205" w:type="dxa"/>
            <w:shd w:val="clear" w:color="auto" w:fill="FFFFFF"/>
            <w:vAlign w:val="center"/>
          </w:tcPr>
          <w:p w14:paraId="5B638B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水库蓄水情况  </w:t>
            </w:r>
          </w:p>
        </w:tc>
        <w:tc>
          <w:tcPr>
            <w:tcW w:w="4272" w:type="dxa"/>
            <w:shd w:val="clear" w:color="auto" w:fill="FFFFFF"/>
            <w:vAlign w:val="center"/>
          </w:tcPr>
          <w:p w14:paraId="4E474D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支持选择任意时段进行雨情统计、河道水情、水库水情、水库蓄水分析等，并以文字和图表方式直观展示。</w:t>
            </w:r>
          </w:p>
        </w:tc>
        <w:tc>
          <w:tcPr>
            <w:tcW w:w="915" w:type="dxa"/>
            <w:gridSpan w:val="2"/>
            <w:shd w:val="clear" w:color="auto" w:fill="FFFFFF"/>
            <w:vAlign w:val="center"/>
          </w:tcPr>
          <w:p w14:paraId="6F45B9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80AF94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527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00" w:type="dxa"/>
            <w:shd w:val="clear" w:color="auto" w:fill="FFFFFF"/>
            <w:vAlign w:val="center"/>
          </w:tcPr>
          <w:p w14:paraId="3DFBD9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2205" w:type="dxa"/>
            <w:shd w:val="clear" w:color="auto" w:fill="FFFFFF"/>
            <w:vAlign w:val="center"/>
          </w:tcPr>
          <w:p w14:paraId="4AFB923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个性化报表  </w:t>
            </w:r>
          </w:p>
        </w:tc>
        <w:tc>
          <w:tcPr>
            <w:tcW w:w="4272" w:type="dxa"/>
            <w:shd w:val="clear" w:color="auto" w:fill="FFFFFF"/>
            <w:vAlign w:val="center"/>
          </w:tcPr>
          <w:p w14:paraId="1B2D79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定制常用的水雨情总结文档模板，并可根据预设模板自动生成简洁的水雨情信息，其中包括全县面雨量、行政区面雨量、流域面雨量、单站最大雨量、河网水情、水库水情等，可包括文字和图表等信息，支持在线编辑和导出功能。</w:t>
            </w:r>
          </w:p>
        </w:tc>
        <w:tc>
          <w:tcPr>
            <w:tcW w:w="915" w:type="dxa"/>
            <w:gridSpan w:val="2"/>
            <w:shd w:val="clear" w:color="auto" w:fill="FFFFFF"/>
            <w:vAlign w:val="center"/>
          </w:tcPr>
          <w:p w14:paraId="15A0BD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ED3A7A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663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95EA126">
            <w:pPr>
              <w:jc w:val="left"/>
              <w:rPr>
                <w:rFonts w:hint="eastAsia" w:ascii="宋体" w:hAnsi="宋体" w:cs="宋体"/>
                <w:color w:val="000000"/>
                <w:sz w:val="18"/>
                <w:szCs w:val="18"/>
              </w:rPr>
            </w:pPr>
            <w:r>
              <w:rPr>
                <w:rFonts w:hint="eastAsia" w:ascii="宋体" w:hAnsi="宋体" w:cs="宋体"/>
                <w:color w:val="000000"/>
                <w:kern w:val="0"/>
                <w:sz w:val="18"/>
                <w:szCs w:val="18"/>
                <w:lang w:bidi="ar"/>
              </w:rPr>
              <w:t>6、形势研判</w:t>
            </w:r>
          </w:p>
        </w:tc>
      </w:tr>
      <w:tr w14:paraId="6B47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484CB55">
            <w:pPr>
              <w:jc w:val="left"/>
              <w:rPr>
                <w:rFonts w:hint="eastAsia" w:ascii="宋体" w:hAnsi="宋体" w:cs="宋体"/>
                <w:color w:val="000000"/>
                <w:sz w:val="18"/>
                <w:szCs w:val="18"/>
              </w:rPr>
            </w:pPr>
            <w:r>
              <w:rPr>
                <w:rFonts w:hint="eastAsia" w:ascii="宋体" w:hAnsi="宋体" w:cs="宋体"/>
                <w:color w:val="000000"/>
                <w:kern w:val="0"/>
                <w:sz w:val="18"/>
                <w:szCs w:val="18"/>
                <w:lang w:bidi="ar"/>
              </w:rPr>
              <w:t>6.1、流域概化图</w:t>
            </w:r>
          </w:p>
        </w:tc>
      </w:tr>
      <w:tr w14:paraId="5CB3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0" w:type="dxa"/>
            <w:shd w:val="clear" w:color="auto" w:fill="FFFFFF"/>
            <w:vAlign w:val="center"/>
          </w:tcPr>
          <w:p w14:paraId="086E78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2205" w:type="dxa"/>
            <w:shd w:val="clear" w:color="auto" w:fill="FFFFFF"/>
            <w:vAlign w:val="center"/>
          </w:tcPr>
          <w:p w14:paraId="3AE5850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流域概化图 </w:t>
            </w:r>
          </w:p>
        </w:tc>
        <w:tc>
          <w:tcPr>
            <w:tcW w:w="4272" w:type="dxa"/>
            <w:shd w:val="clear" w:color="auto" w:fill="FFFFFF"/>
            <w:vAlign w:val="center"/>
          </w:tcPr>
          <w:p w14:paraId="5C400C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一张图落图展示宁海县流域主要控制站点和水库站点，包括流域拓扑关系，各站点洪水传播时间，各控制站点的水位信息和特征信息，上游水库站点的水位和流量信息，为洪水分析和流域洪水调度提供数据可视化支撑。</w:t>
            </w:r>
          </w:p>
        </w:tc>
        <w:tc>
          <w:tcPr>
            <w:tcW w:w="915" w:type="dxa"/>
            <w:gridSpan w:val="2"/>
            <w:shd w:val="clear" w:color="auto" w:fill="FFFFFF"/>
            <w:vAlign w:val="center"/>
          </w:tcPr>
          <w:p w14:paraId="34670E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E839D4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DD3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CEEA1BF">
            <w:pPr>
              <w:jc w:val="left"/>
              <w:rPr>
                <w:rFonts w:hint="eastAsia" w:ascii="宋体" w:hAnsi="宋体" w:cs="宋体"/>
                <w:color w:val="000000"/>
                <w:sz w:val="18"/>
                <w:szCs w:val="18"/>
              </w:rPr>
            </w:pPr>
            <w:r>
              <w:rPr>
                <w:rFonts w:hint="eastAsia" w:ascii="宋体" w:hAnsi="宋体" w:cs="宋体"/>
                <w:color w:val="000000"/>
                <w:kern w:val="0"/>
                <w:sz w:val="18"/>
                <w:szCs w:val="18"/>
                <w:lang w:bidi="ar"/>
              </w:rPr>
              <w:t>6.2、区域形势研判</w:t>
            </w:r>
          </w:p>
        </w:tc>
      </w:tr>
      <w:tr w14:paraId="29B1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00" w:type="dxa"/>
            <w:shd w:val="clear" w:color="auto" w:fill="FFFFFF"/>
            <w:vAlign w:val="center"/>
          </w:tcPr>
          <w:p w14:paraId="150B4D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2205" w:type="dxa"/>
            <w:shd w:val="clear" w:color="auto" w:fill="FFFFFF"/>
            <w:vAlign w:val="center"/>
          </w:tcPr>
          <w:p w14:paraId="752C7E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区域形势研判  </w:t>
            </w:r>
          </w:p>
        </w:tc>
        <w:tc>
          <w:tcPr>
            <w:tcW w:w="4272" w:type="dxa"/>
            <w:shd w:val="clear" w:color="auto" w:fill="FFFFFF"/>
            <w:vAlign w:val="center"/>
          </w:tcPr>
          <w:p w14:paraId="623DC7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流域内主要江河控制站、水库站各类信息，包括水雨情过程信息、河道断面信息、水库库容曲线、视频监控、工情等信息查询、展示功能。支持流域的信息统计分析，统计流域面雨量过程和水位过程信息。对于重要的河道控制站，可以查看关联历史水情信息，其中包括洪水位过程、流量过程以及各时段涨率等。</w:t>
            </w:r>
          </w:p>
        </w:tc>
        <w:tc>
          <w:tcPr>
            <w:tcW w:w="915" w:type="dxa"/>
            <w:gridSpan w:val="2"/>
            <w:shd w:val="clear" w:color="auto" w:fill="FFFFFF"/>
            <w:vAlign w:val="center"/>
          </w:tcPr>
          <w:p w14:paraId="5079BD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4039D5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834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4C7BDA28">
            <w:pPr>
              <w:jc w:val="left"/>
              <w:rPr>
                <w:rFonts w:hint="eastAsia" w:ascii="宋体" w:hAnsi="宋体" w:cs="宋体"/>
                <w:color w:val="000000"/>
                <w:sz w:val="18"/>
                <w:szCs w:val="18"/>
              </w:rPr>
            </w:pPr>
            <w:r>
              <w:rPr>
                <w:rFonts w:hint="eastAsia" w:ascii="宋体" w:hAnsi="宋体" w:cs="宋体"/>
                <w:color w:val="000000"/>
                <w:kern w:val="0"/>
                <w:sz w:val="18"/>
                <w:szCs w:val="18"/>
                <w:lang w:bidi="ar"/>
              </w:rPr>
              <w:t>6.3、凫溪流域水文预报及杨梅岭水库预报</w:t>
            </w:r>
          </w:p>
        </w:tc>
      </w:tr>
      <w:tr w14:paraId="3461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4C1263C0">
            <w:pPr>
              <w:jc w:val="left"/>
              <w:rPr>
                <w:rFonts w:hint="eastAsia" w:ascii="宋体" w:hAnsi="宋体" w:cs="宋体"/>
                <w:color w:val="000000"/>
                <w:sz w:val="18"/>
                <w:szCs w:val="18"/>
              </w:rPr>
            </w:pPr>
            <w:r>
              <w:rPr>
                <w:rFonts w:hint="eastAsia" w:ascii="宋体" w:hAnsi="宋体" w:cs="宋体"/>
                <w:color w:val="000000"/>
                <w:kern w:val="0"/>
                <w:sz w:val="18"/>
                <w:szCs w:val="18"/>
                <w:lang w:bidi="ar"/>
              </w:rPr>
              <w:t>6.3.1、建模基础数据采集分析</w:t>
            </w:r>
          </w:p>
        </w:tc>
      </w:tr>
      <w:tr w14:paraId="3E8A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0" w:type="dxa"/>
            <w:shd w:val="clear" w:color="auto" w:fill="FFFFFF"/>
            <w:vAlign w:val="center"/>
          </w:tcPr>
          <w:p w14:paraId="379252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2205" w:type="dxa"/>
            <w:shd w:val="clear" w:color="auto" w:fill="FFFFFF"/>
            <w:vAlign w:val="center"/>
          </w:tcPr>
          <w:p w14:paraId="1E4DBF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建模基础数据采集分析  </w:t>
            </w:r>
          </w:p>
        </w:tc>
        <w:tc>
          <w:tcPr>
            <w:tcW w:w="4272" w:type="dxa"/>
            <w:shd w:val="clear" w:color="auto" w:fill="FFFFFF"/>
            <w:vAlign w:val="center"/>
          </w:tcPr>
          <w:p w14:paraId="64533E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收集整编水文预报分析所需资料，包括数据源分析、基础地理信息、流域下垫面、水利工程、水文气象、历史洪涝灾害等数据。</w:t>
            </w:r>
          </w:p>
        </w:tc>
        <w:tc>
          <w:tcPr>
            <w:tcW w:w="915" w:type="dxa"/>
            <w:gridSpan w:val="2"/>
            <w:shd w:val="clear" w:color="auto" w:fill="FFFFFF"/>
            <w:vAlign w:val="center"/>
          </w:tcPr>
          <w:p w14:paraId="522ACC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EF5043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E5F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50CF1DA8">
            <w:pPr>
              <w:jc w:val="left"/>
              <w:rPr>
                <w:rFonts w:hint="eastAsia" w:ascii="宋体" w:hAnsi="宋体" w:cs="宋体"/>
                <w:color w:val="000000"/>
                <w:sz w:val="18"/>
                <w:szCs w:val="18"/>
              </w:rPr>
            </w:pPr>
            <w:r>
              <w:rPr>
                <w:rFonts w:hint="eastAsia" w:ascii="宋体" w:hAnsi="宋体" w:cs="宋体"/>
                <w:color w:val="000000"/>
                <w:kern w:val="0"/>
                <w:sz w:val="18"/>
                <w:szCs w:val="18"/>
                <w:lang w:bidi="ar"/>
              </w:rPr>
              <w:t>6.3.2、凫溪流域水文预报模型</w:t>
            </w:r>
          </w:p>
        </w:tc>
      </w:tr>
      <w:tr w14:paraId="5C5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503B0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2205" w:type="dxa"/>
            <w:shd w:val="clear" w:color="auto" w:fill="FFFFFF"/>
            <w:vAlign w:val="center"/>
          </w:tcPr>
          <w:p w14:paraId="6CA8AF3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凫溪流域水文预报模型  </w:t>
            </w:r>
          </w:p>
        </w:tc>
        <w:tc>
          <w:tcPr>
            <w:tcW w:w="4272" w:type="dxa"/>
            <w:shd w:val="clear" w:color="auto" w:fill="FFFFFF"/>
            <w:vAlign w:val="center"/>
          </w:tcPr>
          <w:p w14:paraId="23AF08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采用API水文模型构建凫溪流域水文预报模型。</w:t>
            </w:r>
          </w:p>
        </w:tc>
        <w:tc>
          <w:tcPr>
            <w:tcW w:w="915" w:type="dxa"/>
            <w:gridSpan w:val="2"/>
            <w:shd w:val="clear" w:color="auto" w:fill="FFFFFF"/>
            <w:vAlign w:val="center"/>
          </w:tcPr>
          <w:p w14:paraId="07F20E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7865AA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302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2A002AFF">
            <w:pPr>
              <w:jc w:val="left"/>
              <w:rPr>
                <w:rFonts w:hint="eastAsia" w:ascii="宋体" w:hAnsi="宋体" w:cs="宋体"/>
                <w:color w:val="000000"/>
                <w:sz w:val="18"/>
                <w:szCs w:val="18"/>
              </w:rPr>
            </w:pPr>
            <w:r>
              <w:rPr>
                <w:rFonts w:hint="eastAsia" w:ascii="宋体" w:hAnsi="宋体" w:cs="宋体"/>
                <w:color w:val="000000"/>
                <w:kern w:val="0"/>
                <w:sz w:val="18"/>
                <w:szCs w:val="18"/>
                <w:lang w:bidi="ar"/>
              </w:rPr>
              <w:t>6.3.3、杨梅岭水库预报模型</w:t>
            </w:r>
          </w:p>
        </w:tc>
      </w:tr>
      <w:tr w14:paraId="1A98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54169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2205" w:type="dxa"/>
            <w:shd w:val="clear" w:color="auto" w:fill="FFFFFF"/>
            <w:vAlign w:val="center"/>
          </w:tcPr>
          <w:p w14:paraId="68B84D9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杨梅岭水库预报模型  </w:t>
            </w:r>
          </w:p>
        </w:tc>
        <w:tc>
          <w:tcPr>
            <w:tcW w:w="4272" w:type="dxa"/>
            <w:shd w:val="clear" w:color="auto" w:fill="FFFFFF"/>
            <w:vAlign w:val="center"/>
          </w:tcPr>
          <w:p w14:paraId="5AF72D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构建杨梅岭水库预报模型。</w:t>
            </w:r>
          </w:p>
        </w:tc>
        <w:tc>
          <w:tcPr>
            <w:tcW w:w="915" w:type="dxa"/>
            <w:gridSpan w:val="2"/>
            <w:shd w:val="clear" w:color="auto" w:fill="FFFFFF"/>
            <w:vAlign w:val="center"/>
          </w:tcPr>
          <w:p w14:paraId="52691A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7BFBCC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CB8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5B9CF8C">
            <w:pPr>
              <w:jc w:val="left"/>
              <w:rPr>
                <w:rFonts w:hint="eastAsia" w:ascii="宋体" w:hAnsi="宋体" w:cs="宋体"/>
                <w:color w:val="000000"/>
                <w:sz w:val="18"/>
                <w:szCs w:val="18"/>
              </w:rPr>
            </w:pPr>
            <w:r>
              <w:rPr>
                <w:rFonts w:hint="eastAsia" w:ascii="宋体" w:hAnsi="宋体" w:cs="宋体"/>
                <w:color w:val="000000"/>
                <w:kern w:val="0"/>
                <w:sz w:val="18"/>
                <w:szCs w:val="18"/>
                <w:lang w:bidi="ar"/>
              </w:rPr>
              <w:t>6.3.4、系统功能</w:t>
            </w:r>
          </w:p>
        </w:tc>
      </w:tr>
      <w:tr w14:paraId="41D7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00" w:type="dxa"/>
            <w:shd w:val="clear" w:color="auto" w:fill="FFFFFF"/>
            <w:vAlign w:val="center"/>
          </w:tcPr>
          <w:p w14:paraId="68693C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2205" w:type="dxa"/>
            <w:shd w:val="clear" w:color="auto" w:fill="FFFFFF"/>
            <w:vAlign w:val="center"/>
          </w:tcPr>
          <w:p w14:paraId="797262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洪家塔水文预报  </w:t>
            </w:r>
          </w:p>
        </w:tc>
        <w:tc>
          <w:tcPr>
            <w:tcW w:w="4272" w:type="dxa"/>
            <w:shd w:val="clear" w:color="auto" w:fill="FFFFFF"/>
            <w:vAlign w:val="center"/>
          </w:tcPr>
          <w:p w14:paraId="08AFD1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包含1、自动预报：基于前期实测降雨及气象降雨预报，系统自动调用预报模型开展水文预报，并生成洪家塔水文预报分析报告成果，包括气象预报降雨情况、洪家塔水文站预测洪峰流量、峰现时间、最高水位、警戒水位、保证水位、历史最高水位情况等信息，支持报告导出功能。2、人工预报：支持方案创建、方案管理等功能，用户可根据研判需要，自定义模型预报起止时间、降雨数据源、降雨量和降雨过程，生成水文预报结果。</w:t>
            </w:r>
          </w:p>
        </w:tc>
        <w:tc>
          <w:tcPr>
            <w:tcW w:w="915" w:type="dxa"/>
            <w:gridSpan w:val="2"/>
            <w:shd w:val="clear" w:color="auto" w:fill="FFFFFF"/>
            <w:vAlign w:val="center"/>
          </w:tcPr>
          <w:p w14:paraId="20330D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0532B8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0D5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0" w:type="dxa"/>
            <w:shd w:val="clear" w:color="auto" w:fill="FFFFFF"/>
            <w:vAlign w:val="center"/>
          </w:tcPr>
          <w:p w14:paraId="7955B6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2205" w:type="dxa"/>
            <w:shd w:val="clear" w:color="auto" w:fill="FFFFFF"/>
            <w:vAlign w:val="center"/>
          </w:tcPr>
          <w:p w14:paraId="7B9822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杨梅岭水库预报  </w:t>
            </w:r>
          </w:p>
        </w:tc>
        <w:tc>
          <w:tcPr>
            <w:tcW w:w="4272" w:type="dxa"/>
            <w:shd w:val="clear" w:color="auto" w:fill="FFFFFF"/>
            <w:vAlign w:val="center"/>
          </w:tcPr>
          <w:p w14:paraId="3A2292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杨梅岭水库预报模块支持配置固定间隔时间自动生成的滚动预报模式和通过方案自定义参数配置的预估预报模式，开展水库来水量、水位预报，为水资源调度配置提供决策支持。</w:t>
            </w:r>
          </w:p>
        </w:tc>
        <w:tc>
          <w:tcPr>
            <w:tcW w:w="915" w:type="dxa"/>
            <w:gridSpan w:val="2"/>
            <w:shd w:val="clear" w:color="auto" w:fill="FFFFFF"/>
            <w:vAlign w:val="center"/>
          </w:tcPr>
          <w:p w14:paraId="16ADCE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F20485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EED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8FF6AC7">
            <w:pPr>
              <w:jc w:val="left"/>
              <w:rPr>
                <w:rFonts w:hint="eastAsia" w:ascii="宋体" w:hAnsi="宋体" w:cs="宋体"/>
                <w:color w:val="000000"/>
                <w:sz w:val="18"/>
                <w:szCs w:val="18"/>
              </w:rPr>
            </w:pPr>
            <w:r>
              <w:rPr>
                <w:rFonts w:hint="eastAsia" w:ascii="宋体" w:hAnsi="宋体" w:cs="宋体"/>
                <w:color w:val="000000"/>
                <w:kern w:val="0"/>
                <w:sz w:val="18"/>
                <w:szCs w:val="18"/>
                <w:lang w:bidi="ar"/>
              </w:rPr>
              <w:t>7、值班值守</w:t>
            </w:r>
          </w:p>
        </w:tc>
      </w:tr>
      <w:tr w14:paraId="22F1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DF18E73">
            <w:pPr>
              <w:jc w:val="left"/>
              <w:rPr>
                <w:rFonts w:hint="eastAsia" w:ascii="宋体" w:hAnsi="宋体" w:cs="宋体"/>
                <w:color w:val="000000"/>
                <w:sz w:val="18"/>
                <w:szCs w:val="18"/>
              </w:rPr>
            </w:pPr>
            <w:r>
              <w:rPr>
                <w:rFonts w:hint="eastAsia" w:ascii="宋体" w:hAnsi="宋体" w:cs="宋体"/>
                <w:color w:val="000000"/>
                <w:kern w:val="0"/>
                <w:sz w:val="18"/>
                <w:szCs w:val="18"/>
                <w:lang w:bidi="ar"/>
              </w:rPr>
              <w:t>7.1、值班值守</w:t>
            </w:r>
          </w:p>
        </w:tc>
      </w:tr>
      <w:tr w14:paraId="2B12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7DD8F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2205" w:type="dxa"/>
            <w:shd w:val="clear" w:color="auto" w:fill="FFFFFF"/>
            <w:vAlign w:val="center"/>
          </w:tcPr>
          <w:p w14:paraId="194E76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值班人员信息  </w:t>
            </w:r>
          </w:p>
        </w:tc>
        <w:tc>
          <w:tcPr>
            <w:tcW w:w="4272" w:type="dxa"/>
            <w:shd w:val="clear" w:color="auto" w:fill="FFFFFF"/>
            <w:vAlign w:val="center"/>
          </w:tcPr>
          <w:p w14:paraId="2DE127E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展示当日值班人员信息，包括带班领导、值班人员等姓名和联系电话</w:t>
            </w:r>
          </w:p>
        </w:tc>
        <w:tc>
          <w:tcPr>
            <w:tcW w:w="915" w:type="dxa"/>
            <w:gridSpan w:val="2"/>
            <w:shd w:val="clear" w:color="auto" w:fill="FFFFFF"/>
            <w:vAlign w:val="center"/>
          </w:tcPr>
          <w:p w14:paraId="17BD78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5BFBF3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4D1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0FCEA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2205" w:type="dxa"/>
            <w:shd w:val="clear" w:color="auto" w:fill="FFFFFF"/>
            <w:vAlign w:val="center"/>
          </w:tcPr>
          <w:p w14:paraId="6BF2DA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常用功能  </w:t>
            </w:r>
          </w:p>
        </w:tc>
        <w:tc>
          <w:tcPr>
            <w:tcW w:w="4272" w:type="dxa"/>
            <w:shd w:val="clear" w:color="auto" w:fill="FFFFFF"/>
            <w:vAlign w:val="center"/>
          </w:tcPr>
          <w:p w14:paraId="165368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提供预警统计、值班管理、预警处置、防汛简报、值班注意事项等常用功能自定义配置功能</w:t>
            </w:r>
          </w:p>
        </w:tc>
        <w:tc>
          <w:tcPr>
            <w:tcW w:w="915" w:type="dxa"/>
            <w:gridSpan w:val="2"/>
            <w:shd w:val="clear" w:color="auto" w:fill="FFFFFF"/>
            <w:vAlign w:val="center"/>
          </w:tcPr>
          <w:p w14:paraId="10F462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225420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8F0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1A2B9B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2205" w:type="dxa"/>
            <w:shd w:val="clear" w:color="auto" w:fill="FFFFFF"/>
            <w:vAlign w:val="center"/>
          </w:tcPr>
          <w:p w14:paraId="078FD1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值守工作  </w:t>
            </w:r>
          </w:p>
        </w:tc>
        <w:tc>
          <w:tcPr>
            <w:tcW w:w="4272" w:type="dxa"/>
            <w:shd w:val="clear" w:color="auto" w:fill="FFFFFF"/>
            <w:vAlign w:val="center"/>
          </w:tcPr>
          <w:p w14:paraId="350A46A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提供人工短信、风险清单、人员转移、巡查上班、公众预警等功能快速访问功能</w:t>
            </w:r>
          </w:p>
        </w:tc>
        <w:tc>
          <w:tcPr>
            <w:tcW w:w="915" w:type="dxa"/>
            <w:gridSpan w:val="2"/>
            <w:shd w:val="clear" w:color="auto" w:fill="FFFFFF"/>
            <w:vAlign w:val="center"/>
          </w:tcPr>
          <w:p w14:paraId="4889E1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A61CB5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F2C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A2C1B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2205" w:type="dxa"/>
            <w:shd w:val="clear" w:color="auto" w:fill="FFFFFF"/>
            <w:vAlign w:val="center"/>
          </w:tcPr>
          <w:p w14:paraId="52C293B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防汛值班记录  </w:t>
            </w:r>
          </w:p>
        </w:tc>
        <w:tc>
          <w:tcPr>
            <w:tcW w:w="4272" w:type="dxa"/>
            <w:shd w:val="clear" w:color="auto" w:fill="FFFFFF"/>
            <w:vAlign w:val="center"/>
          </w:tcPr>
          <w:p w14:paraId="6CEF88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提供值班人员值班记录新增、查询功能，包括时间、值班问题、处理结果等信息</w:t>
            </w:r>
          </w:p>
        </w:tc>
        <w:tc>
          <w:tcPr>
            <w:tcW w:w="915" w:type="dxa"/>
            <w:gridSpan w:val="2"/>
            <w:shd w:val="clear" w:color="auto" w:fill="FFFFFF"/>
            <w:vAlign w:val="center"/>
          </w:tcPr>
          <w:p w14:paraId="1D52AD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CE4F08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3F1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83FF0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2205" w:type="dxa"/>
            <w:shd w:val="clear" w:color="auto" w:fill="FFFFFF"/>
            <w:vAlign w:val="center"/>
          </w:tcPr>
          <w:p w14:paraId="1FE412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测站预警  </w:t>
            </w:r>
          </w:p>
        </w:tc>
        <w:tc>
          <w:tcPr>
            <w:tcW w:w="4272" w:type="dxa"/>
            <w:shd w:val="clear" w:color="auto" w:fill="FFFFFF"/>
            <w:vAlign w:val="center"/>
          </w:tcPr>
          <w:p w14:paraId="7A482E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统计展示全县雨量测站超警情况，河道站、水库站超警、超汛情况</w:t>
            </w:r>
          </w:p>
        </w:tc>
        <w:tc>
          <w:tcPr>
            <w:tcW w:w="915" w:type="dxa"/>
            <w:gridSpan w:val="2"/>
            <w:shd w:val="clear" w:color="auto" w:fill="FFFFFF"/>
            <w:vAlign w:val="center"/>
          </w:tcPr>
          <w:p w14:paraId="37EA99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2209DD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F6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717FF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2205" w:type="dxa"/>
            <w:shd w:val="clear" w:color="auto" w:fill="FFFFFF"/>
            <w:vAlign w:val="center"/>
          </w:tcPr>
          <w:p w14:paraId="6E3B87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降雨监测  </w:t>
            </w:r>
          </w:p>
        </w:tc>
        <w:tc>
          <w:tcPr>
            <w:tcW w:w="4272" w:type="dxa"/>
            <w:shd w:val="clear" w:color="auto" w:fill="FFFFFF"/>
            <w:vAlign w:val="center"/>
          </w:tcPr>
          <w:p w14:paraId="3B039CA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展示近1、3、6、24小时降雨等值面图</w:t>
            </w:r>
          </w:p>
        </w:tc>
        <w:tc>
          <w:tcPr>
            <w:tcW w:w="915" w:type="dxa"/>
            <w:gridSpan w:val="2"/>
            <w:shd w:val="clear" w:color="auto" w:fill="FFFFFF"/>
            <w:vAlign w:val="center"/>
          </w:tcPr>
          <w:p w14:paraId="2190B9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A55CD53">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525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601ABF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2205" w:type="dxa"/>
            <w:shd w:val="clear" w:color="auto" w:fill="FFFFFF"/>
            <w:vAlign w:val="center"/>
          </w:tcPr>
          <w:p w14:paraId="5553ED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气象预报  </w:t>
            </w:r>
          </w:p>
        </w:tc>
        <w:tc>
          <w:tcPr>
            <w:tcW w:w="4272" w:type="dxa"/>
            <w:shd w:val="clear" w:color="auto" w:fill="FFFFFF"/>
            <w:vAlign w:val="center"/>
          </w:tcPr>
          <w:p w14:paraId="1981A2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展示未来1、3、6小时，未来1日、2日、3日气象预报降雨分布图</w:t>
            </w:r>
          </w:p>
        </w:tc>
        <w:tc>
          <w:tcPr>
            <w:tcW w:w="915" w:type="dxa"/>
            <w:gridSpan w:val="2"/>
            <w:shd w:val="clear" w:color="auto" w:fill="FFFFFF"/>
            <w:vAlign w:val="center"/>
          </w:tcPr>
          <w:p w14:paraId="548419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725840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479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45EF7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2205" w:type="dxa"/>
            <w:shd w:val="clear" w:color="auto" w:fill="FFFFFF"/>
            <w:vAlign w:val="center"/>
          </w:tcPr>
          <w:p w14:paraId="70309B2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视频监控  </w:t>
            </w:r>
          </w:p>
        </w:tc>
        <w:tc>
          <w:tcPr>
            <w:tcW w:w="4272" w:type="dxa"/>
            <w:shd w:val="clear" w:color="auto" w:fill="FFFFFF"/>
            <w:vAlign w:val="center"/>
          </w:tcPr>
          <w:p w14:paraId="1FA7C0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轮播展示重点关注视频监控实时画面</w:t>
            </w:r>
          </w:p>
        </w:tc>
        <w:tc>
          <w:tcPr>
            <w:tcW w:w="915" w:type="dxa"/>
            <w:gridSpan w:val="2"/>
            <w:shd w:val="clear" w:color="auto" w:fill="FFFFFF"/>
            <w:vAlign w:val="center"/>
          </w:tcPr>
          <w:p w14:paraId="148BCD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3FFCD4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6FB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5E2F4FB">
            <w:pPr>
              <w:jc w:val="left"/>
              <w:rPr>
                <w:rFonts w:hint="eastAsia" w:ascii="宋体" w:hAnsi="宋体" w:cs="宋体"/>
                <w:color w:val="000000"/>
                <w:sz w:val="18"/>
                <w:szCs w:val="18"/>
              </w:rPr>
            </w:pPr>
            <w:r>
              <w:rPr>
                <w:rFonts w:hint="eastAsia" w:ascii="宋体" w:hAnsi="宋体" w:cs="宋体"/>
                <w:color w:val="000000"/>
                <w:kern w:val="0"/>
                <w:sz w:val="18"/>
                <w:szCs w:val="18"/>
                <w:lang w:bidi="ar"/>
              </w:rPr>
              <w:t>7.2、值班管理</w:t>
            </w:r>
          </w:p>
        </w:tc>
      </w:tr>
      <w:tr w14:paraId="2F44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5FB42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2205" w:type="dxa"/>
            <w:shd w:val="clear" w:color="auto" w:fill="FFFFFF"/>
            <w:vAlign w:val="center"/>
          </w:tcPr>
          <w:p w14:paraId="541979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值班管理  </w:t>
            </w:r>
          </w:p>
        </w:tc>
        <w:tc>
          <w:tcPr>
            <w:tcW w:w="4272" w:type="dxa"/>
            <w:shd w:val="clear" w:color="auto" w:fill="FFFFFF"/>
            <w:vAlign w:val="center"/>
          </w:tcPr>
          <w:p w14:paraId="588626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提供值班人员信息录入、修改、删除等功能，同时支持提前向值班人员发送值班提醒短信</w:t>
            </w:r>
          </w:p>
        </w:tc>
        <w:tc>
          <w:tcPr>
            <w:tcW w:w="915" w:type="dxa"/>
            <w:gridSpan w:val="2"/>
            <w:shd w:val="clear" w:color="auto" w:fill="FFFFFF"/>
            <w:vAlign w:val="center"/>
          </w:tcPr>
          <w:p w14:paraId="2EFE93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7F2C7D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13F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58A555F">
            <w:pPr>
              <w:jc w:val="left"/>
              <w:rPr>
                <w:rFonts w:hint="eastAsia" w:ascii="宋体" w:hAnsi="宋体" w:cs="宋体"/>
                <w:color w:val="000000"/>
                <w:sz w:val="18"/>
                <w:szCs w:val="18"/>
              </w:rPr>
            </w:pPr>
            <w:r>
              <w:rPr>
                <w:rFonts w:hint="eastAsia" w:ascii="宋体" w:hAnsi="宋体" w:cs="宋体"/>
                <w:color w:val="000000"/>
                <w:kern w:val="0"/>
                <w:sz w:val="18"/>
                <w:szCs w:val="18"/>
                <w:lang w:bidi="ar"/>
              </w:rPr>
              <w:t>8、后台管理</w:t>
            </w:r>
          </w:p>
        </w:tc>
      </w:tr>
      <w:tr w14:paraId="3D09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A35BD0A">
            <w:pPr>
              <w:jc w:val="left"/>
              <w:rPr>
                <w:rFonts w:hint="eastAsia" w:ascii="宋体" w:hAnsi="宋体" w:cs="宋体"/>
                <w:color w:val="000000"/>
                <w:sz w:val="18"/>
                <w:szCs w:val="18"/>
              </w:rPr>
            </w:pPr>
            <w:r>
              <w:rPr>
                <w:rFonts w:hint="eastAsia" w:ascii="宋体" w:hAnsi="宋体" w:cs="宋体"/>
                <w:color w:val="000000"/>
                <w:kern w:val="0"/>
                <w:sz w:val="18"/>
                <w:szCs w:val="18"/>
                <w:lang w:bidi="ar"/>
              </w:rPr>
              <w:t>8.1、基础信息</w:t>
            </w:r>
          </w:p>
        </w:tc>
      </w:tr>
      <w:tr w14:paraId="556D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0" w:type="dxa"/>
            <w:shd w:val="clear" w:color="auto" w:fill="FFFFFF"/>
            <w:vAlign w:val="center"/>
          </w:tcPr>
          <w:p w14:paraId="21BDA1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2205" w:type="dxa"/>
            <w:shd w:val="clear" w:color="auto" w:fill="FFFFFF"/>
            <w:vAlign w:val="center"/>
          </w:tcPr>
          <w:p w14:paraId="10D753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基础信息  </w:t>
            </w:r>
          </w:p>
        </w:tc>
        <w:tc>
          <w:tcPr>
            <w:tcW w:w="4272" w:type="dxa"/>
            <w:shd w:val="clear" w:color="auto" w:fill="FFFFFF"/>
            <w:vAlign w:val="center"/>
          </w:tcPr>
          <w:p w14:paraId="41C265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支持山洪灾害和水库山塘责任人、防御对象等基础信息填报和更新等功能。</w:t>
            </w:r>
          </w:p>
        </w:tc>
        <w:tc>
          <w:tcPr>
            <w:tcW w:w="915" w:type="dxa"/>
            <w:gridSpan w:val="2"/>
            <w:shd w:val="clear" w:color="auto" w:fill="FFFFFF"/>
            <w:vAlign w:val="center"/>
          </w:tcPr>
          <w:p w14:paraId="06320B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F65C38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8F7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D09FFAB">
            <w:pPr>
              <w:jc w:val="left"/>
              <w:rPr>
                <w:rFonts w:hint="eastAsia" w:ascii="宋体" w:hAnsi="宋体" w:cs="宋体"/>
                <w:color w:val="000000"/>
                <w:sz w:val="18"/>
                <w:szCs w:val="18"/>
              </w:rPr>
            </w:pPr>
            <w:r>
              <w:rPr>
                <w:rFonts w:hint="eastAsia" w:ascii="宋体" w:hAnsi="宋体" w:cs="宋体"/>
                <w:color w:val="000000"/>
                <w:kern w:val="0"/>
                <w:sz w:val="18"/>
                <w:szCs w:val="18"/>
                <w:lang w:bidi="ar"/>
              </w:rPr>
              <w:t>8.2、预警管理</w:t>
            </w:r>
          </w:p>
        </w:tc>
      </w:tr>
      <w:tr w14:paraId="56BE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00" w:type="dxa"/>
            <w:shd w:val="clear" w:color="auto" w:fill="FFFFFF"/>
            <w:vAlign w:val="center"/>
          </w:tcPr>
          <w:p w14:paraId="1D8922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2205" w:type="dxa"/>
            <w:shd w:val="clear" w:color="auto" w:fill="FFFFFF"/>
            <w:vAlign w:val="center"/>
          </w:tcPr>
          <w:p w14:paraId="4C511D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预警信息 </w:t>
            </w:r>
          </w:p>
        </w:tc>
        <w:tc>
          <w:tcPr>
            <w:tcW w:w="4272" w:type="dxa"/>
            <w:shd w:val="clear" w:color="auto" w:fill="FFFFFF"/>
            <w:vAlign w:val="center"/>
          </w:tcPr>
          <w:p w14:paraId="3736A3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同步水文分析平台和山洪平台预警信息，支持设备预警、山洪灾害预警、雨量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预警、河道预警、水库预警、值班提醒等各类预警信息查询、统计和导出功能</w:t>
            </w:r>
          </w:p>
        </w:tc>
        <w:tc>
          <w:tcPr>
            <w:tcW w:w="915" w:type="dxa"/>
            <w:gridSpan w:val="2"/>
            <w:shd w:val="clear" w:color="auto" w:fill="FFFFFF"/>
            <w:vAlign w:val="center"/>
          </w:tcPr>
          <w:p w14:paraId="7699B3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E264E6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B8C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D7763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2205" w:type="dxa"/>
            <w:shd w:val="clear" w:color="auto" w:fill="FFFFFF"/>
            <w:vAlign w:val="center"/>
          </w:tcPr>
          <w:p w14:paraId="72560E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预警配置 </w:t>
            </w:r>
          </w:p>
        </w:tc>
        <w:tc>
          <w:tcPr>
            <w:tcW w:w="4272" w:type="dxa"/>
            <w:shd w:val="clear" w:color="auto" w:fill="FFFFFF"/>
            <w:vAlign w:val="center"/>
          </w:tcPr>
          <w:p w14:paraId="4637DC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支持雨强预警、河道超警、水库超汛预警阈值及预警对象配置等功能</w:t>
            </w:r>
          </w:p>
        </w:tc>
        <w:tc>
          <w:tcPr>
            <w:tcW w:w="915" w:type="dxa"/>
            <w:gridSpan w:val="2"/>
            <w:shd w:val="clear" w:color="auto" w:fill="FFFFFF"/>
            <w:vAlign w:val="center"/>
          </w:tcPr>
          <w:p w14:paraId="58C546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B9FDB7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EE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9125DAB">
            <w:pPr>
              <w:jc w:val="left"/>
              <w:rPr>
                <w:rFonts w:hint="eastAsia" w:ascii="宋体" w:hAnsi="宋体" w:cs="宋体"/>
                <w:color w:val="000000"/>
                <w:sz w:val="18"/>
                <w:szCs w:val="18"/>
              </w:rPr>
            </w:pPr>
            <w:r>
              <w:rPr>
                <w:rFonts w:hint="eastAsia" w:ascii="宋体" w:hAnsi="宋体" w:cs="宋体"/>
                <w:color w:val="000000"/>
                <w:kern w:val="0"/>
                <w:sz w:val="18"/>
                <w:szCs w:val="18"/>
                <w:lang w:bidi="ar"/>
              </w:rPr>
              <w:t>8.3、遥测数据</w:t>
            </w:r>
          </w:p>
        </w:tc>
      </w:tr>
      <w:tr w14:paraId="6EFA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E50A3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2205" w:type="dxa"/>
            <w:shd w:val="clear" w:color="auto" w:fill="FFFFFF"/>
            <w:vAlign w:val="center"/>
          </w:tcPr>
          <w:p w14:paraId="302473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遥测数据  </w:t>
            </w:r>
          </w:p>
        </w:tc>
        <w:tc>
          <w:tcPr>
            <w:tcW w:w="4272" w:type="dxa"/>
            <w:shd w:val="clear" w:color="auto" w:fill="FFFFFF"/>
            <w:vAlign w:val="center"/>
          </w:tcPr>
          <w:p w14:paraId="2668486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支持全县任意测站主副设备、测站分钟数据导出</w:t>
            </w:r>
          </w:p>
        </w:tc>
        <w:tc>
          <w:tcPr>
            <w:tcW w:w="915" w:type="dxa"/>
            <w:gridSpan w:val="2"/>
            <w:shd w:val="clear" w:color="auto" w:fill="FFFFFF"/>
            <w:vAlign w:val="center"/>
          </w:tcPr>
          <w:p w14:paraId="44713E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DE453D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275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E96FB3D">
            <w:pPr>
              <w:jc w:val="left"/>
              <w:rPr>
                <w:rFonts w:hint="eastAsia" w:ascii="宋体" w:hAnsi="宋体" w:cs="宋体"/>
                <w:color w:val="000000"/>
                <w:sz w:val="18"/>
                <w:szCs w:val="18"/>
              </w:rPr>
            </w:pPr>
            <w:r>
              <w:rPr>
                <w:rFonts w:hint="eastAsia" w:ascii="宋体" w:hAnsi="宋体" w:cs="宋体"/>
                <w:color w:val="000000"/>
                <w:kern w:val="0"/>
                <w:sz w:val="18"/>
                <w:szCs w:val="18"/>
                <w:lang w:bidi="ar"/>
              </w:rPr>
              <w:t>8.4、用户管理</w:t>
            </w:r>
          </w:p>
        </w:tc>
      </w:tr>
      <w:tr w14:paraId="2439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1E5E6F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2205" w:type="dxa"/>
            <w:shd w:val="clear" w:color="auto" w:fill="FFFFFF"/>
            <w:vAlign w:val="center"/>
          </w:tcPr>
          <w:p w14:paraId="6A90AE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用户管理  </w:t>
            </w:r>
          </w:p>
        </w:tc>
        <w:tc>
          <w:tcPr>
            <w:tcW w:w="4272" w:type="dxa"/>
            <w:shd w:val="clear" w:color="auto" w:fill="FFFFFF"/>
            <w:vAlign w:val="center"/>
          </w:tcPr>
          <w:p w14:paraId="277D5D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以列表形式展示用户信息，同时提供用户配置，包括用户角色配置和用户状态配置。</w:t>
            </w:r>
          </w:p>
        </w:tc>
        <w:tc>
          <w:tcPr>
            <w:tcW w:w="915" w:type="dxa"/>
            <w:gridSpan w:val="2"/>
            <w:shd w:val="clear" w:color="auto" w:fill="FFFFFF"/>
            <w:vAlign w:val="center"/>
          </w:tcPr>
          <w:p w14:paraId="107E6E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67B8AE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45F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500E2213">
            <w:pPr>
              <w:jc w:val="left"/>
              <w:rPr>
                <w:rFonts w:hint="eastAsia" w:ascii="宋体" w:hAnsi="宋体" w:cs="宋体"/>
                <w:color w:val="000000"/>
                <w:sz w:val="18"/>
                <w:szCs w:val="18"/>
              </w:rPr>
            </w:pPr>
            <w:r>
              <w:rPr>
                <w:rFonts w:hint="eastAsia" w:ascii="宋体" w:hAnsi="宋体" w:cs="宋体"/>
                <w:color w:val="000000"/>
                <w:kern w:val="0"/>
                <w:sz w:val="18"/>
                <w:szCs w:val="18"/>
                <w:lang w:bidi="ar"/>
              </w:rPr>
              <w:t>8.5、角色权限管理</w:t>
            </w:r>
          </w:p>
        </w:tc>
      </w:tr>
      <w:tr w14:paraId="2450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0" w:type="dxa"/>
            <w:shd w:val="clear" w:color="auto" w:fill="FFFFFF"/>
            <w:vAlign w:val="center"/>
          </w:tcPr>
          <w:p w14:paraId="6D77C9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2205" w:type="dxa"/>
            <w:shd w:val="clear" w:color="auto" w:fill="FFFFFF"/>
            <w:vAlign w:val="center"/>
          </w:tcPr>
          <w:p w14:paraId="4155B4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角色权限管理  </w:t>
            </w:r>
          </w:p>
        </w:tc>
        <w:tc>
          <w:tcPr>
            <w:tcW w:w="4272" w:type="dxa"/>
            <w:shd w:val="clear" w:color="auto" w:fill="FFFFFF"/>
            <w:vAlign w:val="center"/>
          </w:tcPr>
          <w:p w14:paraId="2A5FA4A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提供角色权限管理功能，以列表形式展示角色信息，包括角色名称、角色描述和操作，同时提供角色授权配置功能。</w:t>
            </w:r>
          </w:p>
        </w:tc>
        <w:tc>
          <w:tcPr>
            <w:tcW w:w="915" w:type="dxa"/>
            <w:gridSpan w:val="2"/>
            <w:shd w:val="clear" w:color="auto" w:fill="FFFFFF"/>
            <w:vAlign w:val="center"/>
          </w:tcPr>
          <w:p w14:paraId="255F1F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A3DBD1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782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740A458">
            <w:pPr>
              <w:jc w:val="left"/>
              <w:rPr>
                <w:rFonts w:hint="eastAsia" w:ascii="宋体" w:hAnsi="宋体" w:cs="宋体"/>
                <w:color w:val="000000"/>
                <w:sz w:val="18"/>
                <w:szCs w:val="18"/>
              </w:rPr>
            </w:pPr>
            <w:r>
              <w:rPr>
                <w:rFonts w:hint="eastAsia" w:ascii="宋体" w:hAnsi="宋体" w:cs="宋体"/>
                <w:color w:val="000000"/>
                <w:kern w:val="0"/>
                <w:sz w:val="18"/>
                <w:szCs w:val="18"/>
                <w:lang w:bidi="ar"/>
              </w:rPr>
              <w:t>8.6、日志管理</w:t>
            </w:r>
          </w:p>
        </w:tc>
      </w:tr>
      <w:tr w14:paraId="28D7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shd w:val="clear" w:color="auto" w:fill="FFFFFF"/>
            <w:vAlign w:val="center"/>
          </w:tcPr>
          <w:p w14:paraId="574464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2205" w:type="dxa"/>
            <w:shd w:val="clear" w:color="auto" w:fill="FFFFFF"/>
            <w:vAlign w:val="center"/>
          </w:tcPr>
          <w:p w14:paraId="07E4E6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日志管理  </w:t>
            </w:r>
          </w:p>
        </w:tc>
        <w:tc>
          <w:tcPr>
            <w:tcW w:w="4272" w:type="dxa"/>
            <w:shd w:val="clear" w:color="auto" w:fill="FFFFFF"/>
            <w:vAlign w:val="center"/>
          </w:tcPr>
          <w:p w14:paraId="0E365F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以列表的形式自动记录用户操作情况，包括操作时间、操作用户、操作模块、操作类型、操作内容等，对系统相应操作及处置情况自动跟踪留痕，为后续复盘评估做好记录。</w:t>
            </w:r>
          </w:p>
        </w:tc>
        <w:tc>
          <w:tcPr>
            <w:tcW w:w="915" w:type="dxa"/>
            <w:gridSpan w:val="2"/>
            <w:shd w:val="clear" w:color="auto" w:fill="FFFFFF"/>
            <w:vAlign w:val="center"/>
          </w:tcPr>
          <w:p w14:paraId="2533AB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875CEF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A3B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35A5E1FE">
            <w:pPr>
              <w:jc w:val="left"/>
              <w:rPr>
                <w:rFonts w:hint="eastAsia" w:ascii="宋体" w:hAnsi="宋体" w:cs="宋体"/>
                <w:color w:val="000000"/>
                <w:sz w:val="18"/>
                <w:szCs w:val="18"/>
              </w:rPr>
            </w:pPr>
            <w:r>
              <w:rPr>
                <w:rFonts w:hint="eastAsia" w:ascii="宋体" w:hAnsi="宋体" w:cs="宋体"/>
                <w:color w:val="000000"/>
                <w:kern w:val="0"/>
                <w:sz w:val="18"/>
                <w:szCs w:val="18"/>
                <w:lang w:bidi="ar"/>
              </w:rPr>
              <w:t>（三）手机端</w:t>
            </w:r>
          </w:p>
        </w:tc>
      </w:tr>
      <w:tr w14:paraId="0080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00" w:type="dxa"/>
            <w:shd w:val="clear" w:color="auto" w:fill="FFFFFF"/>
            <w:vAlign w:val="center"/>
          </w:tcPr>
          <w:p w14:paraId="2C6B99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2205" w:type="dxa"/>
            <w:shd w:val="clear" w:color="auto" w:fill="FFFFFF"/>
            <w:vAlign w:val="center"/>
          </w:tcPr>
          <w:p w14:paraId="077DDA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水雨情摘要  </w:t>
            </w:r>
          </w:p>
        </w:tc>
        <w:tc>
          <w:tcPr>
            <w:tcW w:w="4272" w:type="dxa"/>
            <w:shd w:val="clear" w:color="auto" w:fill="FFFFFF"/>
            <w:vAlign w:val="center"/>
          </w:tcPr>
          <w:p w14:paraId="12AE4C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于水雨情数据统计分析成果，生成当日水雨情形势总结，包括降雨情况、江河水情、水库水情等内容。降雨情况主要包括全县平均降雨量、当月累计降雨及当年累计降雨情况；江河水情主要统计全县主要江河控制站超警、超保情况；水库水情分别展示全县小（1）型以上水库和中型水库的实时蓄水情况，并对水库的超汛限情况进行分析。</w:t>
            </w:r>
          </w:p>
        </w:tc>
        <w:tc>
          <w:tcPr>
            <w:tcW w:w="915" w:type="dxa"/>
            <w:gridSpan w:val="2"/>
            <w:shd w:val="clear" w:color="auto" w:fill="FFFFFF"/>
            <w:vAlign w:val="center"/>
          </w:tcPr>
          <w:p w14:paraId="50564E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4B1311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FAD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00" w:type="dxa"/>
            <w:shd w:val="clear" w:color="auto" w:fill="FFFFFF"/>
            <w:vAlign w:val="center"/>
          </w:tcPr>
          <w:p w14:paraId="0BFA3C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2205" w:type="dxa"/>
            <w:shd w:val="clear" w:color="auto" w:fill="FFFFFF"/>
            <w:vAlign w:val="center"/>
          </w:tcPr>
          <w:p w14:paraId="1AE1C2F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水文简报 </w:t>
            </w:r>
          </w:p>
        </w:tc>
        <w:tc>
          <w:tcPr>
            <w:tcW w:w="4272" w:type="dxa"/>
            <w:shd w:val="clear" w:color="auto" w:fill="FFFFFF"/>
            <w:vAlign w:val="center"/>
          </w:tcPr>
          <w:p w14:paraId="78CD01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能够对获取的水雨情监测数据、气象数据、工程数据、预报预警数据进行分析，综合展示降雨分析、大中型水库蓄水分析、江河水位、旱情预警、山洪预警、水文预报等信息。系统对自动生成的水文简报进行存储和管理，方便用户查询历史数据和简报。</w:t>
            </w:r>
          </w:p>
        </w:tc>
        <w:tc>
          <w:tcPr>
            <w:tcW w:w="915" w:type="dxa"/>
            <w:gridSpan w:val="2"/>
            <w:shd w:val="clear" w:color="auto" w:fill="FFFFFF"/>
            <w:vAlign w:val="center"/>
          </w:tcPr>
          <w:p w14:paraId="6903D0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DE5D7A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D1E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00" w:type="dxa"/>
            <w:shd w:val="clear" w:color="auto" w:fill="FFFFFF"/>
            <w:vAlign w:val="center"/>
          </w:tcPr>
          <w:p w14:paraId="195587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2205" w:type="dxa"/>
            <w:shd w:val="clear" w:color="auto" w:fill="FFFFFF"/>
            <w:vAlign w:val="center"/>
          </w:tcPr>
          <w:p w14:paraId="493411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实时雨情  </w:t>
            </w:r>
          </w:p>
        </w:tc>
        <w:tc>
          <w:tcPr>
            <w:tcW w:w="4272" w:type="dxa"/>
            <w:shd w:val="clear" w:color="auto" w:fill="FFFFFF"/>
            <w:vAlign w:val="center"/>
          </w:tcPr>
          <w:p w14:paraId="50957E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落图展示全县雨情站点信息，并按雨量站点、量级统计、区域面雨量等口径分别对雨量进行统计。点击可查看当前站点的雨量过程柱状图以及降雨量变化表，可通过选择任意时间段查询历史雨量数据。</w:t>
            </w:r>
          </w:p>
        </w:tc>
        <w:tc>
          <w:tcPr>
            <w:tcW w:w="915" w:type="dxa"/>
            <w:gridSpan w:val="2"/>
            <w:shd w:val="clear" w:color="auto" w:fill="FFFFFF"/>
            <w:vAlign w:val="center"/>
          </w:tcPr>
          <w:p w14:paraId="45BC1E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233EEE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88C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0" w:type="dxa"/>
            <w:shd w:val="clear" w:color="auto" w:fill="FFFFFF"/>
            <w:vAlign w:val="center"/>
          </w:tcPr>
          <w:p w14:paraId="4BBC68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2205" w:type="dxa"/>
            <w:shd w:val="clear" w:color="auto" w:fill="FFFFFF"/>
            <w:vAlign w:val="center"/>
          </w:tcPr>
          <w:p w14:paraId="5CFDF71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河道水情  </w:t>
            </w:r>
          </w:p>
        </w:tc>
        <w:tc>
          <w:tcPr>
            <w:tcW w:w="4272" w:type="dxa"/>
            <w:shd w:val="clear" w:color="auto" w:fill="FFFFFF"/>
            <w:vAlign w:val="center"/>
          </w:tcPr>
          <w:p w14:paraId="62E1FE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全县江河水位站点信息以及水位上涨趋势，支持地图落图和列表展示两种模式，并对超汛限河道站点进行统计。点击可查看当前站点的水位变化过程线以及水位变化表，并与该站点特征水位比较，可通过选择任意时间段查询历史水位信息。</w:t>
            </w:r>
          </w:p>
        </w:tc>
        <w:tc>
          <w:tcPr>
            <w:tcW w:w="915" w:type="dxa"/>
            <w:gridSpan w:val="2"/>
            <w:shd w:val="clear" w:color="auto" w:fill="FFFFFF"/>
            <w:vAlign w:val="center"/>
          </w:tcPr>
          <w:p w14:paraId="637F23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E7663C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774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00" w:type="dxa"/>
            <w:shd w:val="clear" w:color="auto" w:fill="FFFFFF"/>
            <w:vAlign w:val="center"/>
          </w:tcPr>
          <w:p w14:paraId="02AC0A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2205" w:type="dxa"/>
            <w:shd w:val="clear" w:color="auto" w:fill="FFFFFF"/>
            <w:vAlign w:val="center"/>
          </w:tcPr>
          <w:p w14:paraId="2EEA59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水库水情  </w:t>
            </w:r>
          </w:p>
        </w:tc>
        <w:tc>
          <w:tcPr>
            <w:tcW w:w="4272" w:type="dxa"/>
            <w:shd w:val="clear" w:color="auto" w:fill="FFFFFF"/>
            <w:vAlign w:val="center"/>
          </w:tcPr>
          <w:p w14:paraId="1532D2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示全县水库站点信息和水位趋势变化，支持地图落图和列表展示两种模式，并对超汛限水库站点进行统计。点击可查看某个水库的详情信息，其中包括水位过程、水位库容分析、工程信息、视频监控等数据，支持任意时间段历史水位查询。系统根据当前定位信息，支持地图导航到指定水库。</w:t>
            </w:r>
          </w:p>
        </w:tc>
        <w:tc>
          <w:tcPr>
            <w:tcW w:w="915" w:type="dxa"/>
            <w:gridSpan w:val="2"/>
            <w:shd w:val="clear" w:color="auto" w:fill="FFFFFF"/>
            <w:vAlign w:val="center"/>
          </w:tcPr>
          <w:p w14:paraId="460018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628ECA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341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0" w:type="dxa"/>
            <w:shd w:val="clear" w:color="auto" w:fill="FFFFFF"/>
            <w:vAlign w:val="center"/>
          </w:tcPr>
          <w:p w14:paraId="319016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2205" w:type="dxa"/>
            <w:shd w:val="clear" w:color="auto" w:fill="FFFFFF"/>
            <w:vAlign w:val="center"/>
          </w:tcPr>
          <w:p w14:paraId="446EC9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气象信息  </w:t>
            </w:r>
          </w:p>
        </w:tc>
        <w:tc>
          <w:tcPr>
            <w:tcW w:w="4272" w:type="dxa"/>
            <w:shd w:val="clear" w:color="auto" w:fill="FFFFFF"/>
            <w:vAlign w:val="center"/>
          </w:tcPr>
          <w:p w14:paraId="21B788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系统整合降雨预报、台风路径、气象雷达等模块，多维度帮助各级主管部门及基层人员对汛情及时掌握和高效决策。</w:t>
            </w:r>
          </w:p>
        </w:tc>
        <w:tc>
          <w:tcPr>
            <w:tcW w:w="915" w:type="dxa"/>
            <w:gridSpan w:val="2"/>
            <w:shd w:val="clear" w:color="auto" w:fill="FFFFFF"/>
            <w:vAlign w:val="center"/>
          </w:tcPr>
          <w:p w14:paraId="1314F7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EEA770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8FC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0" w:type="dxa"/>
            <w:shd w:val="clear" w:color="auto" w:fill="FFFFFF"/>
            <w:vAlign w:val="center"/>
          </w:tcPr>
          <w:p w14:paraId="1628DC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2205" w:type="dxa"/>
            <w:shd w:val="clear" w:color="auto" w:fill="FFFFFF"/>
            <w:vAlign w:val="center"/>
          </w:tcPr>
          <w:p w14:paraId="30B5F6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视频监控  </w:t>
            </w:r>
          </w:p>
        </w:tc>
        <w:tc>
          <w:tcPr>
            <w:tcW w:w="4272" w:type="dxa"/>
            <w:shd w:val="clear" w:color="auto" w:fill="FFFFFF"/>
            <w:vAlign w:val="center"/>
          </w:tcPr>
          <w:p w14:paraId="2C0A4D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接入宁海县视频监控点数据，支持列表和地图两种模式进行展示，支持按照类型、视频在线状态、视频名称等信息进行模糊搜索，点击具体视频点可查看现场实时画面。</w:t>
            </w:r>
          </w:p>
        </w:tc>
        <w:tc>
          <w:tcPr>
            <w:tcW w:w="915" w:type="dxa"/>
            <w:gridSpan w:val="2"/>
            <w:shd w:val="clear" w:color="auto" w:fill="FFFFFF"/>
            <w:vAlign w:val="center"/>
          </w:tcPr>
          <w:p w14:paraId="16E74E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ED7C23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091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0" w:type="dxa"/>
            <w:shd w:val="clear" w:color="auto" w:fill="FFFFFF"/>
            <w:vAlign w:val="center"/>
          </w:tcPr>
          <w:p w14:paraId="56CBF5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2205" w:type="dxa"/>
            <w:shd w:val="clear" w:color="auto" w:fill="FFFFFF"/>
            <w:vAlign w:val="center"/>
          </w:tcPr>
          <w:p w14:paraId="74230A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工程信息  </w:t>
            </w:r>
          </w:p>
        </w:tc>
        <w:tc>
          <w:tcPr>
            <w:tcW w:w="4272" w:type="dxa"/>
            <w:shd w:val="clear" w:color="auto" w:fill="FFFFFF"/>
            <w:vAlign w:val="center"/>
          </w:tcPr>
          <w:p w14:paraId="65126D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重要的水利工程信息，包括水闸、泵站、山塘、水库、圩区等不同水利工程类型对应的工程信息，以地图和列表方式进行展示，支持按照规模或类型筛选查看，点击某个工程可查看该工程具体的工程信息、责任人信息、工程面貌等。实现水利工程基础信息随时查、监测信息随时看等功能。</w:t>
            </w:r>
          </w:p>
        </w:tc>
        <w:tc>
          <w:tcPr>
            <w:tcW w:w="915" w:type="dxa"/>
            <w:gridSpan w:val="2"/>
            <w:shd w:val="clear" w:color="auto" w:fill="FFFFFF"/>
            <w:vAlign w:val="center"/>
          </w:tcPr>
          <w:p w14:paraId="15641D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74A09D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2C4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00" w:type="dxa"/>
            <w:shd w:val="clear" w:color="auto" w:fill="FFFFFF"/>
            <w:vAlign w:val="center"/>
          </w:tcPr>
          <w:p w14:paraId="5D5021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2205" w:type="dxa"/>
            <w:shd w:val="clear" w:color="auto" w:fill="FFFFFF"/>
            <w:vAlign w:val="center"/>
          </w:tcPr>
          <w:p w14:paraId="651AF0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声光电预警  </w:t>
            </w:r>
          </w:p>
        </w:tc>
        <w:tc>
          <w:tcPr>
            <w:tcW w:w="4272" w:type="dxa"/>
            <w:shd w:val="clear" w:color="auto" w:fill="FFFFFF"/>
            <w:vAlign w:val="center"/>
          </w:tcPr>
          <w:p w14:paraId="7D094E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接入宁海县声光电数据，支持列表和地图两种模式进行信息展示，支持水位、雨量等监测数据查询以及现场视频查看。另外系统可支持远程报警功能（设备支持前提下），在紧急情况下，可实现预警直达。</w:t>
            </w:r>
          </w:p>
        </w:tc>
        <w:tc>
          <w:tcPr>
            <w:tcW w:w="915" w:type="dxa"/>
            <w:gridSpan w:val="2"/>
            <w:shd w:val="clear" w:color="auto" w:fill="FFFFFF"/>
            <w:vAlign w:val="center"/>
          </w:tcPr>
          <w:p w14:paraId="6E087C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5E0747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A40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668BA5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2205" w:type="dxa"/>
            <w:shd w:val="clear" w:color="auto" w:fill="FFFFFF"/>
            <w:vAlign w:val="center"/>
          </w:tcPr>
          <w:p w14:paraId="0FF49B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预警统计  </w:t>
            </w:r>
          </w:p>
        </w:tc>
        <w:tc>
          <w:tcPr>
            <w:tcW w:w="4272" w:type="dxa"/>
            <w:shd w:val="clear" w:color="auto" w:fill="FFFFFF"/>
            <w:vAlign w:val="center"/>
          </w:tcPr>
          <w:p w14:paraId="6B9579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统计展示全县现地预警、雨量超警、河道超警、水库超汛等风险预警信息，点击可查看预警详细以及预警接收人。</w:t>
            </w:r>
          </w:p>
        </w:tc>
        <w:tc>
          <w:tcPr>
            <w:tcW w:w="915" w:type="dxa"/>
            <w:gridSpan w:val="2"/>
            <w:shd w:val="clear" w:color="auto" w:fill="FFFFFF"/>
            <w:vAlign w:val="center"/>
          </w:tcPr>
          <w:p w14:paraId="127947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C9516A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020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0C688EA0">
            <w:pPr>
              <w:jc w:val="left"/>
              <w:rPr>
                <w:rFonts w:hint="eastAsia" w:ascii="宋体" w:hAnsi="宋体" w:cs="宋体"/>
                <w:color w:val="000000"/>
                <w:sz w:val="18"/>
                <w:szCs w:val="18"/>
              </w:rPr>
            </w:pPr>
            <w:r>
              <w:rPr>
                <w:rFonts w:hint="eastAsia" w:ascii="宋体" w:hAnsi="宋体" w:cs="宋体"/>
                <w:b/>
                <w:bCs/>
                <w:color w:val="000000"/>
                <w:sz w:val="18"/>
                <w:szCs w:val="18"/>
              </w:rPr>
              <w:t>省级应用贯通</w:t>
            </w:r>
          </w:p>
        </w:tc>
      </w:tr>
      <w:tr w14:paraId="066F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7C928A93">
            <w:pPr>
              <w:jc w:val="left"/>
              <w:rPr>
                <w:rFonts w:hint="eastAsia" w:ascii="宋体" w:hAnsi="宋体" w:cs="宋体"/>
                <w:color w:val="000000"/>
                <w:sz w:val="18"/>
                <w:szCs w:val="18"/>
              </w:rPr>
            </w:pPr>
            <w:r>
              <w:rPr>
                <w:rFonts w:hint="eastAsia" w:ascii="宋体" w:hAnsi="宋体" w:cs="宋体"/>
                <w:color w:val="000000"/>
                <w:kern w:val="0"/>
                <w:sz w:val="18"/>
                <w:szCs w:val="18"/>
                <w:lang w:bidi="ar"/>
              </w:rPr>
              <w:t>（一）水管理平台信创改造</w:t>
            </w:r>
          </w:p>
        </w:tc>
      </w:tr>
      <w:tr w14:paraId="189C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77" w:type="dxa"/>
            <w:gridSpan w:val="7"/>
            <w:shd w:val="clear" w:color="auto" w:fill="FFFFFF"/>
            <w:vAlign w:val="center"/>
          </w:tcPr>
          <w:p w14:paraId="03C0DE9B">
            <w:pPr>
              <w:jc w:val="left"/>
              <w:rPr>
                <w:rFonts w:hint="eastAsia" w:ascii="宋体" w:hAnsi="宋体" w:cs="宋体"/>
                <w:color w:val="000000"/>
                <w:sz w:val="18"/>
                <w:szCs w:val="18"/>
              </w:rPr>
            </w:pPr>
            <w:r>
              <w:rPr>
                <w:rFonts w:hint="eastAsia" w:ascii="宋体" w:hAnsi="宋体" w:cs="宋体"/>
                <w:color w:val="000000"/>
                <w:kern w:val="0"/>
                <w:sz w:val="18"/>
                <w:szCs w:val="18"/>
                <w:lang w:bidi="ar"/>
              </w:rPr>
              <w:t>1、信创服务器操作系统适配</w:t>
            </w:r>
          </w:p>
        </w:tc>
      </w:tr>
      <w:tr w14:paraId="3EC5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0" w:type="dxa"/>
            <w:shd w:val="clear" w:color="auto" w:fill="FFFFFF"/>
            <w:vAlign w:val="center"/>
          </w:tcPr>
          <w:p w14:paraId="0B0EFF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205" w:type="dxa"/>
            <w:shd w:val="clear" w:color="auto" w:fill="FFFFFF"/>
            <w:vAlign w:val="center"/>
          </w:tcPr>
          <w:p w14:paraId="159EC6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指令集适配  </w:t>
            </w:r>
          </w:p>
        </w:tc>
        <w:tc>
          <w:tcPr>
            <w:tcW w:w="4272" w:type="dxa"/>
            <w:shd w:val="clear" w:color="auto" w:fill="FFFFFF"/>
            <w:vAlign w:val="center"/>
          </w:tcPr>
          <w:p w14:paraId="58547D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信创操作系统与Windows操作系统指令集不同，涉及调用操作系统指令的代码，需要进行修改。</w:t>
            </w:r>
          </w:p>
        </w:tc>
        <w:tc>
          <w:tcPr>
            <w:tcW w:w="915" w:type="dxa"/>
            <w:gridSpan w:val="2"/>
            <w:shd w:val="clear" w:color="auto" w:fill="FFFFFF"/>
            <w:vAlign w:val="center"/>
          </w:tcPr>
          <w:p w14:paraId="61F75E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827962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BB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0" w:type="dxa"/>
            <w:shd w:val="clear" w:color="auto" w:fill="FFFFFF"/>
            <w:vAlign w:val="center"/>
          </w:tcPr>
          <w:p w14:paraId="3C900B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205" w:type="dxa"/>
            <w:shd w:val="clear" w:color="auto" w:fill="FFFFFF"/>
            <w:vAlign w:val="center"/>
          </w:tcPr>
          <w:p w14:paraId="69CB39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中文字符差异化适配  </w:t>
            </w:r>
          </w:p>
        </w:tc>
        <w:tc>
          <w:tcPr>
            <w:tcW w:w="4272" w:type="dxa"/>
            <w:shd w:val="clear" w:color="auto" w:fill="FFFFFF"/>
            <w:vAlign w:val="center"/>
          </w:tcPr>
          <w:p w14:paraId="164994B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对原有操作系统中的中文字符集进行差异化适配。</w:t>
            </w:r>
          </w:p>
        </w:tc>
        <w:tc>
          <w:tcPr>
            <w:tcW w:w="915" w:type="dxa"/>
            <w:gridSpan w:val="2"/>
            <w:shd w:val="clear" w:color="auto" w:fill="FFFFFF"/>
            <w:vAlign w:val="center"/>
          </w:tcPr>
          <w:p w14:paraId="20B818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D52CCF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4D5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0" w:type="dxa"/>
            <w:shd w:val="clear" w:color="auto" w:fill="FFFFFF"/>
            <w:vAlign w:val="center"/>
          </w:tcPr>
          <w:p w14:paraId="56C98D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205" w:type="dxa"/>
            <w:shd w:val="clear" w:color="auto" w:fill="FFFFFF"/>
            <w:vAlign w:val="center"/>
          </w:tcPr>
          <w:p w14:paraId="015CF4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连接文件数适配  </w:t>
            </w:r>
          </w:p>
        </w:tc>
        <w:tc>
          <w:tcPr>
            <w:tcW w:w="4272" w:type="dxa"/>
            <w:shd w:val="clear" w:color="auto" w:fill="FFFFFF"/>
            <w:vAlign w:val="center"/>
          </w:tcPr>
          <w:p w14:paraId="1F96BA2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操作系统默认连接文件数较小，无法达到应有系统运行要求，需修改limits.conf文件。</w:t>
            </w:r>
          </w:p>
        </w:tc>
        <w:tc>
          <w:tcPr>
            <w:tcW w:w="915" w:type="dxa"/>
            <w:gridSpan w:val="2"/>
            <w:shd w:val="clear" w:color="auto" w:fill="FFFFFF"/>
            <w:vAlign w:val="center"/>
          </w:tcPr>
          <w:p w14:paraId="1D063F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72E157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6F6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12FEFF1">
            <w:pPr>
              <w:jc w:val="left"/>
              <w:rPr>
                <w:rFonts w:hint="eastAsia" w:ascii="宋体" w:hAnsi="宋体" w:cs="宋体"/>
                <w:color w:val="000000"/>
                <w:sz w:val="18"/>
                <w:szCs w:val="18"/>
              </w:rPr>
            </w:pPr>
            <w:r>
              <w:rPr>
                <w:rFonts w:hint="eastAsia" w:ascii="宋体" w:hAnsi="宋体" w:cs="宋体"/>
                <w:color w:val="000000"/>
                <w:kern w:val="0"/>
                <w:sz w:val="18"/>
                <w:szCs w:val="18"/>
                <w:lang w:bidi="ar"/>
              </w:rPr>
              <w:t>2、信创关系型数据库适配</w:t>
            </w:r>
          </w:p>
        </w:tc>
      </w:tr>
      <w:tr w14:paraId="175D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3A88D0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205" w:type="dxa"/>
            <w:shd w:val="clear" w:color="auto" w:fill="FFFFFF"/>
            <w:vAlign w:val="center"/>
          </w:tcPr>
          <w:p w14:paraId="3BA8356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数据库优化适配 </w:t>
            </w:r>
          </w:p>
        </w:tc>
        <w:tc>
          <w:tcPr>
            <w:tcW w:w="4272" w:type="dxa"/>
            <w:shd w:val="clear" w:color="auto" w:fill="FFFFFF"/>
            <w:vAlign w:val="center"/>
          </w:tcPr>
          <w:p w14:paraId="3CA74B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对各个系统数据库进行重构设计，为数据迁移提供保障。具体包括数据库内容和数据库主要业务关系。</w:t>
            </w:r>
          </w:p>
        </w:tc>
        <w:tc>
          <w:tcPr>
            <w:tcW w:w="915" w:type="dxa"/>
            <w:gridSpan w:val="2"/>
            <w:shd w:val="clear" w:color="auto" w:fill="FFFFFF"/>
            <w:vAlign w:val="center"/>
          </w:tcPr>
          <w:p w14:paraId="1DB32B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FC3396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1E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00" w:type="dxa"/>
            <w:shd w:val="clear" w:color="auto" w:fill="FFFFFF"/>
            <w:vAlign w:val="center"/>
          </w:tcPr>
          <w:p w14:paraId="2C7EA8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205" w:type="dxa"/>
            <w:shd w:val="clear" w:color="auto" w:fill="FFFFFF"/>
            <w:vAlign w:val="center"/>
          </w:tcPr>
          <w:p w14:paraId="1BD064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数据类型差异化适配  </w:t>
            </w:r>
          </w:p>
        </w:tc>
        <w:tc>
          <w:tcPr>
            <w:tcW w:w="4272" w:type="dxa"/>
            <w:shd w:val="clear" w:color="auto" w:fill="FFFFFF"/>
            <w:vAlign w:val="center"/>
          </w:tcPr>
          <w:p w14:paraId="682B43E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信创关系型数据库在数据类型方面存在差异，需完成数据类型差异化适配。</w:t>
            </w:r>
          </w:p>
        </w:tc>
        <w:tc>
          <w:tcPr>
            <w:tcW w:w="915" w:type="dxa"/>
            <w:gridSpan w:val="2"/>
            <w:shd w:val="clear" w:color="auto" w:fill="FFFFFF"/>
            <w:vAlign w:val="center"/>
          </w:tcPr>
          <w:p w14:paraId="3CD7AB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D5AD61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F65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0" w:type="dxa"/>
            <w:shd w:val="clear" w:color="auto" w:fill="FFFFFF"/>
            <w:vAlign w:val="center"/>
          </w:tcPr>
          <w:p w14:paraId="4002D0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2205" w:type="dxa"/>
            <w:shd w:val="clear" w:color="auto" w:fill="FFFFFF"/>
            <w:vAlign w:val="center"/>
          </w:tcPr>
          <w:p w14:paraId="04804F0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内置函数差异化适配  </w:t>
            </w:r>
          </w:p>
        </w:tc>
        <w:tc>
          <w:tcPr>
            <w:tcW w:w="4272" w:type="dxa"/>
            <w:shd w:val="clear" w:color="auto" w:fill="FFFFFF"/>
            <w:vAlign w:val="center"/>
          </w:tcPr>
          <w:p w14:paraId="7A6C94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数据库采用的内置函数与信创关系型数据库的内置函数存在差异，需完成内置函数差异化适配</w:t>
            </w:r>
          </w:p>
        </w:tc>
        <w:tc>
          <w:tcPr>
            <w:tcW w:w="915" w:type="dxa"/>
            <w:gridSpan w:val="2"/>
            <w:shd w:val="clear" w:color="auto" w:fill="FFFFFF"/>
            <w:vAlign w:val="center"/>
          </w:tcPr>
          <w:p w14:paraId="6D35A8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F7613CD">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824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0" w:type="dxa"/>
            <w:shd w:val="clear" w:color="auto" w:fill="FFFFFF"/>
            <w:vAlign w:val="center"/>
          </w:tcPr>
          <w:p w14:paraId="430CF0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205" w:type="dxa"/>
            <w:shd w:val="clear" w:color="auto" w:fill="FFFFFF"/>
            <w:vAlign w:val="center"/>
          </w:tcPr>
          <w:p w14:paraId="701D86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数据库连接驱动差异化适配  </w:t>
            </w:r>
          </w:p>
        </w:tc>
        <w:tc>
          <w:tcPr>
            <w:tcW w:w="4272" w:type="dxa"/>
            <w:shd w:val="clear" w:color="auto" w:fill="FFFFFF"/>
            <w:vAlign w:val="center"/>
          </w:tcPr>
          <w:p w14:paraId="1690A1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信创关系型数据库采用Linux版本的数据库驱动，两者存在差异，需完成数据库连接驱动的差异化适配。</w:t>
            </w:r>
          </w:p>
        </w:tc>
        <w:tc>
          <w:tcPr>
            <w:tcW w:w="915" w:type="dxa"/>
            <w:gridSpan w:val="2"/>
            <w:shd w:val="clear" w:color="auto" w:fill="FFFFFF"/>
            <w:vAlign w:val="center"/>
          </w:tcPr>
          <w:p w14:paraId="1A768C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E67A97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85A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0" w:type="dxa"/>
            <w:shd w:val="clear" w:color="auto" w:fill="FFFFFF"/>
            <w:vAlign w:val="center"/>
          </w:tcPr>
          <w:p w14:paraId="1343B7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2205" w:type="dxa"/>
            <w:shd w:val="clear" w:color="auto" w:fill="FFFFFF"/>
            <w:vAlign w:val="center"/>
          </w:tcPr>
          <w:p w14:paraId="06EDA4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SQL语句差异化适配  </w:t>
            </w:r>
          </w:p>
        </w:tc>
        <w:tc>
          <w:tcPr>
            <w:tcW w:w="4272" w:type="dxa"/>
            <w:shd w:val="clear" w:color="auto" w:fill="FFFFFF"/>
            <w:vAlign w:val="center"/>
          </w:tcPr>
          <w:p w14:paraId="33DA12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信创关系型数据库采用的SQL语句存在差异。如：树型结构获取、CLOB操作、BLOB操作等SQL语句。</w:t>
            </w:r>
          </w:p>
        </w:tc>
        <w:tc>
          <w:tcPr>
            <w:tcW w:w="915" w:type="dxa"/>
            <w:gridSpan w:val="2"/>
            <w:shd w:val="clear" w:color="auto" w:fill="FFFFFF"/>
            <w:vAlign w:val="center"/>
          </w:tcPr>
          <w:p w14:paraId="35329D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884D9E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EA7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0" w:type="dxa"/>
            <w:shd w:val="clear" w:color="auto" w:fill="FFFFFF"/>
            <w:vAlign w:val="center"/>
          </w:tcPr>
          <w:p w14:paraId="5A74FE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2205" w:type="dxa"/>
            <w:shd w:val="clear" w:color="auto" w:fill="FFFFFF"/>
            <w:vAlign w:val="center"/>
          </w:tcPr>
          <w:p w14:paraId="2AD2E5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存储过程、触发器等差异化适配  </w:t>
            </w:r>
          </w:p>
        </w:tc>
        <w:tc>
          <w:tcPr>
            <w:tcW w:w="4272" w:type="dxa"/>
            <w:shd w:val="clear" w:color="auto" w:fill="FFFFFF"/>
            <w:vAlign w:val="center"/>
          </w:tcPr>
          <w:p w14:paraId="0947C8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数据库中存储过程、触发器、视图存在差异。如：存储过程创建、定时器、新增触发器等。</w:t>
            </w:r>
          </w:p>
        </w:tc>
        <w:tc>
          <w:tcPr>
            <w:tcW w:w="915" w:type="dxa"/>
            <w:gridSpan w:val="2"/>
            <w:shd w:val="clear" w:color="auto" w:fill="FFFFFF"/>
            <w:vAlign w:val="center"/>
          </w:tcPr>
          <w:p w14:paraId="7334E7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B25F09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235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0" w:type="dxa"/>
            <w:shd w:val="clear" w:color="auto" w:fill="FFFFFF"/>
            <w:vAlign w:val="center"/>
          </w:tcPr>
          <w:p w14:paraId="075FF2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2205" w:type="dxa"/>
            <w:shd w:val="clear" w:color="auto" w:fill="FFFFFF"/>
            <w:vAlign w:val="center"/>
          </w:tcPr>
          <w:p w14:paraId="1544A5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性能调优适配  </w:t>
            </w:r>
          </w:p>
        </w:tc>
        <w:tc>
          <w:tcPr>
            <w:tcW w:w="4272" w:type="dxa"/>
            <w:shd w:val="clear" w:color="auto" w:fill="FFFFFF"/>
            <w:vAlign w:val="center"/>
          </w:tcPr>
          <w:p w14:paraId="0F9D06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针对调研评估的性能需求，通过优化SQL语句、增加索引、调整存储结构等方式完成信创关系型数据库的性能调优适配。</w:t>
            </w:r>
          </w:p>
        </w:tc>
        <w:tc>
          <w:tcPr>
            <w:tcW w:w="915" w:type="dxa"/>
            <w:gridSpan w:val="2"/>
            <w:shd w:val="clear" w:color="auto" w:fill="FFFFFF"/>
            <w:vAlign w:val="center"/>
          </w:tcPr>
          <w:p w14:paraId="757015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69C408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0E4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09F6109">
            <w:pPr>
              <w:jc w:val="left"/>
              <w:rPr>
                <w:rFonts w:hint="eastAsia" w:ascii="宋体" w:hAnsi="宋体" w:cs="宋体"/>
                <w:color w:val="000000"/>
                <w:sz w:val="18"/>
                <w:szCs w:val="18"/>
              </w:rPr>
            </w:pPr>
            <w:r>
              <w:rPr>
                <w:rFonts w:hint="eastAsia" w:ascii="宋体" w:hAnsi="宋体" w:cs="宋体"/>
                <w:color w:val="000000"/>
                <w:kern w:val="0"/>
                <w:sz w:val="18"/>
                <w:szCs w:val="18"/>
                <w:lang w:bidi="ar"/>
              </w:rPr>
              <w:t>3、桌面终端浏览器适配</w:t>
            </w:r>
          </w:p>
        </w:tc>
      </w:tr>
      <w:tr w14:paraId="7C78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0" w:type="dxa"/>
            <w:shd w:val="clear" w:color="auto" w:fill="FFFFFF"/>
            <w:vAlign w:val="center"/>
          </w:tcPr>
          <w:p w14:paraId="54D0D9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205" w:type="dxa"/>
            <w:shd w:val="clear" w:color="auto" w:fill="FFFFFF"/>
            <w:vAlign w:val="center"/>
          </w:tcPr>
          <w:p w14:paraId="79666B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系统表单控件渲染方式适配  </w:t>
            </w:r>
          </w:p>
        </w:tc>
        <w:tc>
          <w:tcPr>
            <w:tcW w:w="4272" w:type="dxa"/>
            <w:shd w:val="clear" w:color="auto" w:fill="FFFFFF"/>
            <w:vAlign w:val="center"/>
          </w:tcPr>
          <w:p w14:paraId="01CE87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将以前的表单、控件及其他页面的前端渲染模式改为使用Velocity模板引擎和Jsp引擎的方式进行后端渲染输出，以适配客户端的软硬件环境。</w:t>
            </w:r>
          </w:p>
        </w:tc>
        <w:tc>
          <w:tcPr>
            <w:tcW w:w="915" w:type="dxa"/>
            <w:gridSpan w:val="2"/>
            <w:shd w:val="clear" w:color="auto" w:fill="FFFFFF"/>
            <w:vAlign w:val="center"/>
          </w:tcPr>
          <w:p w14:paraId="152C75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B02AB3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CF7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0" w:type="dxa"/>
            <w:shd w:val="clear" w:color="auto" w:fill="FFFFFF"/>
            <w:vAlign w:val="center"/>
          </w:tcPr>
          <w:p w14:paraId="3761F6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205" w:type="dxa"/>
            <w:shd w:val="clear" w:color="auto" w:fill="FFFFFF"/>
            <w:vAlign w:val="center"/>
          </w:tcPr>
          <w:p w14:paraId="37DBB4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表单控件加载数据源模式修改  </w:t>
            </w:r>
          </w:p>
        </w:tc>
        <w:tc>
          <w:tcPr>
            <w:tcW w:w="4272" w:type="dxa"/>
            <w:shd w:val="clear" w:color="auto" w:fill="FFFFFF"/>
            <w:vAlign w:val="center"/>
          </w:tcPr>
          <w:p w14:paraId="1A4717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对表单的数据源进行扩充和优化，将复杂控件所需的数据一并查询并加入表单上下文中。</w:t>
            </w:r>
          </w:p>
        </w:tc>
        <w:tc>
          <w:tcPr>
            <w:tcW w:w="915" w:type="dxa"/>
            <w:gridSpan w:val="2"/>
            <w:shd w:val="clear" w:color="auto" w:fill="FFFFFF"/>
            <w:vAlign w:val="center"/>
          </w:tcPr>
          <w:p w14:paraId="17123C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9C3209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5F5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DEFF4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205" w:type="dxa"/>
            <w:shd w:val="clear" w:color="auto" w:fill="FFFFFF"/>
            <w:vAlign w:val="center"/>
          </w:tcPr>
          <w:p w14:paraId="2EBB49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首页及打开列表的方式改为TAB页模式适配  </w:t>
            </w:r>
          </w:p>
        </w:tc>
        <w:tc>
          <w:tcPr>
            <w:tcW w:w="4272" w:type="dxa"/>
            <w:shd w:val="clear" w:color="auto" w:fill="FFFFFF"/>
            <w:vAlign w:val="center"/>
          </w:tcPr>
          <w:p w14:paraId="61A830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采用Tab页方式来打开新表单，经测试，速度上能提高50%以上。</w:t>
            </w:r>
          </w:p>
        </w:tc>
        <w:tc>
          <w:tcPr>
            <w:tcW w:w="915" w:type="dxa"/>
            <w:gridSpan w:val="2"/>
            <w:shd w:val="clear" w:color="auto" w:fill="FFFFFF"/>
            <w:vAlign w:val="center"/>
          </w:tcPr>
          <w:p w14:paraId="54B3D4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32E262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B8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0" w:type="dxa"/>
            <w:shd w:val="clear" w:color="auto" w:fill="FFFFFF"/>
            <w:vAlign w:val="center"/>
          </w:tcPr>
          <w:p w14:paraId="3B2696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2205" w:type="dxa"/>
            <w:shd w:val="clear" w:color="auto" w:fill="FFFFFF"/>
            <w:vAlign w:val="center"/>
          </w:tcPr>
          <w:p w14:paraId="786DBD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列表从easyUI改为Jgrid适配  </w:t>
            </w:r>
          </w:p>
        </w:tc>
        <w:tc>
          <w:tcPr>
            <w:tcW w:w="4272" w:type="dxa"/>
            <w:shd w:val="clear" w:color="auto" w:fill="FFFFFF"/>
            <w:vAlign w:val="center"/>
          </w:tcPr>
          <w:p w14:paraId="4E71882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使用Jgrid来替换原来的easyUI表格，Jgrid是一个很轻的表格框架，基于Jquery开发而成，能实现列表的绝大部分功能。</w:t>
            </w:r>
          </w:p>
        </w:tc>
        <w:tc>
          <w:tcPr>
            <w:tcW w:w="915" w:type="dxa"/>
            <w:gridSpan w:val="2"/>
            <w:shd w:val="clear" w:color="auto" w:fill="FFFFFF"/>
            <w:vAlign w:val="center"/>
          </w:tcPr>
          <w:p w14:paraId="0552A0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81BBEC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0A9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C840CE2">
            <w:pPr>
              <w:jc w:val="left"/>
              <w:rPr>
                <w:rFonts w:hint="eastAsia" w:ascii="宋体" w:hAnsi="宋体" w:cs="宋体"/>
                <w:color w:val="000000"/>
                <w:sz w:val="18"/>
                <w:szCs w:val="18"/>
              </w:rPr>
            </w:pPr>
            <w:r>
              <w:rPr>
                <w:rFonts w:hint="eastAsia" w:ascii="宋体" w:hAnsi="宋体" w:cs="宋体"/>
                <w:color w:val="000000"/>
                <w:kern w:val="0"/>
                <w:sz w:val="18"/>
                <w:szCs w:val="18"/>
                <w:lang w:bidi="ar"/>
              </w:rPr>
              <w:t>4、功能适配改造</w:t>
            </w:r>
          </w:p>
        </w:tc>
      </w:tr>
      <w:tr w14:paraId="6E8A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00" w:type="dxa"/>
            <w:shd w:val="clear" w:color="auto" w:fill="FFFFFF"/>
            <w:vAlign w:val="center"/>
          </w:tcPr>
          <w:p w14:paraId="26BAF0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2205" w:type="dxa"/>
            <w:shd w:val="clear" w:color="auto" w:fill="FFFFFF"/>
            <w:vAlign w:val="center"/>
          </w:tcPr>
          <w:p w14:paraId="466E47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强化统一用户支撑  </w:t>
            </w:r>
          </w:p>
        </w:tc>
        <w:tc>
          <w:tcPr>
            <w:tcW w:w="4272" w:type="dxa"/>
            <w:shd w:val="clear" w:color="auto" w:fill="FFFFFF"/>
            <w:vAlign w:val="center"/>
          </w:tcPr>
          <w:p w14:paraId="04A9D6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为构建全市水利行业用户统一认证机制，实现用户分类分级管理。强化密钥管理机制，增加密码强度校验，实施密码定期更换策略。</w:t>
            </w:r>
          </w:p>
        </w:tc>
        <w:tc>
          <w:tcPr>
            <w:tcW w:w="915" w:type="dxa"/>
            <w:gridSpan w:val="2"/>
            <w:shd w:val="clear" w:color="auto" w:fill="FFFFFF"/>
            <w:vAlign w:val="center"/>
          </w:tcPr>
          <w:p w14:paraId="7668A0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DC1D33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27B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00" w:type="dxa"/>
            <w:shd w:val="clear" w:color="auto" w:fill="FFFFFF"/>
            <w:vAlign w:val="center"/>
          </w:tcPr>
          <w:p w14:paraId="729BC0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2205" w:type="dxa"/>
            <w:shd w:val="clear" w:color="auto" w:fill="FFFFFF"/>
            <w:vAlign w:val="center"/>
          </w:tcPr>
          <w:p w14:paraId="746D4F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统一安全支撑  </w:t>
            </w:r>
          </w:p>
        </w:tc>
        <w:tc>
          <w:tcPr>
            <w:tcW w:w="4272" w:type="dxa"/>
            <w:shd w:val="clear" w:color="auto" w:fill="FFFFFF"/>
            <w:vAlign w:val="center"/>
          </w:tcPr>
          <w:p w14:paraId="35688D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按照信息化平台安全运行维护规范，提升自身数据和应用安全防护能力，对重要数据资源和应用实行分级分类安全管理。加强数据共享交换平台的数据传输安全保障，采用安全传输协议，对重要数据进行加密传输。</w:t>
            </w:r>
          </w:p>
        </w:tc>
        <w:tc>
          <w:tcPr>
            <w:tcW w:w="915" w:type="dxa"/>
            <w:gridSpan w:val="2"/>
            <w:shd w:val="clear" w:color="auto" w:fill="FFFFFF"/>
            <w:vAlign w:val="center"/>
          </w:tcPr>
          <w:p w14:paraId="73D091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3881B6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874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FB6A8CE">
            <w:pPr>
              <w:jc w:val="left"/>
              <w:rPr>
                <w:rFonts w:hint="eastAsia" w:ascii="宋体" w:hAnsi="宋体" w:cs="宋体"/>
                <w:color w:val="000000"/>
                <w:sz w:val="18"/>
                <w:szCs w:val="18"/>
              </w:rPr>
            </w:pPr>
            <w:r>
              <w:rPr>
                <w:rFonts w:hint="eastAsia" w:ascii="宋体" w:hAnsi="宋体" w:cs="宋体"/>
                <w:color w:val="000000"/>
                <w:kern w:val="0"/>
                <w:sz w:val="18"/>
                <w:szCs w:val="18"/>
                <w:lang w:bidi="ar"/>
              </w:rPr>
              <w:t>5、数据迁移</w:t>
            </w:r>
          </w:p>
        </w:tc>
      </w:tr>
      <w:tr w14:paraId="64AF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FFFFF"/>
            <w:vAlign w:val="center"/>
          </w:tcPr>
          <w:p w14:paraId="797C37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2205" w:type="dxa"/>
            <w:shd w:val="clear" w:color="auto" w:fill="FFFFFF"/>
            <w:vAlign w:val="center"/>
          </w:tcPr>
          <w:p w14:paraId="0C6329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数据迁移  </w:t>
            </w:r>
          </w:p>
        </w:tc>
        <w:tc>
          <w:tcPr>
            <w:tcW w:w="4272" w:type="dxa"/>
            <w:shd w:val="clear" w:color="auto" w:fill="FFFFFF"/>
            <w:vAlign w:val="center"/>
          </w:tcPr>
          <w:p w14:paraId="4402DD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本次数据需要进行跨平台迁移，为保证整个过程的规范和高效，通过专业工具自动化处理数据类型转换、存储过程和函数的适配等问题，实现档案库数据无损迁移。</w:t>
            </w:r>
          </w:p>
        </w:tc>
        <w:tc>
          <w:tcPr>
            <w:tcW w:w="915" w:type="dxa"/>
            <w:gridSpan w:val="2"/>
            <w:shd w:val="clear" w:color="auto" w:fill="FFFFFF"/>
            <w:vAlign w:val="center"/>
          </w:tcPr>
          <w:p w14:paraId="77CA6E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42E64B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FBB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29EA1F76">
            <w:pPr>
              <w:jc w:val="left"/>
              <w:rPr>
                <w:rFonts w:hint="eastAsia" w:ascii="宋体" w:hAnsi="宋体" w:cs="宋体"/>
                <w:color w:val="000000"/>
                <w:sz w:val="18"/>
                <w:szCs w:val="18"/>
              </w:rPr>
            </w:pPr>
            <w:r>
              <w:rPr>
                <w:rFonts w:hint="eastAsia" w:ascii="宋体" w:hAnsi="宋体" w:cs="宋体"/>
                <w:color w:val="000000"/>
                <w:kern w:val="0"/>
                <w:sz w:val="18"/>
                <w:szCs w:val="18"/>
                <w:lang w:bidi="ar"/>
              </w:rPr>
              <w:t>（二）农饮水业务联动</w:t>
            </w:r>
          </w:p>
        </w:tc>
      </w:tr>
      <w:tr w14:paraId="5101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AA44C00">
            <w:pPr>
              <w:jc w:val="left"/>
              <w:rPr>
                <w:rFonts w:hint="eastAsia" w:ascii="宋体" w:hAnsi="宋体" w:cs="宋体"/>
                <w:color w:val="000000"/>
                <w:sz w:val="18"/>
                <w:szCs w:val="18"/>
              </w:rPr>
            </w:pPr>
            <w:r>
              <w:rPr>
                <w:rFonts w:hint="eastAsia" w:ascii="宋体" w:hAnsi="宋体" w:cs="宋体"/>
                <w:color w:val="000000"/>
                <w:kern w:val="0"/>
                <w:sz w:val="18"/>
                <w:szCs w:val="18"/>
                <w:lang w:bidi="ar"/>
              </w:rPr>
              <w:t>1、“宁水安全”专题看板</w:t>
            </w:r>
          </w:p>
        </w:tc>
      </w:tr>
      <w:tr w14:paraId="4185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9741F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2205" w:type="dxa"/>
            <w:shd w:val="clear" w:color="auto" w:fill="FFFFFF"/>
            <w:vAlign w:val="center"/>
          </w:tcPr>
          <w:p w14:paraId="09462D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04F11B6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实测降雨量（1,3,6,24小时） 展示1,3,6,24小时的实测降雨量</w:t>
            </w:r>
          </w:p>
        </w:tc>
        <w:tc>
          <w:tcPr>
            <w:tcW w:w="915" w:type="dxa"/>
            <w:gridSpan w:val="2"/>
            <w:shd w:val="clear" w:color="auto" w:fill="FFFFFF"/>
            <w:vAlign w:val="center"/>
          </w:tcPr>
          <w:p w14:paraId="35CEBB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4AD7FB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F66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602F30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2205" w:type="dxa"/>
            <w:shd w:val="clear" w:color="auto" w:fill="FFFFFF"/>
            <w:vAlign w:val="center"/>
          </w:tcPr>
          <w:p w14:paraId="1E9346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66E2F8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预报降雨量（1,3,6,24小时） 展示1,3,6,24小时的预报降雨量</w:t>
            </w:r>
          </w:p>
        </w:tc>
        <w:tc>
          <w:tcPr>
            <w:tcW w:w="915" w:type="dxa"/>
            <w:gridSpan w:val="2"/>
            <w:shd w:val="clear" w:color="auto" w:fill="FFFFFF"/>
            <w:vAlign w:val="center"/>
          </w:tcPr>
          <w:p w14:paraId="25930E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9BD8E9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E12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3F33B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2205" w:type="dxa"/>
            <w:shd w:val="clear" w:color="auto" w:fill="FFFFFF"/>
            <w:vAlign w:val="center"/>
          </w:tcPr>
          <w:p w14:paraId="57EB0E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51AE671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监测风险  展示监测风险信息</w:t>
            </w:r>
          </w:p>
        </w:tc>
        <w:tc>
          <w:tcPr>
            <w:tcW w:w="915" w:type="dxa"/>
            <w:gridSpan w:val="2"/>
            <w:shd w:val="clear" w:color="auto" w:fill="FFFFFF"/>
            <w:vAlign w:val="center"/>
          </w:tcPr>
          <w:p w14:paraId="284B96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909C45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B51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157820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2205" w:type="dxa"/>
            <w:shd w:val="clear" w:color="auto" w:fill="FFFFFF"/>
            <w:vAlign w:val="center"/>
          </w:tcPr>
          <w:p w14:paraId="47494B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0071CD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预报风险  展示预报风险信息</w:t>
            </w:r>
          </w:p>
        </w:tc>
        <w:tc>
          <w:tcPr>
            <w:tcW w:w="915" w:type="dxa"/>
            <w:gridSpan w:val="2"/>
            <w:shd w:val="clear" w:color="auto" w:fill="FFFFFF"/>
            <w:vAlign w:val="center"/>
          </w:tcPr>
          <w:p w14:paraId="077EEB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6BB138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F4B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EE743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2205" w:type="dxa"/>
            <w:shd w:val="clear" w:color="auto" w:fill="FFFFFF"/>
            <w:vAlign w:val="center"/>
          </w:tcPr>
          <w:p w14:paraId="615D71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7381D7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水库蓄水率  展示水库的蓄水率</w:t>
            </w:r>
          </w:p>
        </w:tc>
        <w:tc>
          <w:tcPr>
            <w:tcW w:w="915" w:type="dxa"/>
            <w:gridSpan w:val="2"/>
            <w:shd w:val="clear" w:color="auto" w:fill="FFFFFF"/>
            <w:vAlign w:val="center"/>
          </w:tcPr>
          <w:p w14:paraId="68D8C0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B6540C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397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00" w:type="dxa"/>
            <w:shd w:val="clear" w:color="auto" w:fill="FFFFFF"/>
            <w:vAlign w:val="center"/>
          </w:tcPr>
          <w:p w14:paraId="33F04F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2205" w:type="dxa"/>
            <w:shd w:val="clear" w:color="auto" w:fill="FFFFFF"/>
            <w:vAlign w:val="center"/>
          </w:tcPr>
          <w:p w14:paraId="32B52B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2F1862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平均可纳雨量  展示平均可纳雨量</w:t>
            </w:r>
          </w:p>
        </w:tc>
        <w:tc>
          <w:tcPr>
            <w:tcW w:w="915" w:type="dxa"/>
            <w:gridSpan w:val="2"/>
            <w:shd w:val="clear" w:color="auto" w:fill="FFFFFF"/>
            <w:vAlign w:val="center"/>
          </w:tcPr>
          <w:p w14:paraId="372004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168464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4A1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7FAAF6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2205" w:type="dxa"/>
            <w:shd w:val="clear" w:color="auto" w:fill="FFFFFF"/>
            <w:vAlign w:val="center"/>
          </w:tcPr>
          <w:p w14:paraId="54FF91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5B50BB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数据对接  对接ME平台，通过数据仓接入分钟级的水雨情站点数据</w:t>
            </w:r>
          </w:p>
        </w:tc>
        <w:tc>
          <w:tcPr>
            <w:tcW w:w="915" w:type="dxa"/>
            <w:gridSpan w:val="2"/>
            <w:shd w:val="clear" w:color="auto" w:fill="FFFFFF"/>
            <w:vAlign w:val="center"/>
          </w:tcPr>
          <w:p w14:paraId="05331B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6D4BFE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C73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7B3C887">
            <w:pPr>
              <w:jc w:val="left"/>
              <w:rPr>
                <w:rFonts w:hint="eastAsia" w:ascii="宋体" w:hAnsi="宋体" w:cs="宋体"/>
                <w:color w:val="000000"/>
                <w:sz w:val="18"/>
                <w:szCs w:val="18"/>
              </w:rPr>
            </w:pPr>
            <w:r>
              <w:rPr>
                <w:rFonts w:hint="eastAsia" w:ascii="宋体" w:hAnsi="宋体" w:cs="宋体"/>
                <w:color w:val="000000"/>
                <w:kern w:val="0"/>
                <w:sz w:val="18"/>
                <w:szCs w:val="18"/>
                <w:lang w:bidi="ar"/>
              </w:rPr>
              <w:t>2、“宁水好喝”专题看板</w:t>
            </w:r>
          </w:p>
        </w:tc>
      </w:tr>
      <w:tr w14:paraId="1463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0" w:type="dxa"/>
            <w:shd w:val="clear" w:color="auto" w:fill="FFFFFF"/>
            <w:vAlign w:val="center"/>
          </w:tcPr>
          <w:p w14:paraId="3436DD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2205" w:type="dxa"/>
            <w:shd w:val="clear" w:color="auto" w:fill="FFFFFF"/>
            <w:vAlign w:val="center"/>
          </w:tcPr>
          <w:p w14:paraId="0C6F443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2B409F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供水概况  包括保供天数、水厂站、水源地和供水人数等</w:t>
            </w:r>
          </w:p>
        </w:tc>
        <w:tc>
          <w:tcPr>
            <w:tcW w:w="915" w:type="dxa"/>
            <w:gridSpan w:val="2"/>
            <w:shd w:val="clear" w:color="auto" w:fill="FFFFFF"/>
            <w:vAlign w:val="center"/>
          </w:tcPr>
          <w:p w14:paraId="64ED69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44F8B8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927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0" w:type="dxa"/>
            <w:shd w:val="clear" w:color="auto" w:fill="FFFFFF"/>
            <w:vAlign w:val="center"/>
          </w:tcPr>
          <w:p w14:paraId="210652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2205" w:type="dxa"/>
            <w:shd w:val="clear" w:color="auto" w:fill="FFFFFF"/>
            <w:vAlign w:val="center"/>
          </w:tcPr>
          <w:p w14:paraId="334521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00A790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水质监测  包括水厂名称、类型、预警信息和处置情况等</w:t>
            </w:r>
          </w:p>
        </w:tc>
        <w:tc>
          <w:tcPr>
            <w:tcW w:w="915" w:type="dxa"/>
            <w:gridSpan w:val="2"/>
            <w:shd w:val="clear" w:color="auto" w:fill="FFFFFF"/>
            <w:vAlign w:val="center"/>
          </w:tcPr>
          <w:p w14:paraId="533CDE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3A5557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4DA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0" w:type="dxa"/>
            <w:shd w:val="clear" w:color="auto" w:fill="FFFFFF"/>
            <w:vAlign w:val="center"/>
          </w:tcPr>
          <w:p w14:paraId="4C039C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2205" w:type="dxa"/>
            <w:shd w:val="clear" w:color="auto" w:fill="FFFFFF"/>
            <w:vAlign w:val="center"/>
          </w:tcPr>
          <w:p w14:paraId="7334DE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1D88B3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地图落点预警点位  同时点击地图点位弹框能直接显示系统信息</w:t>
            </w:r>
          </w:p>
        </w:tc>
        <w:tc>
          <w:tcPr>
            <w:tcW w:w="915" w:type="dxa"/>
            <w:gridSpan w:val="2"/>
            <w:shd w:val="clear" w:color="auto" w:fill="FFFFFF"/>
            <w:vAlign w:val="center"/>
          </w:tcPr>
          <w:p w14:paraId="2F1E82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3ADB62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7D8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FFFFF"/>
            <w:vAlign w:val="center"/>
          </w:tcPr>
          <w:p w14:paraId="25B96F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2205" w:type="dxa"/>
            <w:shd w:val="clear" w:color="auto" w:fill="FFFFFF"/>
            <w:vAlign w:val="center"/>
          </w:tcPr>
          <w:p w14:paraId="22A9D4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0A3C06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数据回流  接省水利数据仓，回流省级浙水好喝平台中供水概况、水质监测等目录数据</w:t>
            </w:r>
          </w:p>
        </w:tc>
        <w:tc>
          <w:tcPr>
            <w:tcW w:w="915" w:type="dxa"/>
            <w:gridSpan w:val="2"/>
            <w:shd w:val="clear" w:color="auto" w:fill="FFFFFF"/>
            <w:vAlign w:val="center"/>
          </w:tcPr>
          <w:p w14:paraId="34FAA1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EF8E74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FBB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4F8F925">
            <w:pPr>
              <w:jc w:val="left"/>
              <w:rPr>
                <w:rFonts w:hint="eastAsia" w:ascii="宋体" w:hAnsi="宋体" w:cs="宋体"/>
                <w:color w:val="000000"/>
                <w:sz w:val="18"/>
                <w:szCs w:val="18"/>
              </w:rPr>
            </w:pPr>
            <w:r>
              <w:rPr>
                <w:rFonts w:hint="eastAsia" w:ascii="宋体" w:hAnsi="宋体" w:cs="宋体"/>
                <w:color w:val="000000"/>
                <w:kern w:val="0"/>
                <w:sz w:val="18"/>
                <w:szCs w:val="18"/>
                <w:lang w:bidi="ar"/>
              </w:rPr>
              <w:t>3、“宁水美丽”专题看板</w:t>
            </w:r>
          </w:p>
        </w:tc>
      </w:tr>
      <w:tr w14:paraId="5288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56889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2205" w:type="dxa"/>
            <w:shd w:val="clear" w:color="auto" w:fill="FFFFFF"/>
            <w:vAlign w:val="center"/>
          </w:tcPr>
          <w:p w14:paraId="041834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460C37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河长履职情况  包括河长总数、总巡查次数、问题解决率等</w:t>
            </w:r>
          </w:p>
        </w:tc>
        <w:tc>
          <w:tcPr>
            <w:tcW w:w="915" w:type="dxa"/>
            <w:gridSpan w:val="2"/>
            <w:shd w:val="clear" w:color="auto" w:fill="FFFFFF"/>
            <w:vAlign w:val="center"/>
          </w:tcPr>
          <w:p w14:paraId="624684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3D055D2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9D9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0" w:type="dxa"/>
            <w:shd w:val="clear" w:color="auto" w:fill="FFFFFF"/>
            <w:vAlign w:val="center"/>
          </w:tcPr>
          <w:p w14:paraId="080CF0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2205" w:type="dxa"/>
            <w:shd w:val="clear" w:color="auto" w:fill="FFFFFF"/>
            <w:vAlign w:val="center"/>
          </w:tcPr>
          <w:p w14:paraId="0983179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7782FE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断面水质  包括断面、等级、河湖、目标水质与当前水质</w:t>
            </w:r>
          </w:p>
        </w:tc>
        <w:tc>
          <w:tcPr>
            <w:tcW w:w="915" w:type="dxa"/>
            <w:gridSpan w:val="2"/>
            <w:shd w:val="clear" w:color="auto" w:fill="FFFFFF"/>
            <w:vAlign w:val="center"/>
          </w:tcPr>
          <w:p w14:paraId="550A0C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8E0290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3C1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0" w:type="dxa"/>
            <w:shd w:val="clear" w:color="auto" w:fill="FFFFFF"/>
            <w:vAlign w:val="center"/>
          </w:tcPr>
          <w:p w14:paraId="7ADCD5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2205" w:type="dxa"/>
            <w:shd w:val="clear" w:color="auto" w:fill="FFFFFF"/>
            <w:vAlign w:val="center"/>
          </w:tcPr>
          <w:p w14:paraId="4BFF3A2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621185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河湖健康指数  展示河湖健康指数状况</w:t>
            </w:r>
          </w:p>
        </w:tc>
        <w:tc>
          <w:tcPr>
            <w:tcW w:w="915" w:type="dxa"/>
            <w:gridSpan w:val="2"/>
            <w:shd w:val="clear" w:color="auto" w:fill="FFFFFF"/>
            <w:vAlign w:val="center"/>
          </w:tcPr>
          <w:p w14:paraId="606708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AC06BE0">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2C0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00" w:type="dxa"/>
            <w:shd w:val="clear" w:color="auto" w:fill="FFFFFF"/>
            <w:vAlign w:val="center"/>
          </w:tcPr>
          <w:p w14:paraId="3F085D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2205" w:type="dxa"/>
            <w:shd w:val="clear" w:color="auto" w:fill="FFFFFF"/>
            <w:vAlign w:val="center"/>
          </w:tcPr>
          <w:p w14:paraId="3EADFF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1A1738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数据回流  接省水利数据仓，回流省级浙水美丽平台中河段基本信息、河长履职情况、断面水质、河湖健康指数等目录数据</w:t>
            </w:r>
          </w:p>
        </w:tc>
        <w:tc>
          <w:tcPr>
            <w:tcW w:w="915" w:type="dxa"/>
            <w:gridSpan w:val="2"/>
            <w:shd w:val="clear" w:color="auto" w:fill="FFFFFF"/>
            <w:vAlign w:val="center"/>
          </w:tcPr>
          <w:p w14:paraId="254C75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6F2452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14E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2692E81">
            <w:pPr>
              <w:jc w:val="left"/>
              <w:rPr>
                <w:rFonts w:hint="eastAsia" w:ascii="宋体" w:hAnsi="宋体" w:cs="宋体"/>
                <w:color w:val="000000"/>
                <w:sz w:val="18"/>
                <w:szCs w:val="18"/>
              </w:rPr>
            </w:pPr>
            <w:r>
              <w:rPr>
                <w:rFonts w:hint="eastAsia" w:ascii="宋体" w:hAnsi="宋体" w:cs="宋体"/>
                <w:color w:val="000000"/>
                <w:kern w:val="0"/>
                <w:sz w:val="18"/>
                <w:szCs w:val="18"/>
                <w:lang w:bidi="ar"/>
              </w:rPr>
              <w:t>4、“宁水节约”专题看板</w:t>
            </w:r>
          </w:p>
        </w:tc>
      </w:tr>
      <w:tr w14:paraId="1050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EF522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2205" w:type="dxa"/>
            <w:shd w:val="clear" w:color="auto" w:fill="FFFFFF"/>
            <w:vAlign w:val="center"/>
          </w:tcPr>
          <w:p w14:paraId="229211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7C68FD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水资源态势  包括水资源量和承载力指数</w:t>
            </w:r>
          </w:p>
        </w:tc>
        <w:tc>
          <w:tcPr>
            <w:tcW w:w="915" w:type="dxa"/>
            <w:gridSpan w:val="2"/>
            <w:shd w:val="clear" w:color="auto" w:fill="FFFFFF"/>
            <w:vAlign w:val="center"/>
          </w:tcPr>
          <w:p w14:paraId="0106E8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02A4216">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E14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EF78B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2205" w:type="dxa"/>
            <w:shd w:val="clear" w:color="auto" w:fill="FFFFFF"/>
            <w:vAlign w:val="center"/>
          </w:tcPr>
          <w:p w14:paraId="5934C7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6BFEF7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用水双控情况  包括实际用水量、万元GDP用水量和万元工业增加值用水量</w:t>
            </w:r>
          </w:p>
        </w:tc>
        <w:tc>
          <w:tcPr>
            <w:tcW w:w="915" w:type="dxa"/>
            <w:gridSpan w:val="2"/>
            <w:shd w:val="clear" w:color="auto" w:fill="FFFFFF"/>
            <w:vAlign w:val="center"/>
          </w:tcPr>
          <w:p w14:paraId="3264D4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86E4AB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9FB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5AA40F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2205" w:type="dxa"/>
            <w:shd w:val="clear" w:color="auto" w:fill="FFFFFF"/>
            <w:vAlign w:val="center"/>
          </w:tcPr>
          <w:p w14:paraId="5C124A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7B7069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取水态势  包括本年度累计取水量、当月取水量和昨日取水量</w:t>
            </w:r>
          </w:p>
        </w:tc>
        <w:tc>
          <w:tcPr>
            <w:tcW w:w="915" w:type="dxa"/>
            <w:gridSpan w:val="2"/>
            <w:shd w:val="clear" w:color="auto" w:fill="FFFFFF"/>
            <w:vAlign w:val="center"/>
          </w:tcPr>
          <w:p w14:paraId="473478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4A31945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1F2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6172E9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2205" w:type="dxa"/>
            <w:shd w:val="clear" w:color="auto" w:fill="FFFFFF"/>
            <w:vAlign w:val="center"/>
          </w:tcPr>
          <w:p w14:paraId="7AAB49E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705DFB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地图落点预警点位  接入水资源承载力预警、取水预警等点位信息</w:t>
            </w:r>
          </w:p>
        </w:tc>
        <w:tc>
          <w:tcPr>
            <w:tcW w:w="915" w:type="dxa"/>
            <w:gridSpan w:val="2"/>
            <w:shd w:val="clear" w:color="auto" w:fill="FFFFFF"/>
            <w:vAlign w:val="center"/>
          </w:tcPr>
          <w:p w14:paraId="76BA37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9F2EEA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459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E1FE0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2205" w:type="dxa"/>
            <w:shd w:val="clear" w:color="auto" w:fill="FFFFFF"/>
            <w:vAlign w:val="center"/>
          </w:tcPr>
          <w:p w14:paraId="7EA3793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306633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数据回流  接省水利数据仓，回流省级浙水节约平台中回流水资源态势、用水双控情况、取水态势等目录数据</w:t>
            </w:r>
          </w:p>
        </w:tc>
        <w:tc>
          <w:tcPr>
            <w:tcW w:w="915" w:type="dxa"/>
            <w:gridSpan w:val="2"/>
            <w:shd w:val="clear" w:color="auto" w:fill="FFFFFF"/>
            <w:vAlign w:val="center"/>
          </w:tcPr>
          <w:p w14:paraId="73D99D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5425B439">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3A4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1F70A52F">
            <w:pPr>
              <w:jc w:val="left"/>
              <w:rPr>
                <w:rFonts w:hint="eastAsia" w:ascii="宋体" w:hAnsi="宋体" w:cs="宋体"/>
                <w:color w:val="000000"/>
                <w:sz w:val="18"/>
                <w:szCs w:val="18"/>
              </w:rPr>
            </w:pPr>
            <w:r>
              <w:rPr>
                <w:rFonts w:hint="eastAsia" w:ascii="宋体" w:hAnsi="宋体" w:cs="宋体"/>
                <w:color w:val="000000"/>
                <w:kern w:val="0"/>
                <w:sz w:val="18"/>
                <w:szCs w:val="18"/>
                <w:lang w:bidi="ar"/>
              </w:rPr>
              <w:t>5、“宁水畅通”专题看板</w:t>
            </w:r>
          </w:p>
        </w:tc>
      </w:tr>
      <w:tr w14:paraId="5D02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56142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2205" w:type="dxa"/>
            <w:shd w:val="clear" w:color="auto" w:fill="FFFFFF"/>
            <w:vAlign w:val="center"/>
          </w:tcPr>
          <w:p w14:paraId="4B7ADE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2B1783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水库概况  包括水库总数和责任人</w:t>
            </w:r>
          </w:p>
        </w:tc>
        <w:tc>
          <w:tcPr>
            <w:tcW w:w="915" w:type="dxa"/>
            <w:gridSpan w:val="2"/>
            <w:shd w:val="clear" w:color="auto" w:fill="FFFFFF"/>
            <w:vAlign w:val="center"/>
          </w:tcPr>
          <w:p w14:paraId="26C524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E03437C">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91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D8F075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2205" w:type="dxa"/>
            <w:shd w:val="clear" w:color="auto" w:fill="FFFFFF"/>
            <w:vAlign w:val="center"/>
          </w:tcPr>
          <w:p w14:paraId="16FD850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597EEC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水库风险  包括二类坝、三类坝情况</w:t>
            </w:r>
          </w:p>
        </w:tc>
        <w:tc>
          <w:tcPr>
            <w:tcW w:w="915" w:type="dxa"/>
            <w:gridSpan w:val="2"/>
            <w:shd w:val="clear" w:color="auto" w:fill="FFFFFF"/>
            <w:vAlign w:val="center"/>
          </w:tcPr>
          <w:p w14:paraId="046A78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9886D82">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2A5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0" w:type="dxa"/>
            <w:shd w:val="clear" w:color="auto" w:fill="FFFFFF"/>
            <w:vAlign w:val="center"/>
          </w:tcPr>
          <w:p w14:paraId="1FBDE2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2205" w:type="dxa"/>
            <w:shd w:val="clear" w:color="auto" w:fill="FFFFFF"/>
            <w:vAlign w:val="center"/>
          </w:tcPr>
          <w:p w14:paraId="3137F2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1D0899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水利工程分布  展示水利工程分布情况</w:t>
            </w:r>
          </w:p>
        </w:tc>
        <w:tc>
          <w:tcPr>
            <w:tcW w:w="915" w:type="dxa"/>
            <w:gridSpan w:val="2"/>
            <w:shd w:val="clear" w:color="auto" w:fill="FFFFFF"/>
            <w:vAlign w:val="center"/>
          </w:tcPr>
          <w:p w14:paraId="573F6E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269894C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238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FFFFF"/>
            <w:vAlign w:val="center"/>
          </w:tcPr>
          <w:p w14:paraId="67C393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2205" w:type="dxa"/>
            <w:shd w:val="clear" w:color="auto" w:fill="FFFFFF"/>
            <w:vAlign w:val="center"/>
          </w:tcPr>
          <w:p w14:paraId="7273DD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48E013F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数据回流  接省水利数据仓，回流省级运管平台中基本信息、责任基本信息、水库病险坝信息、各类工程基本信息等目录数据</w:t>
            </w:r>
          </w:p>
        </w:tc>
        <w:tc>
          <w:tcPr>
            <w:tcW w:w="915" w:type="dxa"/>
            <w:gridSpan w:val="2"/>
            <w:shd w:val="clear" w:color="auto" w:fill="FFFFFF"/>
            <w:vAlign w:val="center"/>
          </w:tcPr>
          <w:p w14:paraId="1A4B61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81B4A9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479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7C1FF012">
            <w:pPr>
              <w:jc w:val="left"/>
              <w:rPr>
                <w:rFonts w:hint="eastAsia" w:ascii="宋体" w:hAnsi="宋体" w:cs="宋体"/>
                <w:color w:val="000000"/>
                <w:sz w:val="18"/>
                <w:szCs w:val="18"/>
              </w:rPr>
            </w:pPr>
            <w:r>
              <w:rPr>
                <w:rFonts w:hint="eastAsia" w:ascii="宋体" w:hAnsi="宋体" w:cs="宋体"/>
                <w:color w:val="000000"/>
                <w:kern w:val="0"/>
                <w:sz w:val="18"/>
                <w:szCs w:val="18"/>
                <w:lang w:bidi="ar"/>
              </w:rPr>
              <w:t>6、“宁水清廉”专题看板</w:t>
            </w:r>
          </w:p>
        </w:tc>
      </w:tr>
      <w:tr w14:paraId="7BF7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9431F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2205" w:type="dxa"/>
            <w:shd w:val="clear" w:color="auto" w:fill="FFFFFF"/>
            <w:vAlign w:val="center"/>
          </w:tcPr>
          <w:p w14:paraId="4BAA56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60F5BB7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  包括可研批复、初设批复、施工中和验收的项目情况</w:t>
            </w:r>
          </w:p>
        </w:tc>
        <w:tc>
          <w:tcPr>
            <w:tcW w:w="915" w:type="dxa"/>
            <w:gridSpan w:val="2"/>
            <w:shd w:val="clear" w:color="auto" w:fill="FFFFFF"/>
            <w:vAlign w:val="center"/>
          </w:tcPr>
          <w:p w14:paraId="7428D7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052485D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C30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060CB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2205" w:type="dxa"/>
            <w:shd w:val="clear" w:color="auto" w:fill="FFFFFF"/>
            <w:vAlign w:val="center"/>
          </w:tcPr>
          <w:p w14:paraId="7E1880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1E64BA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参建情况  展示参建的施工、设计、监理、咨询和检测等参建单位</w:t>
            </w:r>
          </w:p>
        </w:tc>
        <w:tc>
          <w:tcPr>
            <w:tcW w:w="915" w:type="dxa"/>
            <w:gridSpan w:val="2"/>
            <w:shd w:val="clear" w:color="auto" w:fill="FFFFFF"/>
            <w:vAlign w:val="center"/>
          </w:tcPr>
          <w:p w14:paraId="1AE12D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A31AFCE">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981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0" w:type="dxa"/>
            <w:shd w:val="clear" w:color="auto" w:fill="FFFFFF"/>
            <w:vAlign w:val="center"/>
          </w:tcPr>
          <w:p w14:paraId="69F0BD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2205" w:type="dxa"/>
            <w:shd w:val="clear" w:color="auto" w:fill="FFFFFF"/>
            <w:vAlign w:val="center"/>
          </w:tcPr>
          <w:p w14:paraId="62C9B9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185E73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信用评价体系  包括等级A、B、C、D、E等信用评价体系</w:t>
            </w:r>
          </w:p>
        </w:tc>
        <w:tc>
          <w:tcPr>
            <w:tcW w:w="915" w:type="dxa"/>
            <w:gridSpan w:val="2"/>
            <w:shd w:val="clear" w:color="auto" w:fill="FFFFFF"/>
            <w:vAlign w:val="center"/>
          </w:tcPr>
          <w:p w14:paraId="665397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349144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72A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0" w:type="dxa"/>
            <w:shd w:val="clear" w:color="auto" w:fill="FFFFFF"/>
            <w:vAlign w:val="center"/>
          </w:tcPr>
          <w:p w14:paraId="0AE571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2205" w:type="dxa"/>
            <w:shd w:val="clear" w:color="auto" w:fill="FFFFFF"/>
            <w:vAlign w:val="center"/>
          </w:tcPr>
          <w:p w14:paraId="233541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04A546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数据回流  对接省水利数据仓，回流省级透明工程平台中在建工程基本信息、参建情况、信用评价体系等目录数据</w:t>
            </w:r>
          </w:p>
        </w:tc>
        <w:tc>
          <w:tcPr>
            <w:tcW w:w="915" w:type="dxa"/>
            <w:gridSpan w:val="2"/>
            <w:shd w:val="clear" w:color="auto" w:fill="FFFFFF"/>
            <w:vAlign w:val="center"/>
          </w:tcPr>
          <w:p w14:paraId="4DE516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6C76B27A">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8F5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653F44AF">
            <w:pPr>
              <w:jc w:val="left"/>
              <w:rPr>
                <w:rFonts w:hint="eastAsia" w:ascii="宋体" w:hAnsi="宋体" w:cs="宋体"/>
                <w:color w:val="000000"/>
                <w:sz w:val="18"/>
                <w:szCs w:val="18"/>
              </w:rPr>
            </w:pPr>
            <w:r>
              <w:rPr>
                <w:rFonts w:hint="eastAsia" w:ascii="宋体" w:hAnsi="宋体" w:cs="宋体"/>
                <w:color w:val="000000"/>
                <w:kern w:val="0"/>
                <w:sz w:val="18"/>
                <w:szCs w:val="18"/>
                <w:lang w:bidi="ar"/>
              </w:rPr>
              <w:t>7、“宁水文化”专题看板</w:t>
            </w:r>
          </w:p>
        </w:tc>
      </w:tr>
      <w:tr w14:paraId="1035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DAD14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2205" w:type="dxa"/>
            <w:shd w:val="clear" w:color="auto" w:fill="FFFFFF"/>
            <w:vAlign w:val="center"/>
          </w:tcPr>
          <w:p w14:paraId="69CEB8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64E8F06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水文化遗产  省级相关水文化遗产数据回流至本级在驾驶舱中展示</w:t>
            </w:r>
          </w:p>
        </w:tc>
        <w:tc>
          <w:tcPr>
            <w:tcW w:w="915" w:type="dxa"/>
            <w:gridSpan w:val="2"/>
            <w:shd w:val="clear" w:color="auto" w:fill="FFFFFF"/>
            <w:vAlign w:val="center"/>
          </w:tcPr>
          <w:p w14:paraId="1EC6B1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FFCDE78">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AC2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0" w:type="dxa"/>
            <w:shd w:val="clear" w:color="auto" w:fill="FFFFFF"/>
            <w:vAlign w:val="center"/>
          </w:tcPr>
          <w:p w14:paraId="5A2E13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2205" w:type="dxa"/>
            <w:shd w:val="clear" w:color="auto" w:fill="FFFFFF"/>
            <w:vAlign w:val="center"/>
          </w:tcPr>
          <w:p w14:paraId="086463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376A22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数据回流  对接省水利数据仓，回流省级浙水文化平台中在水文化遗产名称、级别、位置等目录数据</w:t>
            </w:r>
          </w:p>
        </w:tc>
        <w:tc>
          <w:tcPr>
            <w:tcW w:w="915" w:type="dxa"/>
            <w:gridSpan w:val="2"/>
            <w:shd w:val="clear" w:color="auto" w:fill="FFFFFF"/>
            <w:vAlign w:val="center"/>
          </w:tcPr>
          <w:p w14:paraId="2D5AA4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9D948C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B2D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0E5AA491">
            <w:pPr>
              <w:jc w:val="left"/>
              <w:rPr>
                <w:rFonts w:hint="eastAsia" w:ascii="宋体" w:hAnsi="宋体" w:cs="宋体"/>
                <w:color w:val="000000"/>
                <w:sz w:val="18"/>
                <w:szCs w:val="18"/>
              </w:rPr>
            </w:pPr>
            <w:r>
              <w:rPr>
                <w:rFonts w:hint="eastAsia" w:ascii="宋体" w:hAnsi="宋体" w:cs="宋体"/>
                <w:color w:val="000000"/>
                <w:kern w:val="0"/>
                <w:sz w:val="18"/>
                <w:szCs w:val="18"/>
                <w:lang w:bidi="ar"/>
              </w:rPr>
              <w:t>8、省级应用数据看板</w:t>
            </w:r>
          </w:p>
        </w:tc>
      </w:tr>
      <w:tr w14:paraId="3B6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494CE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2205" w:type="dxa"/>
            <w:shd w:val="clear" w:color="auto" w:fill="FFFFFF"/>
            <w:vAlign w:val="center"/>
          </w:tcPr>
          <w:p w14:paraId="561DD4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613EDA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水利投资  展示本地水利投资情况</w:t>
            </w:r>
          </w:p>
        </w:tc>
        <w:tc>
          <w:tcPr>
            <w:tcW w:w="915" w:type="dxa"/>
            <w:gridSpan w:val="2"/>
            <w:shd w:val="clear" w:color="auto" w:fill="FFFFFF"/>
            <w:vAlign w:val="center"/>
          </w:tcPr>
          <w:p w14:paraId="036231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F3A0BB1">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80B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0" w:type="dxa"/>
            <w:shd w:val="clear" w:color="auto" w:fill="FFFFFF"/>
            <w:vAlign w:val="center"/>
          </w:tcPr>
          <w:p w14:paraId="7D2B28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2205" w:type="dxa"/>
            <w:shd w:val="clear" w:color="auto" w:fill="FFFFFF"/>
            <w:vAlign w:val="center"/>
          </w:tcPr>
          <w:p w14:paraId="186C06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5EB1F8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问题清单  展示本地级水利七张问题清单</w:t>
            </w:r>
          </w:p>
        </w:tc>
        <w:tc>
          <w:tcPr>
            <w:tcW w:w="915" w:type="dxa"/>
            <w:gridSpan w:val="2"/>
            <w:shd w:val="clear" w:color="auto" w:fill="FFFFFF"/>
            <w:vAlign w:val="center"/>
          </w:tcPr>
          <w:p w14:paraId="595AD4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0C1963B">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335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8F2CE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2205" w:type="dxa"/>
            <w:shd w:val="clear" w:color="auto" w:fill="FFFFFF"/>
            <w:vAlign w:val="center"/>
          </w:tcPr>
          <w:p w14:paraId="7F8C13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1FD71E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民生实事  展示本地级民生实事情况</w:t>
            </w:r>
          </w:p>
        </w:tc>
        <w:tc>
          <w:tcPr>
            <w:tcW w:w="915" w:type="dxa"/>
            <w:gridSpan w:val="2"/>
            <w:shd w:val="clear" w:color="auto" w:fill="FFFFFF"/>
            <w:vAlign w:val="center"/>
          </w:tcPr>
          <w:p w14:paraId="0B9D14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1C0F1F97">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E78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77" w:type="dxa"/>
            <w:gridSpan w:val="7"/>
            <w:shd w:val="clear" w:color="auto" w:fill="FFFFFF"/>
            <w:vAlign w:val="center"/>
          </w:tcPr>
          <w:p w14:paraId="4D45D42B">
            <w:pPr>
              <w:jc w:val="left"/>
              <w:rPr>
                <w:rFonts w:hint="eastAsia" w:ascii="宋体" w:hAnsi="宋体" w:cs="宋体"/>
                <w:color w:val="000000"/>
                <w:sz w:val="18"/>
                <w:szCs w:val="18"/>
              </w:rPr>
            </w:pPr>
            <w:r>
              <w:rPr>
                <w:rFonts w:hint="eastAsia" w:ascii="宋体" w:hAnsi="宋体" w:cs="宋体"/>
                <w:color w:val="000000"/>
                <w:kern w:val="0"/>
                <w:sz w:val="18"/>
                <w:szCs w:val="18"/>
                <w:lang w:bidi="ar"/>
              </w:rPr>
              <w:t>9、预警事件</w:t>
            </w:r>
          </w:p>
        </w:tc>
      </w:tr>
      <w:tr w14:paraId="13E5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00" w:type="dxa"/>
            <w:shd w:val="clear" w:color="auto" w:fill="FFFFFF"/>
            <w:vAlign w:val="center"/>
          </w:tcPr>
          <w:p w14:paraId="7E83AA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2205" w:type="dxa"/>
            <w:shd w:val="clear" w:color="auto" w:fill="FFFFFF"/>
            <w:vAlign w:val="center"/>
          </w:tcPr>
          <w:p w14:paraId="6FC0DC1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软件</w:t>
            </w:r>
          </w:p>
        </w:tc>
        <w:tc>
          <w:tcPr>
            <w:tcW w:w="4272" w:type="dxa"/>
            <w:shd w:val="clear" w:color="auto" w:fill="FFFFFF"/>
            <w:vAlign w:val="center"/>
          </w:tcPr>
          <w:p w14:paraId="65224C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预警事件  综合展示山洪风险、水源地水量水质预警、取用水预警等各类预警数据，地图点击可查询详细的要素信息，对亮红灯问题可快速进行跳转处置。</w:t>
            </w:r>
          </w:p>
        </w:tc>
        <w:tc>
          <w:tcPr>
            <w:tcW w:w="915" w:type="dxa"/>
            <w:gridSpan w:val="2"/>
            <w:shd w:val="clear" w:color="auto" w:fill="FFFFFF"/>
            <w:vAlign w:val="center"/>
          </w:tcPr>
          <w:p w14:paraId="72A631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85" w:type="dxa"/>
            <w:gridSpan w:val="2"/>
            <w:shd w:val="clear" w:color="auto" w:fill="FFFFFF"/>
            <w:vAlign w:val="center"/>
          </w:tcPr>
          <w:p w14:paraId="71EFB0B4">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93D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77" w:type="dxa"/>
            <w:gridSpan w:val="7"/>
            <w:shd w:val="clear" w:color="auto" w:fill="FFFFFF"/>
            <w:vAlign w:val="center"/>
          </w:tcPr>
          <w:p w14:paraId="6BE425CF">
            <w:pPr>
              <w:widowControl/>
              <w:jc w:val="left"/>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18"/>
                <w:szCs w:val="18"/>
                <w:lang w:bidi="ar"/>
              </w:rPr>
              <w:t>云资源</w:t>
            </w:r>
          </w:p>
        </w:tc>
      </w:tr>
      <w:tr w14:paraId="304C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0" w:type="dxa"/>
            <w:shd w:val="clear" w:color="auto" w:fill="FFFFFF"/>
            <w:vAlign w:val="center"/>
          </w:tcPr>
          <w:p w14:paraId="78F412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205" w:type="dxa"/>
            <w:shd w:val="clear" w:color="auto" w:fill="FFFFFF"/>
            <w:vAlign w:val="center"/>
          </w:tcPr>
          <w:p w14:paraId="5CFAEF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云资源</w:t>
            </w:r>
          </w:p>
        </w:tc>
        <w:tc>
          <w:tcPr>
            <w:tcW w:w="4272" w:type="dxa"/>
            <w:shd w:val="clear" w:color="auto" w:fill="FFFFFF"/>
            <w:vAlign w:val="center"/>
          </w:tcPr>
          <w:p w14:paraId="6F54DF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云资源（前3年）  包含公有云云主机、云主机、独享互联网出口、云数据库、云主机数据盘、安全服务等等</w:t>
            </w:r>
          </w:p>
        </w:tc>
        <w:tc>
          <w:tcPr>
            <w:tcW w:w="915" w:type="dxa"/>
            <w:gridSpan w:val="2"/>
            <w:shd w:val="clear" w:color="auto" w:fill="FFFFFF"/>
            <w:vAlign w:val="center"/>
          </w:tcPr>
          <w:p w14:paraId="7A71A4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85" w:type="dxa"/>
            <w:gridSpan w:val="2"/>
            <w:shd w:val="clear" w:color="auto" w:fill="FFFFFF"/>
            <w:vAlign w:val="center"/>
          </w:tcPr>
          <w:p w14:paraId="463444EF">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5DB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77" w:type="dxa"/>
            <w:gridSpan w:val="7"/>
            <w:shd w:val="clear" w:color="auto" w:fill="FFFFFF"/>
            <w:vAlign w:val="center"/>
          </w:tcPr>
          <w:p w14:paraId="02078A06">
            <w:pPr>
              <w:widowControl/>
              <w:jc w:val="left"/>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18"/>
                <w:szCs w:val="18"/>
                <w:lang w:bidi="ar"/>
              </w:rPr>
              <w:t>运维服务</w:t>
            </w:r>
          </w:p>
        </w:tc>
      </w:tr>
      <w:tr w14:paraId="19FF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00" w:type="dxa"/>
            <w:shd w:val="clear" w:color="auto" w:fill="FFFFFF"/>
            <w:vAlign w:val="center"/>
          </w:tcPr>
          <w:p w14:paraId="6C3CD3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205" w:type="dxa"/>
            <w:shd w:val="clear" w:color="auto" w:fill="FFFFFF"/>
            <w:vAlign w:val="center"/>
          </w:tcPr>
          <w:p w14:paraId="365E62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运维费用</w:t>
            </w:r>
          </w:p>
        </w:tc>
        <w:tc>
          <w:tcPr>
            <w:tcW w:w="4272" w:type="dxa"/>
            <w:shd w:val="clear" w:color="auto" w:fill="FFFFFF"/>
            <w:vAlign w:val="center"/>
          </w:tcPr>
          <w:p w14:paraId="3C7C7C7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运维费用 </w:t>
            </w:r>
          </w:p>
          <w:p w14:paraId="014B42E3">
            <w:pPr>
              <w:widowControl/>
              <w:numPr>
                <w:ilvl w:val="0"/>
                <w:numId w:val="12"/>
              </w:num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硬件运维：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硬件系统运行维护服务，具体包括系统日常运行维护、系统巡检、技术培训等工作。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（1）保障120座供水站硬件功能的日常运行，站内水质水量，视频安防信号正常传输，设备功能正常，硬件及硬件所带软件运维，12h内响应，24h内解决问题。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（2）定期对系统网络进行检查。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（3）提供免费的服务热线电话，接受系统故障保修、使用帮助要求、业务和技术咨询、服务投诉等。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（4）每年进行相应技术培训，确保管理人员和各级管理单位使用人员能够进行管理和日常操作使用。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2、软件运维：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软件系统运行维护服务，具体包括系统日常运行维护、病毒检查、数据库备份、系统巡检、技术培训以及服务器维护等工作。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（1）保障系统的日常运行，及时响应系统的使用问题。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（2）每周对数据库进行全备份，并将备份集进行统一管理，对备份集进行验证，确保其可还原性和内容完整性。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（3）每周对全系统进行巡检，对出现的Bug进行及时修复，并记录在案。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（4）每年进行相应技术培训，确保管理人员和各级管理单位使用人员能够进行管理和日常操作使用。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每月对服务器进行维护，负责服务器的软件配置安装、升级、服务器管理、系统的安全设置、故障排除及数据维护等工作，并确保甲方数据的安全，对服务器进行日常维护和监控，以保证信息服务器的正常运行。</w:t>
            </w:r>
          </w:p>
          <w:p w14:paraId="4081D41C">
            <w:pPr>
              <w:widowControl/>
              <w:numPr>
                <w:ilvl w:val="0"/>
                <w:numId w:val="0"/>
              </w:numPr>
              <w:jc w:val="both"/>
              <w:textAlignment w:val="center"/>
              <w:rPr>
                <w:rFonts w:hint="default" w:ascii="宋体" w:hAnsi="宋体" w:eastAsia="宋体" w:cs="宋体"/>
                <w:color w:val="000000"/>
                <w:sz w:val="18"/>
                <w:szCs w:val="18"/>
                <w:lang w:val="en-US" w:eastAsia="zh-CN"/>
              </w:rPr>
            </w:pPr>
            <w:r>
              <w:rPr>
                <w:rFonts w:hint="default" w:ascii="宋体" w:hAnsi="宋体" w:cs="宋体"/>
                <w:color w:val="auto"/>
                <w:sz w:val="18"/>
                <w:szCs w:val="18"/>
                <w:highlight w:val="none"/>
                <w:lang w:val="en-US"/>
              </w:rPr>
              <w:t>3</w:t>
            </w:r>
            <w:r>
              <w:rPr>
                <w:rFonts w:hint="eastAsia" w:ascii="宋体" w:hAnsi="宋体" w:cs="宋体"/>
                <w:color w:val="auto"/>
                <w:sz w:val="18"/>
                <w:szCs w:val="18"/>
                <w:highlight w:val="none"/>
                <w:lang w:val="en-US" w:eastAsia="zh-CN"/>
              </w:rPr>
              <w:t>、质保期满后，若在运维期间内，非乙方原因，设备发生故障需返厂检修，由乙方负责送修；若设备产品迭代更新和无法维修的，由甲方负责采购，乙方做好相关配合工作，并负责设备到货后的安装和调试（不再另行收取安装调试费）。</w:t>
            </w:r>
          </w:p>
        </w:tc>
        <w:tc>
          <w:tcPr>
            <w:tcW w:w="915" w:type="dxa"/>
            <w:gridSpan w:val="2"/>
            <w:shd w:val="clear" w:color="auto" w:fill="FFFFFF"/>
            <w:vAlign w:val="center"/>
          </w:tcPr>
          <w:p w14:paraId="4750595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85" w:type="dxa"/>
            <w:gridSpan w:val="2"/>
            <w:shd w:val="clear" w:color="auto" w:fill="FFFFFF"/>
            <w:vAlign w:val="center"/>
          </w:tcPr>
          <w:p w14:paraId="5356A635">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bl>
    <w:p w14:paraId="79A67DD2">
      <w:pPr>
        <w:widowControl/>
        <w:spacing w:line="360" w:lineRule="auto"/>
        <w:jc w:val="left"/>
        <w:textAlignment w:val="center"/>
        <w:rPr>
          <w:rFonts w:hint="eastAsia" w:ascii="宋体" w:hAnsi="宋体" w:cs="宋体"/>
          <w:b/>
          <w:bCs/>
          <w:kern w:val="0"/>
          <w:szCs w:val="21"/>
          <w:lang w:val="en-US" w:eastAsia="zh-CN" w:bidi="ar"/>
        </w:rPr>
      </w:pPr>
      <w:r>
        <w:rPr>
          <w:rFonts w:hint="eastAsia" w:ascii="宋体" w:hAnsi="宋体" w:cs="宋体"/>
          <w:b/>
          <w:bCs/>
          <w:kern w:val="0"/>
          <w:szCs w:val="21"/>
          <w:lang w:val="en-US" w:eastAsia="zh-CN" w:bidi="ar"/>
        </w:rPr>
        <w:t>注：1、本项目辅材中供电线缆采用RVV 多股软线，信号线缆采用DJYPVP屏蔽电缆，电缆截面尺寸根据现场需求确定。线缆敷设需采用穿管敷设方式，保护套管采用PVC管，过道路段采用镀锌钢管。</w:t>
      </w:r>
    </w:p>
    <w:p w14:paraId="70FDEDDE">
      <w:pPr>
        <w:widowControl/>
        <w:spacing w:line="360" w:lineRule="auto"/>
        <w:jc w:val="left"/>
        <w:textAlignment w:val="center"/>
        <w:rPr>
          <w:rFonts w:hint="default" w:ascii="宋体" w:hAnsi="宋体" w:cs="宋体"/>
          <w:b/>
          <w:bCs/>
          <w:kern w:val="0"/>
          <w:szCs w:val="21"/>
          <w:lang w:val="en-US" w:eastAsia="zh-CN" w:bidi="ar"/>
        </w:rPr>
      </w:pPr>
      <w:r>
        <w:rPr>
          <w:rFonts w:hint="eastAsia" w:ascii="宋体" w:hAnsi="宋体" w:cs="宋体"/>
          <w:b/>
          <w:bCs/>
          <w:kern w:val="0"/>
          <w:szCs w:val="21"/>
          <w:lang w:val="en-US" w:eastAsia="zh-CN" w:bidi="ar"/>
        </w:rPr>
        <w:t>2、不具备运维条件的硬件系统运维期顺延，待具备运维条件后开始计算运维期。</w:t>
      </w:r>
    </w:p>
    <w:p w14:paraId="16238466">
      <w:pPr>
        <w:widowControl/>
        <w:spacing w:line="360" w:lineRule="auto"/>
        <w:jc w:val="left"/>
        <w:textAlignment w:val="center"/>
        <w:rPr>
          <w:rFonts w:hint="eastAsia" w:ascii="宋体" w:hAnsi="宋体" w:cs="宋体"/>
          <w:b/>
          <w:bCs/>
          <w:kern w:val="0"/>
          <w:szCs w:val="21"/>
          <w:lang w:bidi="ar"/>
        </w:rPr>
      </w:pPr>
    </w:p>
    <w:p w14:paraId="21112BB7">
      <w:pPr>
        <w:widowControl/>
        <w:spacing w:line="360" w:lineRule="auto"/>
        <w:jc w:val="left"/>
        <w:textAlignment w:val="center"/>
        <w:rPr>
          <w:rFonts w:hint="eastAsia" w:ascii="宋体" w:hAnsi="宋体" w:cs="宋体"/>
          <w:b/>
          <w:bCs/>
          <w:kern w:val="0"/>
          <w:szCs w:val="21"/>
          <w:lang w:bidi="ar"/>
        </w:rPr>
        <w:sectPr>
          <w:headerReference r:id="rId11" w:type="first"/>
          <w:footerReference r:id="rId13" w:type="first"/>
          <w:headerReference r:id="rId10" w:type="default"/>
          <w:footerReference r:id="rId12" w:type="default"/>
          <w:pgSz w:w="11906" w:h="16838"/>
          <w:pgMar w:top="1247" w:right="1531" w:bottom="1304" w:left="1531" w:header="851" w:footer="851" w:gutter="0"/>
          <w:pgNumType w:fmt="decimal"/>
          <w:cols w:space="720" w:num="1"/>
          <w:titlePg/>
          <w:docGrid w:linePitch="312" w:charSpace="0"/>
        </w:sectPr>
      </w:pPr>
    </w:p>
    <w:p w14:paraId="05D27CA5">
      <w:pPr>
        <w:widowControl/>
        <w:spacing w:line="360" w:lineRule="auto"/>
        <w:jc w:val="left"/>
        <w:textAlignment w:val="center"/>
        <w:rPr>
          <w:rFonts w:hint="eastAsia" w:ascii="宋体" w:hAnsi="宋体" w:cs="宋体"/>
          <w:b/>
          <w:bCs/>
          <w:kern w:val="0"/>
          <w:szCs w:val="21"/>
          <w:lang w:bidi="ar"/>
        </w:rPr>
      </w:pPr>
      <w:r>
        <w:rPr>
          <w:rFonts w:hint="eastAsia" w:ascii="宋体" w:hAnsi="宋体" w:cs="宋体"/>
          <w:b/>
          <w:bCs/>
          <w:kern w:val="0"/>
          <w:szCs w:val="21"/>
          <w:lang w:bidi="ar"/>
        </w:rPr>
        <w:t>九、商务要求表</w:t>
      </w:r>
    </w:p>
    <w:tbl>
      <w:tblPr>
        <w:tblStyle w:val="33"/>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215"/>
        <w:gridCol w:w="7162"/>
      </w:tblGrid>
      <w:tr w14:paraId="7FF4D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38" w:type="dxa"/>
            <w:tcBorders>
              <w:top w:val="single" w:color="auto" w:sz="4" w:space="0"/>
              <w:left w:val="single" w:color="auto" w:sz="4" w:space="0"/>
              <w:bottom w:val="single" w:color="auto" w:sz="4" w:space="0"/>
              <w:right w:val="single" w:color="auto" w:sz="4" w:space="0"/>
            </w:tcBorders>
            <w:vAlign w:val="center"/>
          </w:tcPr>
          <w:p w14:paraId="069D2A78">
            <w:pPr>
              <w:pStyle w:val="8"/>
              <w:spacing w:line="400" w:lineRule="exact"/>
              <w:ind w:firstLine="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215" w:type="dxa"/>
            <w:tcBorders>
              <w:top w:val="single" w:color="auto" w:sz="4" w:space="0"/>
              <w:left w:val="single" w:color="auto" w:sz="4" w:space="0"/>
              <w:bottom w:val="single" w:color="auto" w:sz="4" w:space="0"/>
              <w:right w:val="single" w:color="auto" w:sz="4" w:space="0"/>
            </w:tcBorders>
            <w:vAlign w:val="center"/>
          </w:tcPr>
          <w:p w14:paraId="55AD907B">
            <w:pPr>
              <w:pStyle w:val="8"/>
              <w:ind w:firstLine="0"/>
              <w:jc w:val="center"/>
              <w:rPr>
                <w:rFonts w:hint="eastAsia" w:ascii="宋体" w:hAnsi="宋体" w:cs="宋体"/>
                <w:color w:val="000000"/>
                <w:kern w:val="0"/>
                <w:szCs w:val="21"/>
              </w:rPr>
            </w:pPr>
            <w:r>
              <w:rPr>
                <w:rFonts w:hint="eastAsia" w:ascii="宋体" w:hAnsi="宋体" w:cs="宋体"/>
                <w:color w:val="000000"/>
                <w:kern w:val="0"/>
                <w:szCs w:val="21"/>
              </w:rPr>
              <w:t>服务要求</w:t>
            </w:r>
          </w:p>
        </w:tc>
        <w:tc>
          <w:tcPr>
            <w:tcW w:w="7162" w:type="dxa"/>
            <w:tcBorders>
              <w:top w:val="single" w:color="auto" w:sz="4" w:space="0"/>
              <w:left w:val="single" w:color="auto" w:sz="4" w:space="0"/>
              <w:bottom w:val="single" w:color="auto" w:sz="4" w:space="0"/>
              <w:right w:val="single" w:color="auto" w:sz="4" w:space="0"/>
            </w:tcBorders>
            <w:vAlign w:val="center"/>
          </w:tcPr>
          <w:p w14:paraId="4ED2B34E">
            <w:pPr>
              <w:pStyle w:val="8"/>
              <w:spacing w:line="400" w:lineRule="exact"/>
              <w:ind w:firstLine="0"/>
              <w:rPr>
                <w:rFonts w:hint="eastAsia" w:ascii="宋体" w:hAnsi="宋体" w:cs="宋体"/>
                <w:color w:val="000000"/>
                <w:kern w:val="0"/>
                <w:szCs w:val="21"/>
              </w:rPr>
            </w:pPr>
            <w:r>
              <w:rPr>
                <w:rFonts w:hint="eastAsia" w:ascii="宋体" w:hAnsi="宋体" w:cs="宋体"/>
                <w:color w:val="000000"/>
                <w:kern w:val="0"/>
                <w:szCs w:val="21"/>
              </w:rPr>
              <w:t>供应商应确保其技术建议以及所提供的产品的完整性、实用性，保证全部系统及时投入正常运行。否则若出现因供应商提供的设备不满足要求、不合理，或者其所提供的技术支持和服务不全面，而导致系统无法实现或不能完全实现的状况，供应商负全部责任。</w:t>
            </w:r>
          </w:p>
        </w:tc>
      </w:tr>
      <w:tr w14:paraId="7BF9A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1B2241A3">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2</w:t>
            </w:r>
          </w:p>
        </w:tc>
        <w:tc>
          <w:tcPr>
            <w:tcW w:w="1215" w:type="dxa"/>
            <w:tcBorders>
              <w:top w:val="single" w:color="auto" w:sz="4" w:space="0"/>
              <w:left w:val="single" w:color="auto" w:sz="4" w:space="0"/>
              <w:bottom w:val="single" w:color="auto" w:sz="4" w:space="0"/>
              <w:right w:val="single" w:color="auto" w:sz="4" w:space="0"/>
            </w:tcBorders>
            <w:vAlign w:val="center"/>
          </w:tcPr>
          <w:p w14:paraId="04BF5C68">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质保期</w:t>
            </w:r>
          </w:p>
        </w:tc>
        <w:tc>
          <w:tcPr>
            <w:tcW w:w="7162" w:type="dxa"/>
            <w:tcBorders>
              <w:top w:val="single" w:color="auto" w:sz="4" w:space="0"/>
              <w:left w:val="single" w:color="auto" w:sz="4" w:space="0"/>
              <w:bottom w:val="single" w:color="auto" w:sz="4" w:space="0"/>
              <w:right w:val="single" w:color="auto" w:sz="4" w:space="0"/>
            </w:tcBorders>
            <w:vAlign w:val="center"/>
          </w:tcPr>
          <w:p w14:paraId="38318A69">
            <w:pPr>
              <w:widowControl/>
              <w:spacing w:line="480" w:lineRule="exact"/>
              <w:textAlignment w:val="center"/>
              <w:rPr>
                <w:rFonts w:hint="eastAsia" w:ascii="宋体" w:hAnsi="宋体" w:cs="宋体"/>
                <w:color w:val="000000"/>
                <w:kern w:val="0"/>
                <w:szCs w:val="21"/>
              </w:rPr>
            </w:pPr>
            <w:r>
              <w:rPr>
                <w:rFonts w:hint="eastAsia" w:ascii="宋体" w:hAnsi="宋体" w:cs="宋体"/>
                <w:color w:val="auto"/>
                <w:kern w:val="0"/>
                <w:szCs w:val="21"/>
              </w:rPr>
              <w:t>本项目中所有产品整机要求质保期</w:t>
            </w:r>
            <w:r>
              <w:rPr>
                <w:rFonts w:hint="eastAsia" w:ascii="宋体" w:hAnsi="宋体" w:cs="宋体"/>
                <w:color w:val="auto"/>
                <w:kern w:val="0"/>
                <w:szCs w:val="21"/>
                <w:lang w:val="en-US" w:eastAsia="zh-CN"/>
              </w:rPr>
              <w:t>及运维期</w:t>
            </w:r>
            <w:r>
              <w:rPr>
                <w:rFonts w:hint="eastAsia" w:ascii="宋体" w:hAnsi="宋体" w:cs="宋体"/>
                <w:color w:val="auto"/>
                <w:kern w:val="0"/>
                <w:szCs w:val="21"/>
              </w:rPr>
              <w:t>至少</w:t>
            </w:r>
            <w:r>
              <w:rPr>
                <w:rFonts w:hint="eastAsia" w:ascii="宋体" w:hAnsi="宋体" w:cs="宋体"/>
                <w:b/>
                <w:bCs/>
                <w:color w:val="auto"/>
                <w:kern w:val="0"/>
                <w:szCs w:val="21"/>
                <w:u w:val="single"/>
                <w:lang w:val="en-US" w:eastAsia="zh-CN"/>
              </w:rPr>
              <w:t>三</w:t>
            </w:r>
            <w:r>
              <w:rPr>
                <w:rFonts w:hint="eastAsia" w:ascii="宋体" w:hAnsi="宋体" w:cs="宋体"/>
                <w:b/>
                <w:bCs/>
                <w:color w:val="auto"/>
                <w:kern w:val="0"/>
                <w:szCs w:val="21"/>
                <w:u w:val="single"/>
              </w:rPr>
              <w:t>年</w:t>
            </w:r>
            <w:r>
              <w:rPr>
                <w:rFonts w:hint="eastAsia" w:ascii="宋体" w:hAnsi="宋体" w:cs="宋体"/>
                <w:color w:val="auto"/>
                <w:kern w:val="0"/>
                <w:szCs w:val="21"/>
              </w:rPr>
              <w:t>免费上门服务，</w:t>
            </w:r>
            <w:r>
              <w:rPr>
                <w:rFonts w:hint="eastAsia" w:ascii="宋体" w:hAnsi="宋体"/>
                <w:color w:val="auto"/>
              </w:rPr>
              <w:t>自安装完成并经整体验收合格之日起计算</w:t>
            </w:r>
            <w:r>
              <w:rPr>
                <w:rFonts w:hint="eastAsia" w:ascii="宋体" w:hAnsi="宋体" w:cs="宋体"/>
                <w:color w:val="auto"/>
                <w:kern w:val="0"/>
                <w:szCs w:val="21"/>
              </w:rPr>
              <w:t>。</w:t>
            </w:r>
          </w:p>
        </w:tc>
      </w:tr>
      <w:tr w14:paraId="376D8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6B4E2C73">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215" w:type="dxa"/>
            <w:tcBorders>
              <w:top w:val="single" w:color="auto" w:sz="4" w:space="0"/>
              <w:left w:val="single" w:color="auto" w:sz="4" w:space="0"/>
              <w:bottom w:val="single" w:color="auto" w:sz="4" w:space="0"/>
              <w:right w:val="single" w:color="auto" w:sz="4" w:space="0"/>
            </w:tcBorders>
            <w:vAlign w:val="center"/>
          </w:tcPr>
          <w:p w14:paraId="7758A7D8">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售后技术服务要求</w:t>
            </w:r>
          </w:p>
        </w:tc>
        <w:tc>
          <w:tcPr>
            <w:tcW w:w="7162" w:type="dxa"/>
            <w:tcBorders>
              <w:top w:val="single" w:color="auto" w:sz="4" w:space="0"/>
              <w:left w:val="single" w:color="auto" w:sz="4" w:space="0"/>
              <w:bottom w:val="single" w:color="auto" w:sz="4" w:space="0"/>
              <w:right w:val="single" w:color="auto" w:sz="4" w:space="0"/>
            </w:tcBorders>
            <w:vAlign w:val="center"/>
          </w:tcPr>
          <w:p w14:paraId="7F1070B0">
            <w:pPr>
              <w:widowControl/>
              <w:spacing w:line="480" w:lineRule="exact"/>
              <w:textAlignment w:val="center"/>
              <w:rPr>
                <w:rFonts w:hint="eastAsia" w:ascii="宋体" w:hAnsi="宋体" w:cs="宋体"/>
                <w:color w:val="000000"/>
                <w:kern w:val="0"/>
                <w:szCs w:val="21"/>
              </w:rPr>
            </w:pPr>
            <w:r>
              <w:rPr>
                <w:rFonts w:hint="eastAsia" w:ascii="宋体" w:hAnsi="宋体" w:cs="宋体"/>
                <w:color w:val="000000"/>
                <w:kern w:val="0"/>
                <w:szCs w:val="21"/>
              </w:rPr>
              <w:t>接采购人维修通知后30分钟内响应，2小时内到达现场，8小时内解决问题，以保证设备正常使用。</w:t>
            </w:r>
          </w:p>
        </w:tc>
      </w:tr>
      <w:tr w14:paraId="34BB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4E92E21D">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4</w:t>
            </w:r>
          </w:p>
        </w:tc>
        <w:tc>
          <w:tcPr>
            <w:tcW w:w="1215" w:type="dxa"/>
            <w:tcBorders>
              <w:top w:val="single" w:color="auto" w:sz="4" w:space="0"/>
              <w:left w:val="single" w:color="auto" w:sz="4" w:space="0"/>
              <w:bottom w:val="single" w:color="auto" w:sz="4" w:space="0"/>
              <w:right w:val="single" w:color="auto" w:sz="4" w:space="0"/>
            </w:tcBorders>
            <w:vAlign w:val="center"/>
          </w:tcPr>
          <w:p w14:paraId="166F636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服务时间</w:t>
            </w:r>
          </w:p>
        </w:tc>
        <w:tc>
          <w:tcPr>
            <w:tcW w:w="7162" w:type="dxa"/>
            <w:tcBorders>
              <w:top w:val="single" w:color="auto" w:sz="4" w:space="0"/>
              <w:left w:val="single" w:color="auto" w:sz="4" w:space="0"/>
              <w:bottom w:val="single" w:color="auto" w:sz="4" w:space="0"/>
              <w:right w:val="single" w:color="auto" w:sz="4" w:space="0"/>
            </w:tcBorders>
            <w:vAlign w:val="center"/>
          </w:tcPr>
          <w:p w14:paraId="1031770B">
            <w:pPr>
              <w:widowControl/>
              <w:spacing w:line="480" w:lineRule="exact"/>
              <w:textAlignment w:val="center"/>
              <w:rPr>
                <w:rFonts w:hint="eastAsia" w:ascii="宋体" w:hAnsi="宋体" w:cs="宋体"/>
                <w:color w:val="000000"/>
                <w:kern w:val="0"/>
                <w:szCs w:val="21"/>
              </w:rPr>
            </w:pPr>
            <w:r>
              <w:rPr>
                <w:rFonts w:hint="eastAsia"/>
              </w:rPr>
              <w:t>服务时间：以实际水站完成进度率推进信息化建设并进行项目验收。</w:t>
            </w:r>
          </w:p>
          <w:p w14:paraId="738978EE">
            <w:pPr>
              <w:widowControl/>
              <w:spacing w:line="480" w:lineRule="exact"/>
              <w:textAlignment w:val="center"/>
              <w:rPr>
                <w:rFonts w:hint="eastAsia" w:ascii="宋体" w:hAnsi="宋体" w:cs="宋体"/>
                <w:color w:val="000000"/>
                <w:kern w:val="0"/>
                <w:szCs w:val="21"/>
              </w:rPr>
            </w:pPr>
            <w:r>
              <w:rPr>
                <w:rFonts w:hint="eastAsia" w:ascii="宋体" w:hAnsi="宋体" w:cs="宋体"/>
                <w:color w:val="000000"/>
                <w:kern w:val="0"/>
                <w:szCs w:val="21"/>
              </w:rPr>
              <w:t>服务地点：采购人指定地点。</w:t>
            </w:r>
          </w:p>
        </w:tc>
      </w:tr>
      <w:tr w14:paraId="260C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39219030">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5</w:t>
            </w:r>
          </w:p>
        </w:tc>
        <w:tc>
          <w:tcPr>
            <w:tcW w:w="1215" w:type="dxa"/>
            <w:tcBorders>
              <w:top w:val="single" w:color="auto" w:sz="4" w:space="0"/>
              <w:left w:val="single" w:color="auto" w:sz="4" w:space="0"/>
              <w:bottom w:val="single" w:color="auto" w:sz="4" w:space="0"/>
              <w:right w:val="single" w:color="auto" w:sz="4" w:space="0"/>
            </w:tcBorders>
            <w:vAlign w:val="center"/>
          </w:tcPr>
          <w:p w14:paraId="4E8422E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付款方式</w:t>
            </w:r>
          </w:p>
        </w:tc>
        <w:tc>
          <w:tcPr>
            <w:tcW w:w="7162" w:type="dxa"/>
            <w:tcBorders>
              <w:top w:val="single" w:color="auto" w:sz="4" w:space="0"/>
              <w:left w:val="single" w:color="auto" w:sz="4" w:space="0"/>
              <w:bottom w:val="single" w:color="auto" w:sz="4" w:space="0"/>
              <w:right w:val="single" w:color="auto" w:sz="4" w:space="0"/>
            </w:tcBorders>
            <w:vAlign w:val="center"/>
          </w:tcPr>
          <w:p w14:paraId="2D617B28">
            <w:pPr>
              <w:spacing w:line="360" w:lineRule="exact"/>
              <w:rPr>
                <w:rFonts w:hint="eastAsia" w:ascii="宋体" w:hAnsi="宋体" w:cs="宋体"/>
                <w:bCs/>
                <w:color w:val="000000"/>
              </w:rPr>
            </w:pPr>
            <w:r>
              <w:rPr>
                <w:rFonts w:hint="eastAsia" w:ascii="宋体" w:hAnsi="宋体" w:cs="宋体"/>
                <w:bCs/>
                <w:color w:val="000000"/>
              </w:rPr>
              <w:t>建设期费用（运维费用除外）：</w:t>
            </w:r>
          </w:p>
          <w:p w14:paraId="7F570625">
            <w:pPr>
              <w:spacing w:line="360" w:lineRule="exact"/>
              <w:rPr>
                <w:rFonts w:hint="eastAsia" w:ascii="宋体" w:hAnsi="宋体" w:cs="宋体"/>
                <w:bCs/>
                <w:color w:val="000000"/>
              </w:rPr>
            </w:pPr>
            <w:r>
              <w:rPr>
                <w:rFonts w:hint="eastAsia" w:ascii="宋体" w:hAnsi="宋体" w:cs="宋体"/>
                <w:bCs/>
                <w:color w:val="000000"/>
              </w:rPr>
              <w:t>（1）合同签订后，支付合同总价30%作为预付款；</w:t>
            </w:r>
          </w:p>
          <w:p w14:paraId="07DB065B">
            <w:pPr>
              <w:spacing w:line="360" w:lineRule="exact"/>
              <w:rPr>
                <w:rFonts w:hint="eastAsia" w:ascii="宋体" w:hAnsi="宋体" w:cs="宋体"/>
                <w:bCs/>
                <w:color w:val="000000"/>
              </w:rPr>
            </w:pPr>
            <w:r>
              <w:rPr>
                <w:rFonts w:hint="eastAsia" w:ascii="宋体" w:hAnsi="宋体" w:cs="宋体"/>
                <w:bCs/>
                <w:color w:val="000000"/>
              </w:rPr>
              <w:t>（2）设施建设完成量达到项目总量的50%，支付合同总价20%；</w:t>
            </w:r>
          </w:p>
          <w:p w14:paraId="4774BFF6">
            <w:pPr>
              <w:spacing w:line="360" w:lineRule="exact"/>
              <w:rPr>
                <w:rFonts w:hint="eastAsia" w:ascii="宋体" w:hAnsi="宋体" w:cs="宋体"/>
                <w:bCs/>
                <w:color w:val="000000"/>
              </w:rPr>
            </w:pPr>
            <w:r>
              <w:rPr>
                <w:rFonts w:hint="eastAsia" w:ascii="宋体" w:hAnsi="宋体" w:cs="宋体"/>
                <w:bCs/>
                <w:color w:val="000000"/>
              </w:rPr>
              <w:t>（3）设施建设完成，支付合同总价20%；</w:t>
            </w:r>
          </w:p>
          <w:p w14:paraId="5E291EFA">
            <w:pPr>
              <w:spacing w:line="360" w:lineRule="exact"/>
              <w:rPr>
                <w:rFonts w:hint="eastAsia" w:ascii="宋体" w:hAnsi="宋体" w:cs="宋体"/>
                <w:bCs/>
                <w:color w:val="000000"/>
              </w:rPr>
            </w:pPr>
            <w:r>
              <w:rPr>
                <w:rFonts w:hint="eastAsia" w:ascii="宋体" w:hAnsi="宋体" w:cs="宋体"/>
                <w:bCs/>
                <w:color w:val="000000"/>
              </w:rPr>
              <w:t>（4）验收合格后进入数据服务期七天后支付合同总价的10%；</w:t>
            </w:r>
          </w:p>
          <w:p w14:paraId="0B057724">
            <w:pPr>
              <w:spacing w:line="360" w:lineRule="exact"/>
              <w:rPr>
                <w:rFonts w:hint="eastAsia" w:ascii="宋体" w:hAnsi="宋体" w:cs="宋体"/>
                <w:bCs/>
                <w:color w:val="000000"/>
              </w:rPr>
            </w:pPr>
            <w:r>
              <w:rPr>
                <w:rFonts w:hint="eastAsia" w:ascii="宋体" w:hAnsi="宋体" w:cs="宋体"/>
                <w:bCs/>
                <w:color w:val="000000"/>
              </w:rPr>
              <w:t>（5）</w:t>
            </w:r>
            <w:r>
              <w:rPr>
                <w:rFonts w:hint="eastAsia" w:ascii="宋体" w:hAnsi="宋体" w:cs="宋体"/>
                <w:bCs/>
                <w:color w:val="000000"/>
                <w:highlight w:val="none"/>
              </w:rPr>
              <w:t>经第三方审计完成后支付</w:t>
            </w:r>
            <w:r>
              <w:rPr>
                <w:rFonts w:hint="eastAsia" w:ascii="宋体" w:hAnsi="宋体" w:cs="宋体"/>
                <w:bCs/>
                <w:color w:val="000000"/>
                <w:highlight w:val="none"/>
                <w:lang w:val="en-US" w:eastAsia="zh-CN"/>
              </w:rPr>
              <w:t>至</w:t>
            </w:r>
            <w:r>
              <w:rPr>
                <w:rFonts w:hint="eastAsia" w:ascii="宋体" w:hAnsi="宋体" w:cs="宋体"/>
                <w:bCs/>
                <w:color w:val="000000"/>
                <w:highlight w:val="none"/>
              </w:rPr>
              <w:t>结算价的</w:t>
            </w:r>
            <w:r>
              <w:rPr>
                <w:rFonts w:hint="eastAsia" w:ascii="宋体" w:hAnsi="宋体" w:cs="宋体"/>
                <w:bCs/>
                <w:color w:val="000000"/>
                <w:highlight w:val="none"/>
                <w:lang w:val="en-US" w:eastAsia="zh-CN"/>
              </w:rPr>
              <w:t>9</w:t>
            </w:r>
            <w:r>
              <w:rPr>
                <w:rFonts w:hint="eastAsia" w:ascii="宋体" w:hAnsi="宋体" w:cs="宋体"/>
                <w:bCs/>
                <w:color w:val="000000"/>
                <w:highlight w:val="none"/>
              </w:rPr>
              <w:t>5%；</w:t>
            </w:r>
          </w:p>
          <w:p w14:paraId="556F1697">
            <w:pPr>
              <w:spacing w:line="360" w:lineRule="exact"/>
              <w:rPr>
                <w:rFonts w:hint="eastAsia" w:ascii="宋体" w:hAnsi="宋体" w:cs="宋体"/>
                <w:bCs/>
                <w:color w:val="000000"/>
              </w:rPr>
            </w:pPr>
            <w:r>
              <w:rPr>
                <w:rFonts w:hint="eastAsia" w:ascii="宋体" w:hAnsi="宋体" w:cs="宋体"/>
                <w:bCs/>
                <w:color w:val="000000"/>
              </w:rPr>
              <w:t>（6）余款在质保期满后一次性付清（不计息）。</w:t>
            </w:r>
          </w:p>
          <w:p w14:paraId="6248CE4A">
            <w:pPr>
              <w:spacing w:line="360" w:lineRule="exact"/>
              <w:rPr>
                <w:rFonts w:hint="eastAsia" w:ascii="宋体" w:hAnsi="宋体" w:cs="宋体"/>
                <w:szCs w:val="21"/>
              </w:rPr>
            </w:pPr>
            <w:r>
              <w:rPr>
                <w:rFonts w:hint="eastAsia" w:ascii="宋体" w:hAnsi="宋体" w:cs="宋体"/>
                <w:szCs w:val="21"/>
              </w:rPr>
              <w:t>运维费用：</w:t>
            </w:r>
          </w:p>
          <w:p w14:paraId="05C372D5">
            <w:pPr>
              <w:spacing w:line="360" w:lineRule="exact"/>
              <w:ind w:firstLine="420" w:firstLineChars="200"/>
              <w:rPr>
                <w:rFonts w:hint="eastAsia" w:ascii="宋体" w:hAnsi="宋体" w:cs="宋体"/>
                <w:color w:val="000000"/>
                <w:kern w:val="0"/>
                <w:szCs w:val="21"/>
              </w:rPr>
            </w:pPr>
            <w:r>
              <w:rPr>
                <w:rFonts w:hint="eastAsia" w:ascii="宋体" w:hAnsi="宋体" w:cs="宋体"/>
                <w:color w:val="auto"/>
                <w:szCs w:val="21"/>
              </w:rPr>
              <w:t>正式运营开始后，</w:t>
            </w:r>
            <w:r>
              <w:rPr>
                <w:rFonts w:hint="eastAsia" w:ascii="宋体" w:hAnsi="宋体" w:cs="宋体"/>
                <w:color w:val="auto"/>
                <w:szCs w:val="21"/>
                <w:lang w:val="en-US" w:eastAsia="zh-CN"/>
              </w:rPr>
              <w:t>按照运维年数逐年平均支付</w:t>
            </w:r>
            <w:r>
              <w:rPr>
                <w:rFonts w:hint="eastAsia" w:ascii="宋体" w:hAnsi="宋体" w:cs="宋体"/>
                <w:color w:val="auto"/>
                <w:szCs w:val="21"/>
              </w:rPr>
              <w:t>。</w:t>
            </w:r>
          </w:p>
        </w:tc>
      </w:tr>
      <w:tr w14:paraId="1D3F9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2181355A">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6</w:t>
            </w:r>
          </w:p>
        </w:tc>
        <w:tc>
          <w:tcPr>
            <w:tcW w:w="1215" w:type="dxa"/>
            <w:tcBorders>
              <w:top w:val="single" w:color="auto" w:sz="4" w:space="0"/>
              <w:left w:val="single" w:color="auto" w:sz="4" w:space="0"/>
              <w:bottom w:val="single" w:color="auto" w:sz="4" w:space="0"/>
              <w:right w:val="single" w:color="auto" w:sz="4" w:space="0"/>
            </w:tcBorders>
            <w:vAlign w:val="center"/>
          </w:tcPr>
          <w:p w14:paraId="68F7BE9B">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履约保证金</w:t>
            </w:r>
          </w:p>
        </w:tc>
        <w:tc>
          <w:tcPr>
            <w:tcW w:w="7162" w:type="dxa"/>
            <w:tcBorders>
              <w:top w:val="single" w:color="auto" w:sz="4" w:space="0"/>
              <w:left w:val="single" w:color="auto" w:sz="4" w:space="0"/>
              <w:bottom w:val="single" w:color="auto" w:sz="4" w:space="0"/>
              <w:right w:val="single" w:color="auto" w:sz="4" w:space="0"/>
            </w:tcBorders>
            <w:vAlign w:val="center"/>
          </w:tcPr>
          <w:p w14:paraId="1419D961">
            <w:pPr>
              <w:widowControl/>
              <w:spacing w:line="480" w:lineRule="exact"/>
              <w:textAlignment w:val="center"/>
              <w:rPr>
                <w:rFonts w:hint="eastAsia" w:ascii="宋体" w:hAnsi="宋体" w:cs="宋体"/>
                <w:color w:val="000000"/>
                <w:kern w:val="0"/>
                <w:szCs w:val="21"/>
              </w:rPr>
            </w:pPr>
            <w:r>
              <w:rPr>
                <w:rFonts w:hint="eastAsia" w:ascii="宋体" w:hAnsi="宋体"/>
                <w:bCs/>
                <w:szCs w:val="32"/>
              </w:rPr>
              <w:t>履约保证金：以银行保函、保险保函形式支付给</w:t>
            </w:r>
            <w:r>
              <w:rPr>
                <w:rFonts w:ascii="宋体" w:hAnsi="宋体"/>
                <w:bCs/>
                <w:szCs w:val="32"/>
              </w:rPr>
              <w:t>向</w:t>
            </w:r>
            <w:r>
              <w:rPr>
                <w:rFonts w:hint="eastAsia" w:ascii="宋体" w:hAnsi="宋体"/>
                <w:bCs/>
                <w:szCs w:val="32"/>
              </w:rPr>
              <w:t>采购人</w:t>
            </w:r>
            <w:r>
              <w:rPr>
                <w:rFonts w:ascii="宋体" w:hAnsi="宋体"/>
                <w:bCs/>
                <w:szCs w:val="32"/>
              </w:rPr>
              <w:t>提交</w:t>
            </w:r>
            <w:r>
              <w:rPr>
                <w:rFonts w:hint="eastAsia" w:ascii="宋体" w:hAnsi="宋体"/>
                <w:bCs/>
                <w:szCs w:val="32"/>
              </w:rPr>
              <w:t>合同价的5%作为</w:t>
            </w:r>
            <w:r>
              <w:rPr>
                <w:rFonts w:ascii="宋体" w:hAnsi="宋体"/>
                <w:bCs/>
                <w:szCs w:val="32"/>
              </w:rPr>
              <w:t>履约</w:t>
            </w:r>
            <w:r>
              <w:rPr>
                <w:rFonts w:hint="eastAsia" w:ascii="宋体" w:hAnsi="宋体"/>
                <w:bCs/>
                <w:szCs w:val="32"/>
              </w:rPr>
              <w:t>保证金，</w:t>
            </w:r>
            <w:r>
              <w:rPr>
                <w:rFonts w:ascii="宋体" w:hAnsi="宋体"/>
                <w:bCs/>
                <w:szCs w:val="32"/>
              </w:rPr>
              <w:t>在</w:t>
            </w:r>
            <w:r>
              <w:rPr>
                <w:rFonts w:hint="eastAsia" w:ascii="宋体" w:hAnsi="宋体"/>
                <w:bCs/>
                <w:szCs w:val="32"/>
              </w:rPr>
              <w:t>项目验收合格</w:t>
            </w:r>
            <w:r>
              <w:rPr>
                <w:rFonts w:ascii="宋体" w:hAnsi="宋体"/>
                <w:bCs/>
                <w:szCs w:val="32"/>
              </w:rPr>
              <w:t>后</w:t>
            </w:r>
            <w:r>
              <w:rPr>
                <w:rFonts w:hint="eastAsia" w:ascii="宋体" w:hAnsi="宋体"/>
                <w:bCs/>
                <w:szCs w:val="32"/>
              </w:rPr>
              <w:t>一个月内无息退还。</w:t>
            </w:r>
          </w:p>
        </w:tc>
      </w:tr>
      <w:tr w14:paraId="02CF7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6AC3AD1D">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7</w:t>
            </w:r>
          </w:p>
        </w:tc>
        <w:tc>
          <w:tcPr>
            <w:tcW w:w="1215" w:type="dxa"/>
            <w:tcBorders>
              <w:top w:val="single" w:color="auto" w:sz="4" w:space="0"/>
              <w:left w:val="single" w:color="auto" w:sz="4" w:space="0"/>
              <w:bottom w:val="single" w:color="auto" w:sz="4" w:space="0"/>
              <w:right w:val="single" w:color="auto" w:sz="4" w:space="0"/>
            </w:tcBorders>
            <w:vAlign w:val="center"/>
          </w:tcPr>
          <w:p w14:paraId="03A4A36D">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预付款担保</w:t>
            </w:r>
          </w:p>
        </w:tc>
        <w:tc>
          <w:tcPr>
            <w:tcW w:w="7162" w:type="dxa"/>
            <w:tcBorders>
              <w:top w:val="single" w:color="auto" w:sz="4" w:space="0"/>
              <w:left w:val="single" w:color="auto" w:sz="4" w:space="0"/>
              <w:bottom w:val="single" w:color="auto" w:sz="4" w:space="0"/>
              <w:right w:val="single" w:color="auto" w:sz="4" w:space="0"/>
            </w:tcBorders>
            <w:vAlign w:val="center"/>
          </w:tcPr>
          <w:p w14:paraId="083BA4EB">
            <w:pPr>
              <w:widowControl/>
              <w:spacing w:line="480" w:lineRule="exact"/>
              <w:textAlignment w:val="center"/>
              <w:rPr>
                <w:rFonts w:hint="eastAsia" w:ascii="宋体" w:hAnsi="宋体"/>
                <w:bCs/>
                <w:szCs w:val="32"/>
              </w:rPr>
            </w:pPr>
            <w:r>
              <w:rPr>
                <w:rFonts w:hint="eastAsia" w:ascii="宋体" w:hAnsi="宋体"/>
                <w:bCs/>
                <w:szCs w:val="32"/>
              </w:rPr>
              <w:t>（1）预付款担保金额：同预付款相等金额；</w:t>
            </w:r>
          </w:p>
          <w:p w14:paraId="76782DDF">
            <w:pPr>
              <w:widowControl/>
              <w:spacing w:line="480" w:lineRule="exact"/>
              <w:textAlignment w:val="center"/>
              <w:rPr>
                <w:rFonts w:hint="eastAsia" w:ascii="宋体" w:hAnsi="宋体"/>
                <w:bCs/>
                <w:szCs w:val="32"/>
              </w:rPr>
            </w:pPr>
            <w:r>
              <w:rPr>
                <w:rFonts w:hint="eastAsia" w:ascii="宋体" w:hAnsi="宋体"/>
                <w:bCs/>
                <w:szCs w:val="32"/>
              </w:rPr>
              <w:t>（2）预付款担保形式：银行出具的保函或保险公司出具的保单；</w:t>
            </w:r>
          </w:p>
          <w:p w14:paraId="59E19704">
            <w:pPr>
              <w:widowControl/>
              <w:spacing w:line="480" w:lineRule="exact"/>
              <w:textAlignment w:val="center"/>
              <w:rPr>
                <w:rFonts w:hint="eastAsia" w:ascii="宋体" w:hAnsi="宋体"/>
                <w:bCs/>
                <w:szCs w:val="32"/>
              </w:rPr>
            </w:pPr>
            <w:r>
              <w:rPr>
                <w:rFonts w:hint="eastAsia" w:ascii="宋体" w:hAnsi="宋体"/>
                <w:bCs/>
                <w:szCs w:val="32"/>
              </w:rPr>
              <w:t>（3）预付款担保提交时间：合同签订后7个工作日内；</w:t>
            </w:r>
          </w:p>
          <w:p w14:paraId="62F6DAF3">
            <w:pPr>
              <w:widowControl/>
              <w:spacing w:line="480" w:lineRule="exact"/>
              <w:textAlignment w:val="center"/>
              <w:rPr>
                <w:rFonts w:hint="eastAsia" w:ascii="宋体" w:hAnsi="宋体"/>
                <w:bCs/>
                <w:szCs w:val="32"/>
              </w:rPr>
            </w:pPr>
            <w:r>
              <w:rPr>
                <w:rFonts w:hint="eastAsia" w:ascii="宋体" w:hAnsi="宋体"/>
                <w:bCs/>
                <w:szCs w:val="32"/>
              </w:rPr>
              <w:t>（4）预付款担保期限：自采购人支付预付款之日起至设施建设完成并通过验收合格之日止；</w:t>
            </w:r>
          </w:p>
          <w:p w14:paraId="2E383B44">
            <w:pPr>
              <w:widowControl/>
              <w:spacing w:line="480" w:lineRule="exact"/>
              <w:textAlignment w:val="center"/>
              <w:rPr>
                <w:rFonts w:hint="eastAsia" w:ascii="宋体" w:hAnsi="宋体"/>
                <w:bCs/>
                <w:szCs w:val="32"/>
              </w:rPr>
            </w:pPr>
            <w:r>
              <w:rPr>
                <w:rFonts w:hint="eastAsia" w:ascii="宋体" w:hAnsi="宋体"/>
                <w:bCs/>
                <w:szCs w:val="32"/>
              </w:rPr>
              <w:t>（5）预付款担保的退还：设施建设完成并通过验收合格之日后退还预付款担保。</w:t>
            </w:r>
          </w:p>
        </w:tc>
      </w:tr>
      <w:tr w14:paraId="4277B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1C45955A">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8</w:t>
            </w:r>
          </w:p>
        </w:tc>
        <w:tc>
          <w:tcPr>
            <w:tcW w:w="1215" w:type="dxa"/>
            <w:tcBorders>
              <w:top w:val="single" w:color="auto" w:sz="4" w:space="0"/>
              <w:left w:val="single" w:color="auto" w:sz="4" w:space="0"/>
              <w:bottom w:val="single" w:color="auto" w:sz="4" w:space="0"/>
              <w:right w:val="single" w:color="auto" w:sz="4" w:space="0"/>
            </w:tcBorders>
            <w:vAlign w:val="center"/>
          </w:tcPr>
          <w:p w14:paraId="522521B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其他要求</w:t>
            </w:r>
          </w:p>
        </w:tc>
        <w:tc>
          <w:tcPr>
            <w:tcW w:w="7162" w:type="dxa"/>
            <w:tcBorders>
              <w:top w:val="single" w:color="auto" w:sz="4" w:space="0"/>
              <w:left w:val="single" w:color="auto" w:sz="4" w:space="0"/>
              <w:bottom w:val="single" w:color="auto" w:sz="4" w:space="0"/>
              <w:right w:val="single" w:color="auto" w:sz="4" w:space="0"/>
            </w:tcBorders>
            <w:vAlign w:val="center"/>
          </w:tcPr>
          <w:p w14:paraId="03BB4FF2">
            <w:pPr>
              <w:widowControl/>
              <w:numPr>
                <w:ilvl w:val="0"/>
                <w:numId w:val="13"/>
              </w:numPr>
              <w:spacing w:line="480" w:lineRule="exact"/>
              <w:textAlignment w:val="center"/>
              <w:rPr>
                <w:rFonts w:hint="eastAsia" w:ascii="宋体" w:hAnsi="宋体"/>
                <w:bCs/>
                <w:szCs w:val="32"/>
              </w:rPr>
            </w:pPr>
            <w:r>
              <w:rPr>
                <w:rFonts w:hint="eastAsia" w:ascii="宋体" w:hAnsi="宋体"/>
                <w:bCs/>
                <w:szCs w:val="32"/>
              </w:rPr>
              <w:t>保证本次接入的设备与前期原有的系统能兼容；</w:t>
            </w:r>
          </w:p>
          <w:p w14:paraId="2773266C">
            <w:pPr>
              <w:widowControl/>
              <w:spacing w:line="480" w:lineRule="exact"/>
              <w:textAlignment w:val="center"/>
              <w:rPr>
                <w:rFonts w:hint="eastAsia" w:ascii="宋体" w:hAnsi="宋体"/>
                <w:bCs/>
                <w:szCs w:val="32"/>
              </w:rPr>
            </w:pPr>
            <w:r>
              <w:rPr>
                <w:rFonts w:hint="eastAsia" w:ascii="宋体" w:hAnsi="宋体"/>
                <w:bCs/>
                <w:szCs w:val="32"/>
              </w:rPr>
              <w:t>（2）本次硬件设备及软件系统需</w:t>
            </w:r>
            <w:r>
              <w:rPr>
                <w:rFonts w:hint="eastAsia"/>
              </w:rPr>
              <w:t>按照标准达到二级等保要求。</w:t>
            </w:r>
          </w:p>
        </w:tc>
      </w:tr>
    </w:tbl>
    <w:p w14:paraId="1BCB8894">
      <w:pPr>
        <w:pStyle w:val="11"/>
        <w:rPr>
          <w:rFonts w:hint="eastAsia" w:hAnsi="宋体" w:cs="宋体"/>
          <w:sz w:val="30"/>
          <w:szCs w:val="30"/>
        </w:rPr>
      </w:pPr>
    </w:p>
    <w:p w14:paraId="296EF7AF">
      <w:pPr>
        <w:pStyle w:val="12"/>
        <w:ind w:firstLine="210"/>
      </w:pPr>
    </w:p>
    <w:p w14:paraId="6ACEBF65">
      <w:pPr>
        <w:jc w:val="center"/>
        <w:rPr>
          <w:rFonts w:hint="eastAsia" w:hAnsi="宋体" w:cs="宋体"/>
          <w:b/>
          <w:sz w:val="30"/>
          <w:szCs w:val="30"/>
        </w:rPr>
      </w:pPr>
      <w:r>
        <w:rPr>
          <w:rFonts w:hint="eastAsia" w:hAnsi="宋体" w:cs="宋体"/>
          <w:b/>
          <w:sz w:val="30"/>
          <w:szCs w:val="30"/>
        </w:rPr>
        <w:t>第三章  供应商须知</w:t>
      </w:r>
    </w:p>
    <w:p w14:paraId="189BBC3B">
      <w:pPr>
        <w:snapToGrid w:val="0"/>
        <w:spacing w:before="120" w:beforeLines="50" w:after="120" w:afterLines="50" w:line="400" w:lineRule="exact"/>
        <w:ind w:left="238"/>
        <w:jc w:val="center"/>
        <w:outlineLvl w:val="1"/>
        <w:rPr>
          <w:rFonts w:hint="eastAsia" w:ascii="宋体" w:hAnsi="宋体" w:cs="宋体"/>
          <w:b/>
        </w:rPr>
      </w:pPr>
      <w:bookmarkStart w:id="4" w:name="_Toc28564"/>
      <w:r>
        <w:rPr>
          <w:rFonts w:hint="eastAsia" w:ascii="宋体" w:hAnsi="宋体" w:cs="宋体"/>
          <w:b/>
        </w:rPr>
        <w:t>前附表</w:t>
      </w:r>
      <w:bookmarkEnd w:id="4"/>
    </w:p>
    <w:tbl>
      <w:tblPr>
        <w:tblStyle w:val="33"/>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6BEA9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1F00291F">
            <w:pPr>
              <w:snapToGrid w:val="0"/>
              <w:spacing w:line="480" w:lineRule="exact"/>
              <w:jc w:val="center"/>
              <w:rPr>
                <w:rFonts w:hint="eastAsia"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4B2F1401">
            <w:pPr>
              <w:snapToGrid w:val="0"/>
              <w:spacing w:line="480" w:lineRule="exact"/>
              <w:jc w:val="center"/>
              <w:rPr>
                <w:rFonts w:hint="eastAsia" w:ascii="宋体" w:hAnsi="宋体" w:cs="宋体"/>
                <w:szCs w:val="21"/>
              </w:rPr>
            </w:pPr>
            <w:r>
              <w:rPr>
                <w:rFonts w:hint="eastAsia" w:ascii="宋体" w:hAnsi="宋体" w:cs="宋体"/>
                <w:szCs w:val="21"/>
              </w:rPr>
              <w:t>内容、要求</w:t>
            </w:r>
          </w:p>
        </w:tc>
      </w:tr>
      <w:tr w14:paraId="7529F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CF693AD">
            <w:pPr>
              <w:snapToGrid w:val="0"/>
              <w:spacing w:line="480" w:lineRule="exact"/>
              <w:jc w:val="center"/>
              <w:rPr>
                <w:rFonts w:hint="eastAsia"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44DC557D">
            <w:pPr>
              <w:spacing w:line="480" w:lineRule="exact"/>
              <w:rPr>
                <w:rFonts w:hint="eastAsia" w:ascii="宋体" w:hAnsi="宋体" w:cs="宋体"/>
                <w:b/>
                <w:szCs w:val="21"/>
              </w:rPr>
            </w:pPr>
            <w:r>
              <w:rPr>
                <w:rFonts w:hint="eastAsia" w:ascii="宋体" w:hAnsi="宋体" w:cs="宋体"/>
                <w:b/>
                <w:szCs w:val="21"/>
              </w:rPr>
              <w:t>项目名称：</w:t>
            </w:r>
            <w:r>
              <w:rPr>
                <w:rFonts w:hint="eastAsia" w:ascii="宋体" w:hAnsi="宋体" w:cs="宋体"/>
                <w:b/>
                <w:szCs w:val="21"/>
                <w:u w:val="single"/>
              </w:rPr>
              <w:t>宁海县农村供水站提升改造工程信息化采购项目</w:t>
            </w:r>
          </w:p>
        </w:tc>
      </w:tr>
      <w:tr w14:paraId="534EE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FAF2A5">
            <w:pPr>
              <w:snapToGrid w:val="0"/>
              <w:spacing w:line="480" w:lineRule="exact"/>
              <w:jc w:val="center"/>
              <w:rPr>
                <w:rFonts w:hint="eastAsia"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0BAAA8A2">
            <w:pPr>
              <w:widowControl/>
              <w:jc w:val="left"/>
              <w:rPr>
                <w:rFonts w:hint="eastAsia" w:ascii="宋体" w:hAnsi="宋体" w:eastAsia="宋体" w:cs="宋体"/>
                <w:b/>
                <w:bCs/>
                <w:szCs w:val="21"/>
                <w:lang w:eastAsia="zh-CN"/>
              </w:rPr>
            </w:pPr>
            <w:r>
              <w:rPr>
                <w:rFonts w:hint="eastAsia" w:ascii="宋体" w:hAnsi="宋体" w:cs="宋体"/>
                <w:b/>
                <w:bCs/>
                <w:szCs w:val="21"/>
              </w:rPr>
              <w:t>预算价（人民币）：</w:t>
            </w:r>
            <w:r>
              <w:rPr>
                <w:rFonts w:hint="eastAsia" w:ascii="宋体" w:hAnsi="宋体"/>
                <w:b/>
                <w:bCs/>
                <w:szCs w:val="21"/>
              </w:rPr>
              <w:t>26333758</w:t>
            </w:r>
            <w:r>
              <w:rPr>
                <w:rFonts w:hint="eastAsia" w:ascii="宋体" w:hAnsi="宋体" w:cs="宋体"/>
                <w:b/>
                <w:bCs/>
                <w:szCs w:val="21"/>
              </w:rPr>
              <w:t>元；</w:t>
            </w:r>
            <w:r>
              <w:rPr>
                <w:rFonts w:hint="eastAsia" w:ascii="宋体" w:hAnsi="宋体" w:cs="宋体"/>
                <w:b/>
                <w:bCs/>
                <w:szCs w:val="21"/>
                <w:lang w:eastAsia="zh-CN"/>
              </w:rPr>
              <w:t>（</w:t>
            </w:r>
            <w:r>
              <w:rPr>
                <w:rFonts w:hint="eastAsia" w:ascii="宋体" w:hAnsi="宋体" w:cs="宋体"/>
                <w:b/>
                <w:bCs/>
                <w:szCs w:val="21"/>
                <w:lang w:val="en-US" w:eastAsia="zh-CN"/>
              </w:rPr>
              <w:t>其中：硬件部分最高限价：18405360元；软件部分最高限价：5726398元；云资源部分最高限价：510000元；运维部分最高限价：1692000元</w:t>
            </w:r>
            <w:r>
              <w:rPr>
                <w:rFonts w:hint="eastAsia" w:ascii="宋体" w:hAnsi="宋体" w:cs="宋体"/>
                <w:b/>
                <w:bCs/>
                <w:szCs w:val="21"/>
                <w:lang w:eastAsia="zh-CN"/>
              </w:rPr>
              <w:t>）</w:t>
            </w:r>
          </w:p>
          <w:p w14:paraId="6053F8E5">
            <w:pPr>
              <w:snapToGrid w:val="0"/>
              <w:spacing w:line="360" w:lineRule="auto"/>
              <w:rPr>
                <w:rFonts w:hint="eastAsia" w:ascii="宋体" w:hAnsi="宋体" w:cs="宋体"/>
                <w:b/>
                <w:bCs/>
                <w:color w:val="000000"/>
                <w:szCs w:val="21"/>
              </w:rPr>
            </w:pPr>
            <w:r>
              <w:rPr>
                <w:rFonts w:hint="eastAsia" w:ascii="宋体" w:hAnsi="宋体" w:cs="宋体"/>
                <w:b/>
                <w:bCs/>
                <w:szCs w:val="21"/>
              </w:rPr>
              <w:t>报价超出采购预算价</w:t>
            </w:r>
            <w:r>
              <w:rPr>
                <w:rFonts w:hint="eastAsia" w:ascii="宋体" w:hAnsi="宋体" w:cs="宋体"/>
                <w:b/>
                <w:bCs/>
                <w:szCs w:val="21"/>
                <w:lang w:val="en-US" w:eastAsia="zh-CN"/>
              </w:rPr>
              <w:t>或单项最高限价</w:t>
            </w:r>
            <w:r>
              <w:rPr>
                <w:rFonts w:hint="eastAsia" w:ascii="宋体" w:hAnsi="宋体" w:cs="宋体"/>
                <w:b/>
                <w:bCs/>
                <w:szCs w:val="21"/>
              </w:rPr>
              <w:t>的投标文件均被视为无效标。</w:t>
            </w:r>
          </w:p>
        </w:tc>
      </w:tr>
      <w:tr w14:paraId="1A8C5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0379570">
            <w:pPr>
              <w:snapToGrid w:val="0"/>
              <w:spacing w:line="480" w:lineRule="exact"/>
              <w:jc w:val="center"/>
              <w:rPr>
                <w:rFonts w:hint="eastAsia"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057D7575">
            <w:pPr>
              <w:snapToGrid w:val="0"/>
              <w:spacing w:line="360" w:lineRule="auto"/>
              <w:rPr>
                <w:rFonts w:hint="eastAsia" w:ascii="宋体" w:hAnsi="宋体" w:cs="宋体"/>
                <w:color w:val="000000"/>
                <w:szCs w:val="21"/>
              </w:rPr>
            </w:pPr>
            <w:r>
              <w:rPr>
                <w:rFonts w:hint="eastAsia" w:ascii="宋体" w:hAnsi="宋体" w:cs="宋体"/>
                <w:color w:val="000000"/>
                <w:szCs w:val="21"/>
              </w:rPr>
              <w:t>投标报价及费用：</w:t>
            </w:r>
          </w:p>
          <w:p w14:paraId="06F85E34">
            <w:pPr>
              <w:numPr>
                <w:ilvl w:val="0"/>
                <w:numId w:val="14"/>
              </w:numPr>
              <w:snapToGrid w:val="0"/>
              <w:spacing w:line="360" w:lineRule="auto"/>
              <w:rPr>
                <w:rFonts w:hint="eastAsia" w:hAnsi="宋体"/>
                <w:spacing w:val="-6"/>
                <w:szCs w:val="21"/>
              </w:rPr>
            </w:pPr>
            <w:r>
              <w:rPr>
                <w:rFonts w:hint="eastAsia" w:hAnsi="宋体"/>
                <w:spacing w:val="-6"/>
                <w:szCs w:val="21"/>
              </w:rPr>
              <w:t>报价构成：本项目投标总报价为设备</w:t>
            </w:r>
            <w:r>
              <w:rPr>
                <w:rFonts w:hAnsi="宋体"/>
                <w:spacing w:val="-6"/>
                <w:szCs w:val="21"/>
              </w:rPr>
              <w:t>费，安装费，</w:t>
            </w:r>
            <w:r>
              <w:rPr>
                <w:rFonts w:hint="eastAsia" w:hAnsi="宋体"/>
                <w:spacing w:val="-6"/>
                <w:szCs w:val="21"/>
              </w:rPr>
              <w:t>软件费用</w:t>
            </w:r>
            <w:r>
              <w:rPr>
                <w:rFonts w:hAnsi="宋体"/>
                <w:spacing w:val="-6"/>
                <w:szCs w:val="21"/>
              </w:rPr>
              <w:t>，调试费，验收，售后服务和维保，</w:t>
            </w:r>
            <w:r>
              <w:rPr>
                <w:rFonts w:hint="eastAsia" w:hAnsi="宋体"/>
                <w:spacing w:val="-6"/>
                <w:szCs w:val="21"/>
              </w:rPr>
              <w:t>专家评审费，</w:t>
            </w:r>
            <w:r>
              <w:rPr>
                <w:rFonts w:hAnsi="宋体"/>
                <w:spacing w:val="-6"/>
                <w:szCs w:val="21"/>
              </w:rPr>
              <w:t>招标服务费、税费等交付用户使用前的一切费用</w:t>
            </w:r>
            <w:r>
              <w:rPr>
                <w:rFonts w:hint="eastAsia" w:hAnsi="宋体"/>
                <w:spacing w:val="-6"/>
                <w:szCs w:val="21"/>
              </w:rPr>
              <w:t>；</w:t>
            </w:r>
          </w:p>
          <w:p w14:paraId="4E7517E9">
            <w:pPr>
              <w:snapToGrid w:val="0"/>
              <w:spacing w:line="360" w:lineRule="auto"/>
              <w:rPr>
                <w:rFonts w:hint="eastAsia" w:hAnsi="宋体"/>
                <w:spacing w:val="-6"/>
                <w:szCs w:val="21"/>
              </w:rPr>
            </w:pPr>
            <w:r>
              <w:rPr>
                <w:rFonts w:hint="eastAsia" w:hAnsi="宋体"/>
                <w:spacing w:val="-6"/>
                <w:szCs w:val="21"/>
              </w:rPr>
              <w:t>（2）不论投标结果如何，供应商均应自行承担所有与投标有关的全部费用；</w:t>
            </w:r>
          </w:p>
          <w:p w14:paraId="71D7D3F8">
            <w:pPr>
              <w:snapToGrid w:val="0"/>
              <w:spacing w:line="360" w:lineRule="auto"/>
              <w:rPr>
                <w:rFonts w:hint="eastAsia" w:ascii="宋体" w:hAnsi="宋体" w:cs="宋体"/>
                <w:szCs w:val="21"/>
              </w:rPr>
            </w:pPr>
            <w:r>
              <w:rPr>
                <w:rFonts w:hint="eastAsia" w:hAnsi="宋体"/>
                <w:spacing w:val="-6"/>
                <w:szCs w:val="21"/>
              </w:rPr>
              <w:t>（3）宁波工建工程造价咨询有限公司（本项目采购代理机构）根据关于印发《宁波市招标（采购）代理服务收费指导意见》的通知的收费标准向中标人收取招标代理服务费。</w:t>
            </w:r>
          </w:p>
        </w:tc>
      </w:tr>
      <w:tr w14:paraId="1BA46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088B2F">
            <w:pPr>
              <w:snapToGrid w:val="0"/>
              <w:spacing w:line="480" w:lineRule="exact"/>
              <w:jc w:val="center"/>
              <w:rPr>
                <w:rFonts w:hint="eastAsia"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00B13B9D">
            <w:pPr>
              <w:snapToGrid w:val="0"/>
              <w:rPr>
                <w:rFonts w:hint="eastAsia" w:ascii="宋体" w:hAnsi="宋体" w:cs="宋体"/>
                <w:szCs w:val="21"/>
              </w:rPr>
            </w:pPr>
            <w:r>
              <w:rPr>
                <w:rFonts w:hint="eastAsia" w:ascii="宋体" w:hAnsi="宋体" w:cs="宋体"/>
                <w:szCs w:val="21"/>
              </w:rPr>
              <w:t>投标保证金（人民币）：</w:t>
            </w:r>
            <w:r>
              <w:rPr>
                <w:rFonts w:hint="eastAsia" w:ascii="宋体" w:hAnsi="宋体" w:cs="宋体"/>
                <w:b/>
                <w:bCs/>
                <w:szCs w:val="21"/>
              </w:rPr>
              <w:t>400000元</w:t>
            </w:r>
            <w:r>
              <w:rPr>
                <w:rFonts w:hint="eastAsia" w:ascii="宋体" w:hAnsi="宋体" w:cs="宋体"/>
                <w:szCs w:val="21"/>
              </w:rPr>
              <w:t>。</w:t>
            </w:r>
          </w:p>
          <w:p w14:paraId="5BB5C484">
            <w:pPr>
              <w:snapToGrid w:val="0"/>
              <w:rPr>
                <w:rFonts w:hint="eastAsia" w:ascii="宋体" w:hAnsi="宋体" w:cs="宋体"/>
                <w:szCs w:val="21"/>
              </w:rPr>
            </w:pPr>
            <w:r>
              <w:rPr>
                <w:rFonts w:hint="eastAsia" w:ascii="宋体" w:hAnsi="宋体" w:cs="宋体"/>
                <w:szCs w:val="21"/>
              </w:rPr>
              <w:t>供应商应于</w:t>
            </w:r>
            <w:r>
              <w:rPr>
                <w:rFonts w:hint="eastAsia" w:ascii="宋体" w:hAnsi="宋体" w:cs="宋体"/>
                <w:b/>
                <w:szCs w:val="21"/>
              </w:rPr>
              <w:t>2024年  月  日16时</w:t>
            </w:r>
            <w:r>
              <w:rPr>
                <w:rFonts w:hint="eastAsia" w:ascii="宋体" w:hAnsi="宋体" w:cs="宋体"/>
                <w:szCs w:val="21"/>
              </w:rPr>
              <w:t>（时间）前将投标保证金以转账支票（必须实时清算）、银行汇票、电汇形式提交；</w:t>
            </w:r>
          </w:p>
          <w:p w14:paraId="20973E65">
            <w:pPr>
              <w:snapToGrid w:val="0"/>
              <w:rPr>
                <w:rFonts w:hint="eastAsia" w:ascii="宋体" w:hAnsi="宋体" w:cs="宋体"/>
                <w:szCs w:val="21"/>
              </w:rPr>
            </w:pPr>
            <w:r>
              <w:rPr>
                <w:rFonts w:hint="eastAsia" w:ascii="宋体" w:hAnsi="宋体" w:cs="宋体"/>
                <w:szCs w:val="21"/>
              </w:rPr>
              <w:t>汇款账户：宁波工建工程造价咨询有限公司</w:t>
            </w:r>
          </w:p>
          <w:p w14:paraId="6DD28011">
            <w:pPr>
              <w:snapToGrid w:val="0"/>
              <w:rPr>
                <w:rFonts w:hint="eastAsia" w:ascii="宋体" w:hAnsi="宋体" w:cs="宋体"/>
                <w:szCs w:val="21"/>
              </w:rPr>
            </w:pPr>
            <w:r>
              <w:rPr>
                <w:rFonts w:hint="eastAsia" w:ascii="宋体" w:hAnsi="宋体" w:cs="宋体"/>
                <w:szCs w:val="21"/>
              </w:rPr>
              <w:t>开户银行：工行宁海县支行</w:t>
            </w:r>
          </w:p>
          <w:p w14:paraId="66DF119D">
            <w:pPr>
              <w:snapToGrid w:val="0"/>
              <w:rPr>
                <w:rFonts w:hint="eastAsia" w:ascii="宋体" w:hAnsi="宋体" w:cs="宋体"/>
                <w:szCs w:val="21"/>
              </w:rPr>
            </w:pPr>
            <w:r>
              <w:rPr>
                <w:rFonts w:hint="eastAsia" w:ascii="宋体" w:hAnsi="宋体" w:cs="宋体"/>
                <w:szCs w:val="21"/>
              </w:rPr>
              <w:t>银行账号：3901330019200195597</w:t>
            </w:r>
          </w:p>
        </w:tc>
      </w:tr>
      <w:tr w14:paraId="2C65F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3832A43">
            <w:pPr>
              <w:snapToGrid w:val="0"/>
              <w:spacing w:line="480" w:lineRule="exact"/>
              <w:jc w:val="center"/>
              <w:rPr>
                <w:rFonts w:hint="eastAsia"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20BA896A">
            <w:pPr>
              <w:spacing w:line="400" w:lineRule="exact"/>
              <w:rPr>
                <w:rFonts w:hint="eastAsia" w:ascii="宋体" w:hAnsi="宋体" w:cs="宋体"/>
                <w:szCs w:val="21"/>
              </w:rPr>
            </w:pPr>
            <w:r>
              <w:rPr>
                <w:rFonts w:hint="eastAsia" w:ascii="宋体" w:hAnsi="宋体" w:cs="宋体"/>
                <w:szCs w:val="21"/>
              </w:rPr>
              <w:t>投标文件数量：</w:t>
            </w:r>
          </w:p>
          <w:p w14:paraId="53CA825B">
            <w:pPr>
              <w:spacing w:line="400" w:lineRule="exact"/>
              <w:rPr>
                <w:rFonts w:hint="eastAsia" w:ascii="宋体" w:hAnsi="宋体" w:cs="宋体"/>
                <w:szCs w:val="21"/>
              </w:rPr>
            </w:pPr>
            <w:r>
              <w:rPr>
                <w:rFonts w:hint="eastAsia" w:ascii="宋体" w:hAnsi="宋体" w:cs="宋体"/>
                <w:szCs w:val="21"/>
              </w:rPr>
              <w:t>本项目实行网上投标，供应商应准备以下响应文件：</w:t>
            </w:r>
          </w:p>
          <w:p w14:paraId="7EF2DEC8">
            <w:pPr>
              <w:spacing w:line="400" w:lineRule="exact"/>
              <w:rPr>
                <w:rFonts w:hint="eastAsia" w:ascii="宋体" w:hAnsi="宋体" w:cs="宋体"/>
                <w:szCs w:val="21"/>
              </w:rPr>
            </w:pPr>
            <w:r>
              <w:rPr>
                <w:rFonts w:hint="eastAsia" w:ascii="宋体" w:hAnsi="宋体" w:cs="宋体"/>
                <w:szCs w:val="21"/>
              </w:rPr>
              <w:t>供应商于“乐采云”上提供电子投标文件；</w:t>
            </w:r>
          </w:p>
        </w:tc>
      </w:tr>
      <w:tr w14:paraId="5065D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DF58607">
            <w:pPr>
              <w:snapToGrid w:val="0"/>
              <w:spacing w:line="480" w:lineRule="exact"/>
              <w:jc w:val="center"/>
              <w:rPr>
                <w:rFonts w:hint="eastAsia" w:ascii="宋体" w:hAnsi="宋体" w:cs="宋体"/>
                <w:szCs w:val="21"/>
              </w:rPr>
            </w:pPr>
            <w:r>
              <w:rPr>
                <w:rFonts w:hint="eastAsia" w:ascii="宋体" w:hAnsi="宋体" w:cs="宋体"/>
                <w:szCs w:val="21"/>
              </w:rPr>
              <w:t>6</w:t>
            </w:r>
          </w:p>
        </w:tc>
        <w:tc>
          <w:tcPr>
            <w:tcW w:w="8215" w:type="dxa"/>
            <w:tcBorders>
              <w:top w:val="single" w:color="auto" w:sz="4" w:space="0"/>
              <w:left w:val="single" w:color="auto" w:sz="4" w:space="0"/>
              <w:bottom w:val="single" w:color="auto" w:sz="4" w:space="0"/>
              <w:right w:val="single" w:color="auto" w:sz="4" w:space="0"/>
            </w:tcBorders>
            <w:vAlign w:val="center"/>
          </w:tcPr>
          <w:p w14:paraId="708AA0FB">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现场踏勘：不组织，供应商自行踏勘</w:t>
            </w:r>
          </w:p>
        </w:tc>
      </w:tr>
      <w:tr w14:paraId="2E646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1F560DA">
            <w:pPr>
              <w:snapToGrid w:val="0"/>
              <w:spacing w:line="480" w:lineRule="exact"/>
              <w:jc w:val="center"/>
              <w:rPr>
                <w:rFonts w:hint="eastAsia" w:ascii="宋体" w:hAnsi="宋体" w:cs="宋体"/>
                <w:szCs w:val="21"/>
              </w:rPr>
            </w:pPr>
            <w:r>
              <w:rPr>
                <w:rFonts w:hint="eastAsia" w:ascii="宋体" w:hAnsi="宋体" w:cs="宋体"/>
                <w:szCs w:val="21"/>
              </w:rPr>
              <w:t>7</w:t>
            </w:r>
          </w:p>
        </w:tc>
        <w:tc>
          <w:tcPr>
            <w:tcW w:w="8215" w:type="dxa"/>
            <w:tcBorders>
              <w:top w:val="single" w:color="auto" w:sz="4" w:space="0"/>
              <w:left w:val="single" w:color="auto" w:sz="4" w:space="0"/>
              <w:bottom w:val="single" w:color="auto" w:sz="4" w:space="0"/>
              <w:right w:val="single" w:color="auto" w:sz="4" w:space="0"/>
            </w:tcBorders>
            <w:vAlign w:val="center"/>
          </w:tcPr>
          <w:p w14:paraId="10376C39">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评标办法及评分标准：综合评分法</w:t>
            </w:r>
          </w:p>
        </w:tc>
      </w:tr>
      <w:tr w14:paraId="553EA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6B350CC">
            <w:pPr>
              <w:snapToGrid w:val="0"/>
              <w:spacing w:line="480" w:lineRule="exact"/>
              <w:jc w:val="center"/>
              <w:rPr>
                <w:rFonts w:hint="eastAsia" w:ascii="宋体" w:hAnsi="宋体" w:cs="宋体"/>
                <w:szCs w:val="21"/>
              </w:rPr>
            </w:pPr>
            <w:r>
              <w:rPr>
                <w:rFonts w:hint="eastAsia" w:ascii="宋体" w:hAnsi="宋体" w:cs="宋体"/>
                <w:szCs w:val="21"/>
              </w:rPr>
              <w:t>8</w:t>
            </w:r>
          </w:p>
        </w:tc>
        <w:tc>
          <w:tcPr>
            <w:tcW w:w="8215" w:type="dxa"/>
            <w:tcBorders>
              <w:top w:val="single" w:color="auto" w:sz="4" w:space="0"/>
              <w:left w:val="single" w:color="auto" w:sz="4" w:space="0"/>
              <w:bottom w:val="single" w:color="auto" w:sz="4" w:space="0"/>
              <w:right w:val="single" w:color="auto" w:sz="4" w:space="0"/>
            </w:tcBorders>
            <w:vAlign w:val="center"/>
          </w:tcPr>
          <w:p w14:paraId="426B7EB0">
            <w:pPr>
              <w:snapToGrid w:val="0"/>
              <w:spacing w:line="360" w:lineRule="auto"/>
              <w:rPr>
                <w:rFonts w:hint="eastAsia" w:ascii="宋体" w:hAnsi="宋体" w:cs="宋体"/>
                <w:szCs w:val="21"/>
              </w:rPr>
            </w:pPr>
            <w:r>
              <w:rPr>
                <w:rFonts w:hint="eastAsia" w:ascii="宋体" w:hAnsi="宋体" w:cs="宋体"/>
                <w:szCs w:val="21"/>
              </w:rPr>
              <w:t>投标保证金退还：</w:t>
            </w:r>
          </w:p>
          <w:p w14:paraId="577CCB80">
            <w:pPr>
              <w:spacing w:line="360" w:lineRule="auto"/>
              <w:ind w:firstLine="105" w:firstLineChars="50"/>
              <w:rPr>
                <w:rFonts w:hint="eastAsia" w:ascii="宋体" w:hAnsi="宋体" w:cs="宋体"/>
                <w:szCs w:val="21"/>
              </w:rPr>
            </w:pPr>
            <w:r>
              <w:rPr>
                <w:rFonts w:hint="eastAsia" w:ascii="宋体" w:hAnsi="宋体" w:cs="宋体"/>
                <w:szCs w:val="21"/>
              </w:rPr>
              <w:t>（1）中标人的投标保证金在与招标人签订了合同后，凭合同原件无息退还。</w:t>
            </w:r>
          </w:p>
          <w:p w14:paraId="13228B01">
            <w:pPr>
              <w:spacing w:line="360" w:lineRule="auto"/>
              <w:ind w:firstLine="105" w:firstLineChars="50"/>
              <w:rPr>
                <w:rFonts w:hint="eastAsia" w:ascii="宋体" w:hAnsi="宋体" w:cs="宋体"/>
                <w:szCs w:val="21"/>
              </w:rPr>
            </w:pPr>
            <w:r>
              <w:rPr>
                <w:rFonts w:hint="eastAsia" w:ascii="宋体" w:hAnsi="宋体" w:cs="宋体"/>
                <w:szCs w:val="21"/>
              </w:rPr>
              <w:t>（2）未中标供应商的投标保证金在中标通知书发出后五个工作日内无息退还。</w:t>
            </w:r>
          </w:p>
          <w:p w14:paraId="39253518">
            <w:pPr>
              <w:spacing w:line="360" w:lineRule="auto"/>
              <w:ind w:firstLine="105" w:firstLineChars="50"/>
              <w:rPr>
                <w:rFonts w:hint="eastAsia" w:ascii="宋体" w:hAnsi="宋体" w:cs="宋体"/>
                <w:szCs w:val="21"/>
              </w:rPr>
            </w:pPr>
            <w:r>
              <w:rPr>
                <w:rFonts w:hint="eastAsia" w:ascii="宋体" w:hAnsi="宋体" w:cs="宋体"/>
                <w:szCs w:val="21"/>
              </w:rPr>
              <w:t>（3）中标人和未中标人应按照上述规定及时前来办理保证金退款手续。对逾期办理者，招标人不承担任何利息和“资金占用费”。</w:t>
            </w:r>
          </w:p>
        </w:tc>
      </w:tr>
      <w:tr w14:paraId="7AA5C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23C061F">
            <w:pPr>
              <w:snapToGrid w:val="0"/>
              <w:spacing w:line="480" w:lineRule="exact"/>
              <w:jc w:val="center"/>
              <w:rPr>
                <w:rFonts w:hint="eastAsia" w:ascii="宋体" w:hAnsi="宋体" w:cs="宋体"/>
                <w:szCs w:val="21"/>
              </w:rPr>
            </w:pPr>
            <w:r>
              <w:rPr>
                <w:rFonts w:hint="eastAsia" w:ascii="宋体" w:hAnsi="宋体" w:cs="宋体"/>
                <w:szCs w:val="21"/>
              </w:rPr>
              <w:t>9</w:t>
            </w:r>
          </w:p>
        </w:tc>
        <w:tc>
          <w:tcPr>
            <w:tcW w:w="8215" w:type="dxa"/>
            <w:tcBorders>
              <w:top w:val="single" w:color="auto" w:sz="4" w:space="0"/>
              <w:left w:val="single" w:color="auto" w:sz="4" w:space="0"/>
              <w:bottom w:val="single" w:color="auto" w:sz="4" w:space="0"/>
              <w:right w:val="single" w:color="auto" w:sz="4" w:space="0"/>
            </w:tcBorders>
            <w:vAlign w:val="center"/>
          </w:tcPr>
          <w:p w14:paraId="4B6A5877">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签订合同时间：中标通知书发出后30日内。</w:t>
            </w:r>
          </w:p>
        </w:tc>
      </w:tr>
      <w:tr w14:paraId="50026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11E45B">
            <w:pPr>
              <w:snapToGrid w:val="0"/>
              <w:spacing w:line="480" w:lineRule="exact"/>
              <w:jc w:val="center"/>
              <w:rPr>
                <w:rFonts w:hint="eastAsia" w:ascii="宋体" w:hAnsi="宋体" w:cs="宋体"/>
                <w:szCs w:val="21"/>
              </w:rPr>
            </w:pPr>
            <w:r>
              <w:rPr>
                <w:rFonts w:hint="eastAsia" w:ascii="宋体" w:hAnsi="宋体" w:cs="宋体"/>
                <w:szCs w:val="21"/>
              </w:rPr>
              <w:t>▲10</w:t>
            </w:r>
          </w:p>
        </w:tc>
        <w:tc>
          <w:tcPr>
            <w:tcW w:w="8215" w:type="dxa"/>
            <w:tcBorders>
              <w:top w:val="single" w:color="auto" w:sz="4" w:space="0"/>
              <w:left w:val="single" w:color="auto" w:sz="4" w:space="0"/>
              <w:bottom w:val="single" w:color="auto" w:sz="4" w:space="0"/>
              <w:right w:val="single" w:color="auto" w:sz="4" w:space="0"/>
            </w:tcBorders>
            <w:vAlign w:val="center"/>
          </w:tcPr>
          <w:p w14:paraId="25381CFE">
            <w:pPr>
              <w:snapToGrid w:val="0"/>
              <w:spacing w:line="480" w:lineRule="exact"/>
              <w:rPr>
                <w:rFonts w:hint="eastAsia"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3CD826A6">
      <w:pPr>
        <w:pStyle w:val="16"/>
        <w:snapToGrid w:val="0"/>
        <w:spacing w:before="120" w:after="120" w:line="480" w:lineRule="exact"/>
        <w:rPr>
          <w:rFonts w:hint="eastAsia"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41FD5082">
      <w:pPr>
        <w:snapToGrid w:val="0"/>
        <w:spacing w:line="480" w:lineRule="exact"/>
        <w:ind w:firstLine="422" w:firstLineChars="200"/>
        <w:jc w:val="left"/>
        <w:outlineLvl w:val="1"/>
        <w:rPr>
          <w:rFonts w:hint="eastAsia" w:ascii="宋体" w:hAnsi="宋体" w:cs="宋体"/>
          <w:b/>
          <w:szCs w:val="21"/>
        </w:rPr>
      </w:pPr>
      <w:bookmarkStart w:id="5" w:name="_Toc8089"/>
      <w:r>
        <w:rPr>
          <w:rFonts w:hint="eastAsia" w:ascii="宋体" w:hAnsi="宋体" w:cs="宋体"/>
          <w:b/>
          <w:szCs w:val="21"/>
        </w:rPr>
        <w:t>（一） 适用范围</w:t>
      </w:r>
      <w:bookmarkEnd w:id="5"/>
    </w:p>
    <w:p w14:paraId="4BBC09EA">
      <w:pPr>
        <w:snapToGrid w:val="0"/>
        <w:spacing w:line="480" w:lineRule="exact"/>
        <w:ind w:firstLine="420" w:firstLineChars="200"/>
        <w:jc w:val="left"/>
        <w:rPr>
          <w:rFonts w:hint="eastAsia" w:ascii="宋体" w:hAnsi="宋体" w:cs="宋体"/>
          <w:b/>
          <w:bCs/>
          <w:szCs w:val="21"/>
          <w:u w:val="single"/>
          <w:lang w:val="zh-CN"/>
        </w:rPr>
      </w:pPr>
      <w:r>
        <w:rPr>
          <w:rFonts w:hint="eastAsia" w:ascii="宋体" w:hAnsi="宋体" w:cs="宋体"/>
          <w:szCs w:val="21"/>
        </w:rPr>
        <w:t>本招标文件适用于</w:t>
      </w:r>
      <w:r>
        <w:rPr>
          <w:rFonts w:hint="eastAsia" w:ascii="宋体" w:hAnsi="宋体" w:cs="宋体"/>
          <w:b/>
          <w:szCs w:val="21"/>
          <w:u w:val="single"/>
        </w:rPr>
        <w:t>宁海县农村供水站提升改造工程信息化采购项目</w:t>
      </w:r>
      <w:r>
        <w:rPr>
          <w:rFonts w:hint="eastAsia" w:ascii="宋体" w:hAnsi="宋体" w:cs="宋体"/>
          <w:szCs w:val="21"/>
        </w:rPr>
        <w:t>的招标、投标、评标、定标、验收、合同履约、付款等行为（法律、法规另有规定的，从其规定）。</w:t>
      </w:r>
    </w:p>
    <w:p w14:paraId="75AA5092">
      <w:pPr>
        <w:snapToGrid w:val="0"/>
        <w:spacing w:line="480" w:lineRule="exact"/>
        <w:ind w:firstLine="310" w:firstLineChars="147"/>
        <w:jc w:val="left"/>
        <w:outlineLvl w:val="1"/>
        <w:rPr>
          <w:rFonts w:hint="eastAsia" w:ascii="宋体" w:hAnsi="宋体" w:cs="宋体"/>
          <w:b/>
          <w:szCs w:val="21"/>
        </w:rPr>
      </w:pPr>
      <w:bookmarkStart w:id="6" w:name="_Toc11628"/>
      <w:r>
        <w:rPr>
          <w:rFonts w:hint="eastAsia" w:ascii="宋体" w:hAnsi="宋体" w:cs="宋体"/>
          <w:b/>
          <w:szCs w:val="21"/>
        </w:rPr>
        <w:t>（二）定义</w:t>
      </w:r>
      <w:bookmarkEnd w:id="6"/>
    </w:p>
    <w:p w14:paraId="539AE95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1、招标采购单位系指组织本次招标的招标代理机构（“招标人”）和采购单位；</w:t>
      </w:r>
    </w:p>
    <w:p w14:paraId="3D978F21">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2、“供应商”系指向招标方提交投标文件的单位；</w:t>
      </w:r>
    </w:p>
    <w:p w14:paraId="63A64586">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3、“服务”系指招标文件规定供应商须承担的安装、调试、技术协助、校准、培训、技术指导以及其他类似的义务；</w:t>
      </w:r>
    </w:p>
    <w:p w14:paraId="1912B06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4、“项目”系指供应商按招标文件规定向采购人提供的服务；</w:t>
      </w:r>
    </w:p>
    <w:p w14:paraId="739A0C1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5、“书面形式”包括信函、传真、电报等；</w:t>
      </w:r>
    </w:p>
    <w:p w14:paraId="2FC9919A">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6、“▲”系指实质性要求条款。</w:t>
      </w:r>
    </w:p>
    <w:p w14:paraId="1C391733">
      <w:pPr>
        <w:snapToGrid w:val="0"/>
        <w:spacing w:line="480" w:lineRule="exact"/>
        <w:ind w:firstLine="413" w:firstLineChars="196"/>
        <w:jc w:val="left"/>
        <w:outlineLvl w:val="1"/>
        <w:rPr>
          <w:rFonts w:hint="eastAsia" w:ascii="宋体" w:hAnsi="宋体" w:cs="宋体"/>
          <w:b/>
          <w:szCs w:val="21"/>
        </w:rPr>
      </w:pPr>
      <w:bookmarkStart w:id="7" w:name="_Toc29625"/>
      <w:r>
        <w:rPr>
          <w:rFonts w:hint="eastAsia" w:ascii="宋体" w:hAnsi="宋体" w:cs="宋体"/>
          <w:b/>
          <w:szCs w:val="21"/>
        </w:rPr>
        <w:t>（三）招标方式</w:t>
      </w:r>
      <w:bookmarkEnd w:id="7"/>
    </w:p>
    <w:p w14:paraId="4A836471">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本次招标采用公开招标方式进行。</w:t>
      </w:r>
    </w:p>
    <w:p w14:paraId="156648FE">
      <w:pPr>
        <w:snapToGrid w:val="0"/>
        <w:spacing w:line="480" w:lineRule="exact"/>
        <w:ind w:firstLine="413" w:firstLineChars="196"/>
        <w:jc w:val="left"/>
        <w:outlineLvl w:val="1"/>
        <w:rPr>
          <w:rFonts w:hint="eastAsia" w:ascii="宋体" w:hAnsi="宋体" w:cs="宋体"/>
          <w:b/>
          <w:szCs w:val="21"/>
        </w:rPr>
      </w:pPr>
      <w:bookmarkStart w:id="8" w:name="_Toc13620"/>
      <w:r>
        <w:rPr>
          <w:rFonts w:hint="eastAsia" w:ascii="宋体" w:hAnsi="宋体" w:cs="宋体"/>
          <w:b/>
          <w:szCs w:val="21"/>
        </w:rPr>
        <w:t>（四）投标委托</w:t>
      </w:r>
      <w:bookmarkEnd w:id="8"/>
    </w:p>
    <w:p w14:paraId="1EDE823B">
      <w:pPr>
        <w:pStyle w:val="14"/>
        <w:snapToGrid w:val="0"/>
        <w:spacing w:line="480" w:lineRule="exact"/>
        <w:ind w:firstLine="404" w:firstLineChars="200"/>
        <w:jc w:val="left"/>
        <w:rPr>
          <w:rFonts w:hint="eastAsia" w:hAnsi="宋体" w:cs="宋体"/>
          <w:sz w:val="21"/>
          <w:szCs w:val="21"/>
        </w:rPr>
      </w:pPr>
      <w:r>
        <w:rPr>
          <w:rFonts w:hint="eastAsia" w:hAnsi="宋体" w:cs="宋体"/>
          <w:sz w:val="21"/>
          <w:szCs w:val="21"/>
        </w:rPr>
        <w:t>如供应商代表不是法定代表人，须有法定代表人出具的授权委托书（正本用原件，副本用复印件，格式见第五章）。</w:t>
      </w:r>
    </w:p>
    <w:p w14:paraId="17640FDC">
      <w:pPr>
        <w:snapToGrid w:val="0"/>
        <w:spacing w:line="480" w:lineRule="exact"/>
        <w:ind w:firstLine="411" w:firstLineChars="196"/>
        <w:jc w:val="left"/>
        <w:outlineLvl w:val="1"/>
        <w:rPr>
          <w:rFonts w:hint="eastAsia" w:ascii="宋体" w:hAnsi="宋体" w:cs="宋体"/>
          <w:b/>
          <w:szCs w:val="21"/>
        </w:rPr>
      </w:pPr>
      <w:bookmarkStart w:id="9" w:name="_Toc18576"/>
      <w:r>
        <w:rPr>
          <w:rFonts w:hint="eastAsia" w:ascii="宋体" w:hAnsi="宋体" w:cs="宋体"/>
          <w:szCs w:val="21"/>
        </w:rPr>
        <w:t>▲</w:t>
      </w:r>
      <w:r>
        <w:rPr>
          <w:rFonts w:hint="eastAsia" w:ascii="宋体" w:hAnsi="宋体" w:cs="宋体"/>
          <w:b/>
          <w:szCs w:val="21"/>
        </w:rPr>
        <w:t>（五）投标费用</w:t>
      </w:r>
      <w:bookmarkEnd w:id="9"/>
    </w:p>
    <w:p w14:paraId="015291A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不论投标结果如何，供应商均应自行承担所有与投标有关的全部费用（招标文件有相关规定除外）；</w:t>
      </w:r>
    </w:p>
    <w:p w14:paraId="265841B8">
      <w:pPr>
        <w:spacing w:line="480" w:lineRule="exact"/>
        <w:ind w:firstLine="210" w:firstLineChars="100"/>
        <w:rPr>
          <w:rFonts w:hint="eastAsia" w:ascii="宋体" w:hAnsi="宋体" w:cs="宋体"/>
          <w:szCs w:val="21"/>
        </w:rPr>
      </w:pPr>
      <w:r>
        <w:rPr>
          <w:rFonts w:hint="eastAsia" w:ascii="宋体" w:hAnsi="宋体" w:cs="宋体"/>
          <w:szCs w:val="21"/>
        </w:rPr>
        <w:t xml:space="preserve">  供应商在报名的同时，应向本项目采购机构提交500元的资料费；未按上述要求提交资料费的供应商，其投标文件招标人不予受理；</w:t>
      </w:r>
    </w:p>
    <w:p w14:paraId="30A2FE27">
      <w:pPr>
        <w:spacing w:line="480" w:lineRule="exact"/>
        <w:ind w:firstLine="210" w:firstLineChars="100"/>
        <w:rPr>
          <w:rFonts w:hint="eastAsia" w:ascii="宋体" w:hAnsi="宋体" w:cs="宋体"/>
          <w:szCs w:val="21"/>
        </w:rPr>
      </w:pPr>
      <w:r>
        <w:rPr>
          <w:rFonts w:hint="eastAsia" w:ascii="宋体" w:hAnsi="宋体" w:cs="宋体"/>
          <w:szCs w:val="21"/>
        </w:rPr>
        <w:t xml:space="preserve"> 中标人与业主签订合同后，宁波工建工程造价咨询有限公司（本项目采购代理机构）根据关于印发《宁波市招标（采购）代理服务收费指导意见》的通知的收费标准向中标人收取招标代理服务费。</w:t>
      </w:r>
    </w:p>
    <w:p w14:paraId="5FECB62C">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（六）联合体投标</w:t>
      </w:r>
    </w:p>
    <w:p w14:paraId="5AAEF91D">
      <w:pPr>
        <w:snapToGrid w:val="0"/>
        <w:spacing w:line="480" w:lineRule="exact"/>
        <w:ind w:firstLine="630" w:firstLineChars="300"/>
        <w:jc w:val="left"/>
        <w:rPr>
          <w:rFonts w:hint="eastAsia" w:ascii="宋体" w:hAnsi="宋体" w:cs="宋体"/>
          <w:szCs w:val="21"/>
        </w:rPr>
      </w:pPr>
      <w:r>
        <w:rPr>
          <w:rFonts w:hint="eastAsia" w:ascii="宋体" w:hAnsi="宋体" w:cs="宋体"/>
          <w:szCs w:val="21"/>
        </w:rPr>
        <w:t>本项目允许联合体投标。</w:t>
      </w:r>
    </w:p>
    <w:p w14:paraId="494B93F1">
      <w:pPr>
        <w:snapToGrid w:val="0"/>
        <w:spacing w:line="480" w:lineRule="exact"/>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7E9A85FA">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1、本项目不允许转包；</w:t>
      </w:r>
    </w:p>
    <w:p w14:paraId="6E97A4BE">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2、本项目不可以分包。</w:t>
      </w:r>
    </w:p>
    <w:p w14:paraId="232F9025">
      <w:pPr>
        <w:snapToGrid w:val="0"/>
        <w:spacing w:line="480" w:lineRule="exact"/>
        <w:ind w:firstLine="413" w:firstLineChars="196"/>
        <w:jc w:val="left"/>
        <w:outlineLvl w:val="1"/>
        <w:rPr>
          <w:rFonts w:hint="eastAsia" w:ascii="宋体" w:hAnsi="宋体" w:cs="宋体"/>
          <w:b/>
          <w:szCs w:val="21"/>
        </w:rPr>
      </w:pPr>
      <w:bookmarkStart w:id="10" w:name="_Toc2114"/>
      <w:r>
        <w:rPr>
          <w:rFonts w:hint="eastAsia" w:ascii="宋体" w:hAnsi="宋体" w:cs="宋体"/>
          <w:b/>
          <w:szCs w:val="21"/>
        </w:rPr>
        <w:t>（八）特别说明</w:t>
      </w:r>
      <w:bookmarkEnd w:id="10"/>
    </w:p>
    <w:p w14:paraId="241C3E90">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1、</w:t>
      </w:r>
      <w:r>
        <w:rPr>
          <w:rFonts w:hint="eastAsia" w:hAnsi="宋体" w:cs="宋体"/>
          <w:szCs w:val="21"/>
        </w:rPr>
        <w:t>供应商应仔细阅读招标文件的所有内容，按照招标文件的要求提交投标文件，并对所提供的全部资料的真实性承担法律责任；</w:t>
      </w:r>
    </w:p>
    <w:p w14:paraId="0388E670">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2、</w:t>
      </w:r>
      <w:r>
        <w:rPr>
          <w:rFonts w:hint="eastAsia" w:hAnsi="宋体" w:cs="宋体"/>
          <w:szCs w:val="21"/>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30875500">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3、</w:t>
      </w:r>
      <w:r>
        <w:rPr>
          <w:rFonts w:hint="eastAsia" w:hAnsi="宋体" w:cs="宋体"/>
          <w:szCs w:val="21"/>
        </w:rPr>
        <w:t>供应商投标所使用的资格、信誉、荣誉、业绩与企业认证必须为本法人所拥有。供应商投标所使用的采购项目实施人员必须为本法人员工（或必须为本法人或控股公司正式员工）；</w:t>
      </w:r>
    </w:p>
    <w:p w14:paraId="37A6E1E4">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单位负责人为同一人或者存在直接控股、管理关系的不同供应商，不得参加同一合同项下的采购活动；</w:t>
      </w:r>
    </w:p>
    <w:p w14:paraId="1513339F">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除单一来源采购项目外，为采购项目提供整体设计、规范编制或者项目管理、监理、检测等服务的供应商，不得再参加该采购项目的其他采购活动。</w:t>
      </w:r>
    </w:p>
    <w:p w14:paraId="18A357DE">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（九）关于分公司投标</w:t>
      </w:r>
    </w:p>
    <w:p w14:paraId="36D1D19B">
      <w:pPr>
        <w:widowControl/>
        <w:spacing w:line="480" w:lineRule="exact"/>
        <w:ind w:firstLine="420" w:firstLineChars="200"/>
        <w:jc w:val="left"/>
        <w:rPr>
          <w:rFonts w:hint="eastAsia"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299FE458">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（十）关于知识产权</w:t>
      </w:r>
    </w:p>
    <w:p w14:paraId="561204FF">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47B5434">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19C47EB2">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系统软件、通用软件必须是具有在中国境内的合法使用权或版权的正版软件，涉及到第三方提出侵权或知识产权的起诉及支付版税等费用由供应商承担所有责任及费用。</w:t>
      </w:r>
    </w:p>
    <w:p w14:paraId="3FEA61B9">
      <w:pPr>
        <w:pStyle w:val="16"/>
        <w:snapToGrid w:val="0"/>
        <w:spacing w:before="120" w:after="120" w:line="480" w:lineRule="exact"/>
        <w:ind w:left="2" w:leftChars="1" w:firstLine="422" w:firstLineChars="200"/>
        <w:rPr>
          <w:rFonts w:hint="eastAsia" w:hAnsi="宋体" w:cs="宋体"/>
          <w:b/>
          <w:bCs/>
          <w:sz w:val="21"/>
          <w:szCs w:val="21"/>
        </w:rPr>
      </w:pPr>
      <w:r>
        <w:rPr>
          <w:rFonts w:hint="eastAsia" w:hAnsi="宋体" w:cs="宋体"/>
          <w:b/>
          <w:bCs/>
          <w:sz w:val="21"/>
          <w:szCs w:val="21"/>
        </w:rPr>
        <w:t>（十一）质疑和投诉</w:t>
      </w:r>
    </w:p>
    <w:p w14:paraId="2F42D65B">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66688CA1">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0185387">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供应商提出质疑应当提交质疑函和必要的证明材料，质疑函应当面以书面形式提出，质疑函格式和内容须符合财政部《质疑函范本》要求，供应商可到中国政府采购网自行下载财政部《质疑函范本》；</w:t>
      </w:r>
    </w:p>
    <w:p w14:paraId="6C60D660">
      <w:pPr>
        <w:widowControl/>
        <w:spacing w:line="480" w:lineRule="exact"/>
        <w:ind w:firstLine="420" w:firstLineChars="200"/>
        <w:jc w:val="left"/>
        <w:rPr>
          <w:rFonts w:hint="eastAsia"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69C5A0FD">
      <w:pPr>
        <w:widowControl/>
        <w:spacing w:line="480" w:lineRule="exact"/>
        <w:ind w:firstLine="420" w:firstLineChars="200"/>
        <w:jc w:val="left"/>
        <w:rPr>
          <w:rFonts w:hint="eastAsia" w:hAnsi="宋体" w:cs="宋体"/>
          <w:bCs/>
          <w:szCs w:val="21"/>
        </w:rPr>
      </w:pPr>
      <w:r>
        <w:rPr>
          <w:rFonts w:hint="eastAsia" w:ascii="宋体" w:hAnsi="宋体" w:cs="宋体"/>
          <w:kern w:val="0"/>
          <w:szCs w:val="21"/>
        </w:rPr>
        <w:t>5、</w:t>
      </w: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14:paraId="5A7B386E">
      <w:pPr>
        <w:pStyle w:val="16"/>
        <w:snapToGrid w:val="0"/>
        <w:spacing w:before="120" w:after="120" w:line="480" w:lineRule="exact"/>
        <w:ind w:firstLine="413" w:firstLineChars="196"/>
        <w:outlineLvl w:val="0"/>
        <w:rPr>
          <w:rFonts w:hint="eastAsia" w:hAnsi="宋体" w:cs="宋体"/>
          <w:b/>
          <w:sz w:val="21"/>
          <w:szCs w:val="21"/>
        </w:rPr>
      </w:pPr>
      <w:bookmarkStart w:id="11" w:name="_Toc6223"/>
      <w:r>
        <w:rPr>
          <w:rFonts w:hint="eastAsia" w:hAnsi="宋体" w:cs="宋体"/>
          <w:b/>
          <w:sz w:val="21"/>
          <w:szCs w:val="21"/>
        </w:rPr>
        <w:t>二  招标文件</w:t>
      </w:r>
      <w:bookmarkEnd w:id="11"/>
    </w:p>
    <w:p w14:paraId="2CE3FDAA">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（一）招标文件的构成。本招标文件由以下部分组成：</w:t>
      </w:r>
    </w:p>
    <w:p w14:paraId="3FCB00DE">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1、公开招标公告</w:t>
      </w:r>
    </w:p>
    <w:p w14:paraId="1FE6410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2、招标需求</w:t>
      </w:r>
    </w:p>
    <w:p w14:paraId="4B9E3D8D">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3、供应商须知</w:t>
      </w:r>
    </w:p>
    <w:p w14:paraId="2F58E61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4、评标办法及评分标准</w:t>
      </w:r>
    </w:p>
    <w:p w14:paraId="57CC096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5、采购合同主要条款</w:t>
      </w:r>
    </w:p>
    <w:p w14:paraId="7490E74A">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6、投标文件格式</w:t>
      </w:r>
    </w:p>
    <w:p w14:paraId="06A72374">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14:paraId="682ED89F">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（二）供应商的风险</w:t>
      </w:r>
    </w:p>
    <w:p w14:paraId="10A992C9">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供应商没有按照招标文件要求提供全部资料，或者供应商没有对招标文件在各方面作出实质性响应是供应商的风险，并可能导致其投标被拒绝。</w:t>
      </w:r>
    </w:p>
    <w:p w14:paraId="779C2665">
      <w:pPr>
        <w:pStyle w:val="24"/>
        <w:spacing w:line="480" w:lineRule="exact"/>
        <w:ind w:firstLine="422"/>
        <w:rPr>
          <w:rFonts w:hint="eastAsia" w:ascii="宋体" w:eastAsia="宋体" w:cs="宋体"/>
          <w:b/>
          <w:color w:val="auto"/>
          <w:sz w:val="21"/>
          <w:szCs w:val="21"/>
        </w:rPr>
      </w:pPr>
      <w:r>
        <w:rPr>
          <w:rFonts w:hint="eastAsia" w:ascii="宋体" w:eastAsia="宋体" w:cs="宋体"/>
          <w:b/>
          <w:color w:val="auto"/>
          <w:sz w:val="21"/>
          <w:szCs w:val="21"/>
        </w:rPr>
        <w:t>（三）招标文件的澄清与修改</w:t>
      </w:r>
    </w:p>
    <w:p w14:paraId="6458138C">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617CF43B">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2、采购代理机构必须以书面形式答复供应商要求澄清的问题，并将不包含问题来源的答复书面通知所有购买招标文件的供应商；除书面答复以外的其他澄清方式及澄清内容均无效；</w:t>
      </w:r>
    </w:p>
    <w:p w14:paraId="6C7DC411">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0482BD38">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2CBAB06D">
      <w:pPr>
        <w:pStyle w:val="24"/>
        <w:spacing w:line="480" w:lineRule="exact"/>
        <w:ind w:firstLine="420"/>
        <w:rPr>
          <w:rFonts w:hint="eastAsia"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51011E29">
      <w:pPr>
        <w:pStyle w:val="16"/>
        <w:snapToGrid w:val="0"/>
        <w:spacing w:before="120" w:after="120" w:line="480" w:lineRule="exact"/>
        <w:ind w:firstLine="413" w:firstLineChars="196"/>
        <w:outlineLvl w:val="1"/>
        <w:rPr>
          <w:rFonts w:hint="eastAsia" w:hAnsi="宋体" w:cs="宋体"/>
          <w:b/>
          <w:sz w:val="21"/>
          <w:szCs w:val="21"/>
        </w:rPr>
      </w:pPr>
      <w:bookmarkStart w:id="12" w:name="_Toc1389"/>
      <w:r>
        <w:rPr>
          <w:rFonts w:hint="eastAsia" w:hAnsi="宋体" w:cs="宋体"/>
          <w:b/>
          <w:sz w:val="21"/>
          <w:szCs w:val="21"/>
        </w:rPr>
        <w:t>三、投标文件的编制</w:t>
      </w:r>
      <w:bookmarkEnd w:id="12"/>
    </w:p>
    <w:p w14:paraId="3A92893F">
      <w:pPr>
        <w:widowControl/>
        <w:tabs>
          <w:tab w:val="left" w:pos="645"/>
        </w:tabs>
        <w:snapToGrid w:val="0"/>
        <w:spacing w:line="360" w:lineRule="auto"/>
        <w:ind w:firstLine="211" w:firstLineChars="100"/>
        <w:rPr>
          <w:rFonts w:hint="eastAsia" w:ascii="宋体" w:hAnsi="宋体" w:cs="宋体"/>
          <w:b/>
          <w:bCs/>
          <w:szCs w:val="21"/>
        </w:rPr>
      </w:pPr>
      <w:bookmarkStart w:id="13" w:name="_Toc1582"/>
      <w:r>
        <w:rPr>
          <w:rFonts w:hint="eastAsia" w:ascii="宋体" w:hAnsi="宋体" w:cs="宋体"/>
          <w:b/>
          <w:bCs/>
          <w:szCs w:val="21"/>
        </w:rPr>
        <w:t>（一）</w:t>
      </w:r>
      <w:r>
        <w:rPr>
          <w:rFonts w:hint="eastAsia" w:ascii="宋体" w:hAnsi="宋体" w:cs="宋体"/>
          <w:b/>
          <w:bCs/>
          <w:szCs w:val="21"/>
          <w:lang w:val="zh-CN"/>
        </w:rPr>
        <w:t>投标文件</w:t>
      </w:r>
    </w:p>
    <w:p w14:paraId="573FCAEC">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投标文件以及供应商与采购代理机构就有关本次采购事宜的所有来往函电均应使用简体中文。</w:t>
      </w:r>
    </w:p>
    <w:p w14:paraId="6F3FBA83">
      <w:pPr>
        <w:widowControl/>
        <w:snapToGrid w:val="0"/>
        <w:spacing w:line="360" w:lineRule="auto"/>
        <w:ind w:firstLine="420" w:firstLineChars="200"/>
        <w:rPr>
          <w:rFonts w:hint="eastAsia" w:ascii="宋体" w:hAnsi="宋体" w:cs="宋体"/>
          <w:szCs w:val="21"/>
          <w:lang w:val="zh-CN"/>
        </w:rPr>
      </w:pPr>
      <w:r>
        <w:rPr>
          <w:rFonts w:hint="eastAsia" w:ascii="宋体" w:hAnsi="宋体" w:cs="宋体"/>
          <w:bCs/>
          <w:szCs w:val="21"/>
        </w:rPr>
        <w:t>2、</w:t>
      </w:r>
      <w:r>
        <w:rPr>
          <w:rFonts w:hint="eastAsia" w:ascii="宋体" w:hAnsi="宋体" w:cs="宋体"/>
          <w:szCs w:val="21"/>
          <w:lang w:val="zh-CN"/>
        </w:rPr>
        <w:t>除本文件中另有规定外，响应文件所使用的计量单位，均须采用国家法定计量单位。</w:t>
      </w:r>
    </w:p>
    <w:p w14:paraId="4CA23518">
      <w:pPr>
        <w:widowControl/>
        <w:snapToGrid w:val="0"/>
        <w:spacing w:line="360" w:lineRule="auto"/>
        <w:ind w:firstLine="211" w:firstLineChars="100"/>
        <w:rPr>
          <w:rFonts w:hint="eastAsia" w:ascii="宋体" w:hAnsi="宋体" w:cs="宋体"/>
          <w:szCs w:val="21"/>
        </w:rPr>
      </w:pPr>
      <w:r>
        <w:rPr>
          <w:rFonts w:hint="eastAsia" w:ascii="宋体" w:hAnsi="宋体" w:cs="宋体"/>
          <w:b/>
          <w:bCs/>
          <w:szCs w:val="21"/>
        </w:rPr>
        <w:t>（二）投标文件的形式和效力</w:t>
      </w:r>
      <w:r>
        <w:rPr>
          <w:rFonts w:hint="eastAsia" w:ascii="宋体" w:hAnsi="宋体" w:cs="宋体"/>
          <w:szCs w:val="21"/>
        </w:rPr>
        <w:cr/>
      </w:r>
      <w:r>
        <w:rPr>
          <w:rFonts w:hint="eastAsia" w:ascii="宋体" w:hAnsi="宋体" w:cs="宋体"/>
          <w:szCs w:val="21"/>
        </w:rPr>
        <w:t xml:space="preserve">    1、电子投标文件，按“供应商-电子招投标操作指南”及本采购文件要求制作、加密并递交，所须加盖公章部分均采用CA签章。</w:t>
      </w:r>
    </w:p>
    <w:p w14:paraId="1EEFD470">
      <w:pPr>
        <w:snapToGrid w:val="0"/>
        <w:spacing w:line="480" w:lineRule="exact"/>
        <w:ind w:firstLine="413" w:firstLineChars="196"/>
        <w:jc w:val="left"/>
        <w:outlineLvl w:val="0"/>
        <w:rPr>
          <w:rFonts w:hint="eastAsia" w:ascii="宋体" w:hAnsi="宋体" w:cs="宋体"/>
          <w:b/>
          <w:szCs w:val="21"/>
        </w:rPr>
      </w:pPr>
      <w:r>
        <w:rPr>
          <w:rFonts w:hint="eastAsia" w:ascii="宋体" w:hAnsi="宋体" w:cs="宋体"/>
          <w:b/>
          <w:szCs w:val="21"/>
        </w:rPr>
        <w:t>（三）投标文件的组成</w:t>
      </w:r>
      <w:bookmarkEnd w:id="13"/>
    </w:p>
    <w:p w14:paraId="024A0391">
      <w:pPr>
        <w:snapToGrid w:val="0"/>
        <w:spacing w:line="360" w:lineRule="auto"/>
        <w:ind w:firstLine="420" w:firstLineChars="200"/>
        <w:jc w:val="left"/>
        <w:rPr>
          <w:rFonts w:hint="eastAsia" w:ascii="宋体" w:hAnsi="宋体" w:cs="宋体"/>
          <w:szCs w:val="21"/>
        </w:rPr>
      </w:pPr>
      <w:bookmarkStart w:id="14" w:name="_Toc3020"/>
      <w:r>
        <w:rPr>
          <w:rFonts w:hint="eastAsia" w:ascii="宋体" w:hAnsi="宋体" w:cs="宋体"/>
          <w:szCs w:val="21"/>
        </w:rPr>
        <w:t>投标文件由资格审查文件、商务技术文件、报价文件组成。</w:t>
      </w:r>
    </w:p>
    <w:p w14:paraId="790E0FCD">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1.资格审查文件：</w:t>
      </w:r>
    </w:p>
    <w:p w14:paraId="1EC6FC53">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（1）资格条件自查表（格式详见第五章 响应文件格式）；</w:t>
      </w:r>
    </w:p>
    <w:p w14:paraId="1701A0F7">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（2）供应商资格声明函；</w:t>
      </w:r>
    </w:p>
    <w:p w14:paraId="3D53DF97">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（3）</w:t>
      </w:r>
      <w:r>
        <w:rPr>
          <w:rFonts w:hint="eastAsia" w:ascii="宋体" w:hAnsi="宋体"/>
          <w:szCs w:val="21"/>
        </w:rPr>
        <w:t>供应商承诺书</w:t>
      </w:r>
      <w:r>
        <w:rPr>
          <w:rFonts w:hint="eastAsia" w:ascii="宋体" w:hAnsi="宋体" w:cs="宋体"/>
          <w:bCs/>
          <w:szCs w:val="21"/>
        </w:rPr>
        <w:t>（格式详见第五章 响应文件格式）；</w:t>
      </w:r>
    </w:p>
    <w:p w14:paraId="2ECFE023">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（4）供应商的特定条件的证明文件（如有，详见“第一章合格供应商的资格要求”）；</w:t>
      </w:r>
    </w:p>
    <w:p w14:paraId="51FA6B03">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（5）招标文件要求的其他资格条件证明材料（如有）；</w:t>
      </w:r>
    </w:p>
    <w:p w14:paraId="3F6948F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（6）提供具有履行合同所必需的设备和专业技术能力的书面声明；</w:t>
      </w:r>
    </w:p>
    <w:p w14:paraId="3ACAC9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（7）提供参加政府采购活动前3年内在经营活动中没有重大违法记录；</w:t>
      </w:r>
    </w:p>
    <w:p w14:paraId="41BC913B">
      <w:pPr>
        <w:snapToGrid w:val="0"/>
        <w:spacing w:line="360" w:lineRule="auto"/>
        <w:ind w:firstLine="420" w:firstLineChars="200"/>
        <w:jc w:val="left"/>
        <w:rPr>
          <w:rFonts w:hint="eastAsia" w:ascii="宋体" w:hAnsi="宋体" w:cs="宋体"/>
        </w:rPr>
      </w:pPr>
      <w:r>
        <w:rPr>
          <w:rFonts w:hint="eastAsia" w:ascii="宋体" w:hAnsi="宋体" w:cs="宋体"/>
          <w:szCs w:val="21"/>
        </w:rPr>
        <w:t>（8）</w:t>
      </w:r>
      <w:r>
        <w:rPr>
          <w:rFonts w:hint="eastAsia" w:ascii="宋体" w:hAnsi="宋体" w:cs="宋体"/>
        </w:rPr>
        <w:t>联合体协议（如有，格式见附件）；</w:t>
      </w:r>
    </w:p>
    <w:p w14:paraId="75F6AA83">
      <w:pPr>
        <w:snapToGrid w:val="0"/>
        <w:spacing w:line="360" w:lineRule="auto"/>
        <w:ind w:firstLine="420" w:firstLineChars="200"/>
        <w:jc w:val="left"/>
        <w:rPr>
          <w:rFonts w:hint="eastAsia" w:ascii="宋体" w:hAnsi="宋体" w:cs="宋体"/>
          <w:szCs w:val="21"/>
        </w:rPr>
      </w:pPr>
      <w:r>
        <w:rPr>
          <w:rFonts w:hint="eastAsia" w:ascii="宋体" w:hAnsi="宋体" w:cs="宋体"/>
        </w:rPr>
        <w:t>（9）</w:t>
      </w:r>
      <w:r>
        <w:rPr>
          <w:rFonts w:hint="eastAsia" w:ascii="宋体" w:hAnsi="宋体" w:cs="宋体"/>
          <w:szCs w:val="21"/>
        </w:rPr>
        <w:t>招标文件要求及供应商认为需要提供的其他资料。</w:t>
      </w:r>
    </w:p>
    <w:p w14:paraId="736971E7">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2.商务技术文件：</w:t>
      </w:r>
    </w:p>
    <w:p w14:paraId="675E86E0">
      <w:pPr>
        <w:numPr>
          <w:ilvl w:val="0"/>
          <w:numId w:val="1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5E02E52A">
      <w:pPr>
        <w:numPr>
          <w:ilvl w:val="0"/>
          <w:numId w:val="1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供应商响应表（</w:t>
      </w:r>
      <w:r>
        <w:rPr>
          <w:rFonts w:hint="eastAsia" w:ascii="宋体" w:cs="宋体"/>
          <w:szCs w:val="21"/>
        </w:rPr>
        <w:t>格式见第五章</w:t>
      </w:r>
      <w:r>
        <w:rPr>
          <w:rFonts w:hint="eastAsia" w:ascii="宋体" w:hAnsi="宋体" w:cs="宋体"/>
          <w:szCs w:val="21"/>
        </w:rPr>
        <w:t>）；</w:t>
      </w:r>
    </w:p>
    <w:p w14:paraId="4958CD52">
      <w:pPr>
        <w:numPr>
          <w:ilvl w:val="0"/>
          <w:numId w:val="1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投标保证金缴纳凭证复印件加盖公章；</w:t>
      </w:r>
    </w:p>
    <w:p w14:paraId="2902B11F">
      <w:pPr>
        <w:numPr>
          <w:ilvl w:val="0"/>
          <w:numId w:val="1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59FF53B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（5）法定代表人的身份证明或法定代表人授权书（供应商的代表若为非法定代表人的，必须提交法定代表人授权书），并提供法定代表人和授权代表的身份证正反两面复印件（格式见附件）；</w:t>
      </w:r>
    </w:p>
    <w:p w14:paraId="4AA3104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（7）商务条款偏离表（格式见</w:t>
      </w:r>
      <w:r>
        <w:rPr>
          <w:rFonts w:hint="eastAsia" w:ascii="宋体" w:cs="宋体"/>
          <w:szCs w:val="21"/>
        </w:rPr>
        <w:t>第五章</w:t>
      </w:r>
      <w:r>
        <w:rPr>
          <w:rFonts w:hint="eastAsia" w:ascii="宋体" w:hAnsi="宋体" w:cs="宋体"/>
          <w:szCs w:val="21"/>
        </w:rPr>
        <w:t>）；</w:t>
      </w:r>
    </w:p>
    <w:p w14:paraId="51464A4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（8）技术条款偏离表（格式见</w:t>
      </w:r>
      <w:r>
        <w:rPr>
          <w:rFonts w:hint="eastAsia" w:ascii="宋体" w:cs="宋体"/>
          <w:szCs w:val="21"/>
        </w:rPr>
        <w:t>第五章</w:t>
      </w:r>
      <w:r>
        <w:rPr>
          <w:rFonts w:hint="eastAsia" w:ascii="宋体" w:hAnsi="宋体" w:cs="宋体"/>
          <w:szCs w:val="21"/>
        </w:rPr>
        <w:t>）；</w:t>
      </w:r>
    </w:p>
    <w:p w14:paraId="746AD23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（9）评分标准、招标文件资格要求及供应商认为需要提供的其它投标文件资料（如有）。</w:t>
      </w:r>
    </w:p>
    <w:p w14:paraId="12EA029E">
      <w:pPr>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3.报价部分：</w:t>
      </w:r>
    </w:p>
    <w:p w14:paraId="5D2241B8">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6B9AAE4E">
      <w:pPr>
        <w:snapToGrid w:val="0"/>
        <w:spacing w:line="480" w:lineRule="exact"/>
        <w:ind w:firstLine="420" w:firstLineChars="200"/>
        <w:jc w:val="left"/>
      </w:pPr>
      <w:r>
        <w:rPr>
          <w:rFonts w:hint="eastAsia" w:ascii="宋体" w:hAnsi="宋体" w:cs="宋体"/>
          <w:szCs w:val="21"/>
        </w:rPr>
        <w:t>（2）投标分项报价表（格式见第五章）；</w:t>
      </w:r>
    </w:p>
    <w:p w14:paraId="076E5C4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（3）供应商针对报价需要说明的其他文件和说明（格式自拟）。</w:t>
      </w:r>
    </w:p>
    <w:p w14:paraId="7A1B8C1F">
      <w:pPr>
        <w:snapToGrid w:val="0"/>
        <w:spacing w:line="480" w:lineRule="exact"/>
        <w:ind w:firstLine="411" w:firstLineChars="196"/>
        <w:jc w:val="left"/>
        <w:outlineLvl w:val="0"/>
        <w:rPr>
          <w:rFonts w:hint="eastAsia" w:ascii="宋体" w:hAnsi="宋体" w:cs="宋体"/>
          <w:szCs w:val="21"/>
        </w:rPr>
      </w:pPr>
      <w:r>
        <w:rPr>
          <w:rFonts w:hint="eastAsia" w:ascii="宋体" w:hAnsi="宋体" w:cs="宋体"/>
          <w:szCs w:val="21"/>
        </w:rPr>
        <w:t>▲</w:t>
      </w:r>
      <w:r>
        <w:rPr>
          <w:rFonts w:hint="eastAsia" w:ascii="宋体" w:hAnsi="宋体" w:cs="宋体"/>
          <w:b/>
          <w:szCs w:val="21"/>
        </w:rPr>
        <w:t>注：法定代表人授权书必须由法定代表人签章并加盖单位公章；投标声明书、投标函、开标一览表必须由法定代表人或授权代表签名并加盖单位公章；其中商务技术文件内容中不得出现与价格有关的描述，否则将做无效标处理。</w:t>
      </w:r>
    </w:p>
    <w:bookmarkEnd w:id="14"/>
    <w:p w14:paraId="46064479">
      <w:pPr>
        <w:snapToGrid w:val="0"/>
        <w:spacing w:line="480" w:lineRule="exact"/>
        <w:ind w:firstLine="413" w:firstLineChars="196"/>
        <w:jc w:val="left"/>
        <w:outlineLvl w:val="0"/>
        <w:rPr>
          <w:rFonts w:hint="eastAsia" w:ascii="宋体" w:hAnsi="宋体" w:cs="宋体"/>
          <w:b/>
          <w:szCs w:val="21"/>
        </w:rPr>
      </w:pPr>
      <w:r>
        <w:rPr>
          <w:rFonts w:hint="eastAsia" w:ascii="宋体" w:hAnsi="宋体" w:cs="宋体"/>
          <w:b/>
          <w:szCs w:val="21"/>
        </w:rPr>
        <w:t>（四）投标文件的语言及计量</w:t>
      </w:r>
    </w:p>
    <w:p w14:paraId="068514F7">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72BDB05B">
      <w:pPr>
        <w:snapToGrid w:val="0"/>
        <w:spacing w:line="480" w:lineRule="exact"/>
        <w:ind w:firstLine="420" w:firstLineChars="200"/>
        <w:jc w:val="left"/>
        <w:rPr>
          <w:rFonts w:hint="eastAsia" w:ascii="宋体" w:hAnsi="宋体" w:cs="宋体"/>
          <w:b/>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15" w:name="_Toc702"/>
    </w:p>
    <w:bookmarkEnd w:id="15"/>
    <w:p w14:paraId="0A09A83B">
      <w:pPr>
        <w:tabs>
          <w:tab w:val="left" w:pos="525"/>
        </w:tabs>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（五）投标报价</w:t>
      </w:r>
    </w:p>
    <w:p w14:paraId="04141DB1">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1、投标报价应按采购文件中相关附表格式填写；</w:t>
      </w:r>
    </w:p>
    <w:p w14:paraId="3CE8F679">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★2、投标报价是履行合同的最终价格，具体详见第三章 供应商须知《前附表》；</w:t>
      </w:r>
    </w:p>
    <w:p w14:paraId="6BC1E5FE">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14:paraId="08290653">
      <w:pPr>
        <w:tabs>
          <w:tab w:val="left" w:pos="525"/>
        </w:tabs>
        <w:snapToGrid w:val="0"/>
        <w:spacing w:line="480" w:lineRule="exact"/>
        <w:ind w:firstLine="422" w:firstLineChars="200"/>
        <w:jc w:val="left"/>
        <w:rPr>
          <w:rFonts w:hint="eastAsia" w:ascii="宋体" w:hAnsi="宋体" w:cs="宋体"/>
          <w:b/>
          <w:szCs w:val="21"/>
        </w:rPr>
      </w:pPr>
      <w:r>
        <w:rPr>
          <w:rFonts w:hint="eastAsia" w:ascii="宋体" w:hAnsi="宋体" w:cs="宋体"/>
          <w:b/>
          <w:bCs/>
          <w:szCs w:val="21"/>
        </w:rPr>
        <w:t>（六）</w:t>
      </w:r>
      <w:r>
        <w:rPr>
          <w:rFonts w:hint="eastAsia" w:ascii="宋体" w:hAnsi="宋体" w:cs="宋体"/>
          <w:b/>
          <w:szCs w:val="21"/>
        </w:rPr>
        <w:t>投标文件的有效期</w:t>
      </w:r>
    </w:p>
    <w:p w14:paraId="55F1B49B">
      <w:pPr>
        <w:tabs>
          <w:tab w:val="left" w:pos="525"/>
        </w:tabs>
        <w:snapToGrid w:val="0"/>
        <w:spacing w:line="480" w:lineRule="exact"/>
        <w:ind w:firstLine="420" w:firstLineChars="200"/>
        <w:jc w:val="lef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1251109F">
      <w:pPr>
        <w:tabs>
          <w:tab w:val="left" w:pos="525"/>
        </w:tabs>
        <w:snapToGrid w:val="0"/>
        <w:spacing w:line="480" w:lineRule="exact"/>
        <w:ind w:firstLine="420" w:firstLineChars="200"/>
        <w:jc w:val="left"/>
        <w:rPr>
          <w:rFonts w:hint="eastAsia" w:ascii="宋体" w:hAnsi="宋体" w:cs="宋体"/>
          <w:szCs w:val="21"/>
        </w:rPr>
      </w:pPr>
      <w:r>
        <w:rPr>
          <w:rFonts w:hint="eastAsia" w:ascii="宋体" w:hAnsi="宋体" w:cs="宋体"/>
          <w:szCs w:val="21"/>
        </w:rPr>
        <w:t>2、在特殊情况下，招标人可与供应商协商延长投标书的有效期，这种要求和答复均以书面形式进行；</w:t>
      </w:r>
    </w:p>
    <w:p w14:paraId="5B607C4F">
      <w:pPr>
        <w:snapToGrid w:val="0"/>
        <w:spacing w:line="480" w:lineRule="exact"/>
        <w:ind w:firstLine="420" w:firstLineChars="200"/>
        <w:jc w:val="left"/>
        <w:outlineLvl w:val="0"/>
        <w:rPr>
          <w:rFonts w:hint="eastAsia" w:ascii="宋体" w:hAnsi="宋体" w:cs="宋体"/>
          <w:b/>
          <w:szCs w:val="21"/>
        </w:rPr>
      </w:pPr>
      <w:bookmarkStart w:id="16" w:name="_Toc26675"/>
      <w:r>
        <w:rPr>
          <w:rFonts w:hint="eastAsia" w:ascii="宋体" w:hAnsi="宋体" w:cs="宋体"/>
          <w:szCs w:val="21"/>
        </w:rPr>
        <w:t>3、供应商可拒绝接受延期要求而不会导致投标保证金被没收。同意延长有效期的供应商需要相应延长投标保证金的有效期，但不能修改投标文件</w:t>
      </w:r>
      <w:bookmarkEnd w:id="16"/>
      <w:r>
        <w:rPr>
          <w:rFonts w:hint="eastAsia" w:ascii="宋体" w:hAnsi="宋体" w:cs="宋体"/>
          <w:szCs w:val="21"/>
        </w:rPr>
        <w:t>；</w:t>
      </w:r>
    </w:p>
    <w:p w14:paraId="406C75B0">
      <w:pPr>
        <w:snapToGrid w:val="0"/>
        <w:spacing w:line="480" w:lineRule="exact"/>
        <w:ind w:firstLine="420" w:firstLineChars="200"/>
        <w:jc w:val="left"/>
        <w:outlineLvl w:val="0"/>
        <w:rPr>
          <w:rFonts w:hint="eastAsia" w:ascii="宋体" w:hAnsi="宋体" w:cs="宋体"/>
          <w:b/>
          <w:szCs w:val="21"/>
        </w:rPr>
      </w:pPr>
      <w:bookmarkStart w:id="17" w:name="_Toc29670"/>
      <w:r>
        <w:rPr>
          <w:rFonts w:hint="eastAsia" w:ascii="宋体" w:hAnsi="宋体" w:cs="宋体"/>
          <w:szCs w:val="21"/>
        </w:rPr>
        <w:t>4、中标人的投标文件自开标之日起至合同履行完毕止均应保持有效。</w:t>
      </w:r>
      <w:bookmarkEnd w:id="17"/>
    </w:p>
    <w:p w14:paraId="5D81A8D6">
      <w:pPr>
        <w:snapToGrid w:val="0"/>
        <w:spacing w:line="480" w:lineRule="exact"/>
        <w:ind w:firstLine="413" w:firstLineChars="196"/>
        <w:jc w:val="left"/>
        <w:outlineLvl w:val="0"/>
        <w:rPr>
          <w:rFonts w:hint="eastAsia" w:ascii="宋体" w:hAnsi="宋体" w:cs="宋体"/>
          <w:b/>
          <w:szCs w:val="21"/>
        </w:rPr>
      </w:pPr>
      <w:bookmarkStart w:id="18" w:name="_Toc3014"/>
      <w:r>
        <w:rPr>
          <w:rFonts w:hint="eastAsia" w:ascii="宋体" w:hAnsi="宋体" w:cs="宋体"/>
          <w:b/>
          <w:szCs w:val="21"/>
        </w:rPr>
        <w:t>（七）投标保证金</w:t>
      </w:r>
      <w:bookmarkEnd w:id="18"/>
    </w:p>
    <w:p w14:paraId="04548FF1">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▲1、供应商须按规定提交投标保证金。否则，其投标将被拒绝；</w:t>
      </w:r>
    </w:p>
    <w:p w14:paraId="10D303E8">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2、保证金形式：转账支票（必须实时清算）、银行汇票或电汇；</w:t>
      </w:r>
    </w:p>
    <w:p w14:paraId="71201614">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3、供应商在投标截止时间前撤回已提交的投标文件的，采购人或者采购代理机构应当自收到供应商书面撤回通知之日起5个工作日内，退还已收取的投标保证金，但因供应商自身原因导致无法及时退还的除外；</w:t>
      </w:r>
    </w:p>
    <w:p w14:paraId="07D3C53C">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04046A6E">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5、</w:t>
      </w:r>
      <w:r>
        <w:rPr>
          <w:rFonts w:hint="eastAsia"/>
        </w:rPr>
        <w:t>除采购文件规定不予退还保证金的情形外，未中标的供应商，凭保证金收据和开户银行账号办理退款手续，在中标通知书发出后五个工作日内退还；中标供应商支付中标服务费后，凭合同、保证金收据和开户银行账号办理退款手续，自采购合同签订之日起5个工作日内退还。投标保证金以网银形式退还公司账户（不计息）。</w:t>
      </w:r>
    </w:p>
    <w:p w14:paraId="5DD4CE5F">
      <w:pPr>
        <w:snapToGrid w:val="0"/>
        <w:spacing w:line="480" w:lineRule="exact"/>
        <w:ind w:firstLine="413" w:firstLineChars="196"/>
        <w:jc w:val="left"/>
        <w:rPr>
          <w:rFonts w:hint="eastAsia" w:ascii="宋体" w:hAnsi="宋体" w:cs="宋体"/>
          <w:b/>
          <w:bCs/>
          <w:szCs w:val="21"/>
        </w:rPr>
      </w:pPr>
      <w:r>
        <w:rPr>
          <w:rFonts w:hint="eastAsia" w:ascii="宋体" w:hAnsi="宋体" w:cs="宋体"/>
          <w:b/>
          <w:bCs/>
          <w:szCs w:val="21"/>
        </w:rPr>
        <w:t>6、供应商有下列情形之一的，投标保证金将不予退还：</w:t>
      </w:r>
    </w:p>
    <w:p w14:paraId="1E376D8B">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（1）</w:t>
      </w:r>
      <w:r>
        <w:rPr>
          <w:rFonts w:hint="eastAsia" w:ascii="宋体" w:hAnsi="宋体" w:cs="宋体"/>
          <w:szCs w:val="21"/>
        </w:rPr>
        <w:t>供应商在投标有效期内撤回投标文件的；</w:t>
      </w:r>
    </w:p>
    <w:p w14:paraId="0AEA250A">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（2）</w:t>
      </w:r>
      <w:r>
        <w:rPr>
          <w:rFonts w:hint="eastAsia" w:ascii="宋体" w:hAnsi="宋体" w:cs="宋体"/>
          <w:szCs w:val="21"/>
        </w:rPr>
        <w:t>供应商在投标过程中弄虚作假，提供虚假材料的；</w:t>
      </w:r>
    </w:p>
    <w:p w14:paraId="18EB3130">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7B671893">
      <w:pPr>
        <w:snapToGrid w:val="0"/>
        <w:spacing w:line="480" w:lineRule="exact"/>
        <w:ind w:firstLine="413" w:firstLineChars="196"/>
        <w:rPr>
          <w:rFonts w:hint="eastAsia"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63024EB9">
      <w:pPr>
        <w:snapToGrid w:val="0"/>
        <w:spacing w:line="480" w:lineRule="exact"/>
        <w:ind w:firstLine="413" w:firstLineChars="196"/>
        <w:rPr>
          <w:rFonts w:hint="eastAsia"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61B2E127">
      <w:pPr>
        <w:snapToGrid w:val="0"/>
        <w:spacing w:line="480" w:lineRule="exact"/>
        <w:ind w:firstLine="413" w:firstLineChars="196"/>
        <w:rPr>
          <w:rFonts w:hint="eastAsia"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65457B6D">
      <w:pPr>
        <w:snapToGrid w:val="0"/>
        <w:spacing w:line="480" w:lineRule="exact"/>
        <w:ind w:firstLine="413" w:firstLineChars="196"/>
        <w:jc w:val="left"/>
        <w:outlineLvl w:val="0"/>
        <w:rPr>
          <w:rFonts w:hint="eastAsia" w:ascii="宋体" w:hAnsi="宋体" w:cs="宋体"/>
          <w:b/>
          <w:szCs w:val="21"/>
        </w:rPr>
      </w:pPr>
      <w:bookmarkStart w:id="19" w:name="_Toc1449"/>
      <w:r>
        <w:rPr>
          <w:rFonts w:hint="eastAsia" w:ascii="宋体" w:hAnsi="宋体" w:cs="宋体"/>
          <w:b/>
          <w:szCs w:val="21"/>
        </w:rPr>
        <w:t>（八）投标文件的签署和份数</w:t>
      </w:r>
      <w:bookmarkEnd w:id="19"/>
    </w:p>
    <w:p w14:paraId="49BDC6E4">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1、供应商应按本采购文件规定的格式和顺序编制投标文件，投标文件要求有目录并标注页码，投标文件内容不完整、编排混乱导致投标文件被误读、漏读或者查找不到相关内容的，是供应商的责任；</w:t>
      </w:r>
    </w:p>
    <w:p w14:paraId="248DD804">
      <w:pPr>
        <w:snapToGrid w:val="0"/>
        <w:spacing w:line="360" w:lineRule="auto"/>
        <w:ind w:firstLine="411" w:firstLineChars="196"/>
        <w:rPr>
          <w:rFonts w:hint="eastAsia" w:ascii="宋体" w:hAnsi="宋体" w:cs="宋体"/>
          <w:bCs/>
          <w:szCs w:val="21"/>
        </w:rPr>
      </w:pPr>
      <w:r>
        <w:rPr>
          <w:rFonts w:hint="eastAsia" w:ascii="宋体" w:hAnsi="宋体" w:cs="宋体"/>
          <w:bCs/>
          <w:szCs w:val="21"/>
        </w:rPr>
        <w:t>2、本项目实行网上投标，供应商应准备以下投标文件：</w:t>
      </w:r>
    </w:p>
    <w:p w14:paraId="1DC23635">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（1）供应商于“乐采云”上提供电子响应文件；</w:t>
      </w:r>
    </w:p>
    <w:p w14:paraId="7DA97E5F">
      <w:pPr>
        <w:snapToGrid w:val="0"/>
        <w:spacing w:line="360" w:lineRule="auto"/>
        <w:ind w:firstLine="411" w:firstLineChars="196"/>
        <w:rPr>
          <w:rFonts w:hint="eastAsia" w:ascii="宋体" w:hAnsi="宋体" w:cs="宋体"/>
          <w:bCs/>
          <w:szCs w:val="21"/>
        </w:rPr>
      </w:pPr>
      <w:r>
        <w:rPr>
          <w:rFonts w:hint="eastAsia" w:ascii="宋体" w:hAnsi="宋体" w:cs="宋体"/>
          <w:bCs/>
          <w:szCs w:val="21"/>
        </w:rPr>
        <w:t>3、投标文件须由供应商在规定位置盖章并由法定代表人或法定代表人的授权委托人签署，供应商应写全称；</w:t>
      </w:r>
    </w:p>
    <w:p w14:paraId="367D3EBE">
      <w:pPr>
        <w:snapToGrid w:val="0"/>
        <w:spacing w:line="360" w:lineRule="auto"/>
        <w:ind w:firstLine="411" w:firstLineChars="196"/>
        <w:rPr>
          <w:rFonts w:hint="eastAsia" w:ascii="宋体" w:hAnsi="宋体" w:cs="宋体"/>
          <w:color w:val="000000"/>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4、投标文件不得涂改，若有修改错漏处，须加盖单位公章或者法定代表人或授权委托人签字或盖章。投标文件因字迹潦草或表达不清所引起的后果由供应商负责。</w:t>
      </w:r>
    </w:p>
    <w:p w14:paraId="395ED1BD">
      <w:pPr>
        <w:pStyle w:val="14"/>
        <w:snapToGrid w:val="0"/>
        <w:spacing w:line="360" w:lineRule="auto"/>
        <w:ind w:firstLine="398" w:firstLineChars="196"/>
        <w:outlineLvl w:val="1"/>
        <w:rPr>
          <w:rFonts w:hint="eastAsia" w:hAnsi="宋体" w:cs="宋体"/>
          <w:b/>
          <w:snapToGrid w:val="0"/>
          <w:sz w:val="21"/>
          <w:szCs w:val="21"/>
        </w:rPr>
      </w:pPr>
      <w:bookmarkStart w:id="20" w:name="_Toc12832"/>
      <w:r>
        <w:rPr>
          <w:rFonts w:hint="eastAsia" w:hAnsi="宋体" w:cs="宋体"/>
          <w:b/>
          <w:sz w:val="21"/>
          <w:szCs w:val="21"/>
        </w:rPr>
        <w:t>四、开标</w:t>
      </w:r>
      <w:bookmarkEnd w:id="20"/>
    </w:p>
    <w:p w14:paraId="4625C2BE">
      <w:pPr>
        <w:pStyle w:val="16"/>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（一）开标准备</w:t>
      </w:r>
    </w:p>
    <w:p w14:paraId="62D764B6">
      <w:pPr>
        <w:pStyle w:val="16"/>
        <w:snapToGrid w:val="0"/>
        <w:spacing w:before="120" w:after="120" w:line="360" w:lineRule="auto"/>
        <w:ind w:firstLine="420" w:firstLineChars="200"/>
        <w:rPr>
          <w:rFonts w:hint="eastAsia" w:hAnsi="宋体" w:cs="宋体"/>
          <w:bCs/>
          <w:sz w:val="21"/>
          <w:szCs w:val="21"/>
        </w:rPr>
      </w:pPr>
      <w:r>
        <w:rPr>
          <w:rFonts w:hint="eastAsia" w:hAnsi="宋体" w:cs="宋体"/>
          <w:bCs/>
          <w:sz w:val="21"/>
          <w:szCs w:val="21"/>
        </w:rPr>
        <w:t>采购代理机构将在规定的时间和地点进行开标，供应商的法定代表人或其授权代表应参加开标会并签到。供应商的法定代表人或其授权代表未按时签到的，视同放弃开标监督权利、认可开标结果。</w:t>
      </w:r>
    </w:p>
    <w:p w14:paraId="6B75E5D0">
      <w:pPr>
        <w:pStyle w:val="16"/>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（二） 开标程序</w:t>
      </w:r>
    </w:p>
    <w:p w14:paraId="6D8C18AC">
      <w:pPr>
        <w:spacing w:line="400" w:lineRule="exact"/>
        <w:ind w:firstLine="420" w:firstLineChars="200"/>
        <w:jc w:val="left"/>
        <w:rPr>
          <w:rFonts w:hint="eastAsia" w:ascii="宋体" w:hAnsi="宋体" w:cs="宋体"/>
          <w:bCs/>
          <w:szCs w:val="21"/>
        </w:rPr>
      </w:pPr>
      <w:bookmarkStart w:id="21" w:name="_Toc22883"/>
      <w:r>
        <w:rPr>
          <w:rFonts w:hint="eastAsia" w:ascii="宋体" w:hAnsi="宋体" w:cs="宋体"/>
          <w:bCs/>
          <w:szCs w:val="21"/>
        </w:rPr>
        <w:t>1、电子招投标开标程序：</w:t>
      </w:r>
    </w:p>
    <w:p w14:paraId="18E6567B">
      <w:pPr>
        <w:spacing w:line="400" w:lineRule="exact"/>
        <w:ind w:firstLine="420" w:firstLineChars="200"/>
        <w:jc w:val="left"/>
        <w:rPr>
          <w:rFonts w:hint="eastAsia" w:ascii="宋体" w:hAnsi="宋体" w:cs="宋体"/>
          <w:szCs w:val="21"/>
        </w:rPr>
      </w:pPr>
      <w:r>
        <w:rPr>
          <w:rFonts w:hint="eastAsia" w:ascii="宋体" w:hAnsi="宋体" w:cs="宋体"/>
          <w:szCs w:val="21"/>
        </w:rPr>
        <w:t>第一阶段：</w:t>
      </w:r>
    </w:p>
    <w:p w14:paraId="1786B35E">
      <w:pPr>
        <w:numPr>
          <w:ilvl w:val="0"/>
          <w:numId w:val="16"/>
        </w:numPr>
        <w:spacing w:line="400" w:lineRule="exact"/>
        <w:ind w:firstLine="420" w:firstLineChars="200"/>
        <w:jc w:val="left"/>
        <w:rPr>
          <w:rFonts w:hint="eastAsia" w:ascii="宋体" w:hAnsi="宋体" w:cs="宋体"/>
          <w:szCs w:val="21"/>
        </w:rPr>
      </w:pPr>
      <w:r>
        <w:rPr>
          <w:rFonts w:hint="eastAsia" w:ascii="宋体" w:hAnsi="宋体" w:cs="宋体"/>
          <w:szCs w:val="21"/>
        </w:rPr>
        <w:t>投标截止时间后，供应商登录乐采云平台，用“项目采购-开标评标”功能对电子投标文件进行在线解密，在线解密电子投标文件时间为开标时间后30分钟内。</w:t>
      </w:r>
    </w:p>
    <w:p w14:paraId="6DFA9853">
      <w:pPr>
        <w:numPr>
          <w:ilvl w:val="0"/>
          <w:numId w:val="16"/>
        </w:numPr>
        <w:spacing w:line="400" w:lineRule="exact"/>
        <w:ind w:firstLine="420" w:firstLineChars="200"/>
        <w:jc w:val="left"/>
        <w:rPr>
          <w:rFonts w:hint="eastAsia" w:ascii="宋体" w:hAnsi="宋体" w:cs="宋体"/>
          <w:szCs w:val="21"/>
        </w:rPr>
      </w:pPr>
      <w:r>
        <w:rPr>
          <w:rFonts w:hint="eastAsia" w:ascii="宋体" w:hAnsi="宋体" w:cs="宋体"/>
          <w:szCs w:val="21"/>
        </w:rPr>
        <w:t>在乐采云平台开启已解密供应商的“资格文件、商务技术文件”，并做开标记录；</w:t>
      </w:r>
    </w:p>
    <w:p w14:paraId="432EE655">
      <w:pPr>
        <w:spacing w:line="400" w:lineRule="exact"/>
        <w:ind w:firstLine="420" w:firstLineChars="200"/>
        <w:jc w:val="left"/>
        <w:rPr>
          <w:rFonts w:hint="eastAsia" w:ascii="宋体" w:hAnsi="宋体" w:cs="宋体"/>
          <w:szCs w:val="21"/>
        </w:rPr>
      </w:pPr>
      <w:r>
        <w:rPr>
          <w:rFonts w:hint="eastAsia" w:ascii="宋体" w:hAnsi="宋体" w:cs="宋体"/>
          <w:szCs w:val="21"/>
        </w:rPr>
        <w:t>第二阶段：</w:t>
      </w:r>
    </w:p>
    <w:p w14:paraId="75864A3C">
      <w:pPr>
        <w:spacing w:line="400" w:lineRule="exact"/>
        <w:ind w:firstLine="420" w:firstLineChars="200"/>
        <w:jc w:val="left"/>
        <w:rPr>
          <w:rFonts w:hint="eastAsia" w:ascii="宋体" w:hAnsi="宋体" w:cs="宋体"/>
          <w:szCs w:val="21"/>
        </w:rPr>
      </w:pPr>
      <w:r>
        <w:rPr>
          <w:rFonts w:hint="eastAsia" w:ascii="宋体" w:hAnsi="宋体" w:cs="宋体"/>
          <w:szCs w:val="21"/>
        </w:rPr>
        <w:t>（1）在</w:t>
      </w:r>
      <w:r>
        <w:rPr>
          <w:rFonts w:hint="eastAsia" w:ascii="宋体" w:hAnsi="宋体" w:cs="宋体"/>
          <w:kern w:val="0"/>
          <w:szCs w:val="21"/>
        </w:rPr>
        <w:t>乐采云平台</w:t>
      </w:r>
      <w:r>
        <w:rPr>
          <w:rFonts w:hint="eastAsia" w:ascii="宋体" w:hAnsi="宋体" w:cs="宋体"/>
          <w:szCs w:val="21"/>
        </w:rPr>
        <w:t>宣告第一阶段评审无效供应商名单及理由；</w:t>
      </w:r>
    </w:p>
    <w:p w14:paraId="37D6D03C">
      <w:pPr>
        <w:spacing w:line="400" w:lineRule="exact"/>
        <w:ind w:firstLine="420" w:firstLineChars="200"/>
        <w:jc w:val="left"/>
        <w:rPr>
          <w:rFonts w:hint="eastAsia" w:ascii="宋体" w:hAnsi="宋体" w:cs="宋体"/>
          <w:szCs w:val="21"/>
        </w:rPr>
      </w:pPr>
      <w:r>
        <w:rPr>
          <w:rFonts w:hint="eastAsia" w:ascii="宋体" w:hAnsi="宋体" w:cs="宋体"/>
          <w:szCs w:val="21"/>
        </w:rPr>
        <w:t>（2）公布经第一阶段评审符合采购文件要求的供应商的商务技术得分情况；</w:t>
      </w:r>
    </w:p>
    <w:p w14:paraId="06ED2F84">
      <w:pPr>
        <w:spacing w:line="400" w:lineRule="exact"/>
        <w:ind w:firstLine="420" w:firstLineChars="200"/>
        <w:jc w:val="left"/>
        <w:rPr>
          <w:rFonts w:hint="eastAsia" w:ascii="宋体" w:hAnsi="宋体" w:cs="宋体"/>
          <w:szCs w:val="21"/>
        </w:rPr>
      </w:pPr>
      <w:r>
        <w:rPr>
          <w:rFonts w:hint="eastAsia" w:ascii="宋体" w:hAnsi="宋体" w:cs="宋体"/>
          <w:szCs w:val="21"/>
        </w:rPr>
        <w:t>（3）在</w:t>
      </w:r>
      <w:r>
        <w:rPr>
          <w:rFonts w:hint="eastAsia" w:ascii="宋体" w:hAnsi="宋体" w:cs="宋体"/>
          <w:kern w:val="0"/>
          <w:szCs w:val="21"/>
        </w:rPr>
        <w:t>乐采云平台</w:t>
      </w:r>
      <w:r>
        <w:rPr>
          <w:rFonts w:hint="eastAsia" w:ascii="宋体" w:hAnsi="宋体" w:cs="宋体"/>
          <w:szCs w:val="21"/>
        </w:rPr>
        <w:t>开启除第一阶段无效标外的供应商的“报价文件”，并做开标记录；</w:t>
      </w:r>
    </w:p>
    <w:p w14:paraId="7F19F8BC">
      <w:pPr>
        <w:spacing w:line="400" w:lineRule="exact"/>
        <w:ind w:firstLine="420" w:firstLineChars="200"/>
        <w:jc w:val="left"/>
        <w:rPr>
          <w:rFonts w:hint="eastAsia" w:ascii="宋体" w:hAnsi="宋体" w:cs="宋体"/>
          <w:szCs w:val="21"/>
        </w:rPr>
      </w:pPr>
      <w:r>
        <w:rPr>
          <w:rFonts w:hint="eastAsia" w:ascii="宋体" w:hAnsi="宋体" w:cs="宋体"/>
          <w:szCs w:val="21"/>
        </w:rPr>
        <w:t>（4）在</w:t>
      </w:r>
      <w:r>
        <w:rPr>
          <w:rFonts w:hint="eastAsia" w:ascii="宋体" w:hAnsi="宋体" w:cs="宋体"/>
          <w:kern w:val="0"/>
          <w:szCs w:val="21"/>
        </w:rPr>
        <w:t>乐采云平台</w:t>
      </w:r>
      <w:r>
        <w:rPr>
          <w:rFonts w:hint="eastAsia" w:ascii="宋体" w:hAnsi="宋体" w:cs="宋体"/>
          <w:szCs w:val="21"/>
        </w:rPr>
        <w:t>公布评审结果。</w:t>
      </w:r>
    </w:p>
    <w:p w14:paraId="70B1D1C3">
      <w:pPr>
        <w:spacing w:line="400" w:lineRule="exact"/>
        <w:ind w:firstLine="420" w:firstLineChars="200"/>
        <w:jc w:val="left"/>
        <w:rPr>
          <w:rFonts w:hint="eastAsia" w:ascii="宋体" w:hAnsi="宋体" w:cs="宋体"/>
          <w:szCs w:val="21"/>
        </w:rPr>
      </w:pPr>
      <w:r>
        <w:rPr>
          <w:rFonts w:hint="eastAsia" w:ascii="宋体" w:hAnsi="宋体" w:cs="宋体"/>
          <w:szCs w:val="21"/>
        </w:rPr>
        <w:t>（5）开标会议结束。</w:t>
      </w:r>
    </w:p>
    <w:p w14:paraId="5D7D92F7">
      <w:pPr>
        <w:spacing w:line="400" w:lineRule="exact"/>
        <w:ind w:firstLine="420" w:firstLineChars="200"/>
        <w:jc w:val="left"/>
        <w:rPr>
          <w:rFonts w:hint="eastAsia" w:ascii="宋体" w:hAnsi="宋体" w:cs="宋体"/>
          <w:szCs w:val="21"/>
        </w:rPr>
      </w:pPr>
      <w:r>
        <w:rPr>
          <w:rFonts w:hint="eastAsia" w:ascii="宋体" w:hAnsi="宋体" w:cs="宋体"/>
          <w:szCs w:val="21"/>
        </w:rPr>
        <w:t>2、特别说明：</w:t>
      </w:r>
      <w:r>
        <w:rPr>
          <w:rFonts w:hint="eastAsia" w:ascii="宋体" w:hAnsi="宋体" w:cs="宋体"/>
          <w:kern w:val="0"/>
          <w:szCs w:val="21"/>
        </w:rPr>
        <w:t>乐采云平台</w:t>
      </w:r>
      <w:r>
        <w:rPr>
          <w:rFonts w:hint="eastAsia" w:ascii="宋体" w:hAnsi="宋体" w:cs="宋体"/>
          <w:szCs w:val="21"/>
        </w:rPr>
        <w:t>如对电子化开标及评审程序有调整的，按调整后的程序操作。</w:t>
      </w:r>
    </w:p>
    <w:p w14:paraId="6E2F50D3">
      <w:pPr>
        <w:spacing w:line="400" w:lineRule="exact"/>
        <w:ind w:firstLine="420" w:firstLineChars="200"/>
        <w:jc w:val="left"/>
        <w:rPr>
          <w:rFonts w:hint="eastAsia" w:ascii="宋体" w:hAnsi="宋体" w:cs="宋体"/>
          <w:szCs w:val="21"/>
        </w:rPr>
      </w:pPr>
      <w:r>
        <w:rPr>
          <w:rFonts w:hint="eastAsia" w:ascii="宋体" w:hAnsi="宋体" w:cs="宋体"/>
          <w:szCs w:val="21"/>
        </w:rPr>
        <w:t>本项目原则上采用乐采云</w:t>
      </w:r>
      <w:r>
        <w:rPr>
          <w:rFonts w:hint="eastAsia" w:ascii="宋体" w:hAnsi="宋体" w:cs="宋体"/>
          <w:bCs/>
          <w:szCs w:val="21"/>
        </w:rPr>
        <w:t>电子招投标开标程序</w:t>
      </w:r>
      <w:r>
        <w:rPr>
          <w:rFonts w:hint="eastAsia" w:ascii="宋体" w:hAnsi="宋体" w:cs="宋体"/>
          <w:szCs w:val="21"/>
        </w:rPr>
        <w:t>，但有下情形之一的，按以下情况处理：</w:t>
      </w:r>
    </w:p>
    <w:p w14:paraId="564BC064">
      <w:pPr>
        <w:spacing w:line="400" w:lineRule="exact"/>
        <w:ind w:firstLine="420" w:firstLineChars="200"/>
        <w:jc w:val="left"/>
        <w:rPr>
          <w:rFonts w:hint="eastAsia" w:ascii="宋体" w:hAnsi="宋体" w:cs="宋体"/>
          <w:szCs w:val="21"/>
        </w:rPr>
      </w:pPr>
      <w:r>
        <w:rPr>
          <w:rFonts w:hint="eastAsia" w:ascii="宋体" w:hAnsi="宋体" w:cs="宋体"/>
          <w:szCs w:val="21"/>
        </w:rPr>
        <w:t>（1）采购过程中出现以下情形，导致电子交易平台无法正常运行，或者无法保证电子交易的公平、公正和安全时，采购人（或代理机构）可中止电子交易活动：</w:t>
      </w:r>
    </w:p>
    <w:p w14:paraId="1ED3DEF5">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1.1电子交易平台发生故障而无法登录访问的； </w:t>
      </w:r>
    </w:p>
    <w:p w14:paraId="63983B11">
      <w:pPr>
        <w:spacing w:line="400" w:lineRule="exact"/>
        <w:ind w:firstLine="420" w:firstLineChars="200"/>
        <w:jc w:val="left"/>
        <w:rPr>
          <w:rFonts w:hint="eastAsia" w:ascii="宋体" w:hAnsi="宋体" w:cs="宋体"/>
          <w:szCs w:val="21"/>
        </w:rPr>
      </w:pPr>
      <w:r>
        <w:rPr>
          <w:rFonts w:hint="eastAsia" w:ascii="宋体" w:hAnsi="宋体" w:cs="宋体"/>
          <w:szCs w:val="21"/>
        </w:rPr>
        <w:t>1.2电子交易平台应用或数据库出现错误，不能进行正常操作的；</w:t>
      </w:r>
    </w:p>
    <w:p w14:paraId="5F314F58">
      <w:pPr>
        <w:spacing w:line="400" w:lineRule="exact"/>
        <w:ind w:firstLine="420" w:firstLineChars="200"/>
        <w:jc w:val="left"/>
        <w:rPr>
          <w:rFonts w:hint="eastAsia" w:ascii="宋体" w:hAnsi="宋体" w:cs="宋体"/>
          <w:szCs w:val="21"/>
        </w:rPr>
      </w:pPr>
      <w:r>
        <w:rPr>
          <w:rFonts w:hint="eastAsia" w:ascii="宋体" w:hAnsi="宋体" w:cs="宋体"/>
          <w:szCs w:val="21"/>
        </w:rPr>
        <w:t>1.3电子交易平台发现严重安全漏洞，有潜在泄密危险的；</w:t>
      </w:r>
    </w:p>
    <w:p w14:paraId="19DE0F54">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1.4病毒发作导致不能进行正常操作的； </w:t>
      </w:r>
    </w:p>
    <w:p w14:paraId="181E8F90">
      <w:pPr>
        <w:spacing w:line="400" w:lineRule="exact"/>
        <w:ind w:firstLine="420" w:firstLineChars="200"/>
        <w:jc w:val="left"/>
        <w:rPr>
          <w:rFonts w:hint="eastAsia" w:ascii="宋体" w:hAnsi="宋体" w:cs="宋体"/>
          <w:szCs w:val="21"/>
        </w:rPr>
      </w:pPr>
      <w:r>
        <w:rPr>
          <w:rFonts w:hint="eastAsia" w:ascii="宋体" w:hAnsi="宋体" w:cs="宋体"/>
          <w:szCs w:val="21"/>
        </w:rPr>
        <w:t>1.5其他无法保证电子交易的公平、公正和安全的情况。</w:t>
      </w:r>
    </w:p>
    <w:p w14:paraId="03015A1B">
      <w:pPr>
        <w:spacing w:line="400" w:lineRule="exact"/>
        <w:ind w:firstLine="420" w:firstLineChars="200"/>
        <w:jc w:val="left"/>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3DB9B552">
      <w:pPr>
        <w:pStyle w:val="16"/>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五、评标</w:t>
      </w:r>
      <w:bookmarkEnd w:id="21"/>
    </w:p>
    <w:p w14:paraId="14DFAC00">
      <w:pPr>
        <w:pStyle w:val="16"/>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（一）组建评标委员会</w:t>
      </w:r>
    </w:p>
    <w:p w14:paraId="1E928E4F">
      <w:pPr>
        <w:pStyle w:val="16"/>
        <w:snapToGrid w:val="0"/>
        <w:spacing w:before="120" w:after="120" w:line="360" w:lineRule="auto"/>
        <w:ind w:firstLine="420" w:firstLineChars="200"/>
        <w:rPr>
          <w:rFonts w:hint="eastAsia" w:hAnsi="宋体" w:cs="宋体"/>
          <w:sz w:val="21"/>
          <w:szCs w:val="21"/>
        </w:rPr>
      </w:pPr>
      <w:r>
        <w:rPr>
          <w:rFonts w:hint="eastAsia" w:hAnsi="宋体" w:cs="宋体"/>
          <w:sz w:val="21"/>
          <w:szCs w:val="21"/>
        </w:rPr>
        <w:t>本项目评标委员会按照相关法律规定组成。</w:t>
      </w:r>
    </w:p>
    <w:p w14:paraId="611742C7">
      <w:pPr>
        <w:pStyle w:val="16"/>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（二）评标的方式</w:t>
      </w:r>
    </w:p>
    <w:p w14:paraId="00D13592">
      <w:pPr>
        <w:pStyle w:val="16"/>
        <w:snapToGrid w:val="0"/>
        <w:spacing w:before="120" w:after="120" w:line="360" w:lineRule="auto"/>
        <w:ind w:left="689" w:leftChars="228" w:hanging="210" w:hangingChars="100"/>
        <w:rPr>
          <w:rFonts w:hint="eastAsia" w:hAnsi="宋体" w:cs="宋体"/>
          <w:b/>
          <w:sz w:val="21"/>
          <w:szCs w:val="21"/>
        </w:rPr>
      </w:pPr>
      <w:r>
        <w:rPr>
          <w:rFonts w:hint="eastAsia" w:hAnsi="宋体" w:cs="宋体"/>
          <w:sz w:val="21"/>
          <w:szCs w:val="21"/>
        </w:rPr>
        <w:t>本项目评标的依据为《中华人民共和国政府采购法》相关规定及文件。</w:t>
      </w:r>
    </w:p>
    <w:p w14:paraId="0B1309BC">
      <w:pPr>
        <w:pStyle w:val="16"/>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3BB9EC08">
      <w:pPr>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b/>
          <w:szCs w:val="21"/>
        </w:rPr>
        <w:t>资格条件审查</w:t>
      </w:r>
    </w:p>
    <w:p w14:paraId="2169DAAC">
      <w:pPr>
        <w:spacing w:line="360" w:lineRule="auto"/>
        <w:ind w:firstLine="522" w:firstLineChars="249"/>
        <w:rPr>
          <w:rFonts w:hint="eastAsia" w:ascii="宋体" w:hAnsi="宋体" w:cs="宋体"/>
          <w:szCs w:val="21"/>
        </w:rPr>
      </w:pPr>
      <w:r>
        <w:rPr>
          <w:rFonts w:hint="eastAsia" w:ascii="宋体" w:hAnsi="宋体" w:cs="宋体"/>
          <w:szCs w:val="21"/>
        </w:rPr>
        <w:t>由采购人或代理机构对供应商的资格进行审查。</w:t>
      </w:r>
    </w:p>
    <w:tbl>
      <w:tblPr>
        <w:tblStyle w:val="33"/>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3DA9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4FCA98FC">
            <w:pPr>
              <w:spacing w:line="360" w:lineRule="auto"/>
              <w:jc w:val="center"/>
              <w:rPr>
                <w:rFonts w:hint="eastAsia" w:ascii="宋体" w:hAnsi="宋体" w:cs="宋体"/>
                <w:szCs w:val="21"/>
              </w:rPr>
            </w:pPr>
            <w:r>
              <w:rPr>
                <w:rFonts w:hint="eastAsia" w:ascii="宋体" w:hAnsi="宋体" w:cs="宋体"/>
                <w:szCs w:val="21"/>
              </w:rPr>
              <w:t>审查类别</w:t>
            </w:r>
          </w:p>
        </w:tc>
        <w:tc>
          <w:tcPr>
            <w:tcW w:w="7334" w:type="dxa"/>
          </w:tcPr>
          <w:p w14:paraId="35E8DC01">
            <w:pPr>
              <w:spacing w:line="360" w:lineRule="auto"/>
              <w:jc w:val="center"/>
              <w:rPr>
                <w:rFonts w:hint="eastAsia" w:ascii="宋体" w:hAnsi="宋体" w:cs="宋体"/>
                <w:szCs w:val="21"/>
              </w:rPr>
            </w:pPr>
            <w:r>
              <w:rPr>
                <w:rFonts w:hint="eastAsia" w:ascii="宋体" w:hAnsi="宋体" w:cs="宋体"/>
                <w:szCs w:val="21"/>
              </w:rPr>
              <w:t>审查内容</w:t>
            </w:r>
          </w:p>
        </w:tc>
      </w:tr>
      <w:tr w14:paraId="0584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01A7FD9C">
            <w:pPr>
              <w:spacing w:line="360" w:lineRule="auto"/>
              <w:jc w:val="center"/>
              <w:rPr>
                <w:rFonts w:hint="eastAsia" w:ascii="宋体" w:hAnsi="宋体" w:cs="宋体"/>
                <w:szCs w:val="21"/>
              </w:rPr>
            </w:pPr>
            <w:r>
              <w:rPr>
                <w:rFonts w:hint="eastAsia" w:ascii="宋体" w:hAnsi="宋体" w:cs="宋体"/>
                <w:szCs w:val="21"/>
              </w:rPr>
              <w:t>资格条件审查</w:t>
            </w:r>
          </w:p>
        </w:tc>
        <w:tc>
          <w:tcPr>
            <w:tcW w:w="7334" w:type="dxa"/>
          </w:tcPr>
          <w:p w14:paraId="41DCEEAB">
            <w:pPr>
              <w:spacing w:line="360" w:lineRule="auto"/>
              <w:rPr>
                <w:rFonts w:hint="eastAsia" w:ascii="宋体" w:hAnsi="宋体" w:cs="宋体"/>
                <w:szCs w:val="21"/>
              </w:rPr>
            </w:pPr>
            <w:r>
              <w:rPr>
                <w:rFonts w:hint="eastAsia" w:ascii="宋体" w:hAnsi="宋体" w:cs="宋体"/>
                <w:szCs w:val="21"/>
              </w:rPr>
              <w:t>（一）符合《中华人民共和国政府采购法》第二十二条规定的供应商资格条件；</w:t>
            </w:r>
          </w:p>
        </w:tc>
      </w:tr>
      <w:tr w14:paraId="11EA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D4F3FB8">
            <w:pPr>
              <w:spacing w:line="360" w:lineRule="auto"/>
              <w:rPr>
                <w:rFonts w:hint="eastAsia" w:ascii="宋体" w:hAnsi="宋体" w:cs="宋体"/>
                <w:szCs w:val="21"/>
              </w:rPr>
            </w:pPr>
          </w:p>
        </w:tc>
        <w:tc>
          <w:tcPr>
            <w:tcW w:w="7334" w:type="dxa"/>
          </w:tcPr>
          <w:p w14:paraId="0504FEB6">
            <w:pPr>
              <w:spacing w:line="360" w:lineRule="auto"/>
              <w:rPr>
                <w:rFonts w:hint="eastAsia" w:ascii="宋体" w:hAnsi="宋体" w:cs="宋体"/>
                <w:szCs w:val="21"/>
              </w:rPr>
            </w:pPr>
            <w:r>
              <w:rPr>
                <w:rFonts w:hint="eastAsia" w:ascii="宋体" w:hAnsi="宋体" w:cs="宋体"/>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4F50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64CA9C7">
            <w:pPr>
              <w:spacing w:line="360" w:lineRule="auto"/>
              <w:rPr>
                <w:rFonts w:hint="eastAsia" w:ascii="宋体" w:hAnsi="宋体" w:cs="宋体"/>
                <w:szCs w:val="21"/>
              </w:rPr>
            </w:pPr>
          </w:p>
        </w:tc>
        <w:tc>
          <w:tcPr>
            <w:tcW w:w="7334" w:type="dxa"/>
          </w:tcPr>
          <w:p w14:paraId="5C3B7814">
            <w:pPr>
              <w:spacing w:line="360" w:lineRule="auto"/>
              <w:rPr>
                <w:rFonts w:hint="eastAsia" w:ascii="宋体" w:hAnsi="宋体" w:cs="宋体"/>
                <w:szCs w:val="21"/>
              </w:rPr>
            </w:pPr>
            <w:r>
              <w:rPr>
                <w:rFonts w:hint="eastAsia" w:ascii="宋体" w:hAnsi="宋体" w:cs="宋体"/>
                <w:szCs w:val="21"/>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r>
      <w:tr w14:paraId="7983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17C9E54">
            <w:pPr>
              <w:spacing w:line="360" w:lineRule="auto"/>
              <w:rPr>
                <w:rFonts w:hint="eastAsia" w:ascii="宋体" w:hAnsi="宋体" w:cs="宋体"/>
                <w:szCs w:val="21"/>
              </w:rPr>
            </w:pPr>
          </w:p>
        </w:tc>
        <w:tc>
          <w:tcPr>
            <w:tcW w:w="7334" w:type="dxa"/>
          </w:tcPr>
          <w:p w14:paraId="40D71D79">
            <w:pPr>
              <w:snapToGrid w:val="0"/>
              <w:spacing w:line="360" w:lineRule="auto"/>
              <w:rPr>
                <w:rFonts w:hint="eastAsia" w:ascii="宋体" w:hAnsi="宋体" w:cs="宋体"/>
                <w:szCs w:val="21"/>
              </w:rPr>
            </w:pPr>
            <w:r>
              <w:rPr>
                <w:rFonts w:hint="eastAsia" w:ascii="宋体" w:hAnsi="宋体" w:cs="宋体"/>
                <w:szCs w:val="21"/>
              </w:rPr>
              <w:t>（四）</w:t>
            </w:r>
            <w:r>
              <w:rPr>
                <w:rFonts w:hint="eastAsia" w:ascii="宋体" w:hAnsi="宋体" w:cs="宋体"/>
                <w:color w:val="000000"/>
                <w:szCs w:val="21"/>
              </w:rPr>
              <w:t>本次招标允许联合体投标；</w:t>
            </w:r>
          </w:p>
        </w:tc>
      </w:tr>
      <w:tr w14:paraId="1C21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1AE4E6A">
            <w:pPr>
              <w:spacing w:line="360" w:lineRule="auto"/>
              <w:rPr>
                <w:rFonts w:hint="eastAsia" w:ascii="宋体" w:hAnsi="宋体" w:cs="宋体"/>
                <w:szCs w:val="21"/>
              </w:rPr>
            </w:pPr>
          </w:p>
        </w:tc>
        <w:tc>
          <w:tcPr>
            <w:tcW w:w="7334" w:type="dxa"/>
          </w:tcPr>
          <w:p w14:paraId="04FEBABE">
            <w:pPr>
              <w:spacing w:line="360" w:lineRule="auto"/>
              <w:rPr>
                <w:rFonts w:hint="eastAsia" w:ascii="宋体" w:hAnsi="宋体" w:cs="宋体"/>
                <w:szCs w:val="21"/>
              </w:rPr>
            </w:pPr>
            <w:r>
              <w:rPr>
                <w:rFonts w:hint="eastAsia" w:ascii="宋体" w:hAnsi="宋体" w:cs="宋体"/>
                <w:szCs w:val="21"/>
              </w:rPr>
              <w:t>（五）采购文件要求的其他资格条件（如有）</w:t>
            </w:r>
          </w:p>
        </w:tc>
      </w:tr>
    </w:tbl>
    <w:p w14:paraId="6F1C23BF">
      <w:pPr>
        <w:spacing w:line="360" w:lineRule="auto"/>
        <w:ind w:firstLine="422" w:firstLineChars="200"/>
        <w:rPr>
          <w:rFonts w:hint="eastAsia" w:ascii="宋体" w:hAnsi="宋体" w:cs="宋体"/>
          <w:b/>
          <w:szCs w:val="21"/>
        </w:rPr>
      </w:pPr>
      <w:r>
        <w:rPr>
          <w:rFonts w:hint="eastAsia" w:ascii="宋体" w:hAnsi="宋体" w:cs="宋体"/>
          <w:b/>
          <w:szCs w:val="21"/>
        </w:rPr>
        <w:t>2.符合性审查</w:t>
      </w:r>
    </w:p>
    <w:p w14:paraId="4CAD642E">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评标委员会应当对符合资格的供应商的投标文件进行符合性审查，以确定其是否满足采购文件的实质性要求。</w:t>
      </w:r>
    </w:p>
    <w:p w14:paraId="0F64FE62">
      <w:pPr>
        <w:pStyle w:val="41"/>
      </w:pPr>
    </w:p>
    <w:tbl>
      <w:tblPr>
        <w:tblStyle w:val="33"/>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6B4D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7867C870">
            <w:pPr>
              <w:jc w:val="center"/>
              <w:rPr>
                <w:rFonts w:hint="eastAsia" w:ascii="宋体" w:hAnsi="宋体" w:cs="宋体"/>
                <w:szCs w:val="21"/>
              </w:rPr>
            </w:pPr>
            <w:r>
              <w:rPr>
                <w:rFonts w:hint="eastAsia" w:ascii="宋体" w:hAnsi="宋体" w:cs="宋体"/>
                <w:szCs w:val="21"/>
              </w:rPr>
              <w:t>审查类别</w:t>
            </w:r>
          </w:p>
        </w:tc>
        <w:tc>
          <w:tcPr>
            <w:tcW w:w="7338" w:type="dxa"/>
            <w:vAlign w:val="center"/>
          </w:tcPr>
          <w:p w14:paraId="43E3EF0E">
            <w:pPr>
              <w:jc w:val="center"/>
              <w:rPr>
                <w:rFonts w:hint="eastAsia" w:ascii="宋体" w:hAnsi="宋体" w:cs="宋体"/>
                <w:szCs w:val="21"/>
              </w:rPr>
            </w:pPr>
            <w:r>
              <w:rPr>
                <w:rFonts w:hint="eastAsia" w:ascii="宋体" w:hAnsi="宋体" w:cs="宋体"/>
                <w:szCs w:val="21"/>
              </w:rPr>
              <w:t>审查内容</w:t>
            </w:r>
          </w:p>
        </w:tc>
      </w:tr>
      <w:tr w14:paraId="0A85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145C8BD2">
            <w:pPr>
              <w:jc w:val="center"/>
              <w:rPr>
                <w:rFonts w:hint="eastAsia" w:ascii="宋体" w:hAnsi="宋体" w:cs="宋体"/>
                <w:szCs w:val="21"/>
              </w:rPr>
            </w:pPr>
            <w:r>
              <w:rPr>
                <w:rFonts w:hint="eastAsia" w:ascii="宋体" w:hAnsi="宋体" w:cs="宋体"/>
                <w:szCs w:val="21"/>
              </w:rPr>
              <w:t>符合性审查</w:t>
            </w:r>
          </w:p>
        </w:tc>
        <w:tc>
          <w:tcPr>
            <w:tcW w:w="7338" w:type="dxa"/>
            <w:vAlign w:val="center"/>
          </w:tcPr>
          <w:p w14:paraId="440E1F1C">
            <w:pPr>
              <w:tabs>
                <w:tab w:val="left" w:pos="612"/>
              </w:tabs>
              <w:spacing w:before="120" w:beforeLines="50" w:after="120" w:afterLines="50"/>
              <w:rPr>
                <w:rFonts w:hint="eastAsia" w:ascii="宋体" w:hAnsi="宋体" w:cs="宋体"/>
                <w:szCs w:val="21"/>
              </w:rPr>
            </w:pPr>
            <w:r>
              <w:rPr>
                <w:rFonts w:hint="eastAsia" w:ascii="宋体" w:hAnsi="宋体" w:cs="宋体"/>
                <w:szCs w:val="21"/>
              </w:rPr>
              <w:t>投标函已提交并符合采购文件要求的</w:t>
            </w:r>
          </w:p>
        </w:tc>
      </w:tr>
      <w:tr w14:paraId="6C47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7E3DE077">
            <w:pPr>
              <w:rPr>
                <w:rFonts w:hint="eastAsia" w:ascii="宋体" w:hAnsi="宋体" w:cs="宋体"/>
                <w:szCs w:val="21"/>
              </w:rPr>
            </w:pPr>
          </w:p>
        </w:tc>
        <w:tc>
          <w:tcPr>
            <w:tcW w:w="7338" w:type="dxa"/>
            <w:vAlign w:val="center"/>
          </w:tcPr>
          <w:p w14:paraId="19CD7A14">
            <w:pPr>
              <w:tabs>
                <w:tab w:val="left" w:pos="612"/>
              </w:tabs>
              <w:spacing w:before="120" w:beforeLines="50" w:after="120" w:afterLines="50"/>
              <w:rPr>
                <w:rFonts w:hint="eastAsia" w:ascii="宋体" w:hAnsi="宋体" w:cs="宋体"/>
                <w:szCs w:val="21"/>
              </w:rPr>
            </w:pPr>
            <w:r>
              <w:rPr>
                <w:rFonts w:hint="eastAsia" w:ascii="宋体" w:hAnsi="宋体" w:cs="宋体"/>
                <w:szCs w:val="21"/>
              </w:rPr>
              <w:t xml:space="preserve">供应商按采购文件要求缴纳投标保证金的 </w:t>
            </w:r>
          </w:p>
        </w:tc>
      </w:tr>
      <w:tr w14:paraId="4EED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279EAF4">
            <w:pPr>
              <w:rPr>
                <w:rFonts w:hint="eastAsia" w:ascii="宋体" w:hAnsi="宋体" w:cs="宋体"/>
                <w:szCs w:val="21"/>
              </w:rPr>
            </w:pPr>
          </w:p>
        </w:tc>
        <w:tc>
          <w:tcPr>
            <w:tcW w:w="7338" w:type="dxa"/>
            <w:vAlign w:val="center"/>
          </w:tcPr>
          <w:p w14:paraId="6EA9C10C">
            <w:pPr>
              <w:tabs>
                <w:tab w:val="left" w:pos="612"/>
              </w:tabs>
              <w:spacing w:before="120" w:beforeLines="50" w:after="120" w:afterLines="50"/>
              <w:rPr>
                <w:rFonts w:hint="eastAsia" w:ascii="宋体" w:hAns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w:t>
            </w:r>
            <w:r>
              <w:rPr>
                <w:rFonts w:hint="eastAsia" w:ascii="宋体" w:hAnsi="宋体" w:cs="宋体"/>
                <w:szCs w:val="21"/>
              </w:rPr>
              <w:t>签字章</w:t>
            </w:r>
            <w:r>
              <w:rPr>
                <w:rFonts w:hint="eastAsia" w:ascii="宋体" w:hAnsi="宋体" w:cs="宋体"/>
                <w:szCs w:val="21"/>
                <w:lang w:eastAsia="zh-TW"/>
              </w:rPr>
              <w:t>）</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2CB8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49E3FF4">
            <w:pPr>
              <w:rPr>
                <w:rFonts w:hint="eastAsia" w:ascii="宋体" w:hAnsi="宋体" w:cs="宋体"/>
                <w:szCs w:val="21"/>
              </w:rPr>
            </w:pPr>
          </w:p>
        </w:tc>
        <w:tc>
          <w:tcPr>
            <w:tcW w:w="7338" w:type="dxa"/>
            <w:vAlign w:val="center"/>
          </w:tcPr>
          <w:p w14:paraId="0C6D0748">
            <w:pPr>
              <w:tabs>
                <w:tab w:val="left" w:pos="612"/>
              </w:tabs>
              <w:spacing w:before="120" w:beforeLines="50" w:after="120" w:afterLines="50"/>
              <w:rPr>
                <w:rFonts w:hint="eastAsia" w:ascii="宋体" w:hAnsi="宋体" w:cs="宋体"/>
                <w:kern w:val="0"/>
                <w:szCs w:val="21"/>
              </w:rPr>
            </w:pPr>
            <w:r>
              <w:rPr>
                <w:rFonts w:hint="eastAsia" w:ascii="宋体" w:hAnsi="宋体" w:cs="宋体"/>
                <w:szCs w:val="21"/>
              </w:rPr>
              <w:t>投标文件完全满足采购文件的实质性条款（即标注▲号条款）无负偏离的</w:t>
            </w:r>
          </w:p>
        </w:tc>
      </w:tr>
      <w:tr w14:paraId="56E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7ADDC07A">
            <w:pPr>
              <w:rPr>
                <w:rFonts w:hint="eastAsia" w:ascii="宋体" w:hAnsi="宋体" w:cs="宋体"/>
                <w:szCs w:val="21"/>
              </w:rPr>
            </w:pPr>
          </w:p>
        </w:tc>
        <w:tc>
          <w:tcPr>
            <w:tcW w:w="7338" w:type="dxa"/>
            <w:vAlign w:val="center"/>
          </w:tcPr>
          <w:p w14:paraId="176DDE99">
            <w:pPr>
              <w:spacing w:before="120" w:beforeLines="50" w:after="120" w:afterLines="50"/>
              <w:rPr>
                <w:rFonts w:hint="eastAsia" w:ascii="宋体" w:hAnsi="宋体" w:cs="宋体"/>
                <w:szCs w:val="21"/>
              </w:rPr>
            </w:pPr>
            <w:r>
              <w:rPr>
                <w:rFonts w:hint="eastAsia" w:ascii="宋体" w:hAnsi="宋体" w:cs="宋体"/>
                <w:szCs w:val="21"/>
              </w:rPr>
              <w:t>投标文件没有采购文件中规定的其它无效投标条款的</w:t>
            </w:r>
          </w:p>
        </w:tc>
      </w:tr>
      <w:tr w14:paraId="5D1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591354B">
            <w:pPr>
              <w:rPr>
                <w:rFonts w:hint="eastAsia" w:ascii="宋体" w:hAnsi="宋体" w:cs="宋体"/>
                <w:szCs w:val="21"/>
              </w:rPr>
            </w:pPr>
          </w:p>
        </w:tc>
        <w:tc>
          <w:tcPr>
            <w:tcW w:w="7338" w:type="dxa"/>
            <w:vAlign w:val="center"/>
          </w:tcPr>
          <w:p w14:paraId="7890FBEF">
            <w:pPr>
              <w:spacing w:before="120" w:beforeLines="50" w:after="120" w:afterLines="50"/>
              <w:rPr>
                <w:rFonts w:hint="eastAsia" w:ascii="宋体" w:hAnsi="宋体" w:cs="宋体"/>
                <w:szCs w:val="21"/>
              </w:rPr>
            </w:pPr>
            <w:r>
              <w:rPr>
                <w:rFonts w:hint="eastAsia" w:ascii="宋体" w:hAnsi="宋体" w:cs="宋体"/>
                <w:szCs w:val="21"/>
              </w:rPr>
              <w:t>按有关法律、法规、规章不属于投标无效的</w:t>
            </w:r>
          </w:p>
        </w:tc>
      </w:tr>
      <w:tr w14:paraId="64DC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F3603D0">
            <w:pPr>
              <w:rPr>
                <w:rFonts w:hint="eastAsia" w:ascii="宋体" w:hAnsi="宋体" w:cs="宋体"/>
                <w:szCs w:val="21"/>
              </w:rPr>
            </w:pPr>
          </w:p>
        </w:tc>
        <w:tc>
          <w:tcPr>
            <w:tcW w:w="7338" w:type="dxa"/>
            <w:vAlign w:val="center"/>
          </w:tcPr>
          <w:p w14:paraId="4F9AD885">
            <w:pPr>
              <w:spacing w:before="120" w:beforeLines="50" w:after="120" w:afterLines="50"/>
              <w:rPr>
                <w:rFonts w:hint="eastAsia" w:ascii="宋体" w:hAnsi="宋体" w:cs="宋体"/>
                <w:szCs w:val="21"/>
              </w:rPr>
            </w:pPr>
            <w:r>
              <w:rPr>
                <w:rFonts w:hint="eastAsia" w:ascii="宋体" w:hAnsi="宋体" w:cs="宋体"/>
                <w:szCs w:val="21"/>
              </w:rPr>
              <w:t>按照采购文件要求提供其他证明材料（如有）</w:t>
            </w:r>
          </w:p>
        </w:tc>
      </w:tr>
    </w:tbl>
    <w:p w14:paraId="08D1F002">
      <w:pPr>
        <w:spacing w:line="360" w:lineRule="auto"/>
        <w:rPr>
          <w:rFonts w:hint="eastAsia" w:ascii="宋体" w:hAnsi="宋体" w:cs="宋体"/>
          <w:b/>
          <w:szCs w:val="21"/>
        </w:rPr>
      </w:pPr>
    </w:p>
    <w:p w14:paraId="356FB558">
      <w:pPr>
        <w:spacing w:line="360" w:lineRule="auto"/>
        <w:ind w:firstLine="422" w:firstLineChars="200"/>
        <w:rPr>
          <w:rFonts w:hint="eastAsia" w:ascii="宋体" w:hAnsi="宋体" w:cs="宋体"/>
          <w:b/>
          <w:szCs w:val="21"/>
        </w:rPr>
      </w:pPr>
      <w:r>
        <w:rPr>
          <w:rFonts w:hint="eastAsia" w:ascii="宋体" w:hAnsi="宋体" w:cs="宋体"/>
          <w:b/>
          <w:szCs w:val="21"/>
        </w:rPr>
        <w:t>3.详细评审</w:t>
      </w:r>
    </w:p>
    <w:p w14:paraId="4340487E">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评标委员会对资格审查、符合性审查合格的投标文件，依照本办法对投标文件作进一步评审、比较。评标委员会成员经过阅标、审标和询标，对各供应商进行打分；</w:t>
      </w:r>
    </w:p>
    <w:p w14:paraId="7FB3F2AA">
      <w:pPr>
        <w:spacing w:line="360" w:lineRule="auto"/>
        <w:ind w:firstLine="420" w:firstLineChars="200"/>
        <w:rPr>
          <w:rFonts w:hint="eastAsia" w:ascii="宋体" w:hAnsi="宋体" w:cs="宋体"/>
          <w:kern w:val="0"/>
          <w:szCs w:val="21"/>
        </w:rPr>
      </w:pPr>
      <w:r>
        <w:rPr>
          <w:rFonts w:hint="eastAsia" w:ascii="宋体" w:hAnsi="宋体" w:cs="宋体"/>
          <w:kern w:val="0"/>
          <w:szCs w:val="21"/>
        </w:rPr>
        <w:t>评委打分参照本部分《宁海县农村供水站提升改造工程信息化采购项目评分表》。由各评标委员会成员根据供应商的投标文件及相关澄清文件，进行独立打分。评委打分采用记名方式，取算术平均分（小数点后保留一位小数）。</w:t>
      </w:r>
    </w:p>
    <w:p w14:paraId="1080098A">
      <w:pPr>
        <w:snapToGrid w:val="0"/>
        <w:spacing w:before="120" w:beforeLines="50" w:line="360" w:lineRule="auto"/>
        <w:ind w:firstLine="413" w:firstLineChars="196"/>
        <w:outlineLvl w:val="2"/>
        <w:rPr>
          <w:rFonts w:hint="eastAsia" w:ascii="宋体" w:hAnsi="宋体" w:cs="宋体"/>
          <w:b/>
          <w:szCs w:val="21"/>
        </w:rPr>
      </w:pPr>
      <w:bookmarkStart w:id="22" w:name="_Toc13921"/>
      <w:r>
        <w:rPr>
          <w:rFonts w:hint="eastAsia" w:ascii="宋体" w:hAnsi="宋体" w:cs="宋体"/>
          <w:b/>
          <w:szCs w:val="21"/>
        </w:rPr>
        <w:t>4.投标无效的情形</w:t>
      </w:r>
      <w:bookmarkEnd w:id="22"/>
    </w:p>
    <w:p w14:paraId="17FEDAA1">
      <w:pPr>
        <w:snapToGrid w:val="0"/>
        <w:spacing w:line="360" w:lineRule="auto"/>
        <w:ind w:firstLine="420" w:firstLineChars="200"/>
        <w:rPr>
          <w:rFonts w:hint="eastAsia" w:ascii="宋体" w:hAnsi="宋体" w:cs="宋体"/>
          <w:bCs/>
          <w:szCs w:val="21"/>
        </w:rPr>
      </w:pPr>
      <w:r>
        <w:rPr>
          <w:rFonts w:hint="eastAsia" w:ascii="宋体" w:hAnsi="宋体" w:cs="宋体"/>
          <w:bCs/>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070192CD">
      <w:pPr>
        <w:pStyle w:val="14"/>
        <w:snapToGrid w:val="0"/>
        <w:spacing w:line="360" w:lineRule="auto"/>
        <w:ind w:left="420" w:firstLine="0"/>
        <w:rPr>
          <w:rFonts w:hint="eastAsia" w:hAnsi="宋体" w:cs="宋体"/>
          <w:b/>
          <w:bCs/>
          <w:sz w:val="21"/>
          <w:szCs w:val="21"/>
        </w:rPr>
      </w:pPr>
      <w:r>
        <w:rPr>
          <w:rFonts w:hint="eastAsia" w:hAnsi="宋体" w:cs="宋体"/>
          <w:b/>
          <w:bCs/>
          <w:sz w:val="21"/>
          <w:szCs w:val="21"/>
        </w:rPr>
        <w:t>在资格审查中，如发现下列情形之一的，投标文件将被视为无效：</w:t>
      </w:r>
    </w:p>
    <w:p w14:paraId="2268442E">
      <w:pPr>
        <w:numPr>
          <w:ilvl w:val="0"/>
          <w:numId w:val="17"/>
        </w:numPr>
        <w:snapToGrid w:val="0"/>
        <w:spacing w:line="360" w:lineRule="auto"/>
        <w:ind w:firstLine="411" w:firstLineChars="196"/>
        <w:rPr>
          <w:rFonts w:hint="eastAsia" w:ascii="宋体" w:hAnsi="宋体" w:cs="宋体"/>
          <w:szCs w:val="21"/>
        </w:rPr>
      </w:pPr>
      <w:r>
        <w:rPr>
          <w:rFonts w:hint="eastAsia" w:ascii="宋体" w:hAnsi="宋体" w:cs="宋体"/>
          <w:szCs w:val="21"/>
        </w:rPr>
        <w:t>资格证明文件不全的，或者不符合采购文件标明的资格要求的；</w:t>
      </w:r>
    </w:p>
    <w:p w14:paraId="74821ED4">
      <w:pPr>
        <w:pStyle w:val="14"/>
        <w:snapToGrid w:val="0"/>
        <w:spacing w:line="360" w:lineRule="auto"/>
        <w:ind w:left="420" w:firstLine="0"/>
        <w:rPr>
          <w:rFonts w:hint="eastAsia" w:hAnsi="宋体" w:cs="宋体"/>
          <w:b/>
          <w:bCs/>
          <w:sz w:val="21"/>
          <w:szCs w:val="21"/>
        </w:rPr>
      </w:pPr>
      <w:r>
        <w:rPr>
          <w:rFonts w:hint="eastAsia" w:hAnsi="宋体" w:cs="宋体"/>
          <w:b/>
          <w:bCs/>
          <w:sz w:val="21"/>
          <w:szCs w:val="21"/>
        </w:rPr>
        <w:t>在符合性审查和商务评审时，如发现下列情形之一的，投标文件将被视为无效：</w:t>
      </w:r>
    </w:p>
    <w:p w14:paraId="42796CBA">
      <w:pPr>
        <w:snapToGrid w:val="0"/>
        <w:spacing w:line="360" w:lineRule="auto"/>
        <w:ind w:firstLine="411" w:firstLineChars="196"/>
        <w:rPr>
          <w:rFonts w:hint="eastAsia" w:ascii="宋体" w:hAnsi="宋体" w:cs="宋体"/>
          <w:bCs/>
          <w:kern w:val="0"/>
          <w:szCs w:val="21"/>
        </w:rPr>
      </w:pPr>
      <w:r>
        <w:rPr>
          <w:rFonts w:hint="eastAsia" w:ascii="宋体" w:hAnsi="宋体" w:cs="宋体"/>
          <w:szCs w:val="21"/>
        </w:rPr>
        <w:t>（1）投标文件无法定代表人签字,或未</w:t>
      </w:r>
      <w:r>
        <w:rPr>
          <w:rFonts w:hint="eastAsia" w:ascii="宋体" w:hAnsi="宋体" w:cs="宋体"/>
          <w:bCs/>
          <w:kern w:val="0"/>
          <w:szCs w:val="21"/>
        </w:rPr>
        <w:t>提供法定代表人授权委托书、投标声明书或者填写项目不齐全的；</w:t>
      </w:r>
    </w:p>
    <w:p w14:paraId="5C056419">
      <w:pPr>
        <w:snapToGrid w:val="0"/>
        <w:spacing w:line="360" w:lineRule="auto"/>
        <w:ind w:firstLine="411" w:firstLineChars="196"/>
        <w:rPr>
          <w:rFonts w:hint="eastAsia" w:ascii="宋体" w:hAnsi="宋体" w:cs="宋体"/>
          <w:szCs w:val="21"/>
        </w:rPr>
      </w:pPr>
      <w:r>
        <w:rPr>
          <w:rFonts w:hint="eastAsia" w:ascii="宋体" w:hAnsi="宋体" w:cs="宋体"/>
          <w:szCs w:val="21"/>
        </w:rPr>
        <w:t xml:space="preserve">（2）投标代表人未能出具身份证明或与法定代表人授权委托人身份不符的； </w:t>
      </w:r>
    </w:p>
    <w:p w14:paraId="341AD3CC">
      <w:pPr>
        <w:pStyle w:val="14"/>
        <w:snapToGrid w:val="0"/>
        <w:spacing w:line="360" w:lineRule="auto"/>
        <w:ind w:firstLine="395" w:firstLineChars="196"/>
        <w:rPr>
          <w:rFonts w:hint="eastAsia"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14:paraId="13ABD902">
      <w:pPr>
        <w:pStyle w:val="14"/>
        <w:snapToGrid w:val="0"/>
        <w:spacing w:line="360" w:lineRule="auto"/>
        <w:ind w:firstLine="395" w:firstLineChars="196"/>
        <w:rPr>
          <w:rFonts w:hint="eastAsia"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14:paraId="6AEFBC2C">
      <w:pPr>
        <w:pStyle w:val="14"/>
        <w:snapToGrid w:val="0"/>
        <w:spacing w:line="360" w:lineRule="auto"/>
        <w:ind w:firstLine="398" w:firstLineChars="196"/>
        <w:rPr>
          <w:rFonts w:hint="eastAsia"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46E6FC3F">
      <w:pPr>
        <w:pStyle w:val="14"/>
        <w:snapToGrid w:val="0"/>
        <w:spacing w:line="360" w:lineRule="auto"/>
        <w:ind w:firstLine="395" w:firstLineChars="196"/>
        <w:rPr>
          <w:rFonts w:hint="eastAsia" w:hAnsi="宋体" w:cs="宋体"/>
          <w:sz w:val="21"/>
          <w:szCs w:val="21"/>
        </w:rPr>
      </w:pPr>
      <w:r>
        <w:rPr>
          <w:rFonts w:hint="eastAsia" w:hAnsi="宋体" w:cs="宋体"/>
          <w:sz w:val="21"/>
          <w:szCs w:val="21"/>
        </w:rPr>
        <w:t>（6）未实质性响应采购文件要求或者投标文件有招标方不能接受的附加条件的；</w:t>
      </w:r>
    </w:p>
    <w:p w14:paraId="37F3E36D">
      <w:pPr>
        <w:pStyle w:val="14"/>
        <w:snapToGrid w:val="0"/>
        <w:spacing w:line="360" w:lineRule="auto"/>
        <w:ind w:firstLine="395" w:firstLineChars="196"/>
        <w:rPr>
          <w:rFonts w:hint="eastAsia" w:hAnsi="宋体" w:cs="宋体"/>
          <w:sz w:val="21"/>
          <w:szCs w:val="21"/>
        </w:rPr>
      </w:pPr>
      <w:r>
        <w:rPr>
          <w:rFonts w:hint="eastAsia" w:hAnsi="宋体" w:cs="宋体"/>
          <w:sz w:val="21"/>
          <w:szCs w:val="21"/>
        </w:rPr>
        <w:t>（7）未按规定交纳投标保证金的；</w:t>
      </w:r>
    </w:p>
    <w:p w14:paraId="52E247FF">
      <w:pPr>
        <w:pStyle w:val="14"/>
        <w:snapToGrid w:val="0"/>
        <w:spacing w:line="360" w:lineRule="auto"/>
        <w:ind w:firstLine="395" w:firstLineChars="196"/>
        <w:rPr>
          <w:rFonts w:hint="eastAsia" w:hAnsi="宋体" w:cs="宋体"/>
          <w:sz w:val="21"/>
          <w:szCs w:val="21"/>
        </w:rPr>
      </w:pPr>
      <w:r>
        <w:rPr>
          <w:rFonts w:hint="eastAsia" w:hAnsi="宋体" w:cs="宋体"/>
          <w:sz w:val="21"/>
          <w:szCs w:val="21"/>
        </w:rPr>
        <w:t>（8）未按规定签章的；</w:t>
      </w:r>
    </w:p>
    <w:p w14:paraId="77CCDD16">
      <w:pPr>
        <w:pStyle w:val="14"/>
        <w:snapToGrid w:val="0"/>
        <w:spacing w:line="360" w:lineRule="auto"/>
        <w:ind w:firstLine="395" w:firstLineChars="196"/>
        <w:rPr>
          <w:rFonts w:hint="eastAsia" w:hAnsi="宋体" w:cs="宋体"/>
          <w:sz w:val="21"/>
          <w:szCs w:val="21"/>
        </w:rPr>
      </w:pPr>
      <w:r>
        <w:rPr>
          <w:rFonts w:hint="eastAsia" w:hAnsi="宋体" w:cs="宋体"/>
          <w:sz w:val="21"/>
          <w:szCs w:val="21"/>
        </w:rPr>
        <w:t>（9）投标文件的关键内容字迹模糊、无法辨认的,或者投标文件中经修正的内容字迹模糊难以辩认或者修改处未按规定签名盖章。</w:t>
      </w:r>
    </w:p>
    <w:p w14:paraId="076191A7">
      <w:pPr>
        <w:pStyle w:val="14"/>
        <w:snapToGrid w:val="0"/>
        <w:spacing w:line="360" w:lineRule="auto"/>
        <w:ind w:left="420" w:firstLine="0"/>
        <w:rPr>
          <w:rFonts w:hint="eastAsia" w:hAnsi="宋体" w:cs="宋体"/>
          <w:b/>
          <w:bCs/>
          <w:sz w:val="21"/>
          <w:szCs w:val="21"/>
        </w:rPr>
      </w:pPr>
      <w:r>
        <w:rPr>
          <w:rFonts w:hint="eastAsia" w:hAnsi="宋体" w:cs="宋体"/>
          <w:b/>
          <w:bCs/>
          <w:sz w:val="21"/>
          <w:szCs w:val="21"/>
        </w:rPr>
        <w:t>在技术评审时，如发现下列情形之一的，投标文件将被视为无效：</w:t>
      </w:r>
    </w:p>
    <w:p w14:paraId="1FDD3F67">
      <w:pPr>
        <w:pStyle w:val="14"/>
        <w:snapToGrid w:val="0"/>
        <w:spacing w:line="360" w:lineRule="auto"/>
        <w:ind w:firstLine="395" w:firstLineChars="196"/>
        <w:rPr>
          <w:rFonts w:hint="eastAsia" w:hAnsi="宋体" w:cs="宋体"/>
          <w:sz w:val="21"/>
          <w:szCs w:val="21"/>
        </w:rPr>
      </w:pPr>
      <w:r>
        <w:rPr>
          <w:rFonts w:hint="eastAsia" w:hAnsi="宋体" w:cs="宋体"/>
          <w:sz w:val="21"/>
          <w:szCs w:val="21"/>
        </w:rPr>
        <w:t>（1）未提供或未如实提供投标货物或服务的技术参数，或者投标文件标明的响应或偏离与事实不符或虚假投标的；</w:t>
      </w:r>
    </w:p>
    <w:p w14:paraId="7EB5F451">
      <w:pPr>
        <w:pStyle w:val="14"/>
        <w:snapToGrid w:val="0"/>
        <w:spacing w:line="360" w:lineRule="auto"/>
        <w:ind w:firstLine="395" w:firstLineChars="196"/>
        <w:rPr>
          <w:rFonts w:hint="eastAsia" w:hAnsi="宋体" w:cs="宋体"/>
          <w:sz w:val="21"/>
          <w:szCs w:val="21"/>
        </w:rPr>
      </w:pPr>
      <w:r>
        <w:rPr>
          <w:rFonts w:hint="eastAsia" w:hAnsi="宋体" w:cs="宋体"/>
          <w:sz w:val="21"/>
          <w:szCs w:val="21"/>
        </w:rPr>
        <w:t>（2）</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采购文件中标“▲”的技术指标、主要功能项目发生实质性偏离的；</w:t>
      </w:r>
    </w:p>
    <w:p w14:paraId="452FCF8F">
      <w:pPr>
        <w:pStyle w:val="14"/>
        <w:snapToGrid w:val="0"/>
        <w:spacing w:line="360" w:lineRule="auto"/>
        <w:ind w:firstLine="395" w:firstLineChars="196"/>
        <w:rPr>
          <w:rFonts w:hint="eastAsia" w:hAnsi="宋体" w:cs="宋体"/>
          <w:sz w:val="21"/>
          <w:szCs w:val="21"/>
        </w:rPr>
      </w:pPr>
      <w:r>
        <w:rPr>
          <w:rFonts w:hint="eastAsia" w:hAnsi="宋体" w:cs="宋体"/>
          <w:sz w:val="21"/>
          <w:szCs w:val="21"/>
        </w:rPr>
        <w:t>（3）投标技术方案不明确，存在一个或一个以上备选（替代）投标方案的；</w:t>
      </w:r>
    </w:p>
    <w:p w14:paraId="180530B2">
      <w:pPr>
        <w:pStyle w:val="14"/>
        <w:snapToGrid w:val="0"/>
        <w:spacing w:line="360" w:lineRule="auto"/>
        <w:ind w:firstLine="404" w:firstLineChars="200"/>
        <w:rPr>
          <w:rFonts w:hint="eastAsia" w:hAnsi="宋体" w:cs="宋体"/>
          <w:sz w:val="21"/>
          <w:szCs w:val="21"/>
        </w:rPr>
      </w:pPr>
      <w:r>
        <w:rPr>
          <w:rFonts w:hint="eastAsia" w:hAnsi="宋体" w:cs="宋体"/>
          <w:sz w:val="21"/>
          <w:szCs w:val="21"/>
        </w:rPr>
        <w:t>（4）与其他参加本次投标供应商的投标文件（技术文件）的文字表述内容相同连续20行以上或者差错相同2处以上的。</w:t>
      </w:r>
    </w:p>
    <w:p w14:paraId="27B254E9">
      <w:pPr>
        <w:pStyle w:val="14"/>
        <w:snapToGrid w:val="0"/>
        <w:spacing w:line="360" w:lineRule="auto"/>
        <w:ind w:left="420" w:firstLine="0"/>
        <w:rPr>
          <w:rFonts w:hint="eastAsia" w:hAnsi="宋体" w:cs="宋体"/>
          <w:b/>
          <w:bCs/>
          <w:sz w:val="21"/>
          <w:szCs w:val="21"/>
        </w:rPr>
      </w:pPr>
      <w:r>
        <w:rPr>
          <w:rFonts w:hint="eastAsia" w:hAnsi="宋体" w:cs="宋体"/>
          <w:b/>
          <w:bCs/>
          <w:sz w:val="21"/>
          <w:szCs w:val="21"/>
        </w:rPr>
        <w:t>在报价评审时，如发现下列情形之一的，投标文件将被视为无效：</w:t>
      </w:r>
    </w:p>
    <w:p w14:paraId="3ADFB479">
      <w:pPr>
        <w:spacing w:line="360" w:lineRule="auto"/>
        <w:ind w:firstLine="420" w:firstLineChars="200"/>
        <w:rPr>
          <w:rFonts w:hint="eastAsia" w:ascii="宋体" w:hAnsi="宋体" w:cs="宋体"/>
          <w:szCs w:val="21"/>
        </w:rPr>
      </w:pPr>
      <w:r>
        <w:rPr>
          <w:rFonts w:hint="eastAsia" w:ascii="宋体" w:hAnsi="宋体" w:cs="宋体"/>
          <w:szCs w:val="21"/>
        </w:rPr>
        <w:t>（1）未采用人民币报价或者未按照采购文件标明的币种报价的；</w:t>
      </w:r>
    </w:p>
    <w:p w14:paraId="245ED84D">
      <w:pPr>
        <w:spacing w:line="360" w:lineRule="auto"/>
        <w:ind w:firstLine="420" w:firstLineChars="200"/>
        <w:rPr>
          <w:rFonts w:hint="eastAsia" w:ascii="宋体" w:hAnsi="宋体" w:cs="宋体"/>
          <w:szCs w:val="21"/>
        </w:rPr>
      </w:pPr>
      <w:r>
        <w:rPr>
          <w:rFonts w:hint="eastAsia" w:ascii="宋体" w:hAnsi="宋体" w:cs="宋体"/>
          <w:szCs w:val="21"/>
        </w:rPr>
        <w:t>（2）报价超出最高限价，或者超出采购预算金额(自主创新产品除外)，采购人不能支付的；</w:t>
      </w:r>
    </w:p>
    <w:p w14:paraId="45C67F78">
      <w:pPr>
        <w:spacing w:line="360" w:lineRule="auto"/>
        <w:ind w:firstLine="420" w:firstLineChars="200"/>
        <w:rPr>
          <w:rFonts w:hint="eastAsia" w:ascii="宋体" w:hAnsi="宋体" w:cs="宋体"/>
          <w:szCs w:val="21"/>
        </w:rPr>
      </w:pPr>
      <w:r>
        <w:rPr>
          <w:rFonts w:hint="eastAsia" w:ascii="宋体" w:hAnsi="宋体" w:cs="宋体"/>
          <w:szCs w:val="21"/>
        </w:rPr>
        <w:t>（3）投标报价具有选择性；</w:t>
      </w:r>
    </w:p>
    <w:p w14:paraId="4B14E8FD">
      <w:pPr>
        <w:spacing w:line="360" w:lineRule="auto"/>
        <w:ind w:firstLine="420" w:firstLineChars="200"/>
        <w:rPr>
          <w:rFonts w:hint="eastAsia" w:ascii="宋体" w:hAnsi="宋体" w:cs="宋体"/>
          <w:szCs w:val="21"/>
        </w:rPr>
      </w:pPr>
      <w:r>
        <w:rPr>
          <w:rFonts w:hint="eastAsia" w:ascii="宋体" w:hAnsi="宋体" w:cs="宋体"/>
          <w:szCs w:val="21"/>
        </w:rPr>
        <w:t>（4）投标报价中出现重大缺项、漏项；</w:t>
      </w:r>
    </w:p>
    <w:p w14:paraId="477FF876">
      <w:pPr>
        <w:spacing w:line="360" w:lineRule="auto"/>
        <w:ind w:firstLine="420" w:firstLineChars="200"/>
        <w:rPr>
          <w:rFonts w:hint="eastAsia" w:ascii="宋体" w:hAnsi="宋体" w:cs="宋体"/>
          <w:szCs w:val="21"/>
        </w:rPr>
      </w:pPr>
      <w:r>
        <w:rPr>
          <w:rFonts w:hint="eastAsia" w:ascii="宋体" w:hAnsi="宋体" w:cs="宋体"/>
          <w:szCs w:val="21"/>
        </w:rPr>
        <w:t>（5）评标委员会认为供应商的报价明显低于其他通过符合性审查供应商的报价，有可能影响产品质量或者不能诚信履约的，且不能在评标现场合理时间内提供相关证明材料说明其报价的合理性的。</w:t>
      </w:r>
    </w:p>
    <w:p w14:paraId="6DD15C0D">
      <w:pPr>
        <w:pStyle w:val="14"/>
        <w:snapToGrid w:val="0"/>
        <w:spacing w:line="360" w:lineRule="auto"/>
        <w:ind w:left="420" w:firstLine="0"/>
        <w:rPr>
          <w:rFonts w:hint="eastAsia" w:hAnsi="宋体" w:cs="宋体"/>
          <w:b/>
          <w:sz w:val="21"/>
          <w:szCs w:val="21"/>
        </w:rPr>
      </w:pPr>
      <w:r>
        <w:rPr>
          <w:rFonts w:hint="eastAsia" w:hAnsi="宋体" w:cs="宋体"/>
          <w:b/>
          <w:sz w:val="21"/>
          <w:szCs w:val="21"/>
        </w:rPr>
        <w:t>法律、法规和采购文件规定的其他无效情形。</w:t>
      </w:r>
    </w:p>
    <w:p w14:paraId="0B5E9E77">
      <w:pPr>
        <w:snapToGrid w:val="0"/>
        <w:spacing w:line="360" w:lineRule="auto"/>
        <w:ind w:firstLine="422" w:firstLineChars="200"/>
        <w:rPr>
          <w:rFonts w:hint="eastAsia" w:ascii="宋体" w:hAnsi="宋体" w:cs="宋体"/>
          <w:b/>
          <w:szCs w:val="21"/>
        </w:rPr>
      </w:pPr>
      <w:r>
        <w:rPr>
          <w:rFonts w:hint="eastAsia" w:ascii="宋体" w:hAnsi="宋体" w:cs="宋体"/>
          <w:b/>
          <w:szCs w:val="21"/>
        </w:rPr>
        <w:t>（四）澄清问题的形式</w:t>
      </w:r>
    </w:p>
    <w:p w14:paraId="19021AC6">
      <w:pPr>
        <w:spacing w:line="360" w:lineRule="auto"/>
        <w:ind w:firstLine="420" w:firstLineChars="200"/>
        <w:rPr>
          <w:rFonts w:hint="eastAsia" w:ascii="宋体" w:hAns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评标委员会应当以书面形式要求供应商作出必要的澄清、说明或者补正。</w:t>
      </w:r>
      <w:r>
        <w:rPr>
          <w:rFonts w:hint="eastAsia" w:ascii="宋体" w:hAnsi="宋体" w:cs="宋体"/>
          <w:szCs w:val="21"/>
        </w:rPr>
        <w:t>供应商的澄清、说明或者补正应当采用书面形式，并加盖公章，或者由法定代表人或其授权的代表签字。</w:t>
      </w:r>
      <w:r>
        <w:rPr>
          <w:rFonts w:hint="eastAsia" w:ascii="宋体" w:hAnsi="宋体" w:cs="宋体"/>
          <w:b/>
          <w:bCs/>
          <w:szCs w:val="21"/>
        </w:rPr>
        <w:t>供应商的澄清、说明或者补正不得超出投标文件的范围或者改变投标文件的实质性内容。</w:t>
      </w:r>
    </w:p>
    <w:p w14:paraId="096B977C">
      <w:pPr>
        <w:pStyle w:val="16"/>
        <w:snapToGrid w:val="0"/>
        <w:spacing w:before="120" w:after="12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4B61ACDD">
      <w:pPr>
        <w:snapToGrid w:val="0"/>
        <w:spacing w:line="360" w:lineRule="auto"/>
        <w:ind w:firstLine="420" w:firstLineChars="200"/>
        <w:rPr>
          <w:rFonts w:hint="eastAsia" w:ascii="宋体" w:hAnsi="宋体" w:cs="宋体"/>
          <w:szCs w:val="21"/>
        </w:rPr>
      </w:pPr>
      <w:r>
        <w:rPr>
          <w:rFonts w:hint="eastAsia" w:ascii="宋体" w:hAnsi="宋体" w:cs="宋体"/>
          <w:szCs w:val="21"/>
        </w:rPr>
        <w:t>投标文件报价出现前后不一致的，除采购文件另有规定外，按照下列规定修正：</w:t>
      </w:r>
    </w:p>
    <w:p w14:paraId="721F230C">
      <w:pPr>
        <w:snapToGrid w:val="0"/>
        <w:spacing w:line="360" w:lineRule="auto"/>
        <w:ind w:firstLine="420" w:firstLineChars="200"/>
        <w:rPr>
          <w:rFonts w:hint="eastAsia"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16C90BF0">
      <w:pPr>
        <w:snapToGrid w:val="0"/>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4D17C06C">
      <w:pPr>
        <w:snapToGrid w:val="0"/>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14:paraId="134BBBBA">
      <w:pPr>
        <w:snapToGrid w:val="0"/>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3B64A766">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同时出现两种以上不一致的，按照前款规定的顺序修正。修正后的报价经供应商确认后产生约束力，供应商不确认的，其投标无效。</w:t>
      </w:r>
    </w:p>
    <w:p w14:paraId="5D9766E4">
      <w:pPr>
        <w:pStyle w:val="16"/>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14:paraId="1B63A1ED">
      <w:pPr>
        <w:pStyle w:val="16"/>
        <w:snapToGrid w:val="0"/>
        <w:spacing w:before="120" w:after="120" w:line="360" w:lineRule="auto"/>
        <w:ind w:firstLine="420" w:firstLineChars="200"/>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B84864A">
      <w:pPr>
        <w:pStyle w:val="16"/>
        <w:snapToGrid w:val="0"/>
        <w:spacing w:before="120" w:after="12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，具体评标内容及评分标准等详见《第四章：评标办法及评分标准》。</w:t>
      </w:r>
    </w:p>
    <w:p w14:paraId="5D472117">
      <w:pPr>
        <w:pStyle w:val="16"/>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1520A7C7">
      <w:pPr>
        <w:spacing w:line="360" w:lineRule="auto"/>
        <w:ind w:firstLine="420" w:firstLineChars="200"/>
        <w:rPr>
          <w:rFonts w:hint="eastAsia" w:ascii="宋体" w:hAnsi="宋体" w:cs="宋体"/>
          <w:szCs w:val="21"/>
        </w:rPr>
      </w:pPr>
      <w:r>
        <w:rPr>
          <w:rFonts w:hint="eastAsia" w:ascii="宋体" w:hAnsi="宋体" w:cs="宋体"/>
          <w:szCs w:val="21"/>
        </w:rPr>
        <w:t>1、本人、配偶或直系亲属3年内曾在参加该采购项目的供应商中任职（包括一般工作）或担任顾问，或与参加该采购项目的供应商发生过法律纠纷；</w:t>
      </w:r>
    </w:p>
    <w:p w14:paraId="1518454C">
      <w:pPr>
        <w:spacing w:line="360" w:lineRule="auto"/>
        <w:ind w:firstLine="420" w:firstLineChars="200"/>
        <w:rPr>
          <w:rFonts w:hint="eastAsia" w:ascii="宋体" w:hAnsi="宋体" w:cs="宋体"/>
          <w:szCs w:val="21"/>
        </w:rPr>
      </w:pPr>
      <w:r>
        <w:rPr>
          <w:rFonts w:hint="eastAsia" w:ascii="宋体" w:hAnsi="宋体" w:cs="宋体"/>
          <w:szCs w:val="21"/>
        </w:rPr>
        <w:t>2、任职单位与采购人或参加该采购项目供应商存在行政隶属关系；</w:t>
      </w:r>
    </w:p>
    <w:p w14:paraId="0F15D354">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14:paraId="1B27ACB8">
      <w:pPr>
        <w:spacing w:line="360" w:lineRule="auto"/>
        <w:ind w:firstLine="420" w:firstLineChars="200"/>
        <w:rPr>
          <w:rFonts w:hint="eastAsia" w:ascii="宋体" w:hAnsi="宋体" w:cs="宋体"/>
          <w:szCs w:val="21"/>
        </w:rPr>
      </w:pPr>
      <w:r>
        <w:rPr>
          <w:rFonts w:hint="eastAsia" w:ascii="宋体" w:hAnsi="宋体" w:cs="宋体"/>
          <w:szCs w:val="21"/>
        </w:rPr>
        <w:t>4、是参加该采购项目供应商的上级主管部门、控股或参股单位的工作人员，或与该供应商存在其他经济利益关系；</w:t>
      </w:r>
    </w:p>
    <w:p w14:paraId="76BE5F21">
      <w:pPr>
        <w:spacing w:line="360" w:lineRule="auto"/>
        <w:ind w:firstLine="420" w:firstLineChars="200"/>
        <w:rPr>
          <w:rFonts w:hint="eastAsia" w:ascii="宋体" w:hAnsi="宋体" w:cs="宋体"/>
          <w:szCs w:val="21"/>
        </w:rPr>
      </w:pPr>
      <w:r>
        <w:rPr>
          <w:rFonts w:hint="eastAsia" w:ascii="宋体" w:hAnsi="宋体" w:cs="宋体"/>
          <w:szCs w:val="21"/>
        </w:rPr>
        <w:t>5、评审委员会成员之间具有配偶、近亲属关系；</w:t>
      </w:r>
    </w:p>
    <w:p w14:paraId="73D9221F">
      <w:pPr>
        <w:spacing w:line="360" w:lineRule="auto"/>
        <w:ind w:firstLine="420" w:firstLineChars="200"/>
        <w:rPr>
          <w:rFonts w:hint="eastAsia" w:ascii="宋体" w:hAnsi="宋体" w:cs="宋体"/>
          <w:szCs w:val="21"/>
        </w:rPr>
      </w:pPr>
      <w:r>
        <w:rPr>
          <w:rFonts w:hint="eastAsia" w:ascii="宋体" w:hAnsi="宋体" w:cs="宋体"/>
          <w:szCs w:val="21"/>
        </w:rPr>
        <w:t>6、同一单位的评审专家在同一项目评审委员会成员中超过一名；</w:t>
      </w:r>
    </w:p>
    <w:p w14:paraId="63834DDD">
      <w:pPr>
        <w:spacing w:line="360" w:lineRule="auto"/>
        <w:ind w:firstLine="420" w:firstLineChars="200"/>
        <w:rPr>
          <w:rFonts w:hint="eastAsia" w:ascii="宋体" w:hAnsi="宋体" w:cs="宋体"/>
          <w:szCs w:val="21"/>
        </w:rPr>
      </w:pPr>
      <w:r>
        <w:rPr>
          <w:rFonts w:hint="eastAsia" w:ascii="宋体" w:hAnsi="宋体" w:cs="宋体"/>
          <w:szCs w:val="21"/>
        </w:rPr>
        <w:t>7、法律、法规、规章规定应当回避以及其他可能影响公正评审的。</w:t>
      </w:r>
    </w:p>
    <w:p w14:paraId="6FAEC93B">
      <w:pPr>
        <w:spacing w:line="360" w:lineRule="auto"/>
        <w:ind w:firstLine="422" w:firstLineChars="200"/>
        <w:rPr>
          <w:rFonts w:hint="eastAsia" w:ascii="宋体" w:hAnsi="宋体" w:cs="宋体"/>
          <w:szCs w:val="21"/>
        </w:rPr>
      </w:pPr>
      <w:r>
        <w:rPr>
          <w:rFonts w:hint="eastAsia" w:ascii="宋体" w:hAnsi="宋体" w:cs="宋体"/>
          <w:b/>
          <w:szCs w:val="21"/>
        </w:rPr>
        <w:t>（八）评标委员会判断投标文件的有效性、合格性和响应情况，仅依据供应商所递交一切文件的真实表述，不受与本项目无直接关联的外部信息、传言而影响自身的专业判断。</w:t>
      </w:r>
    </w:p>
    <w:p w14:paraId="6B037EB2">
      <w:pPr>
        <w:pStyle w:val="16"/>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7F12BD4D">
      <w:pPr>
        <w:pStyle w:val="16"/>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（十）评标过程的监控</w:t>
      </w:r>
    </w:p>
    <w:p w14:paraId="64A19915">
      <w:pPr>
        <w:pStyle w:val="16"/>
        <w:snapToGrid w:val="0"/>
        <w:spacing w:before="120" w:after="120" w:line="360" w:lineRule="auto"/>
        <w:ind w:firstLine="420"/>
        <w:rPr>
          <w:rFonts w:hint="eastAsia" w:hAnsi="宋体" w:cs="宋体"/>
          <w:sz w:val="21"/>
          <w:szCs w:val="21"/>
        </w:rPr>
      </w:pPr>
      <w:r>
        <w:rPr>
          <w:rFonts w:hint="eastAsia" w:hAnsi="宋体" w:cs="宋体"/>
          <w:sz w:val="21"/>
          <w:szCs w:val="21"/>
        </w:rPr>
        <w:t>1、本项目评标过程实行全程录音、录像监控，供应商在评标过程中所进行的试图影响评标结果的不公正活动，可能导致其投标被拒绝；</w:t>
      </w:r>
    </w:p>
    <w:p w14:paraId="72AB8E3A">
      <w:pPr>
        <w:pStyle w:val="16"/>
        <w:snapToGrid w:val="0"/>
        <w:spacing w:before="120" w:after="120" w:line="360" w:lineRule="auto"/>
        <w:ind w:firstLine="420"/>
        <w:rPr>
          <w:rFonts w:hint="eastAsia" w:hAnsi="宋体" w:cs="宋体"/>
          <w:b/>
          <w:sz w:val="21"/>
          <w:szCs w:val="21"/>
        </w:rPr>
      </w:pPr>
      <w:r>
        <w:rPr>
          <w:rFonts w:hint="eastAsia" w:hAnsi="宋体" w:cs="宋体"/>
          <w:sz w:val="21"/>
          <w:szCs w:val="21"/>
        </w:rPr>
        <w:t>2、开标后到中标通知书发出之前，所有涉及评标委员会名单以及对投标文件的澄清、评价、比较等情况，评标委员会成员、采购人和采购代理机构的有关人员均不得向供应商或其他无关人员透露。</w:t>
      </w:r>
      <w:bookmarkStart w:id="23" w:name="_Toc16897"/>
      <w:bookmarkStart w:id="24" w:name="_Toc317685590"/>
    </w:p>
    <w:p w14:paraId="0CCDAB87">
      <w:pPr>
        <w:pStyle w:val="16"/>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六、采购方式变更</w:t>
      </w:r>
      <w:bookmarkEnd w:id="23"/>
      <w:bookmarkEnd w:id="24"/>
    </w:p>
    <w:p w14:paraId="665CCF4E">
      <w:pPr>
        <w:pStyle w:val="27"/>
        <w:widowControl w:val="0"/>
        <w:snapToGrid w:val="0"/>
        <w:spacing w:before="120" w:beforeLines="50" w:beforeAutospacing="0" w:after="120" w:afterLines="50" w:afterAutospacing="0" w:line="360" w:lineRule="auto"/>
        <w:ind w:firstLine="420" w:firstLineChars="200"/>
        <w:jc w:val="both"/>
        <w:rPr>
          <w:rFonts w:hint="eastAsia"/>
          <w:sz w:val="21"/>
          <w:szCs w:val="21"/>
        </w:rPr>
      </w:pPr>
      <w:r>
        <w:rPr>
          <w:rFonts w:hint="eastAsia"/>
          <w:kern w:val="2"/>
          <w:sz w:val="21"/>
          <w:szCs w:val="21"/>
        </w:rPr>
        <w:t>采购的国内公开招标，采购响应截至时间至或评审期间，出现参与采购响应或者对采购文件作出实质性响应的供应商不足3家的情况，则重新招标。</w:t>
      </w:r>
    </w:p>
    <w:p w14:paraId="595E0587">
      <w:pPr>
        <w:pStyle w:val="16"/>
        <w:snapToGrid w:val="0"/>
        <w:spacing w:before="120" w:after="120" w:line="360" w:lineRule="auto"/>
        <w:ind w:left="772" w:leftChars="267" w:hanging="211" w:hangingChars="100"/>
        <w:outlineLvl w:val="1"/>
        <w:rPr>
          <w:rFonts w:hint="eastAsia" w:hAnsi="宋体" w:cs="宋体"/>
          <w:b/>
          <w:sz w:val="21"/>
          <w:szCs w:val="21"/>
        </w:rPr>
      </w:pPr>
      <w:bookmarkStart w:id="25" w:name="_Toc9029"/>
      <w:r>
        <w:rPr>
          <w:rFonts w:hint="eastAsia" w:hAnsi="宋体" w:cs="宋体"/>
          <w:b/>
          <w:sz w:val="21"/>
          <w:szCs w:val="21"/>
        </w:rPr>
        <w:t>七、定标</w:t>
      </w:r>
      <w:bookmarkEnd w:id="25"/>
    </w:p>
    <w:p w14:paraId="3E4C9C44">
      <w:pPr>
        <w:pStyle w:val="16"/>
        <w:snapToGrid w:val="0"/>
        <w:spacing w:before="120" w:after="120" w:line="360" w:lineRule="auto"/>
        <w:ind w:firstLine="413" w:firstLineChars="196"/>
        <w:rPr>
          <w:rFonts w:hint="eastAsia" w:hAnsi="宋体" w:cs="宋体"/>
          <w:b/>
          <w:bCs/>
          <w:sz w:val="21"/>
          <w:szCs w:val="21"/>
        </w:rPr>
      </w:pPr>
      <w:r>
        <w:rPr>
          <w:rFonts w:hint="eastAsia" w:hAnsi="宋体" w:cs="宋体"/>
          <w:b/>
          <w:bCs/>
          <w:sz w:val="21"/>
          <w:szCs w:val="21"/>
        </w:rPr>
        <w:t>（一）确定中标供应商。本项目由采购人（或采购人事先授权评标委员会）确定中标供应商。</w:t>
      </w:r>
    </w:p>
    <w:p w14:paraId="30E5C731">
      <w:pPr>
        <w:pStyle w:val="16"/>
        <w:snapToGrid w:val="0"/>
        <w:spacing w:before="120" w:after="120" w:line="360" w:lineRule="auto"/>
        <w:ind w:firstLine="420"/>
        <w:rPr>
          <w:rFonts w:hint="eastAsia" w:hAnsi="宋体" w:cs="宋体"/>
          <w:sz w:val="21"/>
          <w:szCs w:val="21"/>
        </w:rPr>
      </w:pPr>
      <w:r>
        <w:rPr>
          <w:rFonts w:hint="eastAsia" w:hAnsi="宋体" w:cs="宋体"/>
          <w:sz w:val="21"/>
          <w:szCs w:val="21"/>
        </w:rPr>
        <w:t>1、采购代理机构应当在评标结束后2个工作日内将评标报告送采购人；</w:t>
      </w:r>
    </w:p>
    <w:p w14:paraId="0A71A4BB">
      <w:pPr>
        <w:pStyle w:val="16"/>
        <w:snapToGrid w:val="0"/>
        <w:spacing w:before="120" w:after="120" w:line="360" w:lineRule="auto"/>
        <w:ind w:firstLine="420"/>
        <w:rPr>
          <w:rFonts w:hint="eastAsia" w:hAnsi="宋体" w:cs="宋体"/>
          <w:sz w:val="21"/>
          <w:szCs w:val="21"/>
        </w:rPr>
      </w:pPr>
      <w:r>
        <w:rPr>
          <w:rFonts w:hint="eastAsia" w:hAnsi="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2F0E3B06">
      <w:pPr>
        <w:pStyle w:val="16"/>
        <w:snapToGrid w:val="0"/>
        <w:spacing w:before="120" w:after="120" w:line="360" w:lineRule="auto"/>
        <w:ind w:firstLine="420"/>
        <w:rPr>
          <w:rFonts w:hint="eastAsia"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3F33F486">
      <w:pPr>
        <w:snapToGrid w:val="0"/>
        <w:spacing w:line="360" w:lineRule="auto"/>
        <w:ind w:firstLine="420" w:firstLineChars="200"/>
        <w:rPr>
          <w:rFonts w:hint="eastAsia" w:ascii="宋体" w:hAnsi="宋体" w:cs="宋体"/>
          <w:szCs w:val="21"/>
        </w:rPr>
      </w:pPr>
      <w:r>
        <w:rPr>
          <w:rFonts w:hint="eastAsia" w:ascii="宋体" w:hAnsi="宋体" w:cs="宋体"/>
          <w:szCs w:val="21"/>
        </w:rPr>
        <w:t>4、各参加采购活动的供应商认为该中标结果和采购过程等使自己的权益受到损害的，可以自本公告期限届满之日（自本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采购监督管理部门投诉；</w:t>
      </w:r>
    </w:p>
    <w:p w14:paraId="6452DF38">
      <w:pPr>
        <w:pStyle w:val="16"/>
        <w:snapToGrid w:val="0"/>
        <w:spacing w:before="120" w:after="120" w:line="360" w:lineRule="auto"/>
        <w:ind w:firstLine="211" w:firstLineChars="100"/>
        <w:outlineLvl w:val="1"/>
        <w:rPr>
          <w:rFonts w:hint="eastAsia" w:hAnsi="宋体" w:cs="宋体"/>
          <w:b/>
          <w:sz w:val="21"/>
          <w:szCs w:val="21"/>
        </w:rPr>
      </w:pPr>
      <w:bookmarkStart w:id="26" w:name="_Toc17747"/>
      <w:r>
        <w:rPr>
          <w:rFonts w:hint="eastAsia" w:hAnsi="宋体" w:cs="宋体"/>
          <w:b/>
          <w:sz w:val="21"/>
          <w:szCs w:val="21"/>
        </w:rPr>
        <w:t>八、合同授予</w:t>
      </w:r>
      <w:bookmarkEnd w:id="26"/>
    </w:p>
    <w:p w14:paraId="63A099F8">
      <w:pPr>
        <w:snapToGrid w:val="0"/>
        <w:spacing w:line="360" w:lineRule="auto"/>
        <w:ind w:firstLine="413" w:firstLineChars="196"/>
        <w:rPr>
          <w:rFonts w:hint="eastAsia" w:ascii="宋体" w:hAnsi="宋体" w:cs="宋体"/>
          <w:b/>
          <w:bCs/>
          <w:szCs w:val="21"/>
        </w:rPr>
      </w:pPr>
      <w:r>
        <w:rPr>
          <w:rFonts w:hint="eastAsia" w:ascii="宋体" w:hAnsi="宋体" w:cs="宋体"/>
          <w:b/>
          <w:bCs/>
          <w:szCs w:val="21"/>
        </w:rPr>
        <w:t>（一）签订合同</w:t>
      </w:r>
    </w:p>
    <w:p w14:paraId="64AD890A">
      <w:pPr>
        <w:snapToGrid w:val="0"/>
        <w:spacing w:line="360" w:lineRule="auto"/>
        <w:ind w:firstLine="420" w:firstLineChars="200"/>
        <w:rPr>
          <w:rFonts w:hint="eastAsia" w:ascii="宋体" w:hAnsi="宋体" w:cs="宋体"/>
          <w:szCs w:val="21"/>
        </w:rPr>
      </w:pPr>
      <w:r>
        <w:rPr>
          <w:rFonts w:hint="eastAsia" w:ascii="宋体" w:hAnsi="宋体" w:cs="宋体"/>
          <w:szCs w:val="21"/>
        </w:rPr>
        <w:t>1、采购人与中标供应商应当在《中标通知书》发出之日起</w:t>
      </w:r>
      <w:r>
        <w:rPr>
          <w:rFonts w:hint="eastAsia" w:ascii="宋体" w:hAnsi="宋体" w:cs="宋体"/>
          <w:b/>
          <w:szCs w:val="21"/>
          <w:u w:val="single"/>
        </w:rPr>
        <w:t>30</w:t>
      </w:r>
      <w:r>
        <w:rPr>
          <w:rFonts w:hint="eastAsia" w:ascii="宋体" w:hAnsi="宋体" w:cs="宋体"/>
          <w:szCs w:val="21"/>
        </w:rPr>
        <w:t>日内签订采购合同。同时，采购代理机构对合同内容进行审查，如发现与采购结果和投标承诺内容不一致的，应予以纠正；</w:t>
      </w:r>
    </w:p>
    <w:p w14:paraId="50810263">
      <w:pPr>
        <w:snapToGrid w:val="0"/>
        <w:spacing w:line="360" w:lineRule="auto"/>
        <w:ind w:firstLine="420" w:firstLineChars="200"/>
        <w:rPr>
          <w:rFonts w:hint="eastAsia" w:ascii="宋体" w:hAnsi="宋体" w:cs="宋体"/>
          <w:szCs w:val="21"/>
        </w:rPr>
      </w:pPr>
      <w:r>
        <w:rPr>
          <w:rFonts w:hint="eastAsia" w:ascii="宋体" w:hAnsi="宋体" w:cs="宋体"/>
          <w:szCs w:val="21"/>
        </w:rPr>
        <w:t>2、中标供应商拖延、拒签合同的，将被扣罚投标保证金并取消中标资格。</w:t>
      </w:r>
    </w:p>
    <w:p w14:paraId="3730BF28">
      <w:pPr>
        <w:snapToGrid w:val="0"/>
        <w:spacing w:line="360" w:lineRule="auto"/>
        <w:ind w:firstLine="602" w:firstLineChars="200"/>
        <w:jc w:val="center"/>
        <w:rPr>
          <w:rFonts w:hint="eastAsia" w:hAnsi="宋体" w:cs="宋体"/>
          <w:b/>
          <w:sz w:val="30"/>
          <w:szCs w:val="30"/>
        </w:rPr>
      </w:pPr>
      <w:r>
        <w:rPr>
          <w:rFonts w:hint="eastAsia" w:hAnsi="宋体" w:cs="宋体"/>
          <w:b/>
          <w:sz w:val="30"/>
          <w:szCs w:val="30"/>
        </w:rPr>
        <w:br w:type="page"/>
      </w:r>
      <w:bookmarkStart w:id="27" w:name="_Toc275"/>
      <w:r>
        <w:rPr>
          <w:rFonts w:hint="eastAsia" w:hAnsi="宋体" w:cs="宋体"/>
          <w:b/>
          <w:sz w:val="30"/>
          <w:szCs w:val="30"/>
        </w:rPr>
        <w:t>第四章  评标办法及评分标准</w:t>
      </w:r>
      <w:bookmarkEnd w:id="27"/>
    </w:p>
    <w:p w14:paraId="1A575EA0">
      <w:pPr>
        <w:snapToGrid w:val="0"/>
        <w:spacing w:line="480" w:lineRule="exact"/>
        <w:ind w:firstLine="632" w:firstLineChars="300"/>
        <w:rPr>
          <w:rFonts w:hint="eastAsia" w:ascii="宋体" w:hAnsi="宋体" w:cs="宋体"/>
          <w:b/>
          <w:szCs w:val="21"/>
        </w:rPr>
      </w:pPr>
      <w:r>
        <w:rPr>
          <w:rFonts w:hint="eastAsia" w:ascii="宋体" w:hAnsi="宋体" w:cs="宋体"/>
          <w:b/>
          <w:szCs w:val="21"/>
        </w:rPr>
        <w:t>本办法严格遵照《中华人民共和国招投标法》等相关规定，结合项目所在地政府有关采购规定和项目的实际情况制定。</w:t>
      </w:r>
    </w:p>
    <w:p w14:paraId="7BA7B5D4">
      <w:pPr>
        <w:snapToGrid w:val="0"/>
        <w:spacing w:line="480" w:lineRule="exact"/>
        <w:ind w:firstLine="422" w:firstLineChars="200"/>
        <w:rPr>
          <w:rFonts w:hint="eastAsia" w:ascii="宋体" w:hAnsi="宋体" w:cs="宋体"/>
          <w:b/>
          <w:szCs w:val="21"/>
        </w:rPr>
      </w:pPr>
      <w:r>
        <w:rPr>
          <w:rFonts w:hint="eastAsia" w:ascii="宋体" w:hAnsi="宋体" w:cs="宋体"/>
          <w:b/>
          <w:szCs w:val="21"/>
        </w:rPr>
        <w:t>一、总则</w:t>
      </w:r>
    </w:p>
    <w:p w14:paraId="4D48469A">
      <w:pPr>
        <w:snapToGrid w:val="0"/>
        <w:spacing w:line="480" w:lineRule="exact"/>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3D0EFF4A">
      <w:pPr>
        <w:snapToGrid w:val="0"/>
        <w:spacing w:line="480" w:lineRule="exact"/>
        <w:ind w:firstLine="422" w:firstLineChars="200"/>
        <w:rPr>
          <w:rFonts w:hint="eastAsia" w:ascii="宋体" w:hAnsi="宋体" w:cs="宋体"/>
          <w:b/>
          <w:szCs w:val="21"/>
        </w:rPr>
      </w:pPr>
      <w:r>
        <w:rPr>
          <w:rFonts w:hint="eastAsia" w:ascii="宋体" w:hAnsi="宋体" w:cs="宋体"/>
          <w:b/>
          <w:szCs w:val="21"/>
        </w:rPr>
        <w:t>二、评标组织</w:t>
      </w:r>
    </w:p>
    <w:p w14:paraId="30A985A1">
      <w:pPr>
        <w:snapToGrid w:val="0"/>
        <w:spacing w:line="480" w:lineRule="exact"/>
        <w:ind w:firstLine="420" w:firstLineChars="200"/>
        <w:rPr>
          <w:rFonts w:hint="eastAsia" w:ascii="宋体" w:hAnsi="宋体" w:cs="宋体"/>
          <w:szCs w:val="21"/>
        </w:rPr>
      </w:pPr>
      <w:r>
        <w:rPr>
          <w:rFonts w:hint="eastAsia" w:ascii="宋体" w:hAnsi="宋体" w:cs="宋体"/>
          <w:szCs w:val="21"/>
        </w:rPr>
        <w:t>评标委员会：依法组建评标委员会。评标委员会由技术、经济方面专家等有关人员组成。</w:t>
      </w:r>
    </w:p>
    <w:p w14:paraId="25CDB687">
      <w:pPr>
        <w:snapToGrid w:val="0"/>
        <w:spacing w:line="480" w:lineRule="exact"/>
        <w:ind w:firstLine="422" w:firstLineChars="200"/>
        <w:rPr>
          <w:rFonts w:hint="eastAsia" w:ascii="宋体" w:hAnsi="宋体" w:cs="宋体"/>
          <w:b/>
          <w:szCs w:val="21"/>
        </w:rPr>
      </w:pPr>
      <w:r>
        <w:rPr>
          <w:rFonts w:hint="eastAsia" w:ascii="宋体" w:hAnsi="宋体" w:cs="宋体"/>
          <w:b/>
          <w:szCs w:val="21"/>
        </w:rPr>
        <w:t>三、评标程序</w:t>
      </w:r>
    </w:p>
    <w:p w14:paraId="2AA7477C">
      <w:pPr>
        <w:spacing w:line="360" w:lineRule="exact"/>
        <w:ind w:firstLine="378" w:firstLineChars="180"/>
        <w:rPr>
          <w:rFonts w:hint="eastAsia" w:ascii="宋体" w:hAnsi="宋体"/>
        </w:rPr>
      </w:pPr>
      <w:r>
        <w:rPr>
          <w:rFonts w:hint="eastAsia" w:ascii="宋体" w:hAnsi="宋体"/>
        </w:rPr>
        <w:t>详见第三章《供应商须知》</w:t>
      </w:r>
    </w:p>
    <w:p w14:paraId="52206D42">
      <w:pPr>
        <w:snapToGrid w:val="0"/>
        <w:spacing w:line="480" w:lineRule="exact"/>
        <w:ind w:firstLine="422" w:firstLineChars="200"/>
        <w:rPr>
          <w:rFonts w:hint="eastAsia" w:ascii="宋体" w:hAnsi="宋体" w:cs="宋体"/>
          <w:b/>
          <w:szCs w:val="21"/>
        </w:rPr>
      </w:pPr>
      <w:r>
        <w:rPr>
          <w:rFonts w:hint="eastAsia" w:ascii="宋体" w:hAnsi="宋体" w:cs="宋体"/>
          <w:b/>
          <w:szCs w:val="21"/>
        </w:rPr>
        <w:t>四、评标过程</w:t>
      </w:r>
    </w:p>
    <w:p w14:paraId="4BE86CFB">
      <w:pPr>
        <w:spacing w:line="360" w:lineRule="exact"/>
        <w:ind w:firstLine="378" w:firstLineChars="180"/>
        <w:rPr>
          <w:rFonts w:hint="eastAsia" w:ascii="宋体" w:hAnsi="宋体" w:cs="宋体"/>
          <w:szCs w:val="21"/>
        </w:rPr>
      </w:pPr>
      <w:r>
        <w:rPr>
          <w:rFonts w:hint="eastAsia" w:ascii="宋体" w:hAnsi="宋体"/>
        </w:rPr>
        <w:t>详见第三章《供应商须知》</w:t>
      </w:r>
    </w:p>
    <w:p w14:paraId="4248B700">
      <w:pPr>
        <w:snapToGrid w:val="0"/>
        <w:spacing w:line="480" w:lineRule="exact"/>
        <w:ind w:firstLine="422" w:firstLineChars="200"/>
        <w:rPr>
          <w:rFonts w:hint="eastAsia" w:ascii="宋体" w:hAnsi="宋体" w:cs="宋体"/>
          <w:b/>
          <w:szCs w:val="21"/>
        </w:rPr>
      </w:pPr>
      <w:r>
        <w:rPr>
          <w:rFonts w:hint="eastAsia" w:ascii="宋体" w:hAnsi="宋体" w:cs="宋体"/>
          <w:b/>
          <w:szCs w:val="21"/>
        </w:rPr>
        <w:t>五、中标原则</w:t>
      </w:r>
    </w:p>
    <w:p w14:paraId="4F516021">
      <w:pPr>
        <w:snapToGrid w:val="0"/>
        <w:spacing w:line="480" w:lineRule="exact"/>
        <w:ind w:firstLine="420" w:firstLineChars="200"/>
        <w:rPr>
          <w:rFonts w:hint="eastAsia" w:ascii="宋体" w:hAnsi="宋体" w:cs="宋体"/>
          <w:szCs w:val="21"/>
        </w:rPr>
      </w:pPr>
      <w:r>
        <w:rPr>
          <w:rFonts w:hint="eastAsia" w:ascii="宋体" w:hAnsi="宋体" w:cs="宋体"/>
          <w:szCs w:val="21"/>
        </w:rPr>
        <w:t>评标小组在审标、询标的基础上根据事先制定的评标办法对各供应商的投标文件进行评定，推荐综合得分第一的供应商为中标候选人。</w:t>
      </w:r>
    </w:p>
    <w:p w14:paraId="1D601CA7">
      <w:pPr>
        <w:snapToGrid w:val="0"/>
        <w:spacing w:line="480" w:lineRule="exact"/>
        <w:ind w:firstLine="420" w:firstLineChars="200"/>
        <w:rPr>
          <w:rFonts w:hint="eastAsia" w:ascii="宋体" w:hAnsi="宋体" w:cs="宋体"/>
          <w:szCs w:val="21"/>
        </w:rPr>
      </w:pPr>
      <w:r>
        <w:rPr>
          <w:rFonts w:hint="eastAsia" w:ascii="宋体" w:hAnsi="宋体" w:cs="宋体"/>
          <w:szCs w:val="21"/>
        </w:rPr>
        <w:t>六、中标结果</w:t>
      </w:r>
    </w:p>
    <w:p w14:paraId="2BF47529">
      <w:pPr>
        <w:snapToGrid w:val="0"/>
        <w:spacing w:line="480" w:lineRule="exact"/>
        <w:ind w:firstLine="420" w:firstLineChars="200"/>
        <w:rPr>
          <w:rFonts w:hint="eastAsia"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21F8CD7A">
      <w:pPr>
        <w:snapToGrid w:val="0"/>
        <w:spacing w:line="480" w:lineRule="exact"/>
        <w:ind w:firstLine="422" w:firstLineChars="200"/>
        <w:rPr>
          <w:rFonts w:hint="eastAsia" w:ascii="宋体" w:hAnsi="宋体" w:cs="宋体"/>
          <w:b/>
          <w:szCs w:val="21"/>
        </w:rPr>
      </w:pPr>
      <w:r>
        <w:rPr>
          <w:rFonts w:hint="eastAsia" w:ascii="宋体" w:hAnsi="宋体" w:cs="宋体"/>
          <w:b/>
          <w:szCs w:val="21"/>
        </w:rPr>
        <w:t>如中标人因自身原因放弃中标或因不可抗力不能履行合同的，则重新招标。</w:t>
      </w:r>
    </w:p>
    <w:p w14:paraId="12ED0256">
      <w:pPr>
        <w:snapToGrid w:val="0"/>
        <w:spacing w:line="480" w:lineRule="exact"/>
        <w:rPr>
          <w:rFonts w:hint="eastAsia" w:ascii="宋体" w:hAnsi="宋体" w:cs="宋体"/>
          <w:b/>
          <w:szCs w:val="21"/>
        </w:rPr>
      </w:pPr>
    </w:p>
    <w:p w14:paraId="330B493A">
      <w:pPr>
        <w:snapToGrid w:val="0"/>
        <w:spacing w:line="480" w:lineRule="exact"/>
        <w:rPr>
          <w:rFonts w:hint="eastAsia" w:ascii="宋体" w:hAnsi="宋体" w:cs="宋体"/>
          <w:b/>
          <w:szCs w:val="21"/>
        </w:rPr>
      </w:pPr>
    </w:p>
    <w:p w14:paraId="6B7DB8DE">
      <w:pPr>
        <w:snapToGrid w:val="0"/>
        <w:spacing w:line="480" w:lineRule="exact"/>
        <w:rPr>
          <w:rFonts w:hint="eastAsia" w:ascii="宋体" w:hAnsi="宋体" w:cs="宋体"/>
          <w:b/>
          <w:szCs w:val="21"/>
        </w:rPr>
      </w:pPr>
    </w:p>
    <w:p w14:paraId="7F60C56C">
      <w:pPr>
        <w:snapToGrid w:val="0"/>
        <w:spacing w:line="480" w:lineRule="exact"/>
        <w:rPr>
          <w:rFonts w:hint="eastAsia" w:ascii="宋体" w:hAnsi="宋体" w:cs="宋体"/>
          <w:b/>
          <w:szCs w:val="21"/>
        </w:rPr>
      </w:pPr>
    </w:p>
    <w:p w14:paraId="1AAD8A86">
      <w:pPr>
        <w:snapToGrid w:val="0"/>
        <w:spacing w:line="480" w:lineRule="exact"/>
        <w:rPr>
          <w:rFonts w:hint="eastAsia" w:ascii="宋体" w:hAnsi="宋体" w:cs="宋体"/>
          <w:b/>
          <w:szCs w:val="21"/>
        </w:rPr>
      </w:pPr>
    </w:p>
    <w:p w14:paraId="39C73CD5">
      <w:pPr>
        <w:pStyle w:val="20"/>
      </w:pPr>
    </w:p>
    <w:p w14:paraId="55C5684E">
      <w:pPr>
        <w:pStyle w:val="41"/>
      </w:pPr>
    </w:p>
    <w:p w14:paraId="3FD61DE8">
      <w:pPr>
        <w:snapToGrid w:val="0"/>
        <w:spacing w:line="480" w:lineRule="exact"/>
        <w:rPr>
          <w:rFonts w:hint="eastAsia" w:ascii="宋体" w:hAnsi="宋体" w:cs="宋体"/>
          <w:b/>
          <w:szCs w:val="21"/>
        </w:rPr>
      </w:pPr>
    </w:p>
    <w:p w14:paraId="65FE2C48">
      <w:pPr>
        <w:snapToGrid w:val="0"/>
        <w:spacing w:line="480" w:lineRule="exact"/>
        <w:rPr>
          <w:rFonts w:hint="eastAsia" w:ascii="宋体" w:hAnsi="宋体" w:cs="宋体"/>
          <w:b/>
          <w:szCs w:val="21"/>
        </w:rPr>
      </w:pPr>
    </w:p>
    <w:p w14:paraId="0238B497">
      <w:pPr>
        <w:snapToGrid w:val="0"/>
        <w:spacing w:line="480" w:lineRule="exact"/>
        <w:rPr>
          <w:rFonts w:hint="eastAsia" w:ascii="宋体" w:hAnsi="宋体" w:cs="宋体"/>
          <w:b/>
          <w:sz w:val="28"/>
          <w:szCs w:val="30"/>
          <w:lang w:val="zh-CN"/>
        </w:rPr>
      </w:pPr>
    </w:p>
    <w:p w14:paraId="56DF08C8">
      <w:pPr>
        <w:pStyle w:val="11"/>
        <w:rPr>
          <w:lang w:val="zh-CN"/>
        </w:rPr>
      </w:pPr>
    </w:p>
    <w:p w14:paraId="659E7547">
      <w:pPr>
        <w:snapToGrid w:val="0"/>
        <w:spacing w:line="480" w:lineRule="exact"/>
        <w:jc w:val="center"/>
        <w:rPr>
          <w:rFonts w:hint="eastAsia" w:ascii="宋体" w:hAnsi="宋体" w:cs="宋体"/>
          <w:b/>
          <w:sz w:val="28"/>
          <w:szCs w:val="28"/>
        </w:rPr>
      </w:pPr>
      <w:r>
        <w:rPr>
          <w:rFonts w:hint="eastAsia" w:ascii="宋体" w:hAnsi="宋体" w:cs="宋体"/>
          <w:b/>
          <w:sz w:val="28"/>
          <w:szCs w:val="28"/>
        </w:rPr>
        <w:t>评分表</w:t>
      </w:r>
    </w:p>
    <w:tbl>
      <w:tblPr>
        <w:tblStyle w:val="33"/>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08"/>
        <w:gridCol w:w="6891"/>
      </w:tblGrid>
      <w:tr w14:paraId="1AC8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87C089B">
            <w:pPr>
              <w:spacing w:line="400" w:lineRule="exact"/>
              <w:jc w:val="center"/>
              <w:rPr>
                <w:rFonts w:hint="eastAsia" w:hAnsi="宋体"/>
                <w:b/>
                <w:szCs w:val="21"/>
              </w:rPr>
            </w:pPr>
            <w:r>
              <w:rPr>
                <w:rFonts w:hint="eastAsia" w:hAnsi="宋体"/>
                <w:b/>
                <w:szCs w:val="21"/>
              </w:rPr>
              <w:t>序号</w:t>
            </w:r>
          </w:p>
        </w:tc>
        <w:tc>
          <w:tcPr>
            <w:tcW w:w="1208" w:type="dxa"/>
            <w:tcBorders>
              <w:top w:val="single" w:color="auto" w:sz="4" w:space="0"/>
              <w:left w:val="single" w:color="auto" w:sz="4" w:space="0"/>
              <w:bottom w:val="single" w:color="auto" w:sz="4" w:space="0"/>
              <w:right w:val="single" w:color="auto" w:sz="4" w:space="0"/>
            </w:tcBorders>
            <w:vAlign w:val="center"/>
          </w:tcPr>
          <w:p w14:paraId="2B2A64D3">
            <w:pPr>
              <w:spacing w:line="400" w:lineRule="exact"/>
              <w:jc w:val="center"/>
              <w:rPr>
                <w:rFonts w:hint="eastAsia" w:hAnsi="宋体"/>
                <w:b/>
                <w:szCs w:val="21"/>
              </w:rPr>
            </w:pPr>
            <w:r>
              <w:rPr>
                <w:rFonts w:hint="eastAsia" w:hAnsi="宋体"/>
                <w:b/>
                <w:szCs w:val="21"/>
              </w:rPr>
              <w:t>评分项目</w:t>
            </w:r>
          </w:p>
        </w:tc>
        <w:tc>
          <w:tcPr>
            <w:tcW w:w="6891" w:type="dxa"/>
            <w:tcBorders>
              <w:top w:val="single" w:color="auto" w:sz="4" w:space="0"/>
              <w:left w:val="single" w:color="auto" w:sz="4" w:space="0"/>
              <w:bottom w:val="single" w:color="auto" w:sz="4" w:space="0"/>
              <w:right w:val="single" w:color="auto" w:sz="4" w:space="0"/>
            </w:tcBorders>
            <w:vAlign w:val="center"/>
          </w:tcPr>
          <w:p w14:paraId="05D929FB">
            <w:pPr>
              <w:spacing w:line="400" w:lineRule="exact"/>
              <w:jc w:val="center"/>
              <w:rPr>
                <w:rFonts w:hint="eastAsia" w:hAnsi="宋体"/>
                <w:b/>
                <w:szCs w:val="21"/>
              </w:rPr>
            </w:pPr>
            <w:r>
              <w:rPr>
                <w:rFonts w:hint="eastAsia" w:hAnsi="宋体"/>
                <w:b/>
                <w:szCs w:val="21"/>
              </w:rPr>
              <w:t>评审内容</w:t>
            </w:r>
          </w:p>
        </w:tc>
      </w:tr>
      <w:tr w14:paraId="5DEC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53" w:type="dxa"/>
            <w:tcBorders>
              <w:top w:val="single" w:color="auto" w:sz="4" w:space="0"/>
              <w:left w:val="single" w:color="auto" w:sz="4" w:space="0"/>
              <w:right w:val="single" w:color="auto" w:sz="4" w:space="0"/>
            </w:tcBorders>
            <w:vAlign w:val="center"/>
          </w:tcPr>
          <w:p w14:paraId="68FD1046">
            <w:pPr>
              <w:spacing w:line="400" w:lineRule="exact"/>
              <w:jc w:val="center"/>
              <w:rPr>
                <w:rFonts w:hint="eastAsia" w:hAnsi="宋体"/>
                <w:szCs w:val="21"/>
              </w:rPr>
            </w:pPr>
            <w:r>
              <w:rPr>
                <w:rFonts w:hint="eastAsia" w:hAnsi="宋体"/>
                <w:szCs w:val="21"/>
              </w:rPr>
              <w:t>1</w:t>
            </w:r>
          </w:p>
        </w:tc>
        <w:tc>
          <w:tcPr>
            <w:tcW w:w="1208" w:type="dxa"/>
            <w:tcBorders>
              <w:top w:val="single" w:color="auto" w:sz="4" w:space="0"/>
              <w:left w:val="single" w:color="auto" w:sz="4" w:space="0"/>
              <w:right w:val="single" w:color="auto" w:sz="4" w:space="0"/>
            </w:tcBorders>
            <w:vAlign w:val="center"/>
          </w:tcPr>
          <w:p w14:paraId="50FCAEB6">
            <w:pPr>
              <w:jc w:val="center"/>
              <w:rPr>
                <w:rFonts w:hint="eastAsia" w:hAnsi="宋体"/>
              </w:rPr>
            </w:pPr>
            <w:r>
              <w:rPr>
                <w:rFonts w:hint="eastAsia" w:hAnsi="宋体"/>
                <w:szCs w:val="21"/>
              </w:rPr>
              <w:t>企业综合实力（9分）</w:t>
            </w:r>
          </w:p>
        </w:tc>
        <w:tc>
          <w:tcPr>
            <w:tcW w:w="6891" w:type="dxa"/>
            <w:tcBorders>
              <w:top w:val="single" w:color="auto" w:sz="4" w:space="0"/>
              <w:left w:val="single" w:color="auto" w:sz="4" w:space="0"/>
              <w:bottom w:val="single" w:color="auto" w:sz="4" w:space="0"/>
              <w:right w:val="single" w:color="auto" w:sz="4" w:space="0"/>
            </w:tcBorders>
            <w:vAlign w:val="center"/>
          </w:tcPr>
          <w:p w14:paraId="567A2561">
            <w:pPr>
              <w:widowControl/>
              <w:spacing w:before="60" w:line="288" w:lineRule="auto"/>
              <w:jc w:val="left"/>
              <w:rPr>
                <w:rFonts w:hint="eastAsia" w:hAnsi="宋体"/>
                <w:szCs w:val="21"/>
              </w:rPr>
            </w:pPr>
            <w:r>
              <w:rPr>
                <w:rFonts w:hint="eastAsia" w:hAnsi="宋体"/>
                <w:szCs w:val="21"/>
              </w:rPr>
              <w:t>1.</w:t>
            </w:r>
            <w:r>
              <w:rPr>
                <w:rFonts w:hint="eastAsia" w:ascii="宋体" w:hAnsi="宋体" w:cs="宋体"/>
                <w:color w:val="000000"/>
                <w:szCs w:val="21"/>
              </w:rPr>
              <w:t>供应商具有安全技术防范行业资信一级证书的得1分；</w:t>
            </w:r>
          </w:p>
          <w:p w14:paraId="5DB9EA7B">
            <w:pPr>
              <w:spacing w:line="360" w:lineRule="exact"/>
              <w:jc w:val="left"/>
              <w:rPr>
                <w:rFonts w:hint="eastAsia" w:hAnsi="宋体"/>
                <w:szCs w:val="21"/>
              </w:rPr>
            </w:pPr>
            <w:r>
              <w:rPr>
                <w:rFonts w:hint="eastAsia" w:hAnsi="宋体"/>
                <w:szCs w:val="21"/>
              </w:rPr>
              <w:t>2.供应商具有农村饮用水相关软件著作权证书的（</w:t>
            </w:r>
            <w:r>
              <w:rPr>
                <w:rFonts w:hint="eastAsia" w:ascii="宋体" w:hAnsi="宋体" w:cs="宋体"/>
                <w:szCs w:val="21"/>
              </w:rPr>
              <w:t>例如城乡供水数字化管理系统、城乡供水管控一体化平台、农村饮用水运行管控系统等</w:t>
            </w:r>
            <w:r>
              <w:rPr>
                <w:rFonts w:hint="eastAsia" w:hAnsi="宋体"/>
                <w:szCs w:val="21"/>
              </w:rPr>
              <w:t>），每个得1分，最高得3分；</w:t>
            </w:r>
          </w:p>
          <w:p w14:paraId="5113FC99">
            <w:pPr>
              <w:spacing w:line="360" w:lineRule="exact"/>
              <w:jc w:val="left"/>
              <w:rPr>
                <w:rFonts w:hint="eastAsia" w:hAnsi="宋体"/>
                <w:szCs w:val="21"/>
              </w:rPr>
            </w:pPr>
            <w:r>
              <w:rPr>
                <w:rFonts w:hint="eastAsia" w:hAnsi="宋体"/>
                <w:szCs w:val="21"/>
              </w:rPr>
              <w:t>3.供应商具有与本项目相关的信息化产品或者技术获得部级水利先进实用技术推广证书得2分，获得省级水利先进实用技术推广证书得1分，最高得2分。</w:t>
            </w:r>
          </w:p>
          <w:p w14:paraId="67D77CA5">
            <w:pPr>
              <w:spacing w:line="360" w:lineRule="exact"/>
              <w:jc w:val="left"/>
              <w:rPr>
                <w:rFonts w:hint="eastAsia" w:hAnsi="宋体"/>
                <w:szCs w:val="21"/>
              </w:rPr>
            </w:pPr>
            <w:r>
              <w:rPr>
                <w:rFonts w:hint="eastAsia" w:hAnsi="宋体"/>
                <w:szCs w:val="21"/>
              </w:rPr>
              <w:t>4.供应商具有ISO27032网络安全管理体系认证证书的得1分；</w:t>
            </w:r>
          </w:p>
          <w:p w14:paraId="22EA12F8">
            <w:pPr>
              <w:spacing w:line="360" w:lineRule="exact"/>
              <w:jc w:val="left"/>
              <w:rPr>
                <w:rFonts w:hint="eastAsia" w:hAnsi="宋体"/>
                <w:szCs w:val="21"/>
              </w:rPr>
            </w:pPr>
            <w:r>
              <w:rPr>
                <w:rFonts w:hint="eastAsia" w:hAnsi="宋体"/>
                <w:szCs w:val="21"/>
              </w:rPr>
              <w:t>5.供应商具有</w:t>
            </w:r>
            <w:r>
              <w:rPr>
                <w:rFonts w:hAnsi="宋体"/>
                <w:szCs w:val="21"/>
              </w:rPr>
              <w:t>ISO50001能源管理体系认证</w:t>
            </w:r>
            <w:r>
              <w:rPr>
                <w:rFonts w:hint="eastAsia" w:hAnsi="宋体"/>
                <w:szCs w:val="21"/>
              </w:rPr>
              <w:t>证书的得1分；</w:t>
            </w:r>
          </w:p>
          <w:p w14:paraId="7C985A86">
            <w:pPr>
              <w:spacing w:line="360" w:lineRule="exact"/>
              <w:jc w:val="left"/>
              <w:rPr>
                <w:rFonts w:hint="eastAsia" w:hAnsi="宋体"/>
                <w:szCs w:val="21"/>
              </w:rPr>
            </w:pPr>
            <w:r>
              <w:rPr>
                <w:rFonts w:hint="eastAsia" w:hAnsi="宋体"/>
                <w:szCs w:val="21"/>
              </w:rPr>
              <w:t>6.供应商具有履约能力服务评价体系认证的得1分；</w:t>
            </w:r>
          </w:p>
          <w:p w14:paraId="7DBE549C">
            <w:pPr>
              <w:spacing w:line="360" w:lineRule="exact"/>
              <w:jc w:val="left"/>
              <w:rPr>
                <w:szCs w:val="21"/>
              </w:rPr>
            </w:pPr>
            <w:r>
              <w:rPr>
                <w:rFonts w:hint="eastAsia" w:hAnsi="宋体"/>
                <w:szCs w:val="21"/>
              </w:rPr>
              <w:t>注：提供有效证书复印件或扫描件</w:t>
            </w:r>
            <w:r>
              <w:rPr>
                <w:rFonts w:hAnsi="宋体"/>
                <w:szCs w:val="21"/>
              </w:rPr>
              <w:t>并加盖公章，不提供不得分</w:t>
            </w:r>
            <w:r>
              <w:rPr>
                <w:rFonts w:hint="eastAsia" w:hAnsi="宋体"/>
                <w:szCs w:val="21"/>
              </w:rPr>
              <w:t>。</w:t>
            </w:r>
          </w:p>
        </w:tc>
      </w:tr>
      <w:tr w14:paraId="02B3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53" w:type="dxa"/>
            <w:tcBorders>
              <w:left w:val="single" w:color="auto" w:sz="4" w:space="0"/>
              <w:right w:val="single" w:color="auto" w:sz="4" w:space="0"/>
            </w:tcBorders>
            <w:vAlign w:val="center"/>
          </w:tcPr>
          <w:p w14:paraId="748E3118">
            <w:pPr>
              <w:spacing w:line="400" w:lineRule="exact"/>
              <w:jc w:val="center"/>
              <w:rPr>
                <w:rFonts w:hint="eastAsia" w:ascii="仿宋_GB2312" w:hAnsi="宋体" w:eastAsia="仿宋_GB2312"/>
                <w:szCs w:val="21"/>
              </w:rPr>
            </w:pPr>
            <w:r>
              <w:rPr>
                <w:rFonts w:hint="eastAsia" w:hAnsi="宋体"/>
                <w:szCs w:val="21"/>
              </w:rPr>
              <w:t>2</w:t>
            </w:r>
          </w:p>
        </w:tc>
        <w:tc>
          <w:tcPr>
            <w:tcW w:w="1208" w:type="dxa"/>
            <w:tcBorders>
              <w:left w:val="single" w:color="auto" w:sz="4" w:space="0"/>
              <w:right w:val="single" w:color="auto" w:sz="4" w:space="0"/>
            </w:tcBorders>
            <w:vAlign w:val="center"/>
          </w:tcPr>
          <w:p w14:paraId="56836C1E">
            <w:pPr>
              <w:jc w:val="center"/>
              <w:rPr>
                <w:rFonts w:hint="eastAsia" w:hAnsi="宋体"/>
                <w:szCs w:val="21"/>
              </w:rPr>
            </w:pPr>
            <w:r>
              <w:rPr>
                <w:rFonts w:hint="eastAsia" w:hAnsi="宋体"/>
                <w:szCs w:val="21"/>
              </w:rPr>
              <w:t>类似项目业绩</w:t>
            </w:r>
          </w:p>
          <w:p w14:paraId="47340421">
            <w:pPr>
              <w:jc w:val="center"/>
              <w:rPr>
                <w:rFonts w:hint="eastAsia" w:hAnsi="宋体"/>
              </w:rPr>
            </w:pPr>
            <w:r>
              <w:rPr>
                <w:rFonts w:hint="eastAsia" w:hAnsi="宋体"/>
                <w:szCs w:val="21"/>
              </w:rPr>
              <w:t>（3分）</w:t>
            </w:r>
          </w:p>
        </w:tc>
        <w:tc>
          <w:tcPr>
            <w:tcW w:w="6891" w:type="dxa"/>
            <w:tcBorders>
              <w:top w:val="single" w:color="auto" w:sz="4" w:space="0"/>
              <w:left w:val="single" w:color="auto" w:sz="4" w:space="0"/>
              <w:bottom w:val="single" w:color="auto" w:sz="4" w:space="0"/>
              <w:right w:val="single" w:color="auto" w:sz="4" w:space="0"/>
            </w:tcBorders>
            <w:vAlign w:val="center"/>
          </w:tcPr>
          <w:p w14:paraId="3F75C81A">
            <w:pPr>
              <w:spacing w:line="360" w:lineRule="exact"/>
              <w:jc w:val="left"/>
              <w:rPr>
                <w:rFonts w:hint="eastAsia" w:hAnsi="宋体"/>
                <w:szCs w:val="21"/>
              </w:rPr>
            </w:pPr>
            <w:r>
              <w:rPr>
                <w:rFonts w:hint="eastAsia" w:hAnsi="宋体"/>
                <w:szCs w:val="21"/>
              </w:rPr>
              <w:t>供应商2021年1月1日以来至投标截止日（以合同签订时间为准），承接过类似（</w:t>
            </w:r>
            <w:r>
              <w:rPr>
                <w:rFonts w:hAnsi="宋体"/>
                <w:szCs w:val="21"/>
              </w:rPr>
              <w:t>城乡清洁供水或农村饮用水自动化或农村饮用水信息化</w:t>
            </w:r>
            <w:r>
              <w:rPr>
                <w:rFonts w:hint="eastAsia" w:hAnsi="宋体"/>
                <w:szCs w:val="21"/>
              </w:rPr>
              <w:t>）项目业绩的，每个得0.5分，最高3分。</w:t>
            </w:r>
          </w:p>
          <w:p w14:paraId="5269C2E7">
            <w:pPr>
              <w:spacing w:line="360" w:lineRule="exact"/>
              <w:jc w:val="left"/>
            </w:pPr>
            <w:r>
              <w:rPr>
                <w:rFonts w:hint="eastAsia" w:hAnsi="宋体"/>
                <w:szCs w:val="21"/>
              </w:rPr>
              <w:t>注：提供中标通知书、项目合同及验收证明</w:t>
            </w:r>
            <w:r>
              <w:rPr>
                <w:rFonts w:hAnsi="宋体"/>
                <w:szCs w:val="21"/>
              </w:rPr>
              <w:t>复印件</w:t>
            </w:r>
            <w:r>
              <w:rPr>
                <w:rFonts w:hint="eastAsia" w:hAnsi="宋体"/>
                <w:szCs w:val="21"/>
              </w:rPr>
              <w:t>或扫描件</w:t>
            </w:r>
            <w:r>
              <w:rPr>
                <w:rFonts w:hAnsi="宋体"/>
                <w:szCs w:val="21"/>
              </w:rPr>
              <w:t>，并加盖公章</w:t>
            </w:r>
            <w:r>
              <w:rPr>
                <w:rFonts w:hint="eastAsia" w:hAnsi="宋体"/>
                <w:szCs w:val="21"/>
              </w:rPr>
              <w:t>。</w:t>
            </w:r>
          </w:p>
        </w:tc>
      </w:tr>
      <w:tr w14:paraId="40DC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853" w:type="dxa"/>
            <w:vMerge w:val="restart"/>
            <w:tcBorders>
              <w:top w:val="single" w:color="auto" w:sz="4" w:space="0"/>
              <w:left w:val="single" w:color="auto" w:sz="4" w:space="0"/>
              <w:right w:val="single" w:color="auto" w:sz="4" w:space="0"/>
            </w:tcBorders>
            <w:vAlign w:val="center"/>
          </w:tcPr>
          <w:p w14:paraId="2CBEAA85">
            <w:pPr>
              <w:pStyle w:val="81"/>
              <w:spacing w:line="400" w:lineRule="exact"/>
              <w:ind w:firstLine="0" w:firstLineChars="0"/>
              <w:jc w:val="center"/>
              <w:rPr>
                <w:rFonts w:hint="eastAsia"/>
                <w:sz w:val="21"/>
                <w:szCs w:val="21"/>
              </w:rPr>
            </w:pPr>
            <w:r>
              <w:rPr>
                <w:rFonts w:hint="eastAsia"/>
                <w:sz w:val="21"/>
                <w:szCs w:val="21"/>
              </w:rPr>
              <w:t>3</w:t>
            </w:r>
          </w:p>
        </w:tc>
        <w:tc>
          <w:tcPr>
            <w:tcW w:w="1208" w:type="dxa"/>
            <w:vMerge w:val="restart"/>
            <w:tcBorders>
              <w:top w:val="single" w:color="auto" w:sz="4" w:space="0"/>
              <w:left w:val="single" w:color="auto" w:sz="4" w:space="0"/>
              <w:right w:val="single" w:color="auto" w:sz="4" w:space="0"/>
            </w:tcBorders>
            <w:vAlign w:val="center"/>
          </w:tcPr>
          <w:p w14:paraId="62C5EBE8">
            <w:pPr>
              <w:jc w:val="center"/>
              <w:rPr>
                <w:rFonts w:hint="eastAsia" w:hAnsi="宋体"/>
                <w:szCs w:val="21"/>
              </w:rPr>
            </w:pPr>
            <w:r>
              <w:rPr>
                <w:rFonts w:hint="eastAsia" w:hAnsi="宋体"/>
                <w:szCs w:val="21"/>
              </w:rPr>
              <w:t>项目人员保障</w:t>
            </w:r>
          </w:p>
          <w:p w14:paraId="57378DC1">
            <w:pPr>
              <w:jc w:val="center"/>
              <w:rPr>
                <w:rFonts w:hint="eastAsia" w:hAnsi="宋体"/>
              </w:rPr>
            </w:pPr>
            <w:r>
              <w:rPr>
                <w:rFonts w:hint="eastAsia" w:hAnsi="宋体"/>
                <w:szCs w:val="21"/>
              </w:rPr>
              <w:t>（15分）</w:t>
            </w:r>
          </w:p>
        </w:tc>
        <w:tc>
          <w:tcPr>
            <w:tcW w:w="6891" w:type="dxa"/>
            <w:tcBorders>
              <w:top w:val="single" w:color="auto" w:sz="4" w:space="0"/>
              <w:left w:val="single" w:color="auto" w:sz="4" w:space="0"/>
              <w:bottom w:val="single" w:color="auto" w:sz="4" w:space="0"/>
              <w:right w:val="single" w:color="auto" w:sz="4" w:space="0"/>
            </w:tcBorders>
          </w:tcPr>
          <w:p w14:paraId="53062316">
            <w:pPr>
              <w:numPr>
                <w:ilvl w:val="0"/>
                <w:numId w:val="18"/>
              </w:numPr>
              <w:spacing w:line="360" w:lineRule="exact"/>
              <w:jc w:val="left"/>
              <w:rPr>
                <w:rFonts w:hint="eastAsia" w:hAnsi="宋体"/>
                <w:szCs w:val="21"/>
              </w:rPr>
            </w:pPr>
            <w:r>
              <w:rPr>
                <w:rFonts w:hint="eastAsia" w:hAnsi="宋体"/>
                <w:szCs w:val="21"/>
              </w:rPr>
              <w:t>项目负责人：</w:t>
            </w:r>
          </w:p>
          <w:p w14:paraId="090032B3">
            <w:pPr>
              <w:spacing w:line="360" w:lineRule="exact"/>
              <w:jc w:val="left"/>
              <w:rPr>
                <w:rFonts w:hint="eastAsia" w:hAnsi="宋体" w:cs="Times New Roman"/>
                <w:szCs w:val="21"/>
              </w:rPr>
            </w:pPr>
            <w:r>
              <w:rPr>
                <w:rFonts w:hint="eastAsia" w:hAnsi="宋体" w:cs="Times New Roman"/>
                <w:szCs w:val="21"/>
              </w:rPr>
              <w:t>（1）具有</w:t>
            </w:r>
            <w:r>
              <w:rPr>
                <w:rFonts w:hint="eastAsia" w:ascii="宋体" w:hAnsi="宋体" w:cs="宋体"/>
                <w:szCs w:val="21"/>
              </w:rPr>
              <w:t>水利水电工程专业</w:t>
            </w:r>
            <w:r>
              <w:rPr>
                <w:rFonts w:hint="eastAsia" w:hAnsi="宋体" w:cs="Times New Roman"/>
                <w:szCs w:val="21"/>
              </w:rPr>
              <w:t>注册一级建造师证的得2分，具有</w:t>
            </w:r>
            <w:r>
              <w:rPr>
                <w:rFonts w:hint="eastAsia" w:ascii="宋体" w:hAnsi="宋体" w:cs="宋体"/>
                <w:szCs w:val="21"/>
              </w:rPr>
              <w:t>水利水电工程专业</w:t>
            </w:r>
            <w:r>
              <w:rPr>
                <w:rFonts w:hint="eastAsia" w:hAnsi="宋体" w:cs="Times New Roman"/>
                <w:szCs w:val="21"/>
              </w:rPr>
              <w:t>注册二级建造师证的得1分；</w:t>
            </w:r>
          </w:p>
          <w:p w14:paraId="176985D9">
            <w:pPr>
              <w:spacing w:line="360" w:lineRule="exact"/>
              <w:jc w:val="left"/>
              <w:rPr>
                <w:rFonts w:hint="eastAsia" w:hAnsi="宋体" w:cs="Times New Roman"/>
                <w:szCs w:val="21"/>
              </w:rPr>
            </w:pPr>
            <w:r>
              <w:rPr>
                <w:rFonts w:hint="eastAsia" w:hAnsi="宋体" w:cs="Times New Roman"/>
                <w:szCs w:val="21"/>
              </w:rPr>
              <w:t>（2）具有水利工程信息化专业副高级工程师以上职称的得1分；</w:t>
            </w:r>
          </w:p>
          <w:p w14:paraId="24AE0D7D">
            <w:pPr>
              <w:spacing w:line="360" w:lineRule="exact"/>
              <w:jc w:val="left"/>
              <w:rPr>
                <w:rFonts w:hint="eastAsia" w:hAnsi="宋体" w:cs="Times New Roman"/>
                <w:szCs w:val="21"/>
              </w:rPr>
            </w:pPr>
            <w:r>
              <w:rPr>
                <w:rFonts w:hint="eastAsia" w:hAnsi="宋体" w:cs="Times New Roman"/>
                <w:szCs w:val="21"/>
              </w:rPr>
              <w:t>（3）具有高级信息系统项目管理师证书，得1分。</w:t>
            </w:r>
          </w:p>
          <w:p w14:paraId="2707A784">
            <w:pPr>
              <w:spacing w:line="360" w:lineRule="exact"/>
              <w:jc w:val="left"/>
              <w:rPr>
                <w:rFonts w:hint="eastAsia" w:hAnsi="宋体" w:cs="Times New Roman"/>
                <w:szCs w:val="21"/>
              </w:rPr>
            </w:pPr>
            <w:r>
              <w:rPr>
                <w:rFonts w:hint="eastAsia" w:hAnsi="宋体"/>
                <w:szCs w:val="21"/>
              </w:rPr>
              <w:t>本项最高分4分。</w:t>
            </w:r>
          </w:p>
          <w:p w14:paraId="168FCFAD">
            <w:pPr>
              <w:spacing w:line="360" w:lineRule="exact"/>
              <w:jc w:val="left"/>
              <w:rPr>
                <w:rFonts w:hint="eastAsia" w:hAnsi="宋体" w:cs="Times New Roman"/>
                <w:szCs w:val="21"/>
              </w:rPr>
            </w:pPr>
            <w:r>
              <w:rPr>
                <w:rFonts w:hint="eastAsia" w:hAnsi="宋体"/>
                <w:szCs w:val="21"/>
              </w:rPr>
              <w:t>注：提供相关人员建造师注册证书、职称证书、</w:t>
            </w:r>
            <w:r>
              <w:rPr>
                <w:rFonts w:hint="eastAsia" w:hAnsi="宋体" w:cs="Times New Roman"/>
                <w:szCs w:val="21"/>
              </w:rPr>
              <w:t>管理师证书</w:t>
            </w:r>
            <w:r>
              <w:rPr>
                <w:rFonts w:hint="eastAsia" w:hAnsi="宋体"/>
                <w:szCs w:val="21"/>
              </w:rPr>
              <w:t>及</w:t>
            </w:r>
            <w:r>
              <w:rPr>
                <w:rFonts w:hint="eastAsia" w:hAnsi="宋体" w:cs="Times New Roman"/>
                <w:szCs w:val="21"/>
              </w:rPr>
              <w:t>供应商为其缴纳的近6月社保证明资料</w:t>
            </w:r>
            <w:r>
              <w:rPr>
                <w:rFonts w:hint="eastAsia" w:hAnsi="宋体"/>
                <w:szCs w:val="21"/>
              </w:rPr>
              <w:t>，相关资料复印件（或扫描件）编入投标文件，否则不得分。</w:t>
            </w:r>
          </w:p>
        </w:tc>
      </w:tr>
      <w:tr w14:paraId="5918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853" w:type="dxa"/>
            <w:vMerge w:val="continue"/>
            <w:tcBorders>
              <w:left w:val="single" w:color="auto" w:sz="4" w:space="0"/>
              <w:right w:val="single" w:color="auto" w:sz="4" w:space="0"/>
            </w:tcBorders>
            <w:vAlign w:val="center"/>
          </w:tcPr>
          <w:p w14:paraId="421F8EDE">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0FCD6B93">
            <w:pPr>
              <w:jc w:val="center"/>
              <w:rPr>
                <w:rFonts w:hint="eastAsia" w:hAnsi="宋体"/>
                <w:szCs w:val="21"/>
              </w:rPr>
            </w:pPr>
          </w:p>
        </w:tc>
        <w:tc>
          <w:tcPr>
            <w:tcW w:w="6891" w:type="dxa"/>
            <w:tcBorders>
              <w:top w:val="single" w:color="auto" w:sz="4" w:space="0"/>
              <w:left w:val="single" w:color="auto" w:sz="4" w:space="0"/>
              <w:bottom w:val="single" w:color="auto" w:sz="4" w:space="0"/>
              <w:right w:val="single" w:color="auto" w:sz="4" w:space="0"/>
            </w:tcBorders>
          </w:tcPr>
          <w:p w14:paraId="67F3E80F">
            <w:pPr>
              <w:numPr>
                <w:ilvl w:val="0"/>
                <w:numId w:val="18"/>
              </w:numPr>
              <w:spacing w:line="360" w:lineRule="exact"/>
              <w:jc w:val="left"/>
              <w:rPr>
                <w:rFonts w:hint="eastAsia" w:hAnsi="宋体"/>
                <w:szCs w:val="21"/>
              </w:rPr>
            </w:pPr>
            <w:r>
              <w:rPr>
                <w:rFonts w:hAnsi="宋体"/>
                <w:szCs w:val="21"/>
              </w:rPr>
              <w:t>拟派技术负责人</w:t>
            </w:r>
            <w:r>
              <w:rPr>
                <w:rFonts w:hint="eastAsia" w:hAnsi="宋体"/>
                <w:szCs w:val="21"/>
              </w:rPr>
              <w:t>：</w:t>
            </w:r>
          </w:p>
          <w:p w14:paraId="5A25B852">
            <w:pPr>
              <w:numPr>
                <w:ilvl w:val="0"/>
                <w:numId w:val="19"/>
              </w:numPr>
              <w:spacing w:line="360" w:lineRule="exact"/>
              <w:jc w:val="left"/>
              <w:rPr>
                <w:rFonts w:hint="eastAsia" w:hAnsi="宋体"/>
                <w:szCs w:val="21"/>
              </w:rPr>
            </w:pPr>
            <w:r>
              <w:rPr>
                <w:rFonts w:hAnsi="宋体"/>
                <w:szCs w:val="21"/>
              </w:rPr>
              <w:t>具有</w:t>
            </w:r>
            <w:r>
              <w:rPr>
                <w:rFonts w:hint="eastAsia" w:hAnsi="宋体"/>
                <w:szCs w:val="21"/>
              </w:rPr>
              <w:t>市政专业注册一级建造师证的得2分，具有市政工程专业注册二级建造师证的得1分；</w:t>
            </w:r>
          </w:p>
          <w:p w14:paraId="562A9FAF">
            <w:pPr>
              <w:numPr>
                <w:ilvl w:val="0"/>
                <w:numId w:val="19"/>
              </w:numPr>
              <w:spacing w:line="360" w:lineRule="exact"/>
              <w:jc w:val="left"/>
              <w:rPr>
                <w:rFonts w:hint="eastAsia" w:hAnsi="宋体"/>
                <w:szCs w:val="21"/>
              </w:rPr>
            </w:pPr>
            <w:r>
              <w:rPr>
                <w:rFonts w:hAnsi="宋体"/>
                <w:szCs w:val="21"/>
              </w:rPr>
              <w:t>具有</w:t>
            </w:r>
            <w:r>
              <w:rPr>
                <w:rFonts w:hint="eastAsia" w:hAnsi="宋体"/>
                <w:szCs w:val="21"/>
              </w:rPr>
              <w:t>通信工程设计专业高级工程师证书</w:t>
            </w:r>
            <w:r>
              <w:rPr>
                <w:rFonts w:hAnsi="宋体"/>
                <w:szCs w:val="21"/>
              </w:rPr>
              <w:t>的得</w:t>
            </w:r>
            <w:r>
              <w:rPr>
                <w:rFonts w:hint="eastAsia" w:hAnsi="宋体"/>
                <w:szCs w:val="21"/>
              </w:rPr>
              <w:t>1</w:t>
            </w:r>
            <w:r>
              <w:rPr>
                <w:rFonts w:hAnsi="宋体"/>
                <w:szCs w:val="21"/>
              </w:rPr>
              <w:t>分</w:t>
            </w:r>
            <w:r>
              <w:rPr>
                <w:rFonts w:hint="eastAsia" w:hAnsi="宋体"/>
                <w:szCs w:val="21"/>
              </w:rPr>
              <w:t>。</w:t>
            </w:r>
          </w:p>
          <w:p w14:paraId="35172018">
            <w:pPr>
              <w:spacing w:line="360" w:lineRule="exact"/>
              <w:jc w:val="left"/>
              <w:rPr>
                <w:rFonts w:hint="eastAsia" w:hAnsi="宋体"/>
                <w:szCs w:val="21"/>
              </w:rPr>
            </w:pPr>
            <w:r>
              <w:rPr>
                <w:rFonts w:hint="eastAsia" w:hAnsi="宋体"/>
                <w:szCs w:val="21"/>
              </w:rPr>
              <w:t>（3）具有</w:t>
            </w:r>
            <w:r>
              <w:rPr>
                <w:rFonts w:hAnsi="宋体"/>
                <w:szCs w:val="21"/>
              </w:rPr>
              <w:t>信息系统项目管理师</w:t>
            </w:r>
            <w:r>
              <w:rPr>
                <w:rFonts w:hint="eastAsia" w:hAnsi="宋体"/>
                <w:szCs w:val="21"/>
              </w:rPr>
              <w:t>证书，得1分。</w:t>
            </w:r>
          </w:p>
          <w:p w14:paraId="032B5C38">
            <w:pPr>
              <w:spacing w:line="360" w:lineRule="exact"/>
              <w:jc w:val="left"/>
              <w:rPr>
                <w:rFonts w:hint="eastAsia" w:hAnsi="宋体"/>
                <w:szCs w:val="21"/>
              </w:rPr>
            </w:pPr>
            <w:r>
              <w:rPr>
                <w:rFonts w:hint="eastAsia" w:hAnsi="宋体"/>
                <w:szCs w:val="21"/>
              </w:rPr>
              <w:t>注：提供相关人员建造师注册证书、职称证书及</w:t>
            </w:r>
            <w:r>
              <w:rPr>
                <w:rFonts w:hint="eastAsia" w:hAnsi="宋体" w:cs="Times New Roman"/>
                <w:szCs w:val="21"/>
              </w:rPr>
              <w:t>供应商为其缴纳的近6个月社保证明资料</w:t>
            </w:r>
            <w:r>
              <w:rPr>
                <w:rFonts w:hint="eastAsia" w:hAnsi="宋体"/>
                <w:szCs w:val="21"/>
              </w:rPr>
              <w:t>，相关资料复印件（或扫描件）编入投标文件，否则不得分。</w:t>
            </w:r>
          </w:p>
        </w:tc>
      </w:tr>
      <w:tr w14:paraId="2060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53" w:type="dxa"/>
            <w:vMerge w:val="continue"/>
            <w:tcBorders>
              <w:left w:val="single" w:color="auto" w:sz="4" w:space="0"/>
              <w:right w:val="single" w:color="auto" w:sz="4" w:space="0"/>
            </w:tcBorders>
            <w:vAlign w:val="center"/>
          </w:tcPr>
          <w:p w14:paraId="5C97F86B">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207C084D">
            <w:pPr>
              <w:jc w:val="center"/>
              <w:rPr>
                <w:rFonts w:hint="eastAsia" w:hAnsi="宋体"/>
                <w:szCs w:val="21"/>
              </w:rPr>
            </w:pPr>
          </w:p>
        </w:tc>
        <w:tc>
          <w:tcPr>
            <w:tcW w:w="6891" w:type="dxa"/>
            <w:tcBorders>
              <w:top w:val="single" w:color="auto" w:sz="4" w:space="0"/>
              <w:left w:val="single" w:color="auto" w:sz="4" w:space="0"/>
              <w:bottom w:val="single" w:color="auto" w:sz="4" w:space="0"/>
              <w:right w:val="single" w:color="auto" w:sz="4" w:space="0"/>
            </w:tcBorders>
          </w:tcPr>
          <w:p w14:paraId="19A6C430">
            <w:pPr>
              <w:spacing w:line="360" w:lineRule="exact"/>
              <w:jc w:val="left"/>
              <w:rPr>
                <w:rFonts w:hint="eastAsia" w:hAnsi="宋体"/>
                <w:szCs w:val="21"/>
              </w:rPr>
            </w:pPr>
            <w:r>
              <w:rPr>
                <w:rFonts w:hint="eastAsia" w:hAnsi="宋体"/>
                <w:szCs w:val="21"/>
              </w:rPr>
              <w:t>3.项目部其他人员（项目负责人和技术负责人以外）</w:t>
            </w:r>
          </w:p>
          <w:p w14:paraId="2B3B4C9E">
            <w:pPr>
              <w:spacing w:line="360" w:lineRule="exact"/>
              <w:jc w:val="left"/>
              <w:rPr>
                <w:rFonts w:hint="eastAsia" w:hAnsi="宋体"/>
                <w:szCs w:val="21"/>
              </w:rPr>
            </w:pPr>
            <w:r>
              <w:rPr>
                <w:rFonts w:hint="eastAsia" w:hAnsi="宋体"/>
                <w:szCs w:val="21"/>
              </w:rPr>
              <w:t>（1）</w:t>
            </w:r>
            <w:r>
              <w:rPr>
                <w:rFonts w:hAnsi="宋体"/>
                <w:szCs w:val="21"/>
              </w:rPr>
              <w:t>具有水利</w:t>
            </w:r>
            <w:r>
              <w:rPr>
                <w:rFonts w:hint="eastAsia" w:hAnsi="宋体"/>
                <w:szCs w:val="21"/>
              </w:rPr>
              <w:t>工程安全研究</w:t>
            </w:r>
            <w:r>
              <w:rPr>
                <w:rFonts w:hAnsi="宋体"/>
                <w:szCs w:val="21"/>
              </w:rPr>
              <w:t>专业、水</w:t>
            </w:r>
            <w:r>
              <w:rPr>
                <w:rFonts w:hint="eastAsia" w:hAnsi="宋体"/>
                <w:szCs w:val="21"/>
              </w:rPr>
              <w:t>资源管理</w:t>
            </w:r>
            <w:r>
              <w:rPr>
                <w:rFonts w:hAnsi="宋体"/>
                <w:szCs w:val="21"/>
              </w:rPr>
              <w:t>专业、水利信息及自动化专业</w:t>
            </w:r>
            <w:r>
              <w:rPr>
                <w:rFonts w:hint="eastAsia" w:hAnsi="宋体"/>
                <w:szCs w:val="21"/>
              </w:rPr>
              <w:t>、电子工程等与合同履约有关的专业人员</w:t>
            </w:r>
            <w:r>
              <w:rPr>
                <w:rFonts w:hAnsi="宋体"/>
                <w:szCs w:val="21"/>
              </w:rPr>
              <w:t>，</w:t>
            </w:r>
            <w:r>
              <w:rPr>
                <w:rFonts w:hint="eastAsia" w:hAnsi="宋体"/>
                <w:szCs w:val="21"/>
              </w:rPr>
              <w:t>每类专业人员具有</w:t>
            </w:r>
            <w:r>
              <w:rPr>
                <w:rFonts w:hAnsi="宋体"/>
                <w:szCs w:val="21"/>
              </w:rPr>
              <w:t>中级职称的得</w:t>
            </w:r>
            <w:r>
              <w:rPr>
                <w:rFonts w:hint="eastAsia" w:hAnsi="宋体"/>
                <w:szCs w:val="21"/>
              </w:rPr>
              <w:t>0.5</w:t>
            </w:r>
            <w:r>
              <w:rPr>
                <w:rFonts w:hAnsi="宋体"/>
                <w:szCs w:val="21"/>
              </w:rPr>
              <w:t>分，具有副高级职称及以上的得</w:t>
            </w:r>
            <w:r>
              <w:rPr>
                <w:rFonts w:hint="eastAsia" w:hAnsi="宋体"/>
                <w:szCs w:val="21"/>
              </w:rPr>
              <w:t>1</w:t>
            </w:r>
            <w:r>
              <w:rPr>
                <w:rFonts w:hAnsi="宋体"/>
                <w:szCs w:val="21"/>
              </w:rPr>
              <w:t>分，</w:t>
            </w:r>
            <w:r>
              <w:rPr>
                <w:rFonts w:hint="eastAsia" w:hAnsi="宋体"/>
                <w:szCs w:val="21"/>
              </w:rPr>
              <w:t>一个专业最高可得1</w:t>
            </w:r>
            <w:r>
              <w:rPr>
                <w:rFonts w:hAnsi="宋体"/>
                <w:szCs w:val="21"/>
              </w:rPr>
              <w:t>分，本项最高得</w:t>
            </w:r>
            <w:r>
              <w:rPr>
                <w:rFonts w:hint="eastAsia" w:hAnsi="宋体"/>
                <w:szCs w:val="21"/>
              </w:rPr>
              <w:t>4</w:t>
            </w:r>
            <w:r>
              <w:rPr>
                <w:rFonts w:hAnsi="宋体"/>
                <w:szCs w:val="21"/>
              </w:rPr>
              <w:t>分；</w:t>
            </w:r>
          </w:p>
          <w:p w14:paraId="35E3F217">
            <w:pPr>
              <w:spacing w:line="360" w:lineRule="exact"/>
              <w:jc w:val="left"/>
              <w:rPr>
                <w:rFonts w:hint="eastAsia" w:hAnsi="宋体"/>
                <w:szCs w:val="21"/>
              </w:rPr>
            </w:pPr>
            <w:r>
              <w:rPr>
                <w:rFonts w:hint="eastAsia" w:hAnsi="宋体"/>
                <w:szCs w:val="21"/>
              </w:rPr>
              <w:t>（2）具</w:t>
            </w:r>
            <w:r>
              <w:rPr>
                <w:rFonts w:hAnsi="宋体"/>
                <w:szCs w:val="21"/>
              </w:rPr>
              <w:t>有</w:t>
            </w:r>
            <w:r>
              <w:rPr>
                <w:rFonts w:hint="eastAsia" w:hAnsi="宋体"/>
                <w:szCs w:val="21"/>
              </w:rPr>
              <w:t>系统架构设计师、系统分析师、网络安全能力认证CCSC、注册安全工程师、</w:t>
            </w:r>
            <w:r>
              <w:rPr>
                <w:rFonts w:hAnsi="宋体"/>
                <w:szCs w:val="21"/>
              </w:rPr>
              <w:t>电子测试专业工程师</w:t>
            </w:r>
            <w:r>
              <w:rPr>
                <w:rFonts w:hint="eastAsia" w:hAnsi="宋体"/>
                <w:szCs w:val="21"/>
              </w:rPr>
              <w:t>、村镇供水工</w:t>
            </w:r>
            <w:r>
              <w:rPr>
                <w:rFonts w:hAnsi="宋体"/>
                <w:szCs w:val="21"/>
              </w:rPr>
              <w:t>证书的，每类人员得</w:t>
            </w:r>
            <w:r>
              <w:rPr>
                <w:rFonts w:hint="eastAsia" w:hAnsi="宋体"/>
                <w:szCs w:val="21"/>
              </w:rPr>
              <w:t>0.5</w:t>
            </w:r>
            <w:r>
              <w:rPr>
                <w:rFonts w:hAnsi="宋体"/>
                <w:szCs w:val="21"/>
              </w:rPr>
              <w:t>分，最高得</w:t>
            </w:r>
            <w:r>
              <w:rPr>
                <w:rFonts w:hint="eastAsia" w:hAnsi="宋体"/>
                <w:szCs w:val="21"/>
              </w:rPr>
              <w:t>3</w:t>
            </w:r>
            <w:r>
              <w:rPr>
                <w:rFonts w:hAnsi="宋体"/>
                <w:szCs w:val="21"/>
              </w:rPr>
              <w:t>分。</w:t>
            </w:r>
          </w:p>
          <w:p w14:paraId="0E47634B">
            <w:pPr>
              <w:spacing w:line="360" w:lineRule="exact"/>
              <w:jc w:val="left"/>
              <w:rPr>
                <w:rFonts w:hint="eastAsia" w:hAnsi="宋体"/>
                <w:szCs w:val="21"/>
              </w:rPr>
            </w:pPr>
            <w:r>
              <w:rPr>
                <w:rFonts w:hint="eastAsia" w:hAnsi="宋体"/>
                <w:szCs w:val="21"/>
              </w:rPr>
              <w:t>注：提供相关人员职称证书复印件（或扫描件）</w:t>
            </w:r>
            <w:r>
              <w:rPr>
                <w:rFonts w:hint="eastAsia" w:hAnsi="宋体" w:cs="Times New Roman"/>
                <w:szCs w:val="21"/>
              </w:rPr>
              <w:t>及供应商为其缴纳的近6个月社保证明</w:t>
            </w:r>
            <w:r>
              <w:rPr>
                <w:rFonts w:hint="eastAsia" w:hAnsi="宋体"/>
                <w:szCs w:val="21"/>
              </w:rPr>
              <w:t>，相关资料复印件（或扫描件）编入投标文件，否则不得分。同一人不能重复得分。</w:t>
            </w:r>
          </w:p>
        </w:tc>
      </w:tr>
      <w:tr w14:paraId="37F6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53" w:type="dxa"/>
            <w:tcBorders>
              <w:top w:val="single" w:color="auto" w:sz="4" w:space="0"/>
              <w:left w:val="single" w:color="auto" w:sz="4" w:space="0"/>
              <w:right w:val="single" w:color="auto" w:sz="4" w:space="0"/>
            </w:tcBorders>
            <w:vAlign w:val="center"/>
          </w:tcPr>
          <w:p w14:paraId="7FCB3AB4">
            <w:pPr>
              <w:pStyle w:val="81"/>
              <w:spacing w:line="400" w:lineRule="exact"/>
              <w:ind w:firstLine="0" w:firstLineChars="0"/>
              <w:jc w:val="center"/>
              <w:rPr>
                <w:rFonts w:hint="eastAsia"/>
                <w:sz w:val="21"/>
                <w:szCs w:val="21"/>
              </w:rPr>
            </w:pPr>
            <w:r>
              <w:rPr>
                <w:rFonts w:hint="eastAsia"/>
                <w:sz w:val="21"/>
                <w:szCs w:val="21"/>
              </w:rPr>
              <w:t>4</w:t>
            </w:r>
          </w:p>
        </w:tc>
        <w:tc>
          <w:tcPr>
            <w:tcW w:w="1208" w:type="dxa"/>
            <w:tcBorders>
              <w:top w:val="single" w:color="auto" w:sz="4" w:space="0"/>
              <w:left w:val="single" w:color="auto" w:sz="4" w:space="0"/>
              <w:right w:val="single" w:color="auto" w:sz="4" w:space="0"/>
            </w:tcBorders>
            <w:vAlign w:val="center"/>
          </w:tcPr>
          <w:p w14:paraId="4BC8D778">
            <w:pPr>
              <w:jc w:val="center"/>
              <w:rPr>
                <w:rFonts w:hint="eastAsia" w:hAnsi="宋体"/>
                <w:szCs w:val="21"/>
              </w:rPr>
            </w:pPr>
            <w:r>
              <w:rPr>
                <w:rFonts w:hint="eastAsia" w:hAnsi="宋体"/>
                <w:szCs w:val="21"/>
              </w:rPr>
              <w:t>投标货物的性能及技术指标（20分）</w:t>
            </w:r>
          </w:p>
        </w:tc>
        <w:tc>
          <w:tcPr>
            <w:tcW w:w="6891" w:type="dxa"/>
            <w:tcBorders>
              <w:top w:val="single" w:color="auto" w:sz="4" w:space="0"/>
              <w:left w:val="single" w:color="auto" w:sz="4" w:space="0"/>
              <w:right w:val="single" w:color="auto" w:sz="4" w:space="0"/>
            </w:tcBorders>
          </w:tcPr>
          <w:p w14:paraId="4E831D18">
            <w:pPr>
              <w:spacing w:line="360" w:lineRule="exact"/>
              <w:jc w:val="left"/>
            </w:pPr>
            <w:r>
              <w:rPr>
                <w:rFonts w:hAnsi="宋体" w:cs="Times New Roman"/>
                <w:szCs w:val="21"/>
              </w:rPr>
              <w:t>“</w:t>
            </w:r>
            <w:r>
              <w:rPr>
                <w:rFonts w:hint="eastAsia"/>
              </w:rPr>
              <w:t>详细清单</w:t>
            </w:r>
            <w:r>
              <w:rPr>
                <w:rFonts w:hAnsi="宋体" w:cs="Times New Roman"/>
                <w:szCs w:val="21"/>
              </w:rPr>
              <w:t>”中所投产品对带“★”的技术参数属负偏离或缺漏项的每小项扣</w:t>
            </w:r>
            <w:r>
              <w:rPr>
                <w:rFonts w:hint="eastAsia" w:hAnsi="宋体" w:cs="Times New Roman"/>
                <w:szCs w:val="21"/>
              </w:rPr>
              <w:t>2</w:t>
            </w:r>
            <w:r>
              <w:rPr>
                <w:rFonts w:hAnsi="宋体" w:cs="Times New Roman"/>
                <w:szCs w:val="21"/>
              </w:rPr>
              <w:t>分，不带“★”的技术参数属负偏离或缺漏项的每小项扣</w:t>
            </w:r>
            <w:r>
              <w:rPr>
                <w:rFonts w:hint="eastAsia" w:hAnsi="宋体" w:cs="Times New Roman"/>
                <w:szCs w:val="21"/>
              </w:rPr>
              <w:t>1</w:t>
            </w:r>
            <w:r>
              <w:rPr>
                <w:rFonts w:hAnsi="宋体" w:cs="Times New Roman"/>
                <w:szCs w:val="21"/>
              </w:rPr>
              <w:t>分，扣完为止。</w:t>
            </w:r>
          </w:p>
        </w:tc>
      </w:tr>
      <w:tr w14:paraId="1147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53" w:type="dxa"/>
            <w:vMerge w:val="restart"/>
            <w:tcBorders>
              <w:left w:val="single" w:color="auto" w:sz="4" w:space="0"/>
              <w:right w:val="single" w:color="auto" w:sz="4" w:space="0"/>
            </w:tcBorders>
            <w:vAlign w:val="center"/>
          </w:tcPr>
          <w:p w14:paraId="6329DA18">
            <w:pPr>
              <w:pStyle w:val="81"/>
              <w:spacing w:line="400" w:lineRule="exact"/>
              <w:ind w:firstLine="0" w:firstLineChars="0"/>
              <w:jc w:val="center"/>
              <w:rPr>
                <w:rFonts w:hint="eastAsia"/>
                <w:sz w:val="21"/>
                <w:szCs w:val="21"/>
              </w:rPr>
            </w:pPr>
            <w:r>
              <w:rPr>
                <w:rFonts w:hint="eastAsia"/>
                <w:sz w:val="21"/>
                <w:szCs w:val="21"/>
              </w:rPr>
              <w:t>5</w:t>
            </w:r>
          </w:p>
        </w:tc>
        <w:tc>
          <w:tcPr>
            <w:tcW w:w="1208" w:type="dxa"/>
            <w:vMerge w:val="restart"/>
            <w:tcBorders>
              <w:left w:val="single" w:color="auto" w:sz="4" w:space="0"/>
              <w:right w:val="single" w:color="auto" w:sz="4" w:space="0"/>
            </w:tcBorders>
            <w:vAlign w:val="center"/>
          </w:tcPr>
          <w:p w14:paraId="0730B74F">
            <w:pPr>
              <w:jc w:val="center"/>
              <w:rPr>
                <w:rFonts w:hint="eastAsia" w:hAnsi="宋体"/>
                <w:szCs w:val="21"/>
              </w:rPr>
            </w:pPr>
            <w:r>
              <w:rPr>
                <w:rFonts w:hint="eastAsia" w:hAnsi="宋体"/>
                <w:szCs w:val="21"/>
              </w:rPr>
              <w:t>项目实施方案</w:t>
            </w:r>
          </w:p>
          <w:p w14:paraId="2E5928B1">
            <w:pPr>
              <w:jc w:val="center"/>
              <w:rPr>
                <w:rFonts w:hint="eastAsia" w:hAnsi="宋体"/>
              </w:rPr>
            </w:pPr>
            <w:r>
              <w:rPr>
                <w:rFonts w:hint="eastAsia" w:hAnsi="宋体"/>
                <w:szCs w:val="21"/>
              </w:rPr>
              <w:t>（1</w:t>
            </w:r>
            <w:r>
              <w:rPr>
                <w:rFonts w:hint="eastAsia" w:hAnsi="宋体"/>
                <w:szCs w:val="21"/>
                <w:lang w:val="en-US" w:eastAsia="zh-CN"/>
              </w:rPr>
              <w:t>6</w:t>
            </w:r>
            <w:r>
              <w:rPr>
                <w:rFonts w:hint="eastAsia" w:hAnsi="宋体"/>
                <w:szCs w:val="21"/>
              </w:rPr>
              <w:t>分）</w:t>
            </w:r>
          </w:p>
        </w:tc>
        <w:tc>
          <w:tcPr>
            <w:tcW w:w="6891" w:type="dxa"/>
            <w:tcBorders>
              <w:top w:val="single" w:color="auto" w:sz="4" w:space="0"/>
              <w:left w:val="single" w:color="auto" w:sz="4" w:space="0"/>
              <w:bottom w:val="single" w:color="auto" w:sz="4" w:space="0"/>
              <w:right w:val="single" w:color="auto" w:sz="4" w:space="0"/>
            </w:tcBorders>
          </w:tcPr>
          <w:p w14:paraId="7119F406">
            <w:pPr>
              <w:spacing w:line="360" w:lineRule="exact"/>
              <w:jc w:val="left"/>
            </w:pPr>
            <w:r>
              <w:rPr>
                <w:rFonts w:hAnsi="宋体"/>
                <w:szCs w:val="21"/>
              </w:rPr>
              <w:t>1.根据</w:t>
            </w:r>
            <w:r>
              <w:rPr>
                <w:rFonts w:hint="eastAsia" w:hAnsi="宋体"/>
                <w:szCs w:val="21"/>
              </w:rPr>
              <w:t>供应商</w:t>
            </w:r>
            <w:r>
              <w:rPr>
                <w:rFonts w:hAnsi="宋体"/>
                <w:szCs w:val="21"/>
              </w:rPr>
              <w:t>针对</w:t>
            </w:r>
            <w:r>
              <w:rPr>
                <w:rFonts w:hint="eastAsia" w:hAnsi="宋体"/>
                <w:szCs w:val="21"/>
              </w:rPr>
              <w:t>宁海县</w:t>
            </w:r>
            <w:r>
              <w:rPr>
                <w:rFonts w:hAnsi="宋体"/>
                <w:szCs w:val="21"/>
              </w:rPr>
              <w:t>农村供水</w:t>
            </w:r>
            <w:r>
              <w:rPr>
                <w:rFonts w:hint="eastAsia" w:hAnsi="宋体"/>
                <w:szCs w:val="21"/>
              </w:rPr>
              <w:t>站</w:t>
            </w:r>
            <w:r>
              <w:rPr>
                <w:rFonts w:hAnsi="宋体"/>
                <w:szCs w:val="21"/>
              </w:rPr>
              <w:t>工程数字化建设现状、本项目农村供水站现状、存在的问题和服务的难点要点等问题进行调查剖析打分。</w:t>
            </w:r>
            <w:r>
              <w:rPr>
                <w:rFonts w:hint="eastAsia" w:hAnsi="宋体"/>
                <w:szCs w:val="21"/>
              </w:rPr>
              <w:t>（3分）</w:t>
            </w:r>
          </w:p>
        </w:tc>
      </w:tr>
      <w:tr w14:paraId="636C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3" w:type="dxa"/>
            <w:vMerge w:val="continue"/>
            <w:tcBorders>
              <w:left w:val="single" w:color="auto" w:sz="4" w:space="0"/>
              <w:right w:val="single" w:color="auto" w:sz="4" w:space="0"/>
            </w:tcBorders>
            <w:vAlign w:val="center"/>
          </w:tcPr>
          <w:p w14:paraId="6EF9E4A6">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20A91506">
            <w:pPr>
              <w:jc w:val="center"/>
              <w:rPr>
                <w:rFonts w:hint="eastAsia" w:hAnsi="宋体"/>
                <w:szCs w:val="21"/>
              </w:rPr>
            </w:pPr>
          </w:p>
        </w:tc>
        <w:tc>
          <w:tcPr>
            <w:tcW w:w="6891" w:type="dxa"/>
            <w:tcBorders>
              <w:top w:val="single" w:color="auto" w:sz="4" w:space="0"/>
              <w:left w:val="single" w:color="auto" w:sz="4" w:space="0"/>
              <w:bottom w:val="single" w:color="auto" w:sz="4" w:space="0"/>
              <w:right w:val="single" w:color="auto" w:sz="4" w:space="0"/>
            </w:tcBorders>
          </w:tcPr>
          <w:p w14:paraId="10E07B8E">
            <w:pPr>
              <w:spacing w:line="360" w:lineRule="exact"/>
              <w:jc w:val="left"/>
            </w:pPr>
            <w:r>
              <w:rPr>
                <w:rFonts w:hint="eastAsia" w:hAnsi="宋体"/>
                <w:szCs w:val="21"/>
              </w:rPr>
              <w:t>2.根据供应商提供的硬件基础设施建设方案的全面性、可行性及针对性进行打分。（</w:t>
            </w:r>
            <w:r>
              <w:rPr>
                <w:rFonts w:hint="eastAsia" w:hAnsi="宋体"/>
                <w:szCs w:val="21"/>
                <w:lang w:val="en-US" w:eastAsia="zh-CN"/>
              </w:rPr>
              <w:t>3</w:t>
            </w:r>
            <w:r>
              <w:rPr>
                <w:rFonts w:hint="eastAsia" w:hAnsi="宋体"/>
                <w:szCs w:val="21"/>
              </w:rPr>
              <w:t>分）</w:t>
            </w:r>
          </w:p>
        </w:tc>
      </w:tr>
      <w:tr w14:paraId="6113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3" w:type="dxa"/>
            <w:vMerge w:val="continue"/>
            <w:tcBorders>
              <w:left w:val="single" w:color="auto" w:sz="4" w:space="0"/>
              <w:right w:val="single" w:color="auto" w:sz="4" w:space="0"/>
            </w:tcBorders>
            <w:vAlign w:val="center"/>
          </w:tcPr>
          <w:p w14:paraId="3101CED8">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529D71B5">
            <w:pPr>
              <w:jc w:val="center"/>
              <w:rPr>
                <w:rFonts w:hint="eastAsia" w:hAnsi="宋体"/>
                <w:szCs w:val="21"/>
              </w:rPr>
            </w:pPr>
          </w:p>
        </w:tc>
        <w:tc>
          <w:tcPr>
            <w:tcW w:w="6891" w:type="dxa"/>
            <w:tcBorders>
              <w:top w:val="single" w:color="auto" w:sz="4" w:space="0"/>
              <w:left w:val="single" w:color="auto" w:sz="4" w:space="0"/>
              <w:bottom w:val="single" w:color="auto" w:sz="4" w:space="0"/>
              <w:right w:val="single" w:color="auto" w:sz="4" w:space="0"/>
            </w:tcBorders>
          </w:tcPr>
          <w:p w14:paraId="0D5C6BBE">
            <w:pPr>
              <w:spacing w:line="360" w:lineRule="exact"/>
              <w:jc w:val="left"/>
            </w:pPr>
            <w:r>
              <w:rPr>
                <w:rFonts w:hint="eastAsia" w:hAnsi="宋体"/>
                <w:szCs w:val="21"/>
              </w:rPr>
              <w:t>3.根据供应商提供的智慧供水一体化平台建设方案的可行性及针对性进行打分。（3分）</w:t>
            </w:r>
          </w:p>
        </w:tc>
      </w:tr>
      <w:tr w14:paraId="1738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3" w:type="dxa"/>
            <w:vMerge w:val="continue"/>
            <w:tcBorders>
              <w:left w:val="single" w:color="auto" w:sz="4" w:space="0"/>
              <w:right w:val="single" w:color="auto" w:sz="4" w:space="0"/>
            </w:tcBorders>
            <w:vAlign w:val="center"/>
          </w:tcPr>
          <w:p w14:paraId="0BB6E047">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770DF25D">
            <w:pPr>
              <w:jc w:val="center"/>
              <w:rPr>
                <w:rFonts w:hint="eastAsia" w:ascii="仿宋" w:hAnsi="仿宋" w:eastAsia="仿宋"/>
              </w:rPr>
            </w:pPr>
          </w:p>
        </w:tc>
        <w:tc>
          <w:tcPr>
            <w:tcW w:w="6891" w:type="dxa"/>
            <w:tcBorders>
              <w:top w:val="single" w:color="auto" w:sz="4" w:space="0"/>
              <w:left w:val="single" w:color="auto" w:sz="4" w:space="0"/>
              <w:bottom w:val="single" w:color="auto" w:sz="4" w:space="0"/>
              <w:right w:val="single" w:color="auto" w:sz="4" w:space="0"/>
            </w:tcBorders>
          </w:tcPr>
          <w:p w14:paraId="18A85A03">
            <w:pPr>
              <w:spacing w:line="360" w:lineRule="exact"/>
              <w:jc w:val="left"/>
            </w:pPr>
            <w:r>
              <w:rPr>
                <w:rFonts w:hint="eastAsia" w:hAnsi="宋体"/>
                <w:szCs w:val="21"/>
              </w:rPr>
              <w:t>4.根据供应商提供的水资源监测预报应用建设方案的可行性及针对性进行打分。（3分）</w:t>
            </w:r>
          </w:p>
        </w:tc>
      </w:tr>
      <w:tr w14:paraId="241C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3" w:type="dxa"/>
            <w:vMerge w:val="continue"/>
            <w:tcBorders>
              <w:left w:val="single" w:color="auto" w:sz="4" w:space="0"/>
              <w:right w:val="single" w:color="auto" w:sz="4" w:space="0"/>
            </w:tcBorders>
            <w:vAlign w:val="center"/>
          </w:tcPr>
          <w:p w14:paraId="274EC212">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323F26B6">
            <w:pPr>
              <w:jc w:val="center"/>
              <w:rPr>
                <w:rFonts w:hint="eastAsia" w:ascii="仿宋" w:hAnsi="仿宋" w:eastAsia="仿宋"/>
              </w:rPr>
            </w:pPr>
          </w:p>
        </w:tc>
        <w:tc>
          <w:tcPr>
            <w:tcW w:w="6891" w:type="dxa"/>
            <w:tcBorders>
              <w:top w:val="single" w:color="auto" w:sz="4" w:space="0"/>
              <w:left w:val="single" w:color="auto" w:sz="4" w:space="0"/>
              <w:right w:val="single" w:color="auto" w:sz="4" w:space="0"/>
            </w:tcBorders>
          </w:tcPr>
          <w:p w14:paraId="386CF783">
            <w:pPr>
              <w:spacing w:line="360" w:lineRule="exact"/>
              <w:jc w:val="left"/>
            </w:pPr>
            <w:r>
              <w:rPr>
                <w:rFonts w:hint="eastAsia" w:hAnsi="宋体"/>
                <w:szCs w:val="21"/>
              </w:rPr>
              <w:t>5.根据供应商提供的水省级应用贯通建设方案的可行性及针对性进行打分。（2分）</w:t>
            </w:r>
          </w:p>
        </w:tc>
      </w:tr>
      <w:tr w14:paraId="5B18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3" w:type="dxa"/>
            <w:vMerge w:val="continue"/>
            <w:tcBorders>
              <w:left w:val="single" w:color="auto" w:sz="4" w:space="0"/>
              <w:right w:val="single" w:color="auto" w:sz="4" w:space="0"/>
            </w:tcBorders>
            <w:vAlign w:val="center"/>
          </w:tcPr>
          <w:p w14:paraId="685FF647">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4E9D68C2">
            <w:pPr>
              <w:jc w:val="center"/>
              <w:rPr>
                <w:rFonts w:hint="eastAsia" w:ascii="仿宋" w:hAnsi="仿宋" w:eastAsia="仿宋"/>
              </w:rPr>
            </w:pPr>
          </w:p>
        </w:tc>
        <w:tc>
          <w:tcPr>
            <w:tcW w:w="6891" w:type="dxa"/>
            <w:tcBorders>
              <w:top w:val="single" w:color="auto" w:sz="4" w:space="0"/>
              <w:left w:val="single" w:color="auto" w:sz="4" w:space="0"/>
              <w:bottom w:val="single" w:color="auto" w:sz="4" w:space="0"/>
              <w:right w:val="single" w:color="auto" w:sz="4" w:space="0"/>
            </w:tcBorders>
          </w:tcPr>
          <w:p w14:paraId="6F62682E">
            <w:pPr>
              <w:spacing w:line="360" w:lineRule="exact"/>
              <w:jc w:val="left"/>
            </w:pPr>
            <w:r>
              <w:rPr>
                <w:rFonts w:hint="eastAsia" w:hAnsi="宋体"/>
                <w:szCs w:val="21"/>
              </w:rPr>
              <w:t>6</w:t>
            </w:r>
            <w:r>
              <w:rPr>
                <w:rFonts w:hAnsi="宋体"/>
                <w:szCs w:val="21"/>
              </w:rPr>
              <w:t>.根据</w:t>
            </w:r>
            <w:r>
              <w:rPr>
                <w:rFonts w:hint="eastAsia" w:hAnsi="宋体"/>
                <w:szCs w:val="21"/>
              </w:rPr>
              <w:t>供应商</w:t>
            </w:r>
            <w:r>
              <w:rPr>
                <w:rFonts w:hAnsi="宋体"/>
                <w:szCs w:val="21"/>
              </w:rPr>
              <w:t>对新建站点动态数据接入平台对接方案、以及与省级城乡供水数字化管理系统的对接方案进行打分。</w:t>
            </w:r>
            <w:r>
              <w:rPr>
                <w:rFonts w:hint="eastAsia" w:hAnsi="宋体"/>
                <w:szCs w:val="21"/>
              </w:rPr>
              <w:t>（2分）</w:t>
            </w:r>
          </w:p>
        </w:tc>
      </w:tr>
      <w:tr w14:paraId="5BBC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53" w:type="dxa"/>
            <w:vMerge w:val="continue"/>
            <w:tcBorders>
              <w:left w:val="single" w:color="auto" w:sz="4" w:space="0"/>
              <w:right w:val="single" w:color="auto" w:sz="4" w:space="0"/>
            </w:tcBorders>
            <w:vAlign w:val="center"/>
          </w:tcPr>
          <w:p w14:paraId="622DBF8D">
            <w:pPr>
              <w:pStyle w:val="81"/>
              <w:spacing w:line="400" w:lineRule="exact"/>
              <w:ind w:firstLine="0" w:firstLineChars="0"/>
              <w:jc w:val="center"/>
              <w:rPr>
                <w:rFonts w:hint="eastAsia"/>
                <w:sz w:val="21"/>
                <w:szCs w:val="21"/>
              </w:rPr>
            </w:pPr>
          </w:p>
        </w:tc>
        <w:tc>
          <w:tcPr>
            <w:tcW w:w="1208" w:type="dxa"/>
            <w:vMerge w:val="restart"/>
            <w:tcBorders>
              <w:left w:val="single" w:color="auto" w:sz="4" w:space="0"/>
              <w:right w:val="single" w:color="auto" w:sz="4" w:space="0"/>
            </w:tcBorders>
            <w:vAlign w:val="center"/>
          </w:tcPr>
          <w:p w14:paraId="5FEF8A6C">
            <w:pPr>
              <w:jc w:val="center"/>
              <w:rPr>
                <w:rFonts w:hint="eastAsia" w:hAnsi="宋体"/>
                <w:szCs w:val="21"/>
              </w:rPr>
            </w:pPr>
            <w:r>
              <w:rPr>
                <w:rFonts w:hint="eastAsia" w:hAnsi="宋体"/>
                <w:szCs w:val="21"/>
              </w:rPr>
              <w:t>售后服务</w:t>
            </w:r>
          </w:p>
          <w:p w14:paraId="606E4E99">
            <w:pPr>
              <w:jc w:val="center"/>
              <w:rPr>
                <w:rFonts w:hint="eastAsia" w:ascii="仿宋" w:hAnsi="仿宋" w:eastAsia="仿宋"/>
              </w:rPr>
            </w:pPr>
            <w:r>
              <w:rPr>
                <w:rFonts w:hint="eastAsia" w:hAnsi="宋体"/>
                <w:szCs w:val="21"/>
              </w:rPr>
              <w:t>（</w:t>
            </w:r>
            <w:r>
              <w:rPr>
                <w:rFonts w:hint="eastAsia" w:hAnsi="宋体"/>
                <w:szCs w:val="21"/>
                <w:lang w:val="en-US" w:eastAsia="zh-CN"/>
              </w:rPr>
              <w:t>7</w:t>
            </w:r>
            <w:r>
              <w:rPr>
                <w:rFonts w:hint="eastAsia" w:hAnsi="宋体"/>
                <w:szCs w:val="21"/>
              </w:rPr>
              <w:t>分）</w:t>
            </w:r>
          </w:p>
        </w:tc>
        <w:tc>
          <w:tcPr>
            <w:tcW w:w="6891" w:type="dxa"/>
            <w:tcBorders>
              <w:top w:val="single" w:color="auto" w:sz="4" w:space="0"/>
              <w:left w:val="single" w:color="auto" w:sz="4" w:space="0"/>
              <w:right w:val="single" w:color="auto" w:sz="4" w:space="0"/>
            </w:tcBorders>
          </w:tcPr>
          <w:p w14:paraId="012F1B4E">
            <w:pPr>
              <w:spacing w:line="360" w:lineRule="exact"/>
              <w:jc w:val="left"/>
              <w:rPr>
                <w:rFonts w:hint="eastAsia" w:hAnsi="宋体"/>
                <w:szCs w:val="21"/>
              </w:rPr>
            </w:pPr>
            <w:r>
              <w:rPr>
                <w:rFonts w:hint="eastAsia" w:hAnsi="宋体"/>
                <w:szCs w:val="21"/>
              </w:rPr>
              <w:t>根据质保运维团队实力打分：</w:t>
            </w:r>
          </w:p>
          <w:p w14:paraId="1BBBAD11">
            <w:pPr>
              <w:spacing w:line="360" w:lineRule="exact"/>
              <w:jc w:val="left"/>
              <w:rPr>
                <w:rFonts w:hint="eastAsia" w:hAnsi="宋体"/>
                <w:szCs w:val="21"/>
              </w:rPr>
            </w:pPr>
            <w:r>
              <w:rPr>
                <w:rFonts w:hint="eastAsia" w:hAnsi="宋体"/>
                <w:szCs w:val="21"/>
              </w:rPr>
              <w:t>具有售后服务能力五星认证证书的得2分，具备售后服务能力四星认证证书的得1分，其他不得分。</w:t>
            </w:r>
          </w:p>
          <w:p w14:paraId="32F245BB">
            <w:pPr>
              <w:spacing w:before="60" w:line="288" w:lineRule="auto"/>
              <w:jc w:val="left"/>
            </w:pPr>
            <w:r>
              <w:rPr>
                <w:rFonts w:hint="eastAsia" w:ascii="宋体" w:hAnsi="宋体" w:cs="宋体"/>
                <w:color w:val="000000"/>
                <w:szCs w:val="21"/>
              </w:rPr>
              <w:t>具有省级以上水利水电工程物业管理服务能力评价证书（不含临时，范围需包含农村供水工程）的得1分；</w:t>
            </w:r>
          </w:p>
        </w:tc>
      </w:tr>
      <w:tr w14:paraId="0726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3" w:type="dxa"/>
            <w:vMerge w:val="continue"/>
            <w:tcBorders>
              <w:left w:val="single" w:color="auto" w:sz="4" w:space="0"/>
              <w:right w:val="single" w:color="auto" w:sz="4" w:space="0"/>
            </w:tcBorders>
            <w:vAlign w:val="center"/>
          </w:tcPr>
          <w:p w14:paraId="3BF48B17">
            <w:pPr>
              <w:pStyle w:val="81"/>
              <w:spacing w:line="400" w:lineRule="exact"/>
              <w:ind w:firstLine="0" w:firstLineChars="0"/>
              <w:jc w:val="center"/>
              <w:rPr>
                <w:rFonts w:hint="eastAsia"/>
                <w:sz w:val="21"/>
                <w:szCs w:val="21"/>
              </w:rPr>
            </w:pPr>
          </w:p>
        </w:tc>
        <w:tc>
          <w:tcPr>
            <w:tcW w:w="1208" w:type="dxa"/>
            <w:vMerge w:val="continue"/>
            <w:tcBorders>
              <w:left w:val="single" w:color="auto" w:sz="4" w:space="0"/>
              <w:right w:val="single" w:color="auto" w:sz="4" w:space="0"/>
            </w:tcBorders>
            <w:vAlign w:val="center"/>
          </w:tcPr>
          <w:p w14:paraId="3E54D93D">
            <w:pPr>
              <w:jc w:val="center"/>
              <w:rPr>
                <w:rFonts w:hint="eastAsia" w:ascii="仿宋" w:hAnsi="仿宋" w:eastAsia="仿宋"/>
              </w:rPr>
            </w:pPr>
          </w:p>
        </w:tc>
        <w:tc>
          <w:tcPr>
            <w:tcW w:w="6891" w:type="dxa"/>
            <w:tcBorders>
              <w:top w:val="single" w:color="auto" w:sz="4" w:space="0"/>
              <w:left w:val="single" w:color="auto" w:sz="4" w:space="0"/>
              <w:bottom w:val="single" w:color="auto" w:sz="4" w:space="0"/>
              <w:right w:val="single" w:color="auto" w:sz="4" w:space="0"/>
            </w:tcBorders>
            <w:vAlign w:val="center"/>
          </w:tcPr>
          <w:p w14:paraId="0972BB83">
            <w:pPr>
              <w:spacing w:line="360" w:lineRule="exact"/>
              <w:jc w:val="both"/>
              <w:rPr>
                <w:rFonts w:hint="eastAsia" w:hAnsi="宋体"/>
                <w:szCs w:val="21"/>
              </w:rPr>
            </w:pPr>
            <w:r>
              <w:rPr>
                <w:rFonts w:hint="eastAsia" w:hAnsi="宋体"/>
                <w:sz w:val="21"/>
                <w:szCs w:val="21"/>
                <w:highlight w:val="none"/>
                <w:lang w:val="en-US" w:eastAsia="zh-CN"/>
              </w:rPr>
              <w:t>在招标文件规定的基础上，承诺运维期（含通讯费）每延长1年加2分，最高得4分。</w:t>
            </w:r>
          </w:p>
        </w:tc>
      </w:tr>
      <w:tr w14:paraId="5EBD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tcBorders>
              <w:left w:val="single" w:color="auto" w:sz="4" w:space="0"/>
              <w:right w:val="single" w:color="auto" w:sz="4" w:space="0"/>
            </w:tcBorders>
            <w:vAlign w:val="center"/>
          </w:tcPr>
          <w:p w14:paraId="5712F318">
            <w:pPr>
              <w:pStyle w:val="81"/>
              <w:spacing w:line="400" w:lineRule="exact"/>
              <w:ind w:firstLine="0" w:firstLineChars="0"/>
              <w:jc w:val="center"/>
              <w:rPr>
                <w:rFonts w:hint="eastAsia"/>
                <w:sz w:val="21"/>
                <w:szCs w:val="21"/>
              </w:rPr>
            </w:pPr>
            <w:r>
              <w:rPr>
                <w:rFonts w:hint="eastAsia"/>
                <w:sz w:val="21"/>
                <w:szCs w:val="21"/>
              </w:rPr>
              <w:t>6</w:t>
            </w:r>
          </w:p>
        </w:tc>
        <w:tc>
          <w:tcPr>
            <w:tcW w:w="1208" w:type="dxa"/>
            <w:tcBorders>
              <w:left w:val="single" w:color="auto" w:sz="4" w:space="0"/>
              <w:right w:val="single" w:color="auto" w:sz="4" w:space="0"/>
            </w:tcBorders>
            <w:shd w:val="clear" w:color="auto" w:fill="auto"/>
            <w:vAlign w:val="center"/>
          </w:tcPr>
          <w:p w14:paraId="593E6CE5">
            <w:pPr>
              <w:jc w:val="center"/>
              <w:rPr>
                <w:b/>
              </w:rPr>
            </w:pPr>
            <w:r>
              <w:rPr>
                <w:rFonts w:hint="eastAsia" w:hAnsi="宋体"/>
              </w:rPr>
              <w:t>价格部</w:t>
            </w:r>
            <w:r>
              <w:rPr>
                <w:rFonts w:hint="eastAsia"/>
              </w:rPr>
              <w:t>分（30分）</w:t>
            </w:r>
          </w:p>
        </w:tc>
        <w:tc>
          <w:tcPr>
            <w:tcW w:w="6891" w:type="dxa"/>
            <w:tcBorders>
              <w:top w:val="single" w:color="auto" w:sz="4" w:space="0"/>
              <w:left w:val="single" w:color="auto" w:sz="4" w:space="0"/>
              <w:right w:val="single" w:color="auto" w:sz="4" w:space="0"/>
            </w:tcBorders>
            <w:shd w:val="clear" w:color="auto" w:fill="auto"/>
            <w:vAlign w:val="center"/>
          </w:tcPr>
          <w:p w14:paraId="79A4294A">
            <w:pPr>
              <w:spacing w:line="400" w:lineRule="exact"/>
              <w:jc w:val="both"/>
              <w:rPr>
                <w:rFonts w:hint="eastAsia" w:hAnsi="宋体"/>
                <w:spacing w:val="-6"/>
              </w:rPr>
            </w:pPr>
            <w:r>
              <w:rPr>
                <w:rFonts w:hint="eastAsia" w:hAnsi="宋体"/>
                <w:spacing w:val="-6"/>
              </w:rPr>
              <w:t>基准价的确定：本招标文件约定投标报价合理范围为21067006元至26333758元（含本数），在合理范围内的投标报价视为有效投标价，否则报价分不计。</w:t>
            </w:r>
          </w:p>
          <w:p w14:paraId="6843E565">
            <w:pPr>
              <w:spacing w:line="400" w:lineRule="exact"/>
              <w:jc w:val="left"/>
              <w:rPr>
                <w:rFonts w:hint="eastAsia" w:hAnsi="宋体"/>
                <w:spacing w:val="-6"/>
              </w:rPr>
            </w:pPr>
            <w:r>
              <w:rPr>
                <w:rFonts w:hint="eastAsia" w:hAnsi="宋体"/>
                <w:spacing w:val="-6"/>
              </w:rPr>
              <w:t>1、计算公式：基准价=满足招标文件要求的有效投标报价，计算得出的算术平均值。</w:t>
            </w:r>
          </w:p>
          <w:p w14:paraId="77980E19">
            <w:pPr>
              <w:spacing w:line="400" w:lineRule="exact"/>
              <w:jc w:val="left"/>
              <w:rPr>
                <w:rFonts w:hint="eastAsia" w:hAnsi="宋体"/>
                <w:spacing w:val="-6"/>
              </w:rPr>
            </w:pPr>
            <w:r>
              <w:rPr>
                <w:rFonts w:hint="eastAsia" w:hAnsi="宋体"/>
                <w:spacing w:val="-6"/>
              </w:rPr>
              <w:t>2、投标人的投标报价与基准价一致得30分，每高于基准价1%，扣0.2分，每低于基准价1%，扣0.1分（中间值采用内插法计算），以此类推，扣完为止。</w:t>
            </w:r>
          </w:p>
        </w:tc>
      </w:tr>
    </w:tbl>
    <w:p w14:paraId="4887B095">
      <w:pPr>
        <w:pStyle w:val="28"/>
        <w:rPr>
          <w:rFonts w:hint="eastAsia" w:ascii="宋体" w:hAnsi="宋体" w:cs="宋体"/>
          <w:sz w:val="28"/>
          <w:szCs w:val="28"/>
        </w:rPr>
      </w:pPr>
    </w:p>
    <w:p w14:paraId="46623446">
      <w:pPr>
        <w:pStyle w:val="16"/>
        <w:snapToGrid w:val="0"/>
        <w:spacing w:before="120" w:after="120"/>
        <w:jc w:val="center"/>
        <w:outlineLvl w:val="0"/>
        <w:rPr>
          <w:rFonts w:hint="eastAsia" w:hAnsi="宋体" w:cs="宋体"/>
          <w:b/>
          <w:sz w:val="30"/>
          <w:szCs w:val="30"/>
        </w:rPr>
      </w:pPr>
      <w:r>
        <w:rPr>
          <w:rFonts w:hAnsi="宋体" w:cs="宋体"/>
          <w:b/>
          <w:sz w:val="30"/>
          <w:szCs w:val="30"/>
        </w:rPr>
        <w:br w:type="column"/>
      </w:r>
      <w:r>
        <w:rPr>
          <w:rFonts w:hint="eastAsia" w:hAnsi="宋体" w:cs="宋体"/>
          <w:b/>
          <w:sz w:val="30"/>
          <w:szCs w:val="30"/>
        </w:rPr>
        <w:t>第五章　投标文件格式</w:t>
      </w:r>
    </w:p>
    <w:p w14:paraId="5ADDF7D4">
      <w:pPr>
        <w:snapToGrid w:val="0"/>
        <w:spacing w:line="400" w:lineRule="exact"/>
        <w:outlineLvl w:val="1"/>
        <w:rPr>
          <w:rFonts w:hint="eastAsia" w:ascii="宋体" w:hAnsi="宋体" w:cs="宋体"/>
          <w:b/>
          <w:bCs/>
          <w:szCs w:val="21"/>
        </w:rPr>
      </w:pPr>
      <w:bookmarkStart w:id="28" w:name="_Toc22236"/>
    </w:p>
    <w:bookmarkEnd w:id="28"/>
    <w:p w14:paraId="4C8D4056">
      <w:pPr>
        <w:snapToGrid w:val="0"/>
        <w:spacing w:line="400" w:lineRule="exact"/>
        <w:rPr>
          <w:rFonts w:hint="eastAsia" w:ascii="宋体" w:hAnsi="宋体" w:cs="宋体"/>
          <w:b/>
          <w:bCs/>
          <w:szCs w:val="21"/>
        </w:rPr>
      </w:pPr>
      <w:bookmarkStart w:id="29" w:name="_Toc5919"/>
      <w:bookmarkStart w:id="30" w:name="_Toc463726844"/>
      <w:bookmarkStart w:id="31" w:name="_Toc1252"/>
      <w:bookmarkStart w:id="32" w:name="_Toc19589"/>
    </w:p>
    <w:p w14:paraId="34449899">
      <w:pPr>
        <w:snapToGrid w:val="0"/>
        <w:spacing w:line="400" w:lineRule="exact"/>
        <w:jc w:val="center"/>
        <w:rPr>
          <w:rFonts w:hint="eastAsia" w:ascii="宋体" w:hAnsi="宋体" w:cs="宋体"/>
          <w:b/>
          <w:bCs/>
          <w:szCs w:val="21"/>
        </w:rPr>
      </w:pPr>
      <w:r>
        <w:rPr>
          <w:rFonts w:hint="eastAsia" w:ascii="宋体" w:hAnsi="宋体" w:cs="宋体"/>
          <w:b/>
          <w:bCs/>
          <w:szCs w:val="21"/>
        </w:rPr>
        <w:t>一、投标文件封面格式</w:t>
      </w:r>
    </w:p>
    <w:p w14:paraId="4E6D6712">
      <w:pPr>
        <w:snapToGrid w:val="0"/>
        <w:spacing w:line="400" w:lineRule="exact"/>
        <w:rPr>
          <w:rFonts w:hint="eastAsia" w:ascii="宋体" w:hAnsi="宋体" w:cs="宋体"/>
          <w:szCs w:val="21"/>
        </w:rPr>
      </w:pPr>
      <w:r>
        <w:rPr>
          <w:rFonts w:hint="eastAsia" w:ascii="宋体" w:hAnsi="宋体" w:cs="宋体"/>
          <w:szCs w:val="21"/>
        </w:rPr>
        <w:t xml:space="preserve">投标文件封面格式： </w:t>
      </w:r>
    </w:p>
    <w:p w14:paraId="241C821A">
      <w:pPr>
        <w:snapToGrid w:val="0"/>
        <w:spacing w:line="400" w:lineRule="exact"/>
        <w:jc w:val="right"/>
        <w:rPr>
          <w:rFonts w:hint="eastAsia" w:ascii="宋体" w:hAnsi="宋体" w:cs="宋体"/>
          <w:b/>
          <w:bCs/>
          <w:szCs w:val="21"/>
        </w:rPr>
      </w:pPr>
      <w:r>
        <w:rPr>
          <w:rFonts w:hint="eastAsia" w:ascii="宋体" w:hAnsi="宋体" w:cs="宋体"/>
          <w:b/>
          <w:bCs/>
          <w:szCs w:val="21"/>
        </w:rPr>
        <w:t>正本/或副本</w:t>
      </w:r>
    </w:p>
    <w:p w14:paraId="1F15F0BC">
      <w:pPr>
        <w:snapToGrid w:val="0"/>
        <w:spacing w:line="400" w:lineRule="exact"/>
        <w:rPr>
          <w:rFonts w:hint="eastAsia" w:ascii="宋体" w:hAnsi="宋体" w:cs="宋体"/>
          <w:bCs/>
          <w:szCs w:val="21"/>
        </w:rPr>
      </w:pPr>
    </w:p>
    <w:p w14:paraId="12BA54BB">
      <w:pPr>
        <w:snapToGrid w:val="0"/>
        <w:spacing w:line="400" w:lineRule="exact"/>
        <w:jc w:val="center"/>
        <w:rPr>
          <w:rFonts w:hint="eastAsia" w:ascii="宋体" w:hAnsi="宋体" w:cs="宋体"/>
          <w:bCs/>
          <w:szCs w:val="21"/>
        </w:rPr>
      </w:pPr>
    </w:p>
    <w:p w14:paraId="685ED9C5">
      <w:pPr>
        <w:snapToGrid w:val="0"/>
        <w:spacing w:line="400" w:lineRule="exact"/>
        <w:jc w:val="center"/>
        <w:rPr>
          <w:rFonts w:hint="eastAsia" w:ascii="宋体" w:hAnsi="宋体" w:cs="宋体"/>
          <w:bCs/>
          <w:szCs w:val="21"/>
        </w:rPr>
      </w:pPr>
    </w:p>
    <w:p w14:paraId="182D7F41">
      <w:pPr>
        <w:snapToGrid w:val="0"/>
        <w:spacing w:line="400" w:lineRule="exact"/>
        <w:jc w:val="center"/>
        <w:rPr>
          <w:rFonts w:hint="eastAsia" w:ascii="宋体" w:hAnsi="宋体" w:cs="宋体"/>
          <w:bCs/>
          <w:szCs w:val="21"/>
        </w:rPr>
      </w:pPr>
    </w:p>
    <w:p w14:paraId="06FC9899">
      <w:pPr>
        <w:snapToGrid w:val="0"/>
        <w:spacing w:before="120" w:beforeLines="50" w:after="50"/>
        <w:ind w:firstLine="3675" w:firstLineChars="1750"/>
        <w:rPr>
          <w:rFonts w:hint="eastAsia" w:ascii="宋体" w:hAnsi="宋体"/>
          <w:szCs w:val="21"/>
        </w:rPr>
      </w:pPr>
      <w:r>
        <w:rPr>
          <w:rFonts w:hint="eastAsia" w:ascii="宋体" w:hAnsi="宋体"/>
          <w:szCs w:val="21"/>
        </w:rPr>
        <w:t>资格审查文件</w:t>
      </w:r>
    </w:p>
    <w:p w14:paraId="56BF6D2A">
      <w:pPr>
        <w:snapToGrid w:val="0"/>
        <w:spacing w:line="400" w:lineRule="exact"/>
        <w:rPr>
          <w:rFonts w:hint="eastAsia" w:ascii="宋体" w:hAnsi="宋体" w:cs="宋体"/>
          <w:bCs/>
          <w:szCs w:val="21"/>
        </w:rPr>
      </w:pPr>
    </w:p>
    <w:p w14:paraId="44124079">
      <w:pPr>
        <w:snapToGrid w:val="0"/>
        <w:spacing w:line="400" w:lineRule="exact"/>
        <w:ind w:left="1470" w:leftChars="400" w:hanging="630" w:hangingChars="300"/>
        <w:rPr>
          <w:rFonts w:hint="eastAsia" w:ascii="宋体" w:hAnsi="宋体" w:cs="宋体"/>
          <w:b/>
          <w:szCs w:val="21"/>
          <w:u w:val="single"/>
          <w:lang w:val="zh-CN"/>
        </w:rPr>
      </w:pPr>
      <w:r>
        <w:rPr>
          <w:rFonts w:hint="eastAsia" w:ascii="宋体" w:hAnsi="宋体" w:cs="宋体"/>
          <w:bCs/>
          <w:szCs w:val="21"/>
        </w:rPr>
        <w:t>项目名称：</w:t>
      </w:r>
    </w:p>
    <w:p w14:paraId="0288AD4B">
      <w:pPr>
        <w:snapToGrid w:val="0"/>
        <w:spacing w:line="400" w:lineRule="exact"/>
        <w:ind w:firstLine="840" w:firstLineChars="400"/>
        <w:rPr>
          <w:rFonts w:hint="eastAsia" w:ascii="宋体" w:hAnsi="宋体" w:cs="宋体"/>
          <w:bCs/>
          <w:szCs w:val="21"/>
        </w:rPr>
      </w:pPr>
      <w:r>
        <w:rPr>
          <w:rFonts w:hint="eastAsia" w:ascii="宋体" w:hAnsi="宋体" w:cs="宋体"/>
          <w:bCs/>
          <w:szCs w:val="21"/>
        </w:rPr>
        <w:t>项目编号：</w:t>
      </w:r>
    </w:p>
    <w:p w14:paraId="4E036048">
      <w:pPr>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供应商名称：</w:t>
      </w:r>
    </w:p>
    <w:p w14:paraId="50E56EF8">
      <w:pPr>
        <w:pStyle w:val="8"/>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供应商地址：</w:t>
      </w:r>
    </w:p>
    <w:p w14:paraId="67B08B6F">
      <w:pPr>
        <w:pStyle w:val="8"/>
        <w:snapToGrid w:val="0"/>
        <w:spacing w:line="400" w:lineRule="exact"/>
        <w:ind w:firstLine="0"/>
        <w:rPr>
          <w:rFonts w:hint="eastAsia" w:ascii="宋体" w:hAnsi="宋体" w:cs="宋体"/>
          <w:bCs/>
          <w:szCs w:val="21"/>
        </w:rPr>
      </w:pPr>
    </w:p>
    <w:p w14:paraId="4B113372">
      <w:pPr>
        <w:snapToGrid w:val="0"/>
        <w:spacing w:line="400" w:lineRule="exact"/>
        <w:rPr>
          <w:rFonts w:hint="eastAsia" w:ascii="宋体" w:hAnsi="宋体" w:cs="宋体"/>
          <w:szCs w:val="21"/>
        </w:rPr>
      </w:pPr>
    </w:p>
    <w:p w14:paraId="158E5D88">
      <w:pPr>
        <w:snapToGrid w:val="0"/>
        <w:spacing w:line="400" w:lineRule="exact"/>
        <w:ind w:firstLine="645"/>
        <w:jc w:val="center"/>
        <w:rPr>
          <w:rFonts w:hint="eastAsia" w:ascii="宋体" w:hAnsi="宋体" w:cs="宋体"/>
          <w:szCs w:val="21"/>
        </w:rPr>
      </w:pPr>
      <w:r>
        <w:rPr>
          <w:rFonts w:hint="eastAsia" w:ascii="宋体" w:hAnsi="宋体" w:cs="宋体"/>
          <w:szCs w:val="21"/>
        </w:rPr>
        <w:t xml:space="preserve">                                            年  月  日</w:t>
      </w:r>
    </w:p>
    <w:p w14:paraId="240F4E8A">
      <w:pPr>
        <w:rPr>
          <w:b/>
        </w:rPr>
      </w:pPr>
    </w:p>
    <w:p w14:paraId="2245E0D7">
      <w:pPr>
        <w:rPr>
          <w:b/>
        </w:rPr>
      </w:pPr>
    </w:p>
    <w:p w14:paraId="3730A306">
      <w:pPr>
        <w:rPr>
          <w:b/>
        </w:rPr>
      </w:pPr>
    </w:p>
    <w:p w14:paraId="435B9DFA">
      <w:pPr>
        <w:rPr>
          <w:b/>
        </w:rPr>
      </w:pPr>
    </w:p>
    <w:p w14:paraId="5F4AFC52">
      <w:pPr>
        <w:rPr>
          <w:b/>
        </w:rPr>
      </w:pPr>
    </w:p>
    <w:p w14:paraId="797983F0">
      <w:pPr>
        <w:rPr>
          <w:b/>
        </w:rPr>
      </w:pPr>
    </w:p>
    <w:p w14:paraId="204839BE">
      <w:pPr>
        <w:rPr>
          <w:b/>
        </w:rPr>
      </w:pPr>
    </w:p>
    <w:p w14:paraId="3739C694">
      <w:pPr>
        <w:rPr>
          <w:b/>
        </w:rPr>
      </w:pPr>
    </w:p>
    <w:p w14:paraId="199DCD27">
      <w:pPr>
        <w:rPr>
          <w:b/>
        </w:rPr>
      </w:pPr>
    </w:p>
    <w:p w14:paraId="3BD35B4A">
      <w:pPr>
        <w:rPr>
          <w:b/>
        </w:rPr>
      </w:pPr>
    </w:p>
    <w:p w14:paraId="368D03E0">
      <w:pPr>
        <w:rPr>
          <w:b/>
        </w:rPr>
      </w:pPr>
    </w:p>
    <w:p w14:paraId="7B97D052">
      <w:pPr>
        <w:rPr>
          <w:b/>
        </w:rPr>
      </w:pPr>
    </w:p>
    <w:p w14:paraId="0E9DEEA8">
      <w:pPr>
        <w:rPr>
          <w:b/>
        </w:rPr>
      </w:pPr>
    </w:p>
    <w:p w14:paraId="43E21761">
      <w:pPr>
        <w:rPr>
          <w:b/>
        </w:rPr>
      </w:pPr>
    </w:p>
    <w:p w14:paraId="1E4121B0">
      <w:pPr>
        <w:rPr>
          <w:b/>
        </w:rPr>
      </w:pPr>
    </w:p>
    <w:p w14:paraId="5ADA7729">
      <w:pPr>
        <w:rPr>
          <w:b/>
        </w:rPr>
      </w:pPr>
    </w:p>
    <w:p w14:paraId="70E37682">
      <w:pPr>
        <w:rPr>
          <w:b/>
        </w:rPr>
      </w:pPr>
    </w:p>
    <w:p w14:paraId="6A141C4E">
      <w:pPr>
        <w:rPr>
          <w:b/>
        </w:rPr>
      </w:pPr>
    </w:p>
    <w:p w14:paraId="5BB4089E">
      <w:pPr>
        <w:rPr>
          <w:b/>
        </w:rPr>
      </w:pPr>
    </w:p>
    <w:p w14:paraId="76FBF2FF">
      <w:pPr>
        <w:rPr>
          <w:b/>
        </w:rPr>
      </w:pPr>
    </w:p>
    <w:p w14:paraId="7583C701">
      <w:pPr>
        <w:rPr>
          <w:b/>
        </w:rPr>
      </w:pPr>
    </w:p>
    <w:p w14:paraId="50BB17FD">
      <w:pPr>
        <w:rPr>
          <w:b/>
        </w:rPr>
      </w:pPr>
    </w:p>
    <w:p w14:paraId="13E1857E">
      <w:pPr>
        <w:rPr>
          <w:b/>
        </w:rPr>
      </w:pPr>
    </w:p>
    <w:p w14:paraId="770A0741">
      <w:pPr>
        <w:rPr>
          <w:b/>
        </w:rPr>
      </w:pPr>
    </w:p>
    <w:p w14:paraId="3B4EBADC">
      <w:pPr>
        <w:rPr>
          <w:b/>
        </w:rPr>
      </w:pPr>
      <w:r>
        <w:rPr>
          <w:rFonts w:hint="eastAsia"/>
          <w:b/>
        </w:rPr>
        <w:t>1.资格条件自查表格式</w:t>
      </w:r>
    </w:p>
    <w:p w14:paraId="735220BA">
      <w:pPr>
        <w:adjustRightInd w:val="0"/>
        <w:snapToGrid w:val="0"/>
        <w:jc w:val="center"/>
        <w:rPr>
          <w:rFonts w:hint="eastAsia" w:ascii="宋体" w:hAnsi="宋体"/>
          <w:b/>
          <w:sz w:val="24"/>
        </w:rPr>
      </w:pPr>
    </w:p>
    <w:p w14:paraId="74C6ECB1">
      <w:pPr>
        <w:adjustRightInd w:val="0"/>
        <w:snapToGrid w:val="0"/>
        <w:jc w:val="center"/>
        <w:rPr>
          <w:rFonts w:hint="eastAsia" w:ascii="宋体" w:hAnsi="宋体"/>
          <w:b/>
          <w:sz w:val="24"/>
        </w:rPr>
      </w:pPr>
      <w:r>
        <w:rPr>
          <w:rFonts w:hint="eastAsia" w:ascii="宋体" w:hAnsi="宋体"/>
          <w:b/>
          <w:sz w:val="24"/>
        </w:rPr>
        <w:t>资格条件自查表</w:t>
      </w:r>
    </w:p>
    <w:tbl>
      <w:tblPr>
        <w:tblStyle w:val="33"/>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0429B88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5DBEBF48">
            <w:pPr>
              <w:adjustRightInd w:val="0"/>
              <w:snapToGrid w:val="0"/>
              <w:jc w:val="center"/>
              <w:rPr>
                <w:rFonts w:hint="eastAsia" w:ascii="宋体" w:hAnsi="宋体" w:cs="宋体"/>
                <w:szCs w:val="21"/>
              </w:rPr>
            </w:pPr>
            <w:r>
              <w:rPr>
                <w:rStyle w:val="36"/>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31E5DF66">
            <w:pPr>
              <w:adjustRightInd w:val="0"/>
              <w:snapToGrid w:val="0"/>
              <w:jc w:val="center"/>
              <w:rPr>
                <w:rFonts w:hint="eastAsia" w:ascii="宋体" w:hAnsi="宋体" w:cs="宋体"/>
                <w:szCs w:val="21"/>
              </w:rPr>
            </w:pPr>
            <w:r>
              <w:rPr>
                <w:rStyle w:val="36"/>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1652C27E">
            <w:pPr>
              <w:adjustRightInd w:val="0"/>
              <w:snapToGrid w:val="0"/>
              <w:jc w:val="center"/>
              <w:rPr>
                <w:rFonts w:hint="eastAsia" w:ascii="宋体" w:hAnsi="宋体" w:cs="宋体"/>
                <w:szCs w:val="21"/>
              </w:rPr>
            </w:pPr>
            <w:r>
              <w:rPr>
                <w:rStyle w:val="36"/>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422A0C6D">
            <w:pPr>
              <w:adjustRightInd w:val="0"/>
              <w:snapToGrid w:val="0"/>
              <w:jc w:val="center"/>
              <w:rPr>
                <w:rFonts w:hint="eastAsia" w:ascii="宋体" w:hAnsi="宋体" w:cs="宋体"/>
                <w:szCs w:val="21"/>
              </w:rPr>
            </w:pPr>
            <w:r>
              <w:rPr>
                <w:rStyle w:val="36"/>
                <w:rFonts w:hint="eastAsia" w:ascii="宋体" w:hAnsi="宋体"/>
                <w:szCs w:val="21"/>
              </w:rPr>
              <w:t>证明资料</w:t>
            </w:r>
          </w:p>
        </w:tc>
      </w:tr>
      <w:tr w14:paraId="48CD4E4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5F13B8BF">
            <w:pPr>
              <w:pStyle w:val="58"/>
              <w:adjustRightInd w:val="0"/>
              <w:snapToGrid w:val="0"/>
              <w:spacing w:before="0" w:beforeAutospacing="0" w:after="0" w:afterAutospacing="0"/>
              <w:jc w:val="center"/>
              <w:rPr>
                <w:rFonts w:hint="eastAsia"/>
                <w:b/>
                <w:sz w:val="21"/>
                <w:szCs w:val="21"/>
              </w:rPr>
            </w:pPr>
            <w:r>
              <w:rPr>
                <w:rFonts w:hint="eastAsia"/>
                <w:b/>
                <w:sz w:val="21"/>
                <w:szCs w:val="21"/>
              </w:rPr>
              <w:t>资</w:t>
            </w:r>
          </w:p>
          <w:p w14:paraId="4693C41E">
            <w:pPr>
              <w:pStyle w:val="58"/>
              <w:adjustRightInd w:val="0"/>
              <w:snapToGrid w:val="0"/>
              <w:spacing w:before="0" w:beforeAutospacing="0" w:after="0" w:afterAutospacing="0"/>
              <w:jc w:val="center"/>
              <w:rPr>
                <w:rFonts w:hint="eastAsia"/>
                <w:b/>
                <w:sz w:val="21"/>
                <w:szCs w:val="21"/>
              </w:rPr>
            </w:pPr>
            <w:r>
              <w:rPr>
                <w:rFonts w:hint="eastAsia"/>
                <w:b/>
                <w:sz w:val="21"/>
                <w:szCs w:val="21"/>
              </w:rPr>
              <w:t>格</w:t>
            </w:r>
          </w:p>
          <w:p w14:paraId="0A709D8E">
            <w:pPr>
              <w:pStyle w:val="58"/>
              <w:adjustRightInd w:val="0"/>
              <w:snapToGrid w:val="0"/>
              <w:spacing w:before="0" w:beforeAutospacing="0" w:after="0" w:afterAutospacing="0"/>
              <w:jc w:val="center"/>
              <w:rPr>
                <w:rFonts w:hint="eastAsia"/>
                <w:b/>
                <w:sz w:val="21"/>
                <w:szCs w:val="21"/>
              </w:rPr>
            </w:pPr>
            <w:r>
              <w:rPr>
                <w:rFonts w:hint="eastAsia"/>
                <w:b/>
                <w:sz w:val="21"/>
                <w:szCs w:val="21"/>
              </w:rPr>
              <w:t>性</w:t>
            </w:r>
          </w:p>
          <w:p w14:paraId="3FC579F7">
            <w:pPr>
              <w:pStyle w:val="58"/>
              <w:adjustRightInd w:val="0"/>
              <w:snapToGrid w:val="0"/>
              <w:spacing w:before="0" w:beforeAutospacing="0" w:after="0" w:afterAutospacing="0"/>
              <w:jc w:val="center"/>
              <w:rPr>
                <w:rFonts w:hint="eastAsia"/>
                <w:b/>
                <w:sz w:val="21"/>
                <w:szCs w:val="21"/>
              </w:rPr>
            </w:pPr>
            <w:r>
              <w:rPr>
                <w:rFonts w:hint="eastAsia"/>
                <w:b/>
                <w:sz w:val="21"/>
                <w:szCs w:val="21"/>
              </w:rPr>
              <w:t>审</w:t>
            </w:r>
          </w:p>
          <w:p w14:paraId="47E1D0A8">
            <w:pPr>
              <w:pStyle w:val="58"/>
              <w:adjustRightInd w:val="0"/>
              <w:snapToGrid w:val="0"/>
              <w:spacing w:before="0" w:beforeAutospacing="0" w:after="0" w:afterAutospacing="0"/>
              <w:jc w:val="center"/>
              <w:rPr>
                <w:rFonts w:hint="eastAsia"/>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326A25E1">
            <w:pPr>
              <w:adjustRightInd w:val="0"/>
              <w:snapToGrid w:val="0"/>
              <w:rPr>
                <w:rFonts w:hint="eastAsia" w:ascii="宋体" w:hAnsi="宋体" w:cs="宋体"/>
                <w:szCs w:val="21"/>
              </w:rPr>
            </w:pPr>
            <w:r>
              <w:rPr>
                <w:rFonts w:hint="eastAsia" w:ascii="宋体" w:hAnsi="宋体" w:cs="宋体"/>
                <w:szCs w:val="21"/>
              </w:rPr>
              <w:t>一.供应商具备《政府采购法》第二十二条所规定的条件：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7755DD7D">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72D8FA8C">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24EDB1E4">
            <w:pPr>
              <w:adjustRightInd w:val="0"/>
              <w:snapToGrid w:val="0"/>
              <w:jc w:val="center"/>
              <w:rPr>
                <w:rFonts w:hint="eastAsia" w:ascii="宋体" w:hAnsi="宋体" w:cs="宋体"/>
                <w:szCs w:val="21"/>
              </w:rPr>
            </w:pPr>
            <w:r>
              <w:rPr>
                <w:rFonts w:hint="eastAsia" w:ascii="宋体" w:hAnsi="宋体"/>
                <w:szCs w:val="21"/>
              </w:rPr>
              <w:t>第（ ）页-（  ）页</w:t>
            </w:r>
          </w:p>
        </w:tc>
      </w:tr>
      <w:tr w14:paraId="5A51FC0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7566072C">
            <w:pPr>
              <w:pStyle w:val="58"/>
              <w:adjustRightInd w:val="0"/>
              <w:snapToGrid w:val="0"/>
              <w:spacing w:before="0" w:beforeAutospacing="0" w:after="0" w:afterAutospacing="0"/>
              <w:jc w:val="center"/>
              <w:rPr>
                <w:rFonts w:hint="eastAsia"/>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28B508BC">
            <w:r>
              <w:rPr>
                <w:rFonts w:hint="eastAsia" w:ascii="宋体" w:hAnsi="宋体" w:cs="宋体"/>
              </w:rPr>
              <w:t>1、有效的企业法人营业执照（或事业法人登记证）、其他组织的营业执照或者民办非企业单位登记证书复印件；</w:t>
            </w:r>
          </w:p>
        </w:tc>
        <w:tc>
          <w:tcPr>
            <w:tcW w:w="1345" w:type="dxa"/>
            <w:vMerge w:val="restart"/>
            <w:tcBorders>
              <w:left w:val="outset" w:color="111111" w:sz="6" w:space="0"/>
              <w:right w:val="outset" w:color="111111" w:sz="6" w:space="0"/>
            </w:tcBorders>
            <w:vAlign w:val="center"/>
          </w:tcPr>
          <w:p w14:paraId="4290797C">
            <w:pPr>
              <w:snapToGrid w:val="0"/>
              <w:rPr>
                <w:rFonts w:hint="eastAsia"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17379EBE">
            <w:pPr>
              <w:snapToGrid w:val="0"/>
              <w:jc w:val="center"/>
              <w:rPr>
                <w:rFonts w:hint="eastAsia" w:ascii="宋体" w:hAnsi="宋体"/>
                <w:szCs w:val="21"/>
              </w:rPr>
            </w:pPr>
            <w:r>
              <w:rPr>
                <w:rFonts w:hint="eastAsia" w:ascii="宋体" w:hAnsi="宋体" w:cs="宋体"/>
              </w:rPr>
              <w:t>第（ ）页</w:t>
            </w:r>
          </w:p>
        </w:tc>
      </w:tr>
      <w:tr w14:paraId="157261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59DBA838">
            <w:pPr>
              <w:pStyle w:val="58"/>
              <w:adjustRightInd w:val="0"/>
              <w:snapToGrid w:val="0"/>
              <w:spacing w:before="0" w:beforeAutospacing="0" w:after="0" w:afterAutospacing="0"/>
              <w:jc w:val="center"/>
              <w:rPr>
                <w:rFonts w:hint="eastAsia"/>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0F49E60F">
            <w:pPr>
              <w:snapToGrid w:val="0"/>
              <w:rPr>
                <w:rFonts w:hint="eastAsia" w:ascii="宋体" w:hAnsi="宋体" w:cs="宋体"/>
                <w:szCs w:val="21"/>
              </w:rPr>
            </w:pPr>
            <w:r>
              <w:rPr>
                <w:rFonts w:hint="eastAsia" w:ascii="宋体" w:hAnsi="宋体" w:cs="宋体"/>
              </w:rPr>
              <w:t>2、投标供应商如果有名称变更的，应提供由行政主管部门出具的变更证明文件。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14:paraId="10A2F53C">
            <w:pPr>
              <w:snapToGrid w:val="0"/>
              <w:rPr>
                <w:rFonts w:hint="eastAsia"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6AAA9BB7">
            <w:pPr>
              <w:snapToGrid w:val="0"/>
              <w:jc w:val="center"/>
              <w:rPr>
                <w:rFonts w:hint="eastAsia" w:ascii="宋体" w:hAnsi="宋体"/>
                <w:szCs w:val="21"/>
              </w:rPr>
            </w:pPr>
            <w:r>
              <w:rPr>
                <w:rFonts w:hint="eastAsia" w:ascii="宋体" w:hAnsi="宋体" w:cs="宋体"/>
              </w:rPr>
              <w:t>第（ ）页-（  ）页</w:t>
            </w:r>
          </w:p>
        </w:tc>
      </w:tr>
      <w:tr w14:paraId="1C2DFC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43EC7A17">
            <w:pPr>
              <w:pStyle w:val="58"/>
              <w:adjustRightInd w:val="0"/>
              <w:snapToGrid w:val="0"/>
              <w:spacing w:before="0" w:beforeAutospacing="0" w:after="0" w:afterAutospacing="0"/>
              <w:jc w:val="center"/>
              <w:rPr>
                <w:rFonts w:hint="eastAsia"/>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4B7A843B">
            <w:pPr>
              <w:snapToGrid w:val="0"/>
              <w:rPr>
                <w:rFonts w:hint="eastAsia" w:ascii="宋体" w:hAnsi="宋体" w:cs="宋体"/>
                <w:szCs w:val="21"/>
              </w:rPr>
            </w:pPr>
            <w:r>
              <w:rPr>
                <w:rFonts w:ascii="宋体" w:hAnsi="宋体" w:cs="宋体"/>
              </w:rPr>
              <w:t>3</w:t>
            </w:r>
            <w:r>
              <w:rPr>
                <w:rFonts w:hint="eastAsia" w:ascii="宋体" w:hAnsi="宋体" w:cs="宋体"/>
              </w:rPr>
              <w:t>、满足《政府采购法》第二十二条规定的供应商承诺书</w:t>
            </w:r>
            <w:r>
              <w:rPr>
                <w:rFonts w:ascii="宋体" w:hAnsi="宋体" w:cs="宋体"/>
              </w:rPr>
              <w:t>。</w:t>
            </w:r>
          </w:p>
        </w:tc>
        <w:tc>
          <w:tcPr>
            <w:tcW w:w="1345" w:type="dxa"/>
            <w:vMerge w:val="continue"/>
            <w:tcBorders>
              <w:left w:val="outset" w:color="111111" w:sz="6" w:space="0"/>
              <w:right w:val="outset" w:color="111111" w:sz="6" w:space="0"/>
            </w:tcBorders>
            <w:vAlign w:val="center"/>
          </w:tcPr>
          <w:p w14:paraId="25FAF724">
            <w:pPr>
              <w:snapToGrid w:val="0"/>
              <w:rPr>
                <w:rFonts w:hint="eastAsia" w:ascii="宋体" w:hAns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14:paraId="7F8A85A3">
            <w:pPr>
              <w:snapToGrid w:val="0"/>
              <w:jc w:val="center"/>
              <w:rPr>
                <w:rFonts w:hint="eastAsia" w:ascii="宋体" w:hAnsi="宋体"/>
                <w:szCs w:val="21"/>
              </w:rPr>
            </w:pPr>
            <w:r>
              <w:rPr>
                <w:rFonts w:hint="eastAsia" w:ascii="宋体" w:hAnsi="宋体" w:cs="宋体"/>
              </w:rPr>
              <w:t>第（ ）页</w:t>
            </w:r>
          </w:p>
        </w:tc>
      </w:tr>
      <w:tr w14:paraId="6EBA539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64CC4A7A">
            <w:pPr>
              <w:pStyle w:val="58"/>
              <w:adjustRightInd w:val="0"/>
              <w:snapToGrid w:val="0"/>
              <w:spacing w:before="0" w:beforeAutospacing="0" w:after="0" w:afterAutospacing="0"/>
              <w:jc w:val="center"/>
              <w:rPr>
                <w:rFonts w:hint="eastAsia"/>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73376D75">
            <w:pPr>
              <w:snapToGrid w:val="0"/>
              <w:rPr>
                <w:rFonts w:hint="eastAsia" w:ascii="宋体" w:hAnsi="宋体" w:cs="宋体"/>
                <w:szCs w:val="21"/>
              </w:rPr>
            </w:pPr>
            <w:r>
              <w:rPr>
                <w:rFonts w:ascii="宋体" w:hAnsi="宋体" w:cs="宋体"/>
              </w:rPr>
              <w:t>4</w:t>
            </w:r>
            <w:r>
              <w:rPr>
                <w:rFonts w:hint="eastAsia" w:ascii="宋体" w:hAnsi="宋体" w:cs="宋体"/>
              </w:rPr>
              <w:t>、若以不具有独立承担民事责任能力的分支机构投标，须取得具有法人资格的总公司的授权书，并提供总公司营业执照副本复印件。</w:t>
            </w:r>
          </w:p>
        </w:tc>
        <w:tc>
          <w:tcPr>
            <w:tcW w:w="1345" w:type="dxa"/>
            <w:tcBorders>
              <w:left w:val="outset" w:color="111111" w:sz="6" w:space="0"/>
              <w:right w:val="outset" w:color="111111" w:sz="6" w:space="0"/>
            </w:tcBorders>
            <w:vAlign w:val="center"/>
          </w:tcPr>
          <w:p w14:paraId="7F8DB227">
            <w:pPr>
              <w:snapToGrid w:val="0"/>
              <w:rPr>
                <w:rFonts w:hint="eastAsia" w:ascii="宋体" w:hAnsi="宋体" w:cs="宋体"/>
              </w:rPr>
            </w:pPr>
            <w:r>
              <w:rPr>
                <w:rFonts w:hint="eastAsia" w:ascii="宋体" w:hAnsi="宋体" w:cs="宋体"/>
              </w:rPr>
              <w:t xml:space="preserve">□通过 </w:t>
            </w:r>
          </w:p>
          <w:p w14:paraId="39189298">
            <w:pPr>
              <w:snapToGrid w:val="0"/>
              <w:rPr>
                <w:rFonts w:hint="eastAsia" w:ascii="宋体" w:hAnsi="宋体" w:cs="Arial"/>
                <w:szCs w:val="21"/>
              </w:rPr>
            </w:pPr>
            <w:r>
              <w:rPr>
                <w:rFonts w:hint="eastAsia" w:ascii="宋体" w:hAnsi="宋体" w:cs="宋体"/>
              </w:rPr>
              <w:t>□不通过</w:t>
            </w:r>
          </w:p>
        </w:tc>
        <w:tc>
          <w:tcPr>
            <w:tcW w:w="2238" w:type="dxa"/>
            <w:tcBorders>
              <w:top w:val="single" w:color="auto" w:sz="4" w:space="0"/>
              <w:left w:val="outset" w:color="111111" w:sz="6" w:space="0"/>
              <w:bottom w:val="single" w:color="auto" w:sz="4" w:space="0"/>
              <w:right w:val="single" w:color="auto" w:sz="12" w:space="0"/>
            </w:tcBorders>
            <w:vAlign w:val="center"/>
          </w:tcPr>
          <w:p w14:paraId="31DF43F7">
            <w:pPr>
              <w:snapToGrid w:val="0"/>
              <w:jc w:val="center"/>
              <w:rPr>
                <w:rFonts w:hint="eastAsia" w:ascii="宋体" w:hAnsi="宋体"/>
                <w:szCs w:val="21"/>
              </w:rPr>
            </w:pPr>
            <w:r>
              <w:rPr>
                <w:rFonts w:hint="eastAsia" w:ascii="宋体" w:hAnsi="宋体" w:cs="宋体"/>
              </w:rPr>
              <w:t>第（ ）页-（  ）页</w:t>
            </w:r>
          </w:p>
        </w:tc>
      </w:tr>
      <w:tr w14:paraId="5D96C6E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47D4CB6C">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2087F504">
            <w:pPr>
              <w:snapToGrid w:val="0"/>
              <w:spacing w:line="360" w:lineRule="auto"/>
              <w:rPr>
                <w:rFonts w:hint="eastAsia" w:ascii="宋体" w:hAnsi="宋体" w:cs="宋体"/>
                <w:szCs w:val="21"/>
              </w:rPr>
            </w:pPr>
            <w:r>
              <w:rPr>
                <w:rFonts w:hint="eastAsia" w:ascii="宋体" w:hAnsi="宋体" w:cs="宋体"/>
                <w:szCs w:val="21"/>
              </w:rPr>
              <w:t>二.</w:t>
            </w:r>
            <w:r>
              <w:rPr>
                <w:rFonts w:hint="eastAsia" w:ascii="宋体" w:hAnsi="宋体" w:cs="宋体"/>
                <w:color w:val="000000"/>
                <w:szCs w:val="21"/>
              </w:rPr>
              <w:t>本次招标允许联合体投标；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6AC22592">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通过</w:t>
            </w:r>
          </w:p>
          <w:p w14:paraId="5632F770">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19C94479">
            <w:pPr>
              <w:adjustRightInd w:val="0"/>
              <w:snapToGrid w:val="0"/>
              <w:jc w:val="center"/>
              <w:rPr>
                <w:rFonts w:hint="eastAsia" w:ascii="宋体" w:hAnsi="宋体" w:cs="宋体"/>
                <w:szCs w:val="21"/>
              </w:rPr>
            </w:pPr>
            <w:r>
              <w:rPr>
                <w:rFonts w:hint="eastAsia" w:ascii="宋体" w:hAnsi="宋体"/>
                <w:szCs w:val="21"/>
              </w:rPr>
              <w:t>第（ ）页</w:t>
            </w:r>
          </w:p>
        </w:tc>
      </w:tr>
      <w:tr w14:paraId="574F357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7C06B108">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79CBF14B">
            <w:pPr>
              <w:adjustRightInd w:val="0"/>
              <w:snapToGrid w:val="0"/>
              <w:rPr>
                <w:rFonts w:hint="eastAsia" w:ascii="宋体" w:hAnsi="宋体" w:cs="宋体"/>
                <w:szCs w:val="21"/>
              </w:rPr>
            </w:pPr>
            <w:r>
              <w:rPr>
                <w:rFonts w:hint="eastAsia" w:ascii="宋体" w:hAnsi="宋体" w:cs="宋体"/>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53C7A0BF">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09D8B5EE">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4E73DCE1">
            <w:pPr>
              <w:adjustRightInd w:val="0"/>
              <w:snapToGrid w:val="0"/>
              <w:jc w:val="center"/>
              <w:rPr>
                <w:rFonts w:hint="eastAsia" w:ascii="宋体" w:hAnsi="宋体"/>
                <w:szCs w:val="21"/>
              </w:rPr>
            </w:pPr>
            <w:r>
              <w:rPr>
                <w:rFonts w:hint="eastAsia" w:ascii="宋体" w:hAnsi="宋体"/>
                <w:szCs w:val="21"/>
              </w:rPr>
              <w:t>第（ ）页</w:t>
            </w:r>
          </w:p>
        </w:tc>
      </w:tr>
      <w:tr w14:paraId="06F49C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7B6326CC">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6FF32C6E">
            <w:pPr>
              <w:adjustRightInd w:val="0"/>
              <w:snapToGrid w:val="0"/>
              <w:rPr>
                <w:rFonts w:hint="eastAsia" w:ascii="宋体" w:hAnsi="宋体" w:cs="宋体"/>
                <w:szCs w:val="21"/>
              </w:rPr>
            </w:pPr>
            <w:r>
              <w:rPr>
                <w:rFonts w:hint="eastAsia" w:ascii="宋体" w:hAnsi="宋体" w:cs="宋体"/>
                <w:szCs w:val="21"/>
              </w:rPr>
              <w:t>四.</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3B8BAB65">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0388D92E">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7FF61D2A">
            <w:pPr>
              <w:adjustRightInd w:val="0"/>
              <w:snapToGrid w:val="0"/>
              <w:jc w:val="center"/>
              <w:rPr>
                <w:rFonts w:hint="eastAsia" w:ascii="宋体" w:hAnsi="宋体"/>
                <w:szCs w:val="21"/>
              </w:rPr>
            </w:pPr>
            <w:r>
              <w:rPr>
                <w:rFonts w:hint="eastAsia" w:ascii="宋体" w:hAnsi="宋体"/>
                <w:szCs w:val="21"/>
              </w:rPr>
              <w:t>第（ ）页</w:t>
            </w:r>
          </w:p>
        </w:tc>
      </w:tr>
    </w:tbl>
    <w:p w14:paraId="18E170B6">
      <w:pPr>
        <w:adjustRightInd w:val="0"/>
        <w:snapToGrid w:val="0"/>
        <w:spacing w:line="440" w:lineRule="exact"/>
        <w:rPr>
          <w:rFonts w:hint="eastAsia" w:ascii="宋体" w:hAnsi="宋体"/>
          <w:b/>
          <w:szCs w:val="21"/>
        </w:rPr>
      </w:pPr>
      <w:r>
        <w:rPr>
          <w:rFonts w:hint="eastAsia" w:ascii="宋体" w:hAnsi="宋体"/>
          <w:b/>
          <w:szCs w:val="21"/>
        </w:rPr>
        <w:t xml:space="preserve">备注：资格条件自查表将作为供应商有效性审查的重要内容之一，供应商必须严格按照其内容及序列要求在投标文件中对应如实提供！ </w:t>
      </w:r>
    </w:p>
    <w:p w14:paraId="5BB61578">
      <w:pPr>
        <w:pStyle w:val="4"/>
        <w:spacing w:line="240" w:lineRule="auto"/>
        <w:rPr>
          <w:rFonts w:hint="eastAsia" w:hAnsi="宋体"/>
          <w:sz w:val="24"/>
          <w:szCs w:val="24"/>
        </w:rPr>
      </w:pPr>
      <w:r>
        <w:rPr>
          <w:w w:val="80"/>
        </w:rPr>
        <w:br w:type="page"/>
      </w:r>
    </w:p>
    <w:p w14:paraId="476D77F9">
      <w:pPr>
        <w:snapToGrid w:val="0"/>
        <w:spacing w:line="400" w:lineRule="exact"/>
        <w:rPr>
          <w:rFonts w:hint="eastAsia" w:ascii="宋体" w:hAnsi="宋体" w:cs="宋体"/>
          <w:szCs w:val="21"/>
        </w:rPr>
      </w:pPr>
      <w:bookmarkStart w:id="33" w:name="_Toc25845"/>
      <w:bookmarkStart w:id="34" w:name="_Toc463726846"/>
      <w:bookmarkStart w:id="35" w:name="_Toc20947"/>
      <w:bookmarkStart w:id="36" w:name="_Toc14330"/>
      <w:r>
        <w:rPr>
          <w:rFonts w:hint="eastAsia" w:ascii="宋体" w:hAnsi="宋体" w:cs="宋体"/>
          <w:szCs w:val="21"/>
        </w:rPr>
        <w:t>格式一：投标声明书</w:t>
      </w:r>
      <w:bookmarkEnd w:id="33"/>
      <w:bookmarkEnd w:id="34"/>
      <w:bookmarkEnd w:id="35"/>
      <w:bookmarkEnd w:id="36"/>
    </w:p>
    <w:p w14:paraId="0A4EBA0B">
      <w:pPr>
        <w:snapToGrid w:val="0"/>
        <w:spacing w:line="400" w:lineRule="exact"/>
        <w:jc w:val="center"/>
        <w:rPr>
          <w:rFonts w:hint="eastAsia" w:ascii="宋体" w:hAnsi="宋体" w:cs="宋体"/>
          <w:b/>
          <w:bCs/>
          <w:sz w:val="28"/>
          <w:szCs w:val="28"/>
        </w:rPr>
      </w:pPr>
      <w:r>
        <w:rPr>
          <w:rFonts w:ascii="宋体" w:hAnsi="宋体" w:cs="宋体"/>
          <w:b/>
          <w:bCs/>
          <w:sz w:val="28"/>
          <w:szCs w:val="28"/>
        </w:rPr>
        <w:t>投标声明书</w:t>
      </w:r>
    </w:p>
    <w:p w14:paraId="21DF0A50">
      <w:pPr>
        <w:snapToGrid w:val="0"/>
        <w:spacing w:line="400" w:lineRule="exact"/>
        <w:rPr>
          <w:rFonts w:hint="eastAsia" w:ascii="宋体" w:hAnsi="宋体" w:cs="宋体"/>
          <w:szCs w:val="21"/>
        </w:rPr>
      </w:pPr>
    </w:p>
    <w:p w14:paraId="100ECB0A">
      <w:pPr>
        <w:snapToGrid w:val="0"/>
        <w:spacing w:line="360" w:lineRule="auto"/>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5FAD93FF">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5B933864">
      <w:pPr>
        <w:snapToGrid w:val="0"/>
        <w:spacing w:line="360" w:lineRule="auto"/>
        <w:ind w:firstLine="420" w:firstLineChars="200"/>
        <w:rPr>
          <w:rFonts w:hint="eastAsia"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2C5DF958">
      <w:pPr>
        <w:snapToGrid w:val="0"/>
        <w:spacing w:line="360" w:lineRule="auto"/>
        <w:ind w:firstLine="424" w:firstLineChars="202"/>
        <w:rPr>
          <w:rFonts w:hint="eastAsia"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0846C2DE">
      <w:pPr>
        <w:snapToGrid w:val="0"/>
        <w:spacing w:line="360" w:lineRule="auto"/>
        <w:ind w:firstLine="424" w:firstLineChars="202"/>
        <w:rPr>
          <w:rFonts w:hint="eastAsia" w:ascii="宋体" w:hAnsi="宋体"/>
        </w:rPr>
      </w:pPr>
      <w:r>
        <w:rPr>
          <w:rFonts w:hint="eastAsia" w:ascii="宋体" w:hAnsi="宋体"/>
        </w:rPr>
        <w:t>本公司（企业）的法定代表人或单位负责人与所参投的本采购项目的其他供应商的法定代表人或单位负责人不为同一人且与其他供应商之间不存在直接控股、管理关系。</w:t>
      </w:r>
    </w:p>
    <w:p w14:paraId="0928109B">
      <w:pPr>
        <w:snapToGrid w:val="0"/>
        <w:spacing w:line="360" w:lineRule="auto"/>
        <w:ind w:firstLine="424" w:firstLineChars="202"/>
        <w:rPr>
          <w:rFonts w:hint="eastAsia"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4F23020D">
      <w:pPr>
        <w:snapToGrid w:val="0"/>
        <w:spacing w:line="360" w:lineRule="auto"/>
        <w:ind w:firstLine="426" w:firstLineChars="202"/>
        <w:rPr>
          <w:rFonts w:hint="eastAsia"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6A876048">
      <w:pPr>
        <w:snapToGrid w:val="0"/>
        <w:spacing w:line="360" w:lineRule="auto"/>
        <w:ind w:firstLine="426" w:firstLineChars="202"/>
        <w:rPr>
          <w:rFonts w:hint="eastAsia"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70808310">
      <w:pPr>
        <w:snapToGrid w:val="0"/>
        <w:spacing w:line="360" w:lineRule="auto"/>
        <w:ind w:firstLine="426" w:firstLineChars="202"/>
        <w:rPr>
          <w:rFonts w:hint="eastAsia"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01CAB5D8">
      <w:pPr>
        <w:snapToGrid w:val="0"/>
        <w:spacing w:line="360" w:lineRule="auto"/>
        <w:ind w:firstLine="424" w:firstLineChars="202"/>
        <w:rPr>
          <w:rFonts w:hint="eastAsia" w:ascii="宋体" w:hAnsi="宋体"/>
        </w:rPr>
      </w:pPr>
      <w:r>
        <w:rPr>
          <w:rFonts w:hint="eastAsia" w:ascii="宋体" w:hAnsi="宋体"/>
        </w:rPr>
        <w:t>本次招标采购活动中，如有违法、违规、弄虚作假行为，所造成的损失、不良后果及法律责任，一律由我公司（企业）承担。</w:t>
      </w:r>
    </w:p>
    <w:p w14:paraId="67B3F88E">
      <w:pPr>
        <w:spacing w:line="360" w:lineRule="auto"/>
        <w:ind w:firstLine="420"/>
        <w:rPr>
          <w:rFonts w:hint="eastAsia" w:ascii="宋体" w:hAnsi="宋体"/>
          <w:b/>
        </w:rPr>
      </w:pPr>
      <w:r>
        <w:rPr>
          <w:rFonts w:hint="eastAsia" w:ascii="宋体" w:hAnsi="宋体"/>
          <w:b/>
        </w:rPr>
        <w:t>特此声明！</w:t>
      </w:r>
    </w:p>
    <w:p w14:paraId="3E5FDA9D">
      <w:pPr>
        <w:snapToGrid w:val="0"/>
        <w:spacing w:line="360" w:lineRule="auto"/>
        <w:rPr>
          <w:rFonts w:hint="eastAsia" w:ascii="宋体" w:hAnsi="宋体" w:cs="宋体"/>
          <w:szCs w:val="21"/>
        </w:rPr>
      </w:pPr>
      <w:r>
        <w:rPr>
          <w:rFonts w:ascii="宋体" w:hAnsi="宋体" w:cs="宋体"/>
          <w:szCs w:val="21"/>
        </w:rPr>
        <w:t xml:space="preserve">                     </w:t>
      </w:r>
    </w:p>
    <w:p w14:paraId="7F5AE7B1">
      <w:pPr>
        <w:snapToGrid w:val="0"/>
        <w:spacing w:line="360" w:lineRule="auto"/>
        <w:rPr>
          <w:rFonts w:hint="eastAsia" w:ascii="宋体" w:hAnsi="宋体" w:cs="宋体"/>
          <w:szCs w:val="21"/>
        </w:rPr>
      </w:pPr>
      <w:r>
        <w:rPr>
          <w:rFonts w:ascii="宋体" w:hAnsi="宋体" w:cs="宋体"/>
          <w:szCs w:val="21"/>
        </w:rPr>
        <w:t xml:space="preserve">法定代表人或授权代表（签字）：             </w:t>
      </w:r>
    </w:p>
    <w:p w14:paraId="1835ADAA">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0430FD1D">
      <w:pPr>
        <w:snapToGrid w:val="0"/>
        <w:spacing w:line="360" w:lineRule="auto"/>
        <w:rPr>
          <w:rFonts w:hint="eastAsia" w:ascii="宋体" w:hAnsi="宋体" w:cs="宋体"/>
          <w:szCs w:val="21"/>
        </w:rPr>
      </w:pPr>
      <w:r>
        <w:rPr>
          <w:rFonts w:ascii="宋体" w:hAnsi="宋体" w:cs="宋体"/>
          <w:szCs w:val="21"/>
        </w:rPr>
        <w:t xml:space="preserve">               年    月    日</w:t>
      </w:r>
    </w:p>
    <w:p w14:paraId="6E1C1C44">
      <w:pPr>
        <w:spacing w:line="360" w:lineRule="auto"/>
        <w:rPr>
          <w:rFonts w:hint="eastAsia"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《中华人民共和国政府采购法》第二十二条规定的供应商资格条件</w:t>
      </w:r>
    </w:p>
    <w:p w14:paraId="215AAE86">
      <w:pPr>
        <w:spacing w:line="360" w:lineRule="auto"/>
        <w:ind w:firstLine="420" w:firstLineChars="200"/>
      </w:pPr>
    </w:p>
    <w:p w14:paraId="012E7BE2">
      <w:pPr>
        <w:jc w:val="center"/>
        <w:rPr>
          <w:rFonts w:hint="eastAsia" w:ascii="Times New Roman" w:hAnsi="宋体" w:cs="宋体"/>
          <w:b/>
          <w:bCs/>
          <w:szCs w:val="28"/>
        </w:rPr>
      </w:pPr>
      <w:r>
        <w:rPr>
          <w:rFonts w:hint="eastAsia" w:ascii="Times New Roman" w:hAnsi="宋体" w:cs="宋体"/>
          <w:b/>
          <w:bCs/>
          <w:szCs w:val="28"/>
        </w:rPr>
        <w:t>满足《中华人民共和国政府采购法》第二十二条规定的供应商承诺书</w:t>
      </w:r>
    </w:p>
    <w:p w14:paraId="42FC71CC">
      <w:pPr>
        <w:pStyle w:val="74"/>
        <w:ind w:left="403" w:firstLine="0" w:firstLineChars="0"/>
        <w:rPr>
          <w:lang w:eastAsia="zh-Hans"/>
        </w:rPr>
      </w:pPr>
    </w:p>
    <w:p w14:paraId="6E8FE52F">
      <w:pPr>
        <w:spacing w:line="400" w:lineRule="exact"/>
        <w:ind w:firstLine="420" w:firstLineChars="200"/>
        <w:rPr>
          <w:rFonts w:hint="eastAsia" w:ascii="宋体" w:hAnsi="宋体"/>
          <w:szCs w:val="21"/>
        </w:rPr>
      </w:pPr>
      <w:r>
        <w:rPr>
          <w:rFonts w:hint="eastAsia" w:ascii="宋体" w:hAnsi="宋体"/>
          <w:szCs w:val="21"/>
        </w:rPr>
        <w:t>我公司/单位满足《中华人民共和国政府采购法》第二十二条规定的供应商资格条件：</w:t>
      </w:r>
    </w:p>
    <w:p w14:paraId="04B33E87">
      <w:pPr>
        <w:spacing w:line="400" w:lineRule="exact"/>
        <w:ind w:firstLine="420" w:firstLineChars="200"/>
        <w:rPr>
          <w:rFonts w:hint="eastAsia" w:ascii="宋体" w:hAnsi="宋体"/>
          <w:szCs w:val="21"/>
        </w:rPr>
      </w:pPr>
      <w:r>
        <w:rPr>
          <w:rFonts w:hint="eastAsia" w:ascii="宋体" w:hAnsi="宋体"/>
          <w:szCs w:val="21"/>
        </w:rPr>
        <w:t>1.具有独立承担民事责任的能力；</w:t>
      </w:r>
    </w:p>
    <w:p w14:paraId="2DF5E6E7">
      <w:pPr>
        <w:spacing w:line="400" w:lineRule="exact"/>
        <w:ind w:firstLine="420" w:firstLineChars="200"/>
        <w:rPr>
          <w:rFonts w:hint="eastAsia" w:ascii="宋体" w:hAnsi="宋体"/>
          <w:szCs w:val="21"/>
        </w:rPr>
      </w:pPr>
      <w:r>
        <w:rPr>
          <w:rFonts w:hint="eastAsia" w:ascii="宋体" w:hAnsi="宋体"/>
          <w:szCs w:val="21"/>
        </w:rPr>
        <w:t>2.具有良好的商业信誉和健全的财务会计制度；</w:t>
      </w:r>
    </w:p>
    <w:p w14:paraId="324E06AB">
      <w:pPr>
        <w:spacing w:line="400" w:lineRule="exact"/>
        <w:ind w:firstLine="420" w:firstLineChars="200"/>
        <w:rPr>
          <w:rFonts w:hint="eastAsia" w:ascii="宋体" w:hAnsi="宋体"/>
          <w:szCs w:val="21"/>
        </w:rPr>
      </w:pPr>
      <w:r>
        <w:rPr>
          <w:rFonts w:hint="eastAsia" w:ascii="宋体" w:hAnsi="宋体"/>
          <w:szCs w:val="21"/>
        </w:rPr>
        <w:t>3.具有履行合同所必需的设备和专业技术能力；</w:t>
      </w:r>
    </w:p>
    <w:p w14:paraId="78BE395C">
      <w:pPr>
        <w:spacing w:line="400" w:lineRule="exact"/>
        <w:ind w:firstLine="420" w:firstLineChars="200"/>
        <w:rPr>
          <w:rFonts w:hint="eastAsia" w:ascii="宋体" w:hAnsi="宋体"/>
          <w:szCs w:val="21"/>
        </w:rPr>
      </w:pPr>
      <w:r>
        <w:rPr>
          <w:rFonts w:hint="eastAsia" w:ascii="宋体" w:hAnsi="宋体"/>
          <w:szCs w:val="21"/>
        </w:rPr>
        <w:t>4.有依法缴纳税收和社会保障资金的良好记录；</w:t>
      </w:r>
    </w:p>
    <w:p w14:paraId="6D637F5E">
      <w:pPr>
        <w:spacing w:line="400" w:lineRule="exact"/>
        <w:ind w:firstLine="420" w:firstLineChars="200"/>
        <w:rPr>
          <w:rFonts w:hint="eastAsia" w:ascii="宋体" w:hAnsi="宋体"/>
          <w:szCs w:val="21"/>
        </w:rPr>
      </w:pPr>
      <w:r>
        <w:rPr>
          <w:rFonts w:hint="eastAsia" w:ascii="宋体" w:hAnsi="宋体"/>
          <w:szCs w:val="21"/>
        </w:rPr>
        <w:t>5.参加政府采购活动前三年内，在经营活动中没有重大违法记录；</w:t>
      </w:r>
    </w:p>
    <w:p w14:paraId="5FA2595A">
      <w:pPr>
        <w:spacing w:line="400" w:lineRule="exact"/>
        <w:ind w:firstLine="420" w:firstLineChars="200"/>
        <w:rPr>
          <w:rFonts w:hint="eastAsia" w:ascii="宋体" w:hAnsi="宋体"/>
          <w:szCs w:val="21"/>
        </w:rPr>
      </w:pPr>
      <w:r>
        <w:rPr>
          <w:rFonts w:hint="eastAsia" w:ascii="宋体" w:hAnsi="宋体"/>
          <w:szCs w:val="21"/>
        </w:rPr>
        <w:t>6.法律、行政法规规定的其他条件。</w:t>
      </w:r>
    </w:p>
    <w:p w14:paraId="4DD81DB2">
      <w:pPr>
        <w:spacing w:line="400" w:lineRule="exact"/>
        <w:ind w:firstLine="420" w:firstLineChars="200"/>
        <w:rPr>
          <w:rFonts w:hint="eastAsia" w:ascii="宋体" w:hAnsi="宋体"/>
          <w:szCs w:val="21"/>
        </w:rPr>
      </w:pPr>
      <w:r>
        <w:rPr>
          <w:rFonts w:hint="eastAsia" w:ascii="宋体" w:hAnsi="宋体"/>
          <w:szCs w:val="21"/>
        </w:rPr>
        <w:t>特此承诺！</w:t>
      </w:r>
    </w:p>
    <w:p w14:paraId="42DF2153">
      <w:pPr>
        <w:spacing w:line="400" w:lineRule="exact"/>
        <w:ind w:firstLine="420" w:firstLineChars="200"/>
        <w:rPr>
          <w:rFonts w:hint="eastAsia" w:ascii="宋体" w:hAnsi="宋体"/>
          <w:szCs w:val="21"/>
        </w:rPr>
      </w:pPr>
    </w:p>
    <w:p w14:paraId="4AE9D28F">
      <w:pPr>
        <w:spacing w:line="400" w:lineRule="exact"/>
        <w:ind w:firstLine="420" w:firstLineChars="200"/>
        <w:rPr>
          <w:rFonts w:hint="eastAsia" w:ascii="宋体" w:hAnsi="宋体"/>
          <w:szCs w:val="21"/>
        </w:rPr>
      </w:pPr>
    </w:p>
    <w:p w14:paraId="624C4583">
      <w:pPr>
        <w:spacing w:line="400" w:lineRule="exact"/>
        <w:ind w:firstLine="420" w:firstLineChars="200"/>
        <w:rPr>
          <w:rFonts w:hint="eastAsia" w:ascii="宋体" w:hAnsi="宋体"/>
          <w:szCs w:val="21"/>
        </w:rPr>
      </w:pPr>
    </w:p>
    <w:p w14:paraId="4630FAC8">
      <w:pPr>
        <w:spacing w:line="400" w:lineRule="exact"/>
        <w:ind w:firstLine="4830" w:firstLineChars="2300"/>
        <w:rPr>
          <w:rFonts w:hint="eastAsia" w:ascii="宋体" w:hAnsi="宋体"/>
          <w:szCs w:val="21"/>
        </w:rPr>
      </w:pPr>
      <w:r>
        <w:rPr>
          <w:rFonts w:hint="eastAsia" w:ascii="宋体" w:hAnsi="宋体"/>
          <w:szCs w:val="21"/>
        </w:rPr>
        <w:t xml:space="preserve">供应商（盖章）：        </w:t>
      </w:r>
    </w:p>
    <w:p w14:paraId="07EF94FD">
      <w:pPr>
        <w:spacing w:line="400" w:lineRule="exact"/>
        <w:ind w:firstLine="1050" w:firstLineChars="500"/>
        <w:rPr>
          <w:rFonts w:hint="eastAsia" w:ascii="宋体" w:hAnsi="宋体"/>
          <w:szCs w:val="21"/>
        </w:rPr>
      </w:pPr>
      <w:r>
        <w:rPr>
          <w:rFonts w:hint="eastAsia" w:ascii="宋体" w:hAnsi="宋体"/>
          <w:szCs w:val="21"/>
        </w:rPr>
        <w:t xml:space="preserve">供应商的法定代表人／负责人或其授权代表(签字或盖章)：        </w:t>
      </w:r>
    </w:p>
    <w:p w14:paraId="12F12D2D">
      <w:pPr>
        <w:spacing w:line="400" w:lineRule="exact"/>
        <w:ind w:firstLine="420" w:firstLineChars="200"/>
        <w:rPr>
          <w:rFonts w:hint="eastAsia" w:ascii="宋体" w:hAnsi="宋体"/>
          <w:szCs w:val="21"/>
        </w:rPr>
      </w:pPr>
      <w:r>
        <w:rPr>
          <w:rFonts w:hint="eastAsia" w:ascii="宋体" w:hAnsi="宋体"/>
          <w:szCs w:val="21"/>
        </w:rPr>
        <w:t xml:space="preserve">                                                  日  期：  </w:t>
      </w:r>
    </w:p>
    <w:p w14:paraId="6D1AF0FC">
      <w:pPr>
        <w:snapToGrid w:val="0"/>
        <w:spacing w:line="360" w:lineRule="auto"/>
        <w:rPr>
          <w:rFonts w:hint="eastAsia" w:ascii="宋体" w:hAnsi="宋体" w:cs="宋体"/>
          <w:szCs w:val="21"/>
        </w:rPr>
      </w:pPr>
    </w:p>
    <w:p w14:paraId="65E6720B">
      <w:pPr>
        <w:snapToGrid w:val="0"/>
        <w:spacing w:line="360" w:lineRule="auto"/>
        <w:rPr>
          <w:rFonts w:hint="eastAsia" w:ascii="宋体" w:hAnsi="宋体" w:cs="宋体"/>
          <w:szCs w:val="21"/>
        </w:rPr>
      </w:pPr>
    </w:p>
    <w:p w14:paraId="495899D8">
      <w:pPr>
        <w:snapToGrid w:val="0"/>
        <w:spacing w:line="360" w:lineRule="auto"/>
        <w:rPr>
          <w:rFonts w:hint="eastAsia" w:ascii="宋体" w:hAnsi="宋体" w:cs="宋体"/>
          <w:szCs w:val="21"/>
        </w:rPr>
      </w:pPr>
    </w:p>
    <w:p w14:paraId="50B602DE">
      <w:pPr>
        <w:snapToGrid w:val="0"/>
        <w:spacing w:line="360" w:lineRule="auto"/>
        <w:rPr>
          <w:rFonts w:hint="eastAsia" w:ascii="宋体" w:hAnsi="宋体" w:cs="宋体"/>
          <w:szCs w:val="21"/>
        </w:rPr>
      </w:pPr>
    </w:p>
    <w:p w14:paraId="079BCE60">
      <w:pPr>
        <w:snapToGrid w:val="0"/>
        <w:spacing w:line="360" w:lineRule="auto"/>
        <w:rPr>
          <w:rFonts w:hint="eastAsia" w:ascii="宋体" w:hAnsi="宋体" w:cs="宋体"/>
          <w:szCs w:val="21"/>
        </w:rPr>
      </w:pPr>
    </w:p>
    <w:p w14:paraId="26AD5097">
      <w:pPr>
        <w:snapToGrid w:val="0"/>
        <w:spacing w:line="360" w:lineRule="auto"/>
        <w:rPr>
          <w:rFonts w:hint="eastAsia" w:ascii="宋体" w:hAnsi="宋体" w:cs="宋体"/>
          <w:szCs w:val="21"/>
        </w:rPr>
      </w:pPr>
    </w:p>
    <w:p w14:paraId="1CD835F2">
      <w:pPr>
        <w:snapToGrid w:val="0"/>
        <w:spacing w:line="360" w:lineRule="auto"/>
        <w:rPr>
          <w:rFonts w:hint="eastAsia" w:ascii="宋体" w:hAnsi="宋体" w:cs="宋体"/>
          <w:szCs w:val="21"/>
        </w:rPr>
      </w:pPr>
    </w:p>
    <w:p w14:paraId="5F18AB1B">
      <w:pPr>
        <w:snapToGrid w:val="0"/>
        <w:spacing w:line="360" w:lineRule="auto"/>
        <w:rPr>
          <w:rFonts w:hint="eastAsia" w:ascii="宋体" w:hAnsi="宋体" w:cs="宋体"/>
          <w:szCs w:val="21"/>
        </w:rPr>
      </w:pPr>
    </w:p>
    <w:p w14:paraId="5E92810C">
      <w:pPr>
        <w:snapToGrid w:val="0"/>
        <w:spacing w:line="360" w:lineRule="auto"/>
        <w:rPr>
          <w:rFonts w:hint="eastAsia" w:ascii="宋体" w:hAnsi="宋体" w:cs="宋体"/>
          <w:szCs w:val="21"/>
        </w:rPr>
      </w:pPr>
    </w:p>
    <w:p w14:paraId="51724C3B">
      <w:pPr>
        <w:snapToGrid w:val="0"/>
        <w:spacing w:line="360" w:lineRule="auto"/>
        <w:rPr>
          <w:rFonts w:hint="eastAsia" w:ascii="宋体" w:hAnsi="宋体" w:cs="宋体"/>
          <w:szCs w:val="21"/>
        </w:rPr>
      </w:pPr>
    </w:p>
    <w:p w14:paraId="08B07040">
      <w:pPr>
        <w:snapToGrid w:val="0"/>
        <w:spacing w:line="360" w:lineRule="auto"/>
        <w:rPr>
          <w:rFonts w:hint="eastAsia" w:ascii="宋体" w:hAnsi="宋体" w:cs="宋体"/>
          <w:szCs w:val="21"/>
        </w:rPr>
      </w:pPr>
    </w:p>
    <w:p w14:paraId="0FE8524F">
      <w:pPr>
        <w:snapToGrid w:val="0"/>
        <w:spacing w:line="360" w:lineRule="auto"/>
        <w:rPr>
          <w:rFonts w:hint="eastAsia" w:ascii="宋体" w:hAnsi="宋体" w:cs="宋体"/>
          <w:szCs w:val="21"/>
        </w:rPr>
      </w:pPr>
    </w:p>
    <w:p w14:paraId="67B696A9">
      <w:pPr>
        <w:snapToGrid w:val="0"/>
        <w:spacing w:line="360" w:lineRule="auto"/>
        <w:rPr>
          <w:rFonts w:hint="eastAsia" w:ascii="宋体" w:hAnsi="宋体" w:cs="宋体"/>
          <w:szCs w:val="21"/>
        </w:rPr>
      </w:pPr>
    </w:p>
    <w:p w14:paraId="11BBD34F">
      <w:pPr>
        <w:snapToGrid w:val="0"/>
        <w:spacing w:line="360" w:lineRule="auto"/>
        <w:rPr>
          <w:rFonts w:hint="eastAsia" w:ascii="宋体" w:hAnsi="宋体" w:cs="宋体"/>
          <w:szCs w:val="21"/>
        </w:rPr>
      </w:pPr>
    </w:p>
    <w:p w14:paraId="725BCEF3">
      <w:pPr>
        <w:snapToGrid w:val="0"/>
        <w:spacing w:line="360" w:lineRule="auto"/>
        <w:rPr>
          <w:rFonts w:hint="eastAsia" w:ascii="宋体" w:hAnsi="宋体" w:cs="宋体"/>
          <w:szCs w:val="21"/>
        </w:rPr>
      </w:pPr>
    </w:p>
    <w:p w14:paraId="7DCADE64">
      <w:pPr>
        <w:snapToGrid w:val="0"/>
        <w:spacing w:line="360" w:lineRule="auto"/>
        <w:rPr>
          <w:rFonts w:hint="eastAsia" w:ascii="宋体" w:hAnsi="宋体" w:cs="宋体"/>
          <w:szCs w:val="21"/>
        </w:rPr>
      </w:pPr>
    </w:p>
    <w:p w14:paraId="49FD547F">
      <w:pPr>
        <w:snapToGrid w:val="0"/>
        <w:spacing w:line="360" w:lineRule="auto"/>
        <w:rPr>
          <w:rFonts w:hint="eastAsia" w:ascii="宋体" w:hAnsi="宋体" w:cs="宋体"/>
          <w:szCs w:val="21"/>
        </w:rPr>
      </w:pPr>
    </w:p>
    <w:p w14:paraId="78C6F8C1">
      <w:pPr>
        <w:snapToGrid w:val="0"/>
        <w:spacing w:line="360" w:lineRule="auto"/>
        <w:rPr>
          <w:rFonts w:hint="eastAsia" w:ascii="宋体" w:hAnsi="宋体" w:cs="宋体"/>
          <w:szCs w:val="21"/>
        </w:rPr>
      </w:pPr>
    </w:p>
    <w:p w14:paraId="6C6ACFAC">
      <w:pPr>
        <w:spacing w:line="360" w:lineRule="auto"/>
      </w:pPr>
      <w:r>
        <w:rPr>
          <w:rFonts w:hint="eastAsia"/>
        </w:rPr>
        <w:t>格式三：提供</w:t>
      </w:r>
      <w:r>
        <w:t>具有履行合同所必需的设备和专业技术能力</w:t>
      </w:r>
      <w:r>
        <w:rPr>
          <w:rFonts w:hint="eastAsia"/>
        </w:rPr>
        <w:t>的书面声明</w:t>
      </w:r>
    </w:p>
    <w:p w14:paraId="7AB92ACD">
      <w:pPr>
        <w:jc w:val="center"/>
        <w:rPr>
          <w:b/>
          <w:sz w:val="32"/>
          <w:szCs w:val="32"/>
        </w:rPr>
      </w:pPr>
    </w:p>
    <w:p w14:paraId="6A4C493C">
      <w:pPr>
        <w:jc w:val="center"/>
        <w:rPr>
          <w:b/>
          <w:sz w:val="32"/>
          <w:szCs w:val="32"/>
        </w:rPr>
      </w:pPr>
      <w:r>
        <w:rPr>
          <w:rFonts w:hint="eastAsia"/>
          <w:b/>
          <w:sz w:val="32"/>
          <w:szCs w:val="32"/>
        </w:rPr>
        <w:t>具备履行合同所需的设备和专业技术能力的声明</w:t>
      </w:r>
    </w:p>
    <w:p w14:paraId="3C7A65A8"/>
    <w:p w14:paraId="2E29D7FD">
      <w:pPr>
        <w:spacing w:line="360" w:lineRule="auto"/>
      </w:pPr>
      <w:r>
        <w:rPr>
          <w:rFonts w:hint="eastAsia"/>
        </w:rPr>
        <w:t xml:space="preserve"> </w:t>
      </w:r>
    </w:p>
    <w:p w14:paraId="286E1E43">
      <w:pPr>
        <w:spacing w:line="360" w:lineRule="auto"/>
        <w:ind w:firstLine="420" w:firstLineChars="200"/>
      </w:pPr>
      <w:r>
        <w:rPr>
          <w:rFonts w:hint="eastAsia"/>
        </w:rPr>
        <w:t>我公司（单位）具备履行合同所需的设备和专业技术能力，具体情况介绍如下：</w:t>
      </w:r>
    </w:p>
    <w:p w14:paraId="7ADFD404">
      <w:pPr>
        <w:spacing w:line="360" w:lineRule="auto"/>
      </w:pPr>
      <w:r>
        <w:rPr>
          <w:rFonts w:hint="eastAsia"/>
        </w:rPr>
        <w:t xml:space="preserve">        （内容包括：主要设备、专业技术人员、公司资质等）                                          </w:t>
      </w:r>
    </w:p>
    <w:p w14:paraId="5D0DB048">
      <w:pPr>
        <w:spacing w:line="360" w:lineRule="auto"/>
      </w:pPr>
      <w:r>
        <w:rPr>
          <w:rFonts w:hint="eastAsia"/>
        </w:rPr>
        <w:t xml:space="preserve">                                                                            </w:t>
      </w:r>
    </w:p>
    <w:p w14:paraId="01300E2D">
      <w:pPr>
        <w:spacing w:line="360" w:lineRule="auto"/>
      </w:pPr>
      <w:r>
        <w:t>……</w:t>
      </w:r>
      <w:r>
        <w:rPr>
          <w:rFonts w:hint="eastAsia"/>
        </w:rPr>
        <w:t>..</w:t>
      </w:r>
    </w:p>
    <w:p w14:paraId="4A386640">
      <w:pPr>
        <w:spacing w:line="360" w:lineRule="auto"/>
      </w:pPr>
      <w:r>
        <w:rPr>
          <w:rFonts w:hint="eastAsia"/>
        </w:rPr>
        <w:t xml:space="preserve">     特此承诺。</w:t>
      </w:r>
    </w:p>
    <w:p w14:paraId="434AD14A">
      <w:pPr>
        <w:spacing w:line="360" w:lineRule="auto"/>
      </w:pPr>
    </w:p>
    <w:p w14:paraId="123FA52E">
      <w:pPr>
        <w:spacing w:line="360" w:lineRule="auto"/>
      </w:pPr>
    </w:p>
    <w:p w14:paraId="37987859">
      <w:pPr>
        <w:spacing w:line="360" w:lineRule="auto"/>
      </w:pPr>
      <w:r>
        <w:rPr>
          <w:rFonts w:hint="eastAsia"/>
        </w:rPr>
        <w:t>供应商（盖章）：</w:t>
      </w:r>
    </w:p>
    <w:p w14:paraId="55AA1EEF">
      <w:pPr>
        <w:spacing w:line="360" w:lineRule="auto"/>
      </w:pPr>
      <w:r>
        <w:rPr>
          <w:rFonts w:hint="eastAsia"/>
        </w:rPr>
        <w:t>法定代表人或授权代表（签名或印章）：</w:t>
      </w:r>
    </w:p>
    <w:p w14:paraId="37F97488">
      <w:pPr>
        <w:spacing w:line="360" w:lineRule="auto"/>
      </w:pPr>
      <w:r>
        <w:rPr>
          <w:rFonts w:hint="eastAsia"/>
        </w:rPr>
        <w:t>日期：</w:t>
      </w:r>
    </w:p>
    <w:p w14:paraId="7C03DC23">
      <w:pPr>
        <w:spacing w:line="360" w:lineRule="auto"/>
        <w:ind w:firstLine="420" w:firstLineChars="200"/>
      </w:pPr>
    </w:p>
    <w:p w14:paraId="75625658">
      <w:pPr>
        <w:spacing w:line="360" w:lineRule="auto"/>
      </w:pPr>
    </w:p>
    <w:p w14:paraId="3D9CF193">
      <w:pPr>
        <w:spacing w:line="360" w:lineRule="auto"/>
      </w:pPr>
      <w:r>
        <w:rPr>
          <w:rFonts w:hint="eastAsia"/>
        </w:rPr>
        <w:t>格式四：提供参加政府采购活动前</w:t>
      </w:r>
      <w:r>
        <w:t>3</w:t>
      </w:r>
      <w:r>
        <w:rPr>
          <w:rFonts w:hint="eastAsia"/>
        </w:rPr>
        <w:t>年内在经营活动中没有重大违法记录的书面声明</w:t>
      </w:r>
    </w:p>
    <w:p w14:paraId="44025D31"/>
    <w:p w14:paraId="1E4FA3FC"/>
    <w:p w14:paraId="4615133B">
      <w:pPr>
        <w:jc w:val="center"/>
        <w:rPr>
          <w:b/>
          <w:sz w:val="32"/>
          <w:szCs w:val="32"/>
        </w:rPr>
      </w:pPr>
    </w:p>
    <w:p w14:paraId="5267CED1">
      <w:pPr>
        <w:jc w:val="center"/>
        <w:rPr>
          <w:b/>
          <w:sz w:val="32"/>
          <w:szCs w:val="32"/>
        </w:rPr>
      </w:pPr>
      <w:r>
        <w:rPr>
          <w:rFonts w:hint="eastAsia"/>
          <w:b/>
          <w:sz w:val="32"/>
          <w:szCs w:val="32"/>
        </w:rPr>
        <w:t>近三年在政府采购活动中无重大违法记录的声明</w:t>
      </w:r>
    </w:p>
    <w:p w14:paraId="2649DE92"/>
    <w:p w14:paraId="57C102DE"/>
    <w:p w14:paraId="02D11B59">
      <w:pPr>
        <w:spacing w:line="360" w:lineRule="auto"/>
      </w:pPr>
      <w:r>
        <w:rPr>
          <w:rFonts w:hint="eastAsia"/>
        </w:rPr>
        <w:t xml:space="preserve">     参加政府采购活动前三年内，在经营活动中没有重大违法记录，特此声明。</w:t>
      </w:r>
    </w:p>
    <w:p w14:paraId="596475E2">
      <w:pPr>
        <w:spacing w:line="360" w:lineRule="auto"/>
      </w:pPr>
    </w:p>
    <w:p w14:paraId="6A4E1873">
      <w:pPr>
        <w:spacing w:line="360" w:lineRule="auto"/>
        <w:ind w:firstLine="1365" w:firstLineChars="650"/>
      </w:pPr>
    </w:p>
    <w:p w14:paraId="16AF3B59">
      <w:pPr>
        <w:spacing w:line="360" w:lineRule="auto"/>
        <w:ind w:firstLine="1365" w:firstLineChars="650"/>
      </w:pPr>
    </w:p>
    <w:p w14:paraId="07AFC8BA">
      <w:pPr>
        <w:spacing w:line="360" w:lineRule="auto"/>
      </w:pPr>
      <w:r>
        <w:rPr>
          <w:rFonts w:hint="eastAsia"/>
        </w:rPr>
        <w:t>供应商（盖章）：</w:t>
      </w:r>
    </w:p>
    <w:p w14:paraId="53826A20">
      <w:pPr>
        <w:spacing w:line="360" w:lineRule="auto"/>
      </w:pPr>
      <w:r>
        <w:rPr>
          <w:rFonts w:hint="eastAsia"/>
        </w:rPr>
        <w:t>法定代表人或授权代表（签名或印章）：</w:t>
      </w:r>
    </w:p>
    <w:p w14:paraId="7BB8B6C3">
      <w:pPr>
        <w:spacing w:line="360" w:lineRule="auto"/>
      </w:pPr>
      <w:r>
        <w:rPr>
          <w:rFonts w:hint="eastAsia"/>
        </w:rPr>
        <w:t>日    期：</w:t>
      </w:r>
    </w:p>
    <w:p w14:paraId="5548C8DE">
      <w:pPr>
        <w:spacing w:line="360" w:lineRule="auto"/>
      </w:pPr>
    </w:p>
    <w:p w14:paraId="5006B5FC">
      <w:pPr>
        <w:snapToGrid w:val="0"/>
        <w:spacing w:line="360" w:lineRule="auto"/>
        <w:rPr>
          <w:rFonts w:hint="eastAsia" w:ascii="宋体" w:hAnsi="宋体" w:cs="宋体"/>
          <w:szCs w:val="21"/>
        </w:rPr>
      </w:pPr>
    </w:p>
    <w:p w14:paraId="7074A3C9">
      <w:pPr>
        <w:snapToGrid w:val="0"/>
        <w:spacing w:line="360" w:lineRule="auto"/>
        <w:rPr>
          <w:rFonts w:hint="eastAsia" w:ascii="宋体" w:hAnsi="宋体" w:cs="宋体"/>
          <w:szCs w:val="21"/>
        </w:rPr>
      </w:pPr>
    </w:p>
    <w:p w14:paraId="04A9971C">
      <w:pPr>
        <w:pStyle w:val="42"/>
        <w:rPr>
          <w:rFonts w:hint="eastAsia" w:hAnsi="宋体" w:cs="宋体"/>
          <w:szCs w:val="21"/>
        </w:rPr>
      </w:pPr>
    </w:p>
    <w:p w14:paraId="64E4E77A">
      <w:pPr>
        <w:pStyle w:val="42"/>
        <w:rPr>
          <w:rFonts w:hint="eastAsia" w:hAnsi="宋体" w:cs="宋体"/>
          <w:szCs w:val="21"/>
        </w:rPr>
      </w:pPr>
    </w:p>
    <w:p w14:paraId="22DBB4BD">
      <w:pPr>
        <w:pStyle w:val="42"/>
        <w:rPr>
          <w:rFonts w:hint="eastAsia" w:hAnsi="宋体" w:cs="宋体"/>
          <w:szCs w:val="21"/>
        </w:rPr>
      </w:pPr>
    </w:p>
    <w:p w14:paraId="6037241F">
      <w:pPr>
        <w:rPr>
          <w:b/>
        </w:rPr>
      </w:pPr>
    </w:p>
    <w:p w14:paraId="56EAEE42">
      <w:pPr>
        <w:pStyle w:val="7"/>
        <w:numPr>
          <w:ilvl w:val="0"/>
          <w:numId w:val="0"/>
        </w:numPr>
        <w:tabs>
          <w:tab w:val="left" w:pos="720"/>
        </w:tabs>
        <w:snapToGrid w:val="0"/>
        <w:spacing w:before="120" w:beforeLines="50"/>
        <w:rPr>
          <w:rFonts w:hint="eastAsia" w:ascii="宋体" w:hAnsi="宋体" w:cs="宋体"/>
        </w:rPr>
      </w:pPr>
      <w:r>
        <w:rPr>
          <w:rFonts w:hint="eastAsia"/>
          <w:b/>
        </w:rPr>
        <w:t>格式五：</w:t>
      </w:r>
      <w:r>
        <w:rPr>
          <w:rFonts w:hint="eastAsia" w:ascii="宋体" w:hAnsi="宋体" w:cs="宋体"/>
        </w:rPr>
        <w:t>联合体协议（如有）；</w:t>
      </w:r>
    </w:p>
    <w:p w14:paraId="13FD7671">
      <w:pPr>
        <w:widowControl/>
        <w:jc w:val="center"/>
        <w:rPr>
          <w:b/>
          <w:sz w:val="32"/>
          <w:szCs w:val="32"/>
          <w:lang w:bidi="ar"/>
        </w:rPr>
      </w:pPr>
    </w:p>
    <w:p w14:paraId="31E27997">
      <w:pPr>
        <w:widowControl/>
        <w:jc w:val="center"/>
        <w:rPr>
          <w:b/>
          <w:sz w:val="32"/>
          <w:szCs w:val="32"/>
        </w:rPr>
      </w:pPr>
      <w:r>
        <w:rPr>
          <w:rFonts w:hint="eastAsia"/>
          <w:b/>
          <w:sz w:val="32"/>
          <w:szCs w:val="32"/>
          <w:lang w:bidi="ar"/>
        </w:rPr>
        <w:t>联合体协议</w:t>
      </w:r>
    </w:p>
    <w:p w14:paraId="67CBF0D8">
      <w:pPr>
        <w:widowControl/>
        <w:spacing w:line="360" w:lineRule="auto"/>
        <w:ind w:firstLine="420" w:firstLineChars="200"/>
        <w:jc w:val="left"/>
        <w:rPr>
          <w:rFonts w:hint="eastAsia" w:ascii="宋体" w:hAnsi="宋体"/>
          <w:szCs w:val="21"/>
          <w:u w:val="single"/>
        </w:rPr>
      </w:pPr>
    </w:p>
    <w:p w14:paraId="0A995D09">
      <w:pPr>
        <w:topLinePunct/>
        <w:spacing w:line="44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w:t>
      </w:r>
      <w:r>
        <w:rPr>
          <w:rFonts w:hint="eastAsia" w:ascii="宋体" w:hAnsi="宋体" w:cs="宋体"/>
          <w:szCs w:val="21"/>
          <w:u w:val="single"/>
        </w:rPr>
        <w:t xml:space="preserve">                 </w:t>
      </w:r>
      <w:r>
        <w:rPr>
          <w:rFonts w:hint="eastAsia" w:ascii="宋体" w:hAnsi="宋体" w:cs="宋体"/>
          <w:szCs w:val="21"/>
        </w:rPr>
        <w:t>（联合体名称），共同参加</w:t>
      </w:r>
      <w:r>
        <w:rPr>
          <w:rFonts w:hint="eastAsia" w:ascii="宋体" w:hAnsi="宋体" w:cs="宋体"/>
          <w:szCs w:val="21"/>
          <w:u w:val="single"/>
        </w:rPr>
        <w:t xml:space="preserve">            </w:t>
      </w:r>
      <w:r>
        <w:rPr>
          <w:rFonts w:hint="eastAsia" w:ascii="宋体" w:hAnsi="宋体" w:cs="宋体"/>
          <w:szCs w:val="21"/>
        </w:rPr>
        <w:t>（项目名称）投标。现就联合体投标事宜订立如下协议。</w:t>
      </w:r>
    </w:p>
    <w:p w14:paraId="1F48C8C7">
      <w:pPr>
        <w:topLinePunct/>
        <w:spacing w:line="4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（联合体名称）牵头人。</w:t>
      </w:r>
    </w:p>
    <w:p w14:paraId="2AA8D6A0">
      <w:pPr>
        <w:topLinePunct/>
        <w:spacing w:line="440" w:lineRule="exact"/>
        <w:ind w:firstLine="420" w:firstLineChars="200"/>
        <w:rPr>
          <w:rFonts w:hint="eastAsia" w:ascii="宋体" w:hAnsi="宋体" w:cs="宋体"/>
          <w:szCs w:val="21"/>
        </w:rPr>
      </w:pPr>
      <w:r>
        <w:rPr>
          <w:rFonts w:hint="eastAsia" w:ascii="宋体" w:hAnsi="宋体" w:cs="宋体"/>
          <w:szCs w:val="21"/>
        </w:rPr>
        <w:t>2．联合体各成员授权牵头人代表联合体参加投标活动，签署文件，提交和接收相关的资料、信息及指示，进行合同谈判活动，负责合同实施阶段的组织和协调工作，以及处理与本招标项目有关的一切事宜。</w:t>
      </w:r>
    </w:p>
    <w:p w14:paraId="5F3880E1">
      <w:pPr>
        <w:topLinePunct/>
        <w:spacing w:line="440" w:lineRule="exact"/>
        <w:ind w:firstLine="420" w:firstLineChars="200"/>
        <w:rPr>
          <w:rFonts w:hint="eastAsia" w:ascii="宋体" w:hAnsi="宋体" w:cs="宋体"/>
          <w:szCs w:val="21"/>
        </w:rPr>
      </w:pPr>
      <w:r>
        <w:rPr>
          <w:rFonts w:hint="eastAsia" w:ascii="宋体" w:hAnsi="宋体" w:cs="宋体"/>
          <w:szCs w:val="21"/>
        </w:rPr>
        <w:t>3．联合体牵头人在本项目中签署的一切文件和处理的一切事宜，联合体各成员均予以承认。联合体各成员将严格按照招标文件、投标文件和合同的要求全面履行义务，并向采购人承担连带责任。</w:t>
      </w:r>
    </w:p>
    <w:p w14:paraId="7A365861">
      <w:pPr>
        <w:topLinePunct/>
        <w:spacing w:line="440" w:lineRule="exact"/>
        <w:ind w:firstLine="420" w:firstLineChars="200"/>
        <w:rPr>
          <w:rFonts w:hint="eastAsia" w:ascii="宋体" w:hAnsi="宋体" w:cs="宋体"/>
          <w:szCs w:val="21"/>
        </w:rPr>
      </w:pPr>
      <w:r>
        <w:rPr>
          <w:rFonts w:hint="eastAsia" w:ascii="宋体" w:hAnsi="宋体" w:cs="宋体"/>
          <w:szCs w:val="21"/>
        </w:rPr>
        <w:t>4．联合体各成员单位内部的职责分工如下：</w:t>
      </w:r>
      <w:r>
        <w:rPr>
          <w:rFonts w:hint="eastAsia" w:ascii="宋体" w:hAnsi="宋体" w:cs="宋体"/>
          <w:i/>
          <w:iCs/>
          <w:szCs w:val="21"/>
          <w:u w:val="single"/>
        </w:rPr>
        <w:t>（牵头人名称）</w:t>
      </w:r>
      <w:r>
        <w:rPr>
          <w:rFonts w:hint="eastAsia" w:ascii="宋体" w:hAnsi="宋体" w:cs="宋体"/>
          <w:szCs w:val="21"/>
        </w:rPr>
        <w:t>承担</w:t>
      </w:r>
      <w:r>
        <w:rPr>
          <w:rFonts w:hint="eastAsia" w:ascii="宋体" w:hAnsi="宋体" w:cs="宋体"/>
          <w:szCs w:val="21"/>
          <w:u w:val="single"/>
        </w:rPr>
        <w:t xml:space="preserve">        </w:t>
      </w:r>
      <w:r>
        <w:rPr>
          <w:rFonts w:hint="eastAsia" w:ascii="宋体" w:hAnsi="宋体" w:cs="宋体"/>
          <w:szCs w:val="21"/>
        </w:rPr>
        <w:t>专业工程，占总工程量的</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i/>
          <w:iCs/>
          <w:szCs w:val="21"/>
          <w:u w:val="single"/>
        </w:rPr>
        <w:t>（成员一名称）</w:t>
      </w:r>
      <w:r>
        <w:rPr>
          <w:rFonts w:hint="eastAsia" w:ascii="宋体" w:hAnsi="宋体" w:cs="宋体"/>
          <w:szCs w:val="21"/>
        </w:rPr>
        <w:t>承担</w:t>
      </w:r>
      <w:r>
        <w:rPr>
          <w:rFonts w:hint="eastAsia" w:ascii="宋体" w:hAnsi="宋体" w:cs="宋体"/>
          <w:szCs w:val="21"/>
          <w:u w:val="single"/>
        </w:rPr>
        <w:t xml:space="preserve">        </w:t>
      </w:r>
      <w:r>
        <w:rPr>
          <w:rFonts w:hint="eastAsia" w:ascii="宋体" w:hAnsi="宋体" w:cs="宋体"/>
          <w:szCs w:val="21"/>
        </w:rPr>
        <w:t>专业工程，占总工程量的</w:t>
      </w:r>
      <w:r>
        <w:rPr>
          <w:rFonts w:hint="eastAsia" w:ascii="宋体" w:hAnsi="宋体" w:cs="宋体"/>
          <w:szCs w:val="21"/>
          <w:u w:val="single"/>
        </w:rPr>
        <w:t xml:space="preserve">      </w:t>
      </w:r>
      <w:r>
        <w:rPr>
          <w:rFonts w:hint="eastAsia" w:ascii="宋体" w:hAnsi="宋体" w:cs="宋体"/>
          <w:szCs w:val="21"/>
        </w:rPr>
        <w:t xml:space="preserve"> %；……。</w:t>
      </w:r>
    </w:p>
    <w:p w14:paraId="2D220F57">
      <w:pPr>
        <w:topLinePunct/>
        <w:spacing w:line="440" w:lineRule="exact"/>
        <w:ind w:firstLine="420" w:firstLineChars="200"/>
        <w:rPr>
          <w:rFonts w:hint="eastAsia" w:ascii="宋体" w:hAnsi="宋体" w:cs="宋体"/>
          <w:szCs w:val="21"/>
        </w:rPr>
      </w:pPr>
      <w:r>
        <w:rPr>
          <w:rFonts w:hint="eastAsia" w:ascii="宋体" w:hAnsi="宋体" w:cs="宋体"/>
          <w:szCs w:val="21"/>
        </w:rPr>
        <w:t>5．投标工作和联合体在中标后项目实施过程中的有关费用按各自承担的工作量分摊。</w:t>
      </w:r>
    </w:p>
    <w:p w14:paraId="71899169">
      <w:pPr>
        <w:topLinePunct/>
        <w:spacing w:line="440" w:lineRule="exact"/>
        <w:ind w:firstLine="420" w:firstLineChars="200"/>
        <w:rPr>
          <w:rFonts w:hint="eastAsia" w:ascii="宋体" w:hAnsi="宋体" w:cs="宋体"/>
          <w:szCs w:val="21"/>
        </w:rPr>
      </w:pPr>
      <w:r>
        <w:rPr>
          <w:rFonts w:hint="eastAsia" w:ascii="宋体" w:hAnsi="宋体" w:cs="宋体"/>
          <w:szCs w:val="21"/>
        </w:rPr>
        <w:t xml:space="preserve">6．本协议书自所有成员单位法定代表人签字或盖章并加盖单位章之日起生效，合同履行完毕后自动失效。 </w:t>
      </w:r>
    </w:p>
    <w:p w14:paraId="6AB65C57">
      <w:pPr>
        <w:widowControl/>
        <w:spacing w:line="360" w:lineRule="auto"/>
        <w:ind w:firstLine="420" w:firstLineChars="200"/>
        <w:jc w:val="left"/>
        <w:rPr>
          <w:rFonts w:hint="eastAsia" w:ascii="宋体" w:hAnsi="宋体"/>
          <w:szCs w:val="21"/>
        </w:rPr>
      </w:pPr>
      <w:r>
        <w:rPr>
          <w:rFonts w:hint="eastAsia" w:ascii="宋体" w:hAnsi="宋体"/>
          <w:szCs w:val="21"/>
        </w:rPr>
        <w:t>7. 联合体各方不得再以自己的名义在本项目中单独投标。</w:t>
      </w:r>
    </w:p>
    <w:p w14:paraId="067F98AD">
      <w:pPr>
        <w:widowControl/>
        <w:spacing w:line="500" w:lineRule="exact"/>
        <w:ind w:firstLine="420" w:firstLineChars="200"/>
        <w:jc w:val="left"/>
        <w:rPr>
          <w:rFonts w:hint="eastAsia" w:ascii="宋体" w:hAnsi="宋体"/>
          <w:szCs w:val="21"/>
        </w:rPr>
      </w:pPr>
    </w:p>
    <w:p w14:paraId="35FF73E0">
      <w:pPr>
        <w:widowControl/>
        <w:spacing w:line="500" w:lineRule="exact"/>
        <w:ind w:firstLine="420" w:firstLineChars="200"/>
        <w:jc w:val="left"/>
        <w:rPr>
          <w:rFonts w:hint="eastAsia" w:ascii="宋体" w:hAnsi="宋体"/>
          <w:szCs w:val="21"/>
        </w:rPr>
      </w:pPr>
      <w:r>
        <w:rPr>
          <w:rFonts w:hint="eastAsia"/>
          <w:szCs w:val="21"/>
        </w:rPr>
        <w:t>联合体</w:t>
      </w:r>
      <w:r>
        <w:rPr>
          <w:szCs w:val="21"/>
        </w:rPr>
        <w:t>牵头人名称</w:t>
      </w:r>
      <w:r>
        <w:rPr>
          <w:rFonts w:hint="eastAsia" w:ascii="Times New Roman" w:hAnsi="宋体"/>
          <w:szCs w:val="21"/>
        </w:rPr>
        <w:t>（盖章）</w:t>
      </w:r>
      <w:r>
        <w:rPr>
          <w:rFonts w:hint="eastAsia" w:ascii="宋体" w:hAnsi="宋体"/>
          <w:szCs w:val="21"/>
        </w:rPr>
        <w:t xml:space="preserve">：                     </w:t>
      </w:r>
      <w:r>
        <w:rPr>
          <w:rFonts w:hint="eastAsia"/>
          <w:szCs w:val="21"/>
        </w:rPr>
        <w:t>联合体</w:t>
      </w:r>
      <w:r>
        <w:rPr>
          <w:szCs w:val="21"/>
        </w:rPr>
        <w:t>成员</w:t>
      </w:r>
      <w:r>
        <w:rPr>
          <w:rFonts w:hint="eastAsia" w:ascii="Times New Roman" w:hAnsi="宋体"/>
          <w:szCs w:val="21"/>
        </w:rPr>
        <w:t>（盖章）</w:t>
      </w:r>
      <w:r>
        <w:rPr>
          <w:rFonts w:hint="eastAsia" w:ascii="宋体" w:hAnsi="宋体"/>
          <w:szCs w:val="21"/>
        </w:rPr>
        <w:t>：</w:t>
      </w:r>
    </w:p>
    <w:p w14:paraId="25A6E286">
      <w:pPr>
        <w:widowControl/>
        <w:spacing w:line="500" w:lineRule="exact"/>
        <w:ind w:firstLine="420" w:firstLineChars="200"/>
        <w:jc w:val="left"/>
        <w:rPr>
          <w:rFonts w:hint="eastAsia" w:ascii="宋体" w:hAnsi="宋体"/>
          <w:szCs w:val="21"/>
        </w:rPr>
      </w:pPr>
      <w:r>
        <w:rPr>
          <w:rFonts w:hint="eastAsia" w:ascii="宋体" w:hAnsi="宋体"/>
          <w:szCs w:val="21"/>
        </w:rPr>
        <w:t>法定代表人</w:t>
      </w:r>
      <w:r>
        <w:rPr>
          <w:rFonts w:hint="eastAsia" w:ascii="Times New Roman" w:hAnsi="宋体"/>
          <w:szCs w:val="21"/>
        </w:rPr>
        <w:t>（签名或盖章）</w:t>
      </w:r>
      <w:r>
        <w:rPr>
          <w:rFonts w:hint="eastAsia" w:ascii="宋体" w:hAnsi="宋体"/>
          <w:szCs w:val="21"/>
        </w:rPr>
        <w:t>：</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法定代表人</w:t>
      </w:r>
      <w:r>
        <w:rPr>
          <w:rFonts w:hint="eastAsia" w:ascii="Times New Roman" w:hAnsi="宋体"/>
          <w:szCs w:val="21"/>
        </w:rPr>
        <w:t>（签名或盖章）</w:t>
      </w:r>
      <w:r>
        <w:rPr>
          <w:rFonts w:hint="eastAsia" w:ascii="宋体" w:hAnsi="宋体"/>
          <w:szCs w:val="21"/>
        </w:rPr>
        <w:t>：</w:t>
      </w:r>
    </w:p>
    <w:p w14:paraId="0684BBFD">
      <w:pPr>
        <w:widowControl/>
        <w:spacing w:line="500" w:lineRule="exact"/>
        <w:ind w:firstLine="420" w:firstLineChars="200"/>
        <w:jc w:val="left"/>
        <w:rPr>
          <w:rFonts w:hint="eastAsia" w:ascii="宋体" w:hAnsi="宋体"/>
          <w:szCs w:val="21"/>
        </w:rPr>
      </w:pPr>
      <w:r>
        <w:rPr>
          <w:rFonts w:hint="eastAsia" w:ascii="宋体" w:hAnsi="宋体"/>
          <w:szCs w:val="21"/>
        </w:rPr>
        <w:t xml:space="preserve">地址：                                         地址： </w:t>
      </w:r>
    </w:p>
    <w:p w14:paraId="39FF3A2A">
      <w:pPr>
        <w:widowControl/>
        <w:spacing w:line="500" w:lineRule="exact"/>
        <w:ind w:firstLine="420" w:firstLineChars="200"/>
        <w:jc w:val="left"/>
        <w:rPr>
          <w:rFonts w:hint="eastAsia" w:ascii="宋体" w:hAnsi="宋体"/>
          <w:szCs w:val="21"/>
        </w:rPr>
      </w:pPr>
      <w:r>
        <w:rPr>
          <w:rFonts w:hint="eastAsia" w:ascii="宋体" w:hAnsi="宋体"/>
          <w:szCs w:val="21"/>
        </w:rPr>
        <w:t xml:space="preserve">邮政编码：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邮政编码： </w:t>
      </w:r>
    </w:p>
    <w:p w14:paraId="7DB58758">
      <w:pPr>
        <w:widowControl/>
        <w:spacing w:line="500" w:lineRule="exact"/>
        <w:ind w:firstLine="420" w:firstLineChars="200"/>
        <w:jc w:val="left"/>
        <w:rPr>
          <w:rFonts w:hint="eastAsia" w:ascii="宋体" w:hAnsi="宋体"/>
          <w:szCs w:val="21"/>
        </w:rPr>
      </w:pPr>
      <w:r>
        <w:rPr>
          <w:rFonts w:hint="eastAsia" w:ascii="宋体" w:hAnsi="宋体"/>
          <w:szCs w:val="21"/>
        </w:rPr>
        <w:t xml:space="preserve">联系电话：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联系电话： </w:t>
      </w:r>
    </w:p>
    <w:p w14:paraId="227429C6">
      <w:pPr>
        <w:widowControl/>
        <w:spacing w:line="500" w:lineRule="exact"/>
        <w:ind w:firstLine="420" w:firstLineChars="200"/>
        <w:jc w:val="left"/>
        <w:rPr>
          <w:rFonts w:hint="eastAsia" w:ascii="宋体" w:hAnsi="宋体"/>
          <w:szCs w:val="21"/>
          <w:u w:val="single"/>
        </w:rPr>
      </w:pPr>
      <w:r>
        <w:rPr>
          <w:rFonts w:hint="eastAsia" w:ascii="宋体" w:hAnsi="宋体"/>
          <w:szCs w:val="21"/>
        </w:rPr>
        <w:t>签署日期：   年   月   日</w:t>
      </w:r>
      <w:r>
        <w:rPr>
          <w:rFonts w:hint="eastAsia" w:ascii="宋体" w:hAnsi="宋体"/>
          <w:szCs w:val="21"/>
        </w:rPr>
        <w:tab/>
      </w:r>
      <w:r>
        <w:rPr>
          <w:rFonts w:hint="eastAsia" w:ascii="宋体" w:hAnsi="宋体"/>
          <w:szCs w:val="21"/>
        </w:rPr>
        <w:tab/>
      </w:r>
      <w:r>
        <w:rPr>
          <w:rFonts w:hint="eastAsia" w:ascii="宋体" w:hAnsi="宋体"/>
          <w:szCs w:val="21"/>
        </w:rPr>
        <w:t xml:space="preserve">               签署日期：    年   月   日</w:t>
      </w:r>
    </w:p>
    <w:p w14:paraId="5D64B16D">
      <w:pPr>
        <w:snapToGrid w:val="0"/>
        <w:spacing w:before="120" w:beforeLines="50" w:after="120" w:afterLines="50"/>
        <w:ind w:left="454" w:hanging="284"/>
        <w:rPr>
          <w:rFonts w:hint="eastAsia" w:ascii="宋体" w:hAnsi="宋体" w:cs="宋体"/>
        </w:rPr>
      </w:pPr>
    </w:p>
    <w:p w14:paraId="1C94DB0A">
      <w:pPr>
        <w:rPr>
          <w:b/>
        </w:rPr>
      </w:pPr>
      <w:r>
        <w:rPr>
          <w:rFonts w:hint="eastAsia" w:ascii="宋体" w:hAnsi="宋体" w:cs="宋体"/>
          <w:szCs w:val="21"/>
        </w:rPr>
        <w:t>注：采用联合体形式投标的供应商必须提供联合体协议；如单独投标无须提供“联合体协议”。</w:t>
      </w:r>
      <w:r>
        <w:rPr>
          <w:rFonts w:hint="eastAsia" w:ascii="宋体" w:hAnsi="宋体" w:cs="宋体"/>
          <w:b/>
          <w:bCs/>
        </w:rPr>
        <w:br w:type="page"/>
      </w:r>
      <w:r>
        <w:rPr>
          <w:rFonts w:hint="eastAsia"/>
          <w:b/>
        </w:rPr>
        <w:t>格式六：招标文件要求及供应商认为需要提供的其他证明材料（如有）</w:t>
      </w:r>
    </w:p>
    <w:p w14:paraId="05E38E1C">
      <w:pPr>
        <w:snapToGrid w:val="0"/>
        <w:spacing w:line="400" w:lineRule="exact"/>
        <w:rPr>
          <w:rFonts w:hint="eastAsia" w:ascii="宋体" w:hAnsi="宋体" w:cs="宋体"/>
          <w:szCs w:val="21"/>
        </w:rPr>
      </w:pPr>
    </w:p>
    <w:p w14:paraId="55A3277C">
      <w:pPr>
        <w:snapToGrid w:val="0"/>
        <w:spacing w:line="400" w:lineRule="exact"/>
        <w:rPr>
          <w:rFonts w:hint="eastAsia" w:ascii="宋体" w:hAnsi="宋体" w:cs="宋体"/>
          <w:szCs w:val="21"/>
        </w:rPr>
      </w:pPr>
    </w:p>
    <w:p w14:paraId="7423AB00">
      <w:pPr>
        <w:pStyle w:val="42"/>
        <w:rPr>
          <w:rFonts w:hint="eastAsia" w:hAnsi="宋体" w:cs="宋体"/>
          <w:szCs w:val="21"/>
        </w:rPr>
      </w:pPr>
    </w:p>
    <w:p w14:paraId="0243FD48">
      <w:pPr>
        <w:pStyle w:val="42"/>
        <w:rPr>
          <w:rFonts w:hint="eastAsia" w:hAnsi="宋体" w:cs="宋体"/>
          <w:szCs w:val="21"/>
        </w:rPr>
      </w:pPr>
    </w:p>
    <w:p w14:paraId="7AF4C0AD">
      <w:pPr>
        <w:pStyle w:val="42"/>
        <w:rPr>
          <w:rFonts w:hint="eastAsia" w:hAnsi="宋体" w:cs="宋体"/>
          <w:szCs w:val="21"/>
        </w:rPr>
      </w:pPr>
    </w:p>
    <w:p w14:paraId="6F9AF45C">
      <w:pPr>
        <w:pStyle w:val="42"/>
        <w:rPr>
          <w:rFonts w:hint="eastAsia" w:hAnsi="宋体" w:cs="宋体"/>
          <w:szCs w:val="21"/>
        </w:rPr>
      </w:pPr>
    </w:p>
    <w:p w14:paraId="785A651D">
      <w:pPr>
        <w:pStyle w:val="42"/>
        <w:rPr>
          <w:rFonts w:hint="eastAsia" w:hAnsi="宋体" w:cs="宋体"/>
          <w:szCs w:val="21"/>
        </w:rPr>
      </w:pPr>
    </w:p>
    <w:p w14:paraId="0BB10791">
      <w:pPr>
        <w:pStyle w:val="42"/>
        <w:rPr>
          <w:rFonts w:hint="eastAsia" w:hAnsi="宋体" w:cs="宋体"/>
          <w:szCs w:val="21"/>
        </w:rPr>
      </w:pPr>
    </w:p>
    <w:p w14:paraId="370125C0">
      <w:pPr>
        <w:pStyle w:val="42"/>
        <w:rPr>
          <w:rFonts w:hint="eastAsia" w:hAnsi="宋体" w:cs="宋体"/>
          <w:szCs w:val="21"/>
        </w:rPr>
      </w:pPr>
    </w:p>
    <w:p w14:paraId="22BE7E1D">
      <w:pPr>
        <w:pStyle w:val="42"/>
        <w:rPr>
          <w:rFonts w:hint="eastAsia" w:hAnsi="宋体" w:cs="宋体"/>
          <w:szCs w:val="21"/>
        </w:rPr>
      </w:pPr>
    </w:p>
    <w:p w14:paraId="04ADDA12">
      <w:pPr>
        <w:pStyle w:val="42"/>
        <w:rPr>
          <w:rFonts w:hint="eastAsia" w:hAnsi="宋体" w:cs="宋体"/>
          <w:szCs w:val="21"/>
        </w:rPr>
      </w:pPr>
    </w:p>
    <w:p w14:paraId="374D6F24">
      <w:pPr>
        <w:pStyle w:val="42"/>
        <w:rPr>
          <w:rFonts w:hint="eastAsia" w:hAnsi="宋体" w:cs="宋体"/>
          <w:szCs w:val="21"/>
        </w:rPr>
      </w:pPr>
    </w:p>
    <w:p w14:paraId="6DD9DB29">
      <w:pPr>
        <w:pStyle w:val="42"/>
        <w:rPr>
          <w:rFonts w:hint="eastAsia" w:hAnsi="宋体" w:cs="宋体"/>
          <w:szCs w:val="21"/>
        </w:rPr>
      </w:pPr>
    </w:p>
    <w:p w14:paraId="6F994560">
      <w:pPr>
        <w:pStyle w:val="42"/>
        <w:rPr>
          <w:rFonts w:hint="eastAsia" w:hAnsi="宋体" w:cs="宋体"/>
          <w:szCs w:val="21"/>
        </w:rPr>
      </w:pPr>
    </w:p>
    <w:p w14:paraId="3DA186D5">
      <w:pPr>
        <w:pStyle w:val="42"/>
        <w:rPr>
          <w:rFonts w:hint="eastAsia" w:hAnsi="宋体" w:cs="宋体"/>
          <w:szCs w:val="21"/>
        </w:rPr>
      </w:pPr>
    </w:p>
    <w:p w14:paraId="2EDF38EE">
      <w:pPr>
        <w:pStyle w:val="42"/>
        <w:rPr>
          <w:rFonts w:hint="eastAsia" w:hAnsi="宋体" w:cs="宋体"/>
          <w:szCs w:val="21"/>
        </w:rPr>
      </w:pPr>
    </w:p>
    <w:p w14:paraId="2446B8B2">
      <w:pPr>
        <w:pStyle w:val="42"/>
        <w:rPr>
          <w:rFonts w:hint="eastAsia" w:hAnsi="宋体" w:cs="宋体"/>
          <w:szCs w:val="21"/>
        </w:rPr>
      </w:pPr>
    </w:p>
    <w:p w14:paraId="0DF1792F">
      <w:pPr>
        <w:pStyle w:val="42"/>
        <w:rPr>
          <w:rFonts w:hint="eastAsia" w:hAnsi="宋体" w:cs="宋体"/>
          <w:szCs w:val="21"/>
        </w:rPr>
      </w:pPr>
    </w:p>
    <w:p w14:paraId="1697AF27">
      <w:pPr>
        <w:pStyle w:val="42"/>
        <w:rPr>
          <w:rFonts w:hint="eastAsia" w:hAnsi="宋体" w:cs="宋体"/>
          <w:szCs w:val="21"/>
        </w:rPr>
      </w:pPr>
    </w:p>
    <w:p w14:paraId="7B550C64">
      <w:pPr>
        <w:pStyle w:val="42"/>
        <w:rPr>
          <w:rFonts w:hint="eastAsia" w:hAnsi="宋体" w:cs="宋体"/>
          <w:szCs w:val="21"/>
        </w:rPr>
      </w:pPr>
    </w:p>
    <w:p w14:paraId="59F3DD99">
      <w:pPr>
        <w:pStyle w:val="42"/>
        <w:rPr>
          <w:rFonts w:hint="eastAsia" w:hAnsi="宋体" w:cs="宋体"/>
          <w:szCs w:val="21"/>
        </w:rPr>
      </w:pPr>
    </w:p>
    <w:p w14:paraId="78C2EAE5">
      <w:pPr>
        <w:pStyle w:val="42"/>
        <w:rPr>
          <w:rFonts w:hint="eastAsia" w:hAnsi="宋体" w:cs="宋体"/>
          <w:szCs w:val="21"/>
        </w:rPr>
      </w:pPr>
    </w:p>
    <w:p w14:paraId="4BE3C6B2">
      <w:pPr>
        <w:pStyle w:val="42"/>
        <w:rPr>
          <w:rFonts w:hint="eastAsia" w:hAnsi="宋体" w:cs="宋体"/>
          <w:szCs w:val="21"/>
        </w:rPr>
      </w:pPr>
    </w:p>
    <w:p w14:paraId="5842AAEF">
      <w:pPr>
        <w:pStyle w:val="42"/>
        <w:rPr>
          <w:rFonts w:hint="eastAsia" w:hAnsi="宋体" w:cs="宋体"/>
          <w:szCs w:val="21"/>
        </w:rPr>
      </w:pPr>
    </w:p>
    <w:p w14:paraId="2541311B">
      <w:pPr>
        <w:pStyle w:val="42"/>
        <w:rPr>
          <w:rFonts w:hint="eastAsia" w:hAnsi="宋体" w:cs="宋体"/>
          <w:szCs w:val="21"/>
        </w:rPr>
      </w:pPr>
    </w:p>
    <w:p w14:paraId="3640D991">
      <w:pPr>
        <w:pStyle w:val="42"/>
        <w:rPr>
          <w:rFonts w:hint="eastAsia" w:hAnsi="宋体" w:cs="宋体"/>
          <w:szCs w:val="21"/>
        </w:rPr>
      </w:pPr>
    </w:p>
    <w:p w14:paraId="6BD43200">
      <w:pPr>
        <w:pStyle w:val="42"/>
        <w:rPr>
          <w:rFonts w:hint="eastAsia" w:hAnsi="宋体" w:cs="宋体"/>
          <w:szCs w:val="21"/>
        </w:rPr>
      </w:pPr>
    </w:p>
    <w:p w14:paraId="5C252D01">
      <w:pPr>
        <w:pStyle w:val="42"/>
        <w:rPr>
          <w:rFonts w:hint="eastAsia" w:hAnsi="宋体" w:cs="宋体"/>
          <w:szCs w:val="21"/>
        </w:rPr>
      </w:pPr>
    </w:p>
    <w:p w14:paraId="0B1E13AB">
      <w:pPr>
        <w:pStyle w:val="42"/>
        <w:rPr>
          <w:rFonts w:hint="eastAsia" w:hAnsi="宋体" w:cs="宋体"/>
          <w:szCs w:val="21"/>
        </w:rPr>
      </w:pPr>
    </w:p>
    <w:p w14:paraId="70797A87">
      <w:pPr>
        <w:pStyle w:val="42"/>
        <w:rPr>
          <w:rFonts w:hint="eastAsia" w:hAnsi="宋体" w:cs="宋体"/>
          <w:szCs w:val="21"/>
        </w:rPr>
      </w:pPr>
    </w:p>
    <w:p w14:paraId="58C5023F">
      <w:pPr>
        <w:pStyle w:val="42"/>
        <w:rPr>
          <w:rFonts w:hint="eastAsia" w:hAnsi="宋体" w:cs="宋体"/>
          <w:szCs w:val="21"/>
        </w:rPr>
      </w:pPr>
    </w:p>
    <w:p w14:paraId="50D1ADE0">
      <w:pPr>
        <w:pStyle w:val="42"/>
        <w:rPr>
          <w:rFonts w:hint="eastAsia" w:hAnsi="宋体" w:cs="宋体"/>
          <w:szCs w:val="21"/>
        </w:rPr>
      </w:pPr>
    </w:p>
    <w:p w14:paraId="6F8734D0">
      <w:pPr>
        <w:pStyle w:val="42"/>
        <w:rPr>
          <w:rFonts w:hint="eastAsia" w:hAnsi="宋体" w:cs="宋体"/>
          <w:szCs w:val="21"/>
        </w:rPr>
      </w:pPr>
    </w:p>
    <w:p w14:paraId="5D01070E">
      <w:pPr>
        <w:pStyle w:val="42"/>
        <w:rPr>
          <w:rFonts w:hint="eastAsia" w:hAnsi="宋体" w:cs="宋体"/>
          <w:szCs w:val="21"/>
        </w:rPr>
      </w:pPr>
    </w:p>
    <w:p w14:paraId="3F2D16C4">
      <w:pPr>
        <w:pStyle w:val="42"/>
        <w:rPr>
          <w:rFonts w:hint="eastAsia" w:hAnsi="宋体" w:cs="宋体"/>
          <w:szCs w:val="21"/>
        </w:rPr>
      </w:pPr>
    </w:p>
    <w:p w14:paraId="391AEC00">
      <w:pPr>
        <w:pStyle w:val="42"/>
        <w:rPr>
          <w:rFonts w:hint="eastAsia" w:hAnsi="宋体" w:cs="宋体"/>
          <w:szCs w:val="21"/>
        </w:rPr>
      </w:pPr>
    </w:p>
    <w:p w14:paraId="6A3EA402">
      <w:pPr>
        <w:pStyle w:val="42"/>
        <w:rPr>
          <w:rFonts w:hint="eastAsia" w:hAnsi="宋体" w:cs="宋体"/>
          <w:szCs w:val="21"/>
        </w:rPr>
      </w:pPr>
    </w:p>
    <w:p w14:paraId="36973D49">
      <w:pPr>
        <w:pStyle w:val="42"/>
        <w:rPr>
          <w:rFonts w:hint="eastAsia" w:hAnsi="宋体" w:cs="宋体"/>
          <w:szCs w:val="21"/>
        </w:rPr>
      </w:pPr>
    </w:p>
    <w:p w14:paraId="01E3D35D">
      <w:pPr>
        <w:pStyle w:val="42"/>
        <w:rPr>
          <w:rFonts w:hint="eastAsia" w:hAnsi="宋体" w:cs="宋体"/>
          <w:szCs w:val="21"/>
        </w:rPr>
      </w:pPr>
    </w:p>
    <w:p w14:paraId="32A461B8">
      <w:pPr>
        <w:pStyle w:val="42"/>
        <w:rPr>
          <w:rFonts w:hint="eastAsia" w:hAnsi="宋体" w:cs="宋体"/>
          <w:szCs w:val="21"/>
        </w:rPr>
      </w:pPr>
    </w:p>
    <w:p w14:paraId="11561F37">
      <w:pPr>
        <w:pStyle w:val="42"/>
        <w:rPr>
          <w:rFonts w:hint="eastAsia" w:hAnsi="宋体" w:cs="宋体"/>
          <w:szCs w:val="21"/>
        </w:rPr>
      </w:pPr>
    </w:p>
    <w:p w14:paraId="2E6599A0">
      <w:pPr>
        <w:pStyle w:val="42"/>
        <w:rPr>
          <w:rFonts w:hint="eastAsia" w:hAnsi="宋体" w:cs="宋体"/>
          <w:szCs w:val="21"/>
        </w:rPr>
      </w:pPr>
    </w:p>
    <w:p w14:paraId="207DDAB4">
      <w:pPr>
        <w:pStyle w:val="42"/>
        <w:rPr>
          <w:rFonts w:hint="eastAsia" w:hAnsi="宋体" w:cs="宋体"/>
          <w:szCs w:val="21"/>
        </w:rPr>
      </w:pPr>
    </w:p>
    <w:p w14:paraId="6411BF12">
      <w:pPr>
        <w:jc w:val="center"/>
      </w:pPr>
      <w:r>
        <w:rPr>
          <w:rFonts w:hint="eastAsia"/>
        </w:rPr>
        <w:t>二、商务技术文件格式</w:t>
      </w:r>
    </w:p>
    <w:p w14:paraId="7F973B37">
      <w:pPr>
        <w:snapToGrid w:val="0"/>
        <w:spacing w:before="120" w:beforeLines="50" w:after="50"/>
        <w:jc w:val="center"/>
        <w:rPr>
          <w:rFonts w:hint="eastAsia" w:ascii="宋体" w:hAnsi="宋体"/>
          <w:szCs w:val="21"/>
        </w:rPr>
      </w:pPr>
    </w:p>
    <w:p w14:paraId="3D5ACF52">
      <w:pPr>
        <w:snapToGrid w:val="0"/>
        <w:spacing w:before="120" w:beforeLines="50" w:after="50"/>
        <w:jc w:val="center"/>
        <w:rPr>
          <w:rFonts w:hint="eastAsia" w:ascii="宋体" w:hAnsi="宋体"/>
          <w:szCs w:val="21"/>
        </w:rPr>
      </w:pPr>
    </w:p>
    <w:p w14:paraId="7FF67460">
      <w:pPr>
        <w:snapToGrid w:val="0"/>
        <w:spacing w:before="120" w:beforeLines="50" w:after="50"/>
        <w:rPr>
          <w:rFonts w:hint="eastAsia" w:ascii="宋体" w:hAnsi="宋体"/>
          <w:szCs w:val="21"/>
        </w:rPr>
      </w:pPr>
    </w:p>
    <w:p w14:paraId="5B47CE87">
      <w:pPr>
        <w:snapToGrid w:val="0"/>
        <w:spacing w:before="120" w:beforeLines="50" w:after="50"/>
        <w:rPr>
          <w:rFonts w:hint="eastAsia" w:ascii="宋体" w:hAnsi="宋体"/>
          <w:szCs w:val="21"/>
        </w:rPr>
      </w:pPr>
      <w:r>
        <w:rPr>
          <w:rFonts w:hint="eastAsia" w:ascii="宋体" w:hAnsi="宋体"/>
          <w:szCs w:val="21"/>
        </w:rPr>
        <w:t>1. 商务技术文件封面格式：</w:t>
      </w:r>
      <w:r>
        <w:rPr>
          <w:rFonts w:ascii="宋体" w:hAnsi="宋体"/>
          <w:szCs w:val="21"/>
        </w:rPr>
        <w:t xml:space="preserve"> </w:t>
      </w:r>
    </w:p>
    <w:p w14:paraId="284E3241">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566CBFB6">
      <w:pPr>
        <w:snapToGrid w:val="0"/>
        <w:spacing w:before="120" w:beforeLines="50" w:after="50"/>
        <w:rPr>
          <w:rFonts w:hint="eastAsia" w:ascii="宋体" w:hAnsi="宋体"/>
          <w:szCs w:val="21"/>
        </w:rPr>
      </w:pPr>
    </w:p>
    <w:p w14:paraId="34D9A0D9">
      <w:pPr>
        <w:snapToGrid w:val="0"/>
        <w:spacing w:before="120" w:beforeLines="50" w:after="50"/>
        <w:jc w:val="center"/>
        <w:rPr>
          <w:rFonts w:hint="eastAsia" w:ascii="宋体" w:hAnsi="宋体"/>
          <w:bCs/>
          <w:szCs w:val="21"/>
        </w:rPr>
      </w:pPr>
    </w:p>
    <w:p w14:paraId="074F181E">
      <w:pPr>
        <w:snapToGrid w:val="0"/>
        <w:spacing w:before="50" w:after="120" w:afterLines="50" w:line="360" w:lineRule="auto"/>
        <w:jc w:val="center"/>
        <w:rPr>
          <w:rFonts w:hint="eastAsia" w:ascii="宋体" w:hAnsi="宋体" w:cs="宋体"/>
          <w:b/>
          <w:bCs/>
        </w:rPr>
      </w:pPr>
      <w:r>
        <w:rPr>
          <w:rFonts w:hint="eastAsia" w:ascii="宋体" w:hAnsi="宋体" w:cs="宋体"/>
          <w:b/>
          <w:bCs/>
        </w:rPr>
        <w:t>商务技术文件</w:t>
      </w:r>
    </w:p>
    <w:p w14:paraId="48D5EE32">
      <w:pPr>
        <w:snapToGrid w:val="0"/>
        <w:spacing w:before="120" w:beforeLines="50" w:after="50"/>
        <w:ind w:firstLine="932" w:firstLineChars="444"/>
      </w:pPr>
      <w:r>
        <w:rPr>
          <w:rFonts w:hint="eastAsia" w:ascii="宋体" w:hAnsi="宋体"/>
          <w:bCs/>
          <w:szCs w:val="21"/>
        </w:rPr>
        <w:t>项目名称：</w:t>
      </w:r>
    </w:p>
    <w:p w14:paraId="20D3922C">
      <w:pPr>
        <w:snapToGrid w:val="0"/>
        <w:spacing w:before="120" w:beforeLines="50" w:after="50"/>
        <w:ind w:firstLine="932" w:firstLineChars="444"/>
        <w:rPr>
          <w:rFonts w:hint="eastAsia" w:ascii="宋体" w:hAnsi="宋体"/>
          <w:bCs/>
          <w:szCs w:val="21"/>
        </w:rPr>
      </w:pPr>
      <w:r>
        <w:rPr>
          <w:rFonts w:hint="eastAsia" w:ascii="宋体" w:hAnsi="宋体"/>
          <w:bCs/>
          <w:szCs w:val="21"/>
        </w:rPr>
        <w:t>项目编号：</w:t>
      </w:r>
    </w:p>
    <w:p w14:paraId="0313C263">
      <w:pPr>
        <w:snapToGrid w:val="0"/>
        <w:spacing w:before="120" w:beforeLines="50" w:after="50"/>
        <w:ind w:firstLine="932" w:firstLineChars="444"/>
        <w:rPr>
          <w:rFonts w:hint="eastAsia" w:ascii="宋体" w:hAnsi="宋体"/>
          <w:bCs/>
          <w:szCs w:val="21"/>
        </w:rPr>
      </w:pPr>
    </w:p>
    <w:p w14:paraId="7B95FCFB">
      <w:pPr>
        <w:snapToGrid w:val="0"/>
        <w:spacing w:before="120" w:beforeLines="50" w:after="50"/>
        <w:ind w:firstLine="932" w:firstLineChars="444"/>
        <w:rPr>
          <w:rFonts w:hint="eastAsia" w:ascii="宋体" w:hAnsi="宋体"/>
          <w:bCs/>
          <w:szCs w:val="21"/>
        </w:rPr>
      </w:pPr>
      <w:r>
        <w:rPr>
          <w:rFonts w:hint="eastAsia" w:ascii="宋体" w:hAnsi="宋体"/>
          <w:bCs/>
          <w:szCs w:val="21"/>
        </w:rPr>
        <w:t>供应商名称：</w:t>
      </w:r>
    </w:p>
    <w:p w14:paraId="047A7F9E">
      <w:pPr>
        <w:pStyle w:val="8"/>
        <w:snapToGrid w:val="0"/>
        <w:spacing w:before="50" w:after="50"/>
        <w:ind w:firstLine="932" w:firstLineChars="444"/>
        <w:rPr>
          <w:rFonts w:hint="eastAsia" w:ascii="宋体" w:hAnsi="宋体"/>
          <w:bCs/>
          <w:szCs w:val="21"/>
        </w:rPr>
      </w:pPr>
      <w:r>
        <w:rPr>
          <w:rFonts w:hint="eastAsia" w:ascii="宋体" w:hAnsi="宋体"/>
          <w:bCs/>
          <w:szCs w:val="21"/>
        </w:rPr>
        <w:t>供应商地址：</w:t>
      </w:r>
    </w:p>
    <w:p w14:paraId="4C97D143">
      <w:pPr>
        <w:pStyle w:val="8"/>
        <w:snapToGrid w:val="0"/>
        <w:spacing w:before="50" w:after="50"/>
        <w:ind w:firstLine="840" w:firstLineChars="400"/>
        <w:rPr>
          <w:rFonts w:hint="eastAsia" w:ascii="宋体" w:hAnsi="宋体"/>
          <w:bCs/>
          <w:szCs w:val="21"/>
        </w:rPr>
      </w:pPr>
    </w:p>
    <w:p w14:paraId="017DA59D">
      <w:pPr>
        <w:pStyle w:val="8"/>
        <w:snapToGrid w:val="0"/>
        <w:spacing w:before="50" w:after="50"/>
        <w:ind w:firstLine="873" w:firstLineChars="416"/>
        <w:rPr>
          <w:rFonts w:hint="eastAsia" w:ascii="宋体" w:hAnsi="宋体"/>
          <w:szCs w:val="21"/>
        </w:rPr>
      </w:pPr>
    </w:p>
    <w:p w14:paraId="39B572B1">
      <w:pPr>
        <w:snapToGrid w:val="0"/>
        <w:spacing w:before="120" w:beforeLines="50" w:after="50"/>
        <w:ind w:firstLine="645"/>
        <w:jc w:val="center"/>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A5521A3">
      <w:pPr>
        <w:snapToGrid w:val="0"/>
        <w:spacing w:before="120" w:beforeLines="50" w:after="50"/>
        <w:rPr>
          <w:rFonts w:hint="eastAsia" w:ascii="宋体" w:hAnsi="宋体"/>
          <w:szCs w:val="21"/>
        </w:rPr>
      </w:pPr>
    </w:p>
    <w:p w14:paraId="03002E88">
      <w:pPr>
        <w:snapToGrid w:val="0"/>
        <w:spacing w:line="360" w:lineRule="auto"/>
        <w:rPr>
          <w:rFonts w:hint="eastAsia" w:ascii="宋体" w:hAnsi="宋体" w:cs="宋体"/>
          <w:szCs w:val="21"/>
        </w:rPr>
      </w:pPr>
    </w:p>
    <w:p w14:paraId="06A1BE86">
      <w:pPr>
        <w:snapToGrid w:val="0"/>
        <w:spacing w:line="360" w:lineRule="auto"/>
        <w:rPr>
          <w:rFonts w:hint="eastAsia" w:ascii="宋体" w:hAnsi="宋体" w:cs="宋体"/>
          <w:szCs w:val="21"/>
        </w:rPr>
      </w:pPr>
    </w:p>
    <w:p w14:paraId="0B96362C">
      <w:pPr>
        <w:snapToGrid w:val="0"/>
        <w:spacing w:line="360" w:lineRule="auto"/>
        <w:rPr>
          <w:rFonts w:hint="eastAsia" w:ascii="宋体" w:hAnsi="宋体" w:cs="宋体"/>
          <w:szCs w:val="21"/>
        </w:rPr>
      </w:pPr>
    </w:p>
    <w:p w14:paraId="4412A2E8">
      <w:pPr>
        <w:snapToGrid w:val="0"/>
        <w:spacing w:line="360" w:lineRule="auto"/>
        <w:rPr>
          <w:rFonts w:hint="eastAsia" w:ascii="宋体" w:hAnsi="宋体" w:cs="宋体"/>
          <w:szCs w:val="21"/>
        </w:rPr>
      </w:pPr>
    </w:p>
    <w:p w14:paraId="248E8796">
      <w:pPr>
        <w:pStyle w:val="11"/>
      </w:pPr>
    </w:p>
    <w:p w14:paraId="4CF61603">
      <w:pPr>
        <w:pStyle w:val="12"/>
        <w:ind w:firstLine="210"/>
      </w:pPr>
    </w:p>
    <w:p w14:paraId="4A2C1751">
      <w:pPr>
        <w:pStyle w:val="13"/>
      </w:pPr>
    </w:p>
    <w:p w14:paraId="1E801761"/>
    <w:p w14:paraId="42AC8280"/>
    <w:p w14:paraId="77DC11B6"/>
    <w:p w14:paraId="429C6CD7"/>
    <w:p w14:paraId="4F70DF10"/>
    <w:p w14:paraId="299BB260"/>
    <w:p w14:paraId="4D2B9226"/>
    <w:p w14:paraId="28E56D80"/>
    <w:p w14:paraId="2611F0BD"/>
    <w:p w14:paraId="491F6475"/>
    <w:p w14:paraId="27ED2FE0"/>
    <w:p w14:paraId="6B719D89"/>
    <w:p w14:paraId="29897AD8"/>
    <w:p w14:paraId="20F4A931"/>
    <w:p w14:paraId="52101694">
      <w:pPr>
        <w:snapToGrid w:val="0"/>
        <w:spacing w:line="360" w:lineRule="auto"/>
        <w:rPr>
          <w:rFonts w:hint="eastAsia" w:ascii="宋体" w:hAnsi="宋体" w:cs="宋体"/>
          <w:szCs w:val="21"/>
        </w:rPr>
      </w:pPr>
    </w:p>
    <w:p w14:paraId="4473221D">
      <w:pPr>
        <w:snapToGrid w:val="0"/>
        <w:spacing w:line="360" w:lineRule="auto"/>
        <w:rPr>
          <w:rFonts w:hint="eastAsia" w:ascii="宋体" w:hAnsi="宋体" w:cs="宋体"/>
          <w:szCs w:val="21"/>
        </w:rPr>
      </w:pPr>
    </w:p>
    <w:p w14:paraId="5D037D75">
      <w:pPr>
        <w:spacing w:line="360" w:lineRule="auto"/>
        <w:rPr>
          <w:b/>
        </w:rPr>
      </w:pPr>
      <w:r>
        <w:rPr>
          <w:rFonts w:hint="eastAsia" w:ascii="宋体" w:hAnsi="宋体"/>
          <w:b/>
          <w:bCs/>
          <w:szCs w:val="21"/>
        </w:rPr>
        <w:t>1.符合性自查表格式</w:t>
      </w:r>
    </w:p>
    <w:p w14:paraId="58326AFD">
      <w:pPr>
        <w:adjustRightInd w:val="0"/>
        <w:snapToGrid w:val="0"/>
        <w:jc w:val="center"/>
        <w:rPr>
          <w:rFonts w:hint="eastAsia" w:ascii="宋体" w:hAnsi="宋体"/>
          <w:b/>
          <w:sz w:val="24"/>
        </w:rPr>
      </w:pPr>
    </w:p>
    <w:p w14:paraId="2ADB6BD9">
      <w:pPr>
        <w:snapToGrid w:val="0"/>
        <w:spacing w:before="120" w:beforeLines="50" w:after="50"/>
        <w:jc w:val="center"/>
        <w:rPr>
          <w:rFonts w:hint="eastAsia" w:ascii="宋体" w:hAnsi="宋体"/>
          <w:b/>
          <w:szCs w:val="21"/>
        </w:rPr>
      </w:pPr>
      <w:r>
        <w:rPr>
          <w:rFonts w:hint="eastAsia" w:ascii="宋体" w:hAnsi="宋体"/>
          <w:b/>
          <w:szCs w:val="21"/>
        </w:rPr>
        <w:t>符合性自查表</w:t>
      </w:r>
    </w:p>
    <w:p w14:paraId="42A75392">
      <w:pPr>
        <w:jc w:val="center"/>
        <w:rPr>
          <w:b/>
        </w:rPr>
      </w:pPr>
    </w:p>
    <w:tbl>
      <w:tblPr>
        <w:tblStyle w:val="3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76D4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4AE8A8D2">
            <w:pPr>
              <w:spacing w:line="240" w:lineRule="exact"/>
              <w:jc w:val="center"/>
            </w:pPr>
            <w:r>
              <w:rPr>
                <w:rFonts w:hint="eastAsia"/>
              </w:rPr>
              <w:t>评审内容</w:t>
            </w:r>
          </w:p>
        </w:tc>
        <w:tc>
          <w:tcPr>
            <w:tcW w:w="4221" w:type="dxa"/>
            <w:vAlign w:val="center"/>
          </w:tcPr>
          <w:p w14:paraId="25D82562">
            <w:pPr>
              <w:spacing w:line="240" w:lineRule="exact"/>
              <w:jc w:val="center"/>
            </w:pPr>
            <w:r>
              <w:rPr>
                <w:rFonts w:hint="eastAsia"/>
              </w:rPr>
              <w:t>采购文件要求</w:t>
            </w:r>
          </w:p>
        </w:tc>
        <w:tc>
          <w:tcPr>
            <w:tcW w:w="1440" w:type="dxa"/>
            <w:vAlign w:val="center"/>
          </w:tcPr>
          <w:p w14:paraId="3617BC68">
            <w:pPr>
              <w:spacing w:line="240" w:lineRule="exact"/>
              <w:jc w:val="center"/>
            </w:pPr>
            <w:r>
              <w:rPr>
                <w:rFonts w:hint="eastAsia"/>
              </w:rPr>
              <w:t>自查结论</w:t>
            </w:r>
          </w:p>
        </w:tc>
        <w:tc>
          <w:tcPr>
            <w:tcW w:w="2441" w:type="dxa"/>
            <w:vAlign w:val="center"/>
          </w:tcPr>
          <w:p w14:paraId="074E6177">
            <w:pPr>
              <w:spacing w:line="240" w:lineRule="exact"/>
              <w:jc w:val="center"/>
            </w:pPr>
            <w:r>
              <w:rPr>
                <w:rFonts w:hint="eastAsia"/>
              </w:rPr>
              <w:t>证明资料</w:t>
            </w:r>
          </w:p>
        </w:tc>
      </w:tr>
      <w:tr w14:paraId="70C3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361B1791">
            <w:pPr>
              <w:spacing w:line="240" w:lineRule="exact"/>
              <w:jc w:val="center"/>
            </w:pPr>
            <w:r>
              <w:rPr>
                <w:rFonts w:hint="eastAsia"/>
              </w:rPr>
              <w:t>符</w:t>
            </w:r>
          </w:p>
          <w:p w14:paraId="032E0ED1">
            <w:pPr>
              <w:spacing w:line="240" w:lineRule="exact"/>
              <w:jc w:val="center"/>
            </w:pPr>
            <w:r>
              <w:rPr>
                <w:rFonts w:hint="eastAsia"/>
              </w:rPr>
              <w:t>合</w:t>
            </w:r>
          </w:p>
          <w:p w14:paraId="1D02DE4C">
            <w:pPr>
              <w:spacing w:line="240" w:lineRule="exact"/>
              <w:jc w:val="center"/>
            </w:pPr>
            <w:r>
              <w:rPr>
                <w:rFonts w:hint="eastAsia"/>
              </w:rPr>
              <w:t>性</w:t>
            </w:r>
          </w:p>
          <w:p w14:paraId="49E5DCEB">
            <w:pPr>
              <w:spacing w:line="240" w:lineRule="exact"/>
              <w:jc w:val="center"/>
            </w:pPr>
            <w:r>
              <w:rPr>
                <w:rFonts w:hint="eastAsia"/>
              </w:rPr>
              <w:t>审</w:t>
            </w:r>
          </w:p>
          <w:p w14:paraId="203FAD05">
            <w:pPr>
              <w:spacing w:line="240" w:lineRule="exact"/>
              <w:jc w:val="center"/>
            </w:pPr>
            <w:r>
              <w:rPr>
                <w:rFonts w:hint="eastAsia"/>
              </w:rPr>
              <w:t>查</w:t>
            </w:r>
          </w:p>
        </w:tc>
        <w:tc>
          <w:tcPr>
            <w:tcW w:w="4221" w:type="dxa"/>
            <w:vAlign w:val="center"/>
          </w:tcPr>
          <w:p w14:paraId="5F53B1F5">
            <w:pPr>
              <w:spacing w:line="240" w:lineRule="exact"/>
            </w:pPr>
            <w:r>
              <w:rPr>
                <w:rFonts w:hint="eastAsia"/>
              </w:rPr>
              <w:t>1、投标函</w:t>
            </w:r>
          </w:p>
        </w:tc>
        <w:tc>
          <w:tcPr>
            <w:tcW w:w="1440" w:type="dxa"/>
            <w:vAlign w:val="center"/>
          </w:tcPr>
          <w:p w14:paraId="161985C0">
            <w:pPr>
              <w:spacing w:line="240" w:lineRule="exact"/>
            </w:pPr>
            <w:r>
              <w:rPr>
                <w:rFonts w:hint="eastAsia"/>
              </w:rPr>
              <w:t>□通过</w:t>
            </w:r>
          </w:p>
          <w:p w14:paraId="45D72BFA">
            <w:pPr>
              <w:spacing w:line="240" w:lineRule="exact"/>
            </w:pPr>
            <w:r>
              <w:rPr>
                <w:rFonts w:hint="eastAsia"/>
              </w:rPr>
              <w:t>□不通过</w:t>
            </w:r>
          </w:p>
        </w:tc>
        <w:tc>
          <w:tcPr>
            <w:tcW w:w="2441" w:type="dxa"/>
            <w:vAlign w:val="center"/>
          </w:tcPr>
          <w:p w14:paraId="2019F50A">
            <w:pPr>
              <w:spacing w:line="240" w:lineRule="exact"/>
            </w:pPr>
            <w:r>
              <w:rPr>
                <w:rFonts w:hint="eastAsia"/>
              </w:rPr>
              <w:t>第（ ）页</w:t>
            </w:r>
          </w:p>
        </w:tc>
      </w:tr>
      <w:tr w14:paraId="2F7F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65C86AC9">
            <w:pPr>
              <w:spacing w:line="240" w:lineRule="exact"/>
            </w:pPr>
          </w:p>
        </w:tc>
        <w:tc>
          <w:tcPr>
            <w:tcW w:w="4221" w:type="dxa"/>
            <w:vAlign w:val="center"/>
          </w:tcPr>
          <w:p w14:paraId="59B46F42">
            <w:pPr>
              <w:spacing w:line="240" w:lineRule="exact"/>
            </w:pPr>
            <w:r>
              <w:rPr>
                <w:rFonts w:hint="eastAsia"/>
              </w:rPr>
              <w:t>2、供应商按采购文件要求缴纳投标保证金的；</w:t>
            </w:r>
          </w:p>
        </w:tc>
        <w:tc>
          <w:tcPr>
            <w:tcW w:w="1440" w:type="dxa"/>
            <w:vAlign w:val="center"/>
          </w:tcPr>
          <w:p w14:paraId="3C7DEBA7">
            <w:pPr>
              <w:spacing w:line="240" w:lineRule="exact"/>
            </w:pPr>
            <w:r>
              <w:rPr>
                <w:rFonts w:hint="eastAsia"/>
              </w:rPr>
              <w:t>□通过</w:t>
            </w:r>
          </w:p>
          <w:p w14:paraId="62FE03C8">
            <w:pPr>
              <w:spacing w:line="240" w:lineRule="exact"/>
            </w:pPr>
            <w:r>
              <w:rPr>
                <w:rFonts w:hint="eastAsia"/>
              </w:rPr>
              <w:t>□不通过</w:t>
            </w:r>
          </w:p>
        </w:tc>
        <w:tc>
          <w:tcPr>
            <w:tcW w:w="2441" w:type="dxa"/>
            <w:vAlign w:val="center"/>
          </w:tcPr>
          <w:p w14:paraId="1CAF8AC1">
            <w:pPr>
              <w:spacing w:line="240" w:lineRule="exact"/>
            </w:pPr>
            <w:r>
              <w:rPr>
                <w:rFonts w:hint="eastAsia"/>
              </w:rPr>
              <w:t>第（ ）页</w:t>
            </w:r>
          </w:p>
        </w:tc>
      </w:tr>
      <w:tr w14:paraId="55A2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5CC7E08C">
            <w:pPr>
              <w:spacing w:line="240" w:lineRule="exact"/>
            </w:pPr>
          </w:p>
        </w:tc>
        <w:tc>
          <w:tcPr>
            <w:tcW w:w="4221" w:type="dxa"/>
            <w:vAlign w:val="center"/>
          </w:tcPr>
          <w:p w14:paraId="6F2E0B9E">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019B030C">
            <w:pPr>
              <w:spacing w:line="240" w:lineRule="exact"/>
            </w:pPr>
            <w:r>
              <w:rPr>
                <w:rFonts w:hint="eastAsia"/>
              </w:rPr>
              <w:t>□通过</w:t>
            </w:r>
          </w:p>
          <w:p w14:paraId="31455CBB">
            <w:pPr>
              <w:spacing w:line="240" w:lineRule="exact"/>
            </w:pPr>
            <w:r>
              <w:rPr>
                <w:rFonts w:hint="eastAsia"/>
              </w:rPr>
              <w:t>□不通过</w:t>
            </w:r>
          </w:p>
        </w:tc>
        <w:tc>
          <w:tcPr>
            <w:tcW w:w="2441" w:type="dxa"/>
            <w:vAlign w:val="center"/>
          </w:tcPr>
          <w:p w14:paraId="785287A3">
            <w:pPr>
              <w:spacing w:line="240" w:lineRule="exact"/>
            </w:pPr>
            <w:r>
              <w:rPr>
                <w:rFonts w:hint="eastAsia"/>
              </w:rPr>
              <w:t>第（ ）页</w:t>
            </w:r>
          </w:p>
        </w:tc>
      </w:tr>
      <w:tr w14:paraId="60D6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33EF086">
            <w:pPr>
              <w:spacing w:line="240" w:lineRule="exact"/>
            </w:pPr>
          </w:p>
        </w:tc>
        <w:tc>
          <w:tcPr>
            <w:tcW w:w="4221" w:type="dxa"/>
            <w:vAlign w:val="center"/>
          </w:tcPr>
          <w:p w14:paraId="3C10B79E">
            <w:pPr>
              <w:spacing w:line="240" w:lineRule="exact"/>
            </w:pPr>
            <w:r>
              <w:rPr>
                <w:rFonts w:hint="eastAsia"/>
              </w:rPr>
              <w:t>4、法定代表人证明书/法定代表人授权书。</w:t>
            </w:r>
          </w:p>
        </w:tc>
        <w:tc>
          <w:tcPr>
            <w:tcW w:w="1440" w:type="dxa"/>
            <w:vAlign w:val="center"/>
          </w:tcPr>
          <w:p w14:paraId="6AA81592">
            <w:pPr>
              <w:spacing w:line="240" w:lineRule="exact"/>
            </w:pPr>
            <w:r>
              <w:rPr>
                <w:rFonts w:hint="eastAsia"/>
              </w:rPr>
              <w:t>□通过</w:t>
            </w:r>
          </w:p>
          <w:p w14:paraId="3C5BC134">
            <w:pPr>
              <w:spacing w:line="240" w:lineRule="exact"/>
            </w:pPr>
            <w:r>
              <w:rPr>
                <w:rFonts w:hint="eastAsia"/>
              </w:rPr>
              <w:t>□不通过</w:t>
            </w:r>
          </w:p>
        </w:tc>
        <w:tc>
          <w:tcPr>
            <w:tcW w:w="2441" w:type="dxa"/>
            <w:vAlign w:val="center"/>
          </w:tcPr>
          <w:p w14:paraId="4AEABE69">
            <w:pPr>
              <w:spacing w:line="240" w:lineRule="exact"/>
            </w:pPr>
            <w:r>
              <w:rPr>
                <w:rFonts w:hint="eastAsia"/>
              </w:rPr>
              <w:t>第（ ）页</w:t>
            </w:r>
          </w:p>
        </w:tc>
      </w:tr>
      <w:tr w14:paraId="72C5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80CDD5B">
            <w:pPr>
              <w:spacing w:line="240" w:lineRule="exact"/>
            </w:pPr>
          </w:p>
        </w:tc>
        <w:tc>
          <w:tcPr>
            <w:tcW w:w="4221" w:type="dxa"/>
            <w:vAlign w:val="center"/>
          </w:tcPr>
          <w:p w14:paraId="2F8C1068">
            <w:pPr>
              <w:spacing w:line="240" w:lineRule="exact"/>
            </w:pPr>
            <w:r>
              <w:rPr>
                <w:rFonts w:hint="eastAsia"/>
              </w:rPr>
              <w:t>5、没有其他未实质性投标文件要求的。</w:t>
            </w:r>
          </w:p>
        </w:tc>
        <w:tc>
          <w:tcPr>
            <w:tcW w:w="1440" w:type="dxa"/>
            <w:vAlign w:val="center"/>
          </w:tcPr>
          <w:p w14:paraId="3E7EDB8F">
            <w:pPr>
              <w:spacing w:line="240" w:lineRule="exact"/>
            </w:pPr>
            <w:r>
              <w:rPr>
                <w:rFonts w:hint="eastAsia"/>
              </w:rPr>
              <w:t>□通过</w:t>
            </w:r>
          </w:p>
          <w:p w14:paraId="16A27029">
            <w:pPr>
              <w:spacing w:line="240" w:lineRule="exact"/>
            </w:pPr>
            <w:r>
              <w:rPr>
                <w:rFonts w:hint="eastAsia"/>
              </w:rPr>
              <w:t>□不通过</w:t>
            </w:r>
          </w:p>
        </w:tc>
        <w:tc>
          <w:tcPr>
            <w:tcW w:w="2441" w:type="dxa"/>
            <w:vAlign w:val="center"/>
          </w:tcPr>
          <w:p w14:paraId="1BBDDAFC">
            <w:pPr>
              <w:spacing w:line="240" w:lineRule="exact"/>
            </w:pPr>
            <w:r>
              <w:rPr>
                <w:rFonts w:hint="eastAsia"/>
              </w:rPr>
              <w:t>第（ ）页</w:t>
            </w:r>
          </w:p>
        </w:tc>
      </w:tr>
      <w:tr w14:paraId="45F3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6BBC227">
            <w:pPr>
              <w:spacing w:line="240" w:lineRule="exact"/>
            </w:pPr>
          </w:p>
        </w:tc>
        <w:tc>
          <w:tcPr>
            <w:tcW w:w="4221" w:type="dxa"/>
            <w:vAlign w:val="center"/>
          </w:tcPr>
          <w:p w14:paraId="6B3F144A">
            <w:pPr>
              <w:spacing w:line="240" w:lineRule="exact"/>
            </w:pPr>
            <w:r>
              <w:rPr>
                <w:rFonts w:hint="eastAsia"/>
              </w:rPr>
              <w:t>6、投标文件没有采购文件中规定的其它无效投标条款的；</w:t>
            </w:r>
          </w:p>
        </w:tc>
        <w:tc>
          <w:tcPr>
            <w:tcW w:w="1440" w:type="dxa"/>
            <w:vAlign w:val="center"/>
          </w:tcPr>
          <w:p w14:paraId="514730F1">
            <w:pPr>
              <w:spacing w:line="240" w:lineRule="exact"/>
            </w:pPr>
            <w:r>
              <w:rPr>
                <w:rFonts w:hint="eastAsia"/>
              </w:rPr>
              <w:t>□通过</w:t>
            </w:r>
          </w:p>
          <w:p w14:paraId="27456C68">
            <w:pPr>
              <w:spacing w:line="240" w:lineRule="exact"/>
            </w:pPr>
            <w:r>
              <w:rPr>
                <w:rFonts w:hint="eastAsia"/>
              </w:rPr>
              <w:t>□不通过</w:t>
            </w:r>
          </w:p>
        </w:tc>
        <w:tc>
          <w:tcPr>
            <w:tcW w:w="2441" w:type="dxa"/>
            <w:vAlign w:val="center"/>
          </w:tcPr>
          <w:p w14:paraId="4C5A4FA1">
            <w:pPr>
              <w:spacing w:line="240" w:lineRule="exact"/>
            </w:pPr>
            <w:r>
              <w:rPr>
                <w:rFonts w:hint="eastAsia"/>
              </w:rPr>
              <w:t>第（ ）页</w:t>
            </w:r>
          </w:p>
        </w:tc>
      </w:tr>
      <w:tr w14:paraId="0E68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9B6AC51">
            <w:pPr>
              <w:spacing w:line="240" w:lineRule="exact"/>
            </w:pPr>
          </w:p>
        </w:tc>
        <w:tc>
          <w:tcPr>
            <w:tcW w:w="4221" w:type="dxa"/>
            <w:vAlign w:val="center"/>
          </w:tcPr>
          <w:p w14:paraId="302C8FA7">
            <w:pPr>
              <w:spacing w:line="240" w:lineRule="exact"/>
            </w:pPr>
            <w:r>
              <w:rPr>
                <w:rFonts w:hint="eastAsia"/>
              </w:rPr>
              <w:t>7、按有关法律、法规、规章不属于投标无效的。</w:t>
            </w:r>
          </w:p>
        </w:tc>
        <w:tc>
          <w:tcPr>
            <w:tcW w:w="1440" w:type="dxa"/>
            <w:vAlign w:val="center"/>
          </w:tcPr>
          <w:p w14:paraId="1E912609">
            <w:pPr>
              <w:spacing w:line="240" w:lineRule="exact"/>
            </w:pPr>
            <w:r>
              <w:rPr>
                <w:rFonts w:hint="eastAsia"/>
              </w:rPr>
              <w:t>□通过</w:t>
            </w:r>
          </w:p>
          <w:p w14:paraId="45D05600">
            <w:pPr>
              <w:spacing w:line="240" w:lineRule="exact"/>
            </w:pPr>
            <w:r>
              <w:rPr>
                <w:rFonts w:hint="eastAsia"/>
              </w:rPr>
              <w:t>□不通过</w:t>
            </w:r>
          </w:p>
        </w:tc>
        <w:tc>
          <w:tcPr>
            <w:tcW w:w="2441" w:type="dxa"/>
            <w:vAlign w:val="center"/>
          </w:tcPr>
          <w:p w14:paraId="1F245353">
            <w:pPr>
              <w:spacing w:line="240" w:lineRule="exact"/>
            </w:pPr>
            <w:r>
              <w:rPr>
                <w:rFonts w:hint="eastAsia"/>
              </w:rPr>
              <w:t>第（ ）页</w:t>
            </w:r>
          </w:p>
        </w:tc>
      </w:tr>
      <w:tr w14:paraId="44D8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98B5540">
            <w:pPr>
              <w:spacing w:line="240" w:lineRule="exact"/>
            </w:pPr>
          </w:p>
        </w:tc>
        <w:tc>
          <w:tcPr>
            <w:tcW w:w="4221" w:type="dxa"/>
            <w:vAlign w:val="center"/>
          </w:tcPr>
          <w:p w14:paraId="22EB69BB">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4DF07262">
            <w:pPr>
              <w:spacing w:line="240" w:lineRule="exact"/>
              <w:rPr>
                <w:rFonts w:hint="eastAsia" w:ascii="宋体" w:hAnsi="宋体" w:cs="宋体"/>
              </w:rPr>
            </w:pPr>
            <w:r>
              <w:rPr>
                <w:rFonts w:hint="eastAsia" w:ascii="宋体" w:hAnsi="宋体" w:cs="宋体"/>
              </w:rPr>
              <w:t>□通过</w:t>
            </w:r>
          </w:p>
          <w:p w14:paraId="355F328D">
            <w:pPr>
              <w:spacing w:line="240" w:lineRule="exact"/>
            </w:pPr>
            <w:r>
              <w:rPr>
                <w:rFonts w:hint="eastAsia" w:ascii="宋体" w:hAnsi="宋体" w:cs="宋体"/>
              </w:rPr>
              <w:t>□不通过</w:t>
            </w:r>
          </w:p>
        </w:tc>
        <w:tc>
          <w:tcPr>
            <w:tcW w:w="2441" w:type="dxa"/>
            <w:vAlign w:val="center"/>
          </w:tcPr>
          <w:p w14:paraId="6B37A801">
            <w:pPr>
              <w:spacing w:line="240" w:lineRule="exact"/>
            </w:pPr>
            <w:r>
              <w:rPr>
                <w:rFonts w:hint="eastAsia" w:ascii="宋体" w:hAnsi="宋体" w:cs="宋体"/>
              </w:rPr>
              <w:t>第（ ）页</w:t>
            </w:r>
          </w:p>
        </w:tc>
      </w:tr>
    </w:tbl>
    <w:p w14:paraId="05DD4F81">
      <w:pPr>
        <w:adjustRightInd w:val="0"/>
        <w:snapToGrid w:val="0"/>
        <w:spacing w:line="440" w:lineRule="exact"/>
        <w:rPr>
          <w:rFonts w:hint="eastAsia" w:ascii="宋体" w:hAnsi="宋体"/>
          <w:b/>
          <w:szCs w:val="21"/>
        </w:rPr>
      </w:pPr>
      <w:r>
        <w:rPr>
          <w:rFonts w:hint="eastAsia" w:ascii="宋体" w:hAnsi="宋体"/>
          <w:b/>
          <w:szCs w:val="21"/>
        </w:rPr>
        <w:t xml:space="preserve">备注：符合性自查表将作为供应商有效性审查的重要内容之一，供应商必须严格按照其内容及序列要求在投标文件中对应如实提供！ </w:t>
      </w:r>
    </w:p>
    <w:p w14:paraId="16B90550"/>
    <w:p w14:paraId="534FB402"/>
    <w:p w14:paraId="5AC74BDD"/>
    <w:p w14:paraId="070F2873">
      <w:r>
        <w:br w:type="page"/>
      </w:r>
      <w:r>
        <w:rPr>
          <w:rFonts w:hint="eastAsia"/>
        </w:rPr>
        <w:t>格式一：供应商响应表</w:t>
      </w:r>
    </w:p>
    <w:p w14:paraId="77432393"/>
    <w:p w14:paraId="77EA7EC1">
      <w:pPr>
        <w:jc w:val="center"/>
        <w:rPr>
          <w:b/>
          <w:sz w:val="32"/>
          <w:szCs w:val="32"/>
        </w:rPr>
      </w:pPr>
      <w:r>
        <w:rPr>
          <w:rFonts w:hint="eastAsia"/>
          <w:b/>
          <w:sz w:val="32"/>
          <w:szCs w:val="32"/>
        </w:rPr>
        <w:t>供应商响应表</w:t>
      </w:r>
    </w:p>
    <w:p w14:paraId="4B7FF384"/>
    <w:p w14:paraId="7BDBE945">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33"/>
        <w:tblW w:w="8804" w:type="dxa"/>
        <w:tblInd w:w="93" w:type="dxa"/>
        <w:tblLayout w:type="fixed"/>
        <w:tblCellMar>
          <w:top w:w="0" w:type="dxa"/>
          <w:left w:w="108" w:type="dxa"/>
          <w:bottom w:w="0" w:type="dxa"/>
          <w:right w:w="108" w:type="dxa"/>
        </w:tblCellMar>
      </w:tblPr>
      <w:tblGrid>
        <w:gridCol w:w="724"/>
        <w:gridCol w:w="6237"/>
        <w:gridCol w:w="1843"/>
      </w:tblGrid>
      <w:tr w14:paraId="1E3D7581">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14F66272">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5F7F5A57">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79AD3A12">
            <w:pPr>
              <w:jc w:val="center"/>
            </w:pPr>
            <w:r>
              <w:rPr>
                <w:rFonts w:hint="eastAsia"/>
              </w:rPr>
              <w:t>证明文件</w:t>
            </w:r>
          </w:p>
        </w:tc>
      </w:tr>
      <w:tr w14:paraId="371FBD50">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7A75012E"/>
        </w:tc>
        <w:tc>
          <w:tcPr>
            <w:tcW w:w="6237" w:type="dxa"/>
            <w:tcBorders>
              <w:top w:val="nil"/>
              <w:left w:val="single" w:color="auto" w:sz="4" w:space="0"/>
              <w:bottom w:val="single" w:color="auto" w:sz="4" w:space="0"/>
              <w:right w:val="single" w:color="auto" w:sz="4" w:space="0"/>
            </w:tcBorders>
            <w:vAlign w:val="center"/>
          </w:tcPr>
          <w:p w14:paraId="0068CB2C"/>
        </w:tc>
        <w:tc>
          <w:tcPr>
            <w:tcW w:w="1843" w:type="dxa"/>
            <w:tcBorders>
              <w:top w:val="nil"/>
              <w:left w:val="nil"/>
              <w:bottom w:val="single" w:color="auto" w:sz="4" w:space="0"/>
              <w:right w:val="single" w:color="auto" w:sz="4" w:space="0"/>
            </w:tcBorders>
            <w:vAlign w:val="center"/>
          </w:tcPr>
          <w:p w14:paraId="4C8BA764">
            <w:pPr>
              <w:jc w:val="center"/>
            </w:pPr>
            <w:r>
              <w:rPr>
                <w:rFonts w:hint="eastAsia"/>
              </w:rPr>
              <w:t>见（  ）页</w:t>
            </w:r>
          </w:p>
        </w:tc>
      </w:tr>
      <w:tr w14:paraId="10BFA127">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02B50C37"/>
        </w:tc>
        <w:tc>
          <w:tcPr>
            <w:tcW w:w="6237" w:type="dxa"/>
            <w:tcBorders>
              <w:top w:val="nil"/>
              <w:left w:val="single" w:color="auto" w:sz="4" w:space="0"/>
              <w:bottom w:val="single" w:color="auto" w:sz="4" w:space="0"/>
              <w:right w:val="single" w:color="auto" w:sz="4" w:space="0"/>
            </w:tcBorders>
            <w:vAlign w:val="center"/>
          </w:tcPr>
          <w:p w14:paraId="306DB95A"/>
        </w:tc>
        <w:tc>
          <w:tcPr>
            <w:tcW w:w="1843" w:type="dxa"/>
            <w:tcBorders>
              <w:top w:val="nil"/>
              <w:left w:val="nil"/>
              <w:bottom w:val="single" w:color="auto" w:sz="4" w:space="0"/>
              <w:right w:val="single" w:color="auto" w:sz="4" w:space="0"/>
            </w:tcBorders>
            <w:vAlign w:val="center"/>
          </w:tcPr>
          <w:p w14:paraId="609B28DB">
            <w:pPr>
              <w:jc w:val="center"/>
            </w:pPr>
            <w:r>
              <w:rPr>
                <w:rFonts w:hint="eastAsia"/>
              </w:rPr>
              <w:t>见（  ）页</w:t>
            </w:r>
          </w:p>
        </w:tc>
      </w:tr>
      <w:tr w14:paraId="402D5205">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5FAFC11E"/>
        </w:tc>
        <w:tc>
          <w:tcPr>
            <w:tcW w:w="6237" w:type="dxa"/>
            <w:tcBorders>
              <w:top w:val="nil"/>
              <w:left w:val="single" w:color="auto" w:sz="4" w:space="0"/>
              <w:bottom w:val="single" w:color="auto" w:sz="4" w:space="0"/>
              <w:right w:val="single" w:color="auto" w:sz="4" w:space="0"/>
            </w:tcBorders>
            <w:vAlign w:val="center"/>
          </w:tcPr>
          <w:p w14:paraId="433C4968"/>
        </w:tc>
        <w:tc>
          <w:tcPr>
            <w:tcW w:w="1843" w:type="dxa"/>
            <w:tcBorders>
              <w:top w:val="nil"/>
              <w:left w:val="nil"/>
              <w:bottom w:val="single" w:color="auto" w:sz="4" w:space="0"/>
              <w:right w:val="single" w:color="auto" w:sz="4" w:space="0"/>
            </w:tcBorders>
            <w:vAlign w:val="center"/>
          </w:tcPr>
          <w:p w14:paraId="58079998">
            <w:pPr>
              <w:jc w:val="center"/>
            </w:pPr>
            <w:r>
              <w:rPr>
                <w:rFonts w:hint="eastAsia"/>
              </w:rPr>
              <w:t>见（  ）页</w:t>
            </w:r>
          </w:p>
        </w:tc>
      </w:tr>
      <w:tr w14:paraId="7B79F54B">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4923EC0E"/>
        </w:tc>
        <w:tc>
          <w:tcPr>
            <w:tcW w:w="6237" w:type="dxa"/>
            <w:tcBorders>
              <w:top w:val="nil"/>
              <w:left w:val="single" w:color="auto" w:sz="4" w:space="0"/>
              <w:bottom w:val="single" w:color="auto" w:sz="4" w:space="0"/>
              <w:right w:val="single" w:color="auto" w:sz="4" w:space="0"/>
            </w:tcBorders>
            <w:vAlign w:val="center"/>
          </w:tcPr>
          <w:p w14:paraId="137622F5"/>
        </w:tc>
        <w:tc>
          <w:tcPr>
            <w:tcW w:w="1843" w:type="dxa"/>
            <w:tcBorders>
              <w:top w:val="nil"/>
              <w:left w:val="nil"/>
              <w:bottom w:val="single" w:color="auto" w:sz="4" w:space="0"/>
              <w:right w:val="single" w:color="auto" w:sz="4" w:space="0"/>
            </w:tcBorders>
            <w:vAlign w:val="center"/>
          </w:tcPr>
          <w:p w14:paraId="3AF6991A">
            <w:pPr>
              <w:jc w:val="center"/>
            </w:pPr>
            <w:r>
              <w:rPr>
                <w:rFonts w:hint="eastAsia"/>
              </w:rPr>
              <w:t>见（  ）页</w:t>
            </w:r>
          </w:p>
        </w:tc>
      </w:tr>
      <w:tr w14:paraId="6A007680">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5D76CFB0"/>
        </w:tc>
        <w:tc>
          <w:tcPr>
            <w:tcW w:w="6237" w:type="dxa"/>
            <w:tcBorders>
              <w:top w:val="single" w:color="auto" w:sz="4" w:space="0"/>
              <w:left w:val="single" w:color="auto" w:sz="4" w:space="0"/>
              <w:bottom w:val="single" w:color="auto" w:sz="4" w:space="0"/>
              <w:right w:val="single" w:color="auto" w:sz="4" w:space="0"/>
            </w:tcBorders>
            <w:vAlign w:val="center"/>
          </w:tcPr>
          <w:p w14:paraId="3B89F43E"/>
        </w:tc>
        <w:tc>
          <w:tcPr>
            <w:tcW w:w="1843" w:type="dxa"/>
            <w:tcBorders>
              <w:top w:val="single" w:color="auto" w:sz="4" w:space="0"/>
              <w:left w:val="nil"/>
              <w:bottom w:val="single" w:color="auto" w:sz="4" w:space="0"/>
              <w:right w:val="single" w:color="auto" w:sz="4" w:space="0"/>
            </w:tcBorders>
            <w:vAlign w:val="center"/>
          </w:tcPr>
          <w:p w14:paraId="5179C632">
            <w:pPr>
              <w:jc w:val="center"/>
            </w:pPr>
            <w:r>
              <w:rPr>
                <w:rFonts w:hint="eastAsia"/>
              </w:rPr>
              <w:t>见（  ）页</w:t>
            </w:r>
          </w:p>
        </w:tc>
      </w:tr>
      <w:tr w14:paraId="6184440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878C487"/>
        </w:tc>
        <w:tc>
          <w:tcPr>
            <w:tcW w:w="6237" w:type="dxa"/>
            <w:tcBorders>
              <w:top w:val="single" w:color="auto" w:sz="4" w:space="0"/>
              <w:left w:val="single" w:color="auto" w:sz="4" w:space="0"/>
              <w:bottom w:val="single" w:color="auto" w:sz="4" w:space="0"/>
              <w:right w:val="single" w:color="auto" w:sz="4" w:space="0"/>
            </w:tcBorders>
            <w:vAlign w:val="center"/>
          </w:tcPr>
          <w:p w14:paraId="7B6D8F15"/>
        </w:tc>
        <w:tc>
          <w:tcPr>
            <w:tcW w:w="1843" w:type="dxa"/>
            <w:tcBorders>
              <w:top w:val="single" w:color="auto" w:sz="4" w:space="0"/>
              <w:left w:val="nil"/>
              <w:bottom w:val="single" w:color="auto" w:sz="4" w:space="0"/>
              <w:right w:val="single" w:color="auto" w:sz="4" w:space="0"/>
            </w:tcBorders>
            <w:vAlign w:val="center"/>
          </w:tcPr>
          <w:p w14:paraId="5FBCAC1E">
            <w:pPr>
              <w:jc w:val="center"/>
            </w:pPr>
            <w:r>
              <w:rPr>
                <w:rFonts w:hint="eastAsia"/>
              </w:rPr>
              <w:t>见（  ）页</w:t>
            </w:r>
          </w:p>
        </w:tc>
      </w:tr>
      <w:tr w14:paraId="2A2B4AC3">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BA1470E"/>
        </w:tc>
        <w:tc>
          <w:tcPr>
            <w:tcW w:w="6237" w:type="dxa"/>
            <w:tcBorders>
              <w:top w:val="single" w:color="auto" w:sz="4" w:space="0"/>
              <w:left w:val="single" w:color="auto" w:sz="4" w:space="0"/>
              <w:bottom w:val="single" w:color="auto" w:sz="4" w:space="0"/>
              <w:right w:val="single" w:color="auto" w:sz="4" w:space="0"/>
            </w:tcBorders>
            <w:vAlign w:val="center"/>
          </w:tcPr>
          <w:p w14:paraId="1AE30537"/>
        </w:tc>
        <w:tc>
          <w:tcPr>
            <w:tcW w:w="1843" w:type="dxa"/>
            <w:tcBorders>
              <w:top w:val="single" w:color="auto" w:sz="4" w:space="0"/>
              <w:left w:val="nil"/>
              <w:bottom w:val="single" w:color="auto" w:sz="4" w:space="0"/>
              <w:right w:val="single" w:color="auto" w:sz="4" w:space="0"/>
            </w:tcBorders>
            <w:vAlign w:val="center"/>
          </w:tcPr>
          <w:p w14:paraId="6C58EFBB">
            <w:pPr>
              <w:jc w:val="center"/>
            </w:pPr>
            <w:r>
              <w:rPr>
                <w:rFonts w:hint="eastAsia"/>
              </w:rPr>
              <w:t>见（  ）页</w:t>
            </w:r>
          </w:p>
        </w:tc>
      </w:tr>
      <w:tr w14:paraId="31E02B79">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4342D0A4"/>
        </w:tc>
        <w:tc>
          <w:tcPr>
            <w:tcW w:w="6237" w:type="dxa"/>
            <w:tcBorders>
              <w:top w:val="single" w:color="auto" w:sz="4" w:space="0"/>
              <w:left w:val="single" w:color="auto" w:sz="4" w:space="0"/>
              <w:bottom w:val="single" w:color="auto" w:sz="4" w:space="0"/>
              <w:right w:val="single" w:color="auto" w:sz="4" w:space="0"/>
            </w:tcBorders>
            <w:vAlign w:val="center"/>
          </w:tcPr>
          <w:p w14:paraId="37504EC7"/>
        </w:tc>
        <w:tc>
          <w:tcPr>
            <w:tcW w:w="1843" w:type="dxa"/>
            <w:tcBorders>
              <w:top w:val="single" w:color="auto" w:sz="4" w:space="0"/>
              <w:left w:val="nil"/>
              <w:bottom w:val="single" w:color="auto" w:sz="4" w:space="0"/>
              <w:right w:val="single" w:color="auto" w:sz="4" w:space="0"/>
            </w:tcBorders>
            <w:vAlign w:val="center"/>
          </w:tcPr>
          <w:p w14:paraId="3D1CFFFA">
            <w:pPr>
              <w:jc w:val="center"/>
            </w:pPr>
            <w:r>
              <w:rPr>
                <w:rFonts w:hint="eastAsia"/>
              </w:rPr>
              <w:t>见（  ）页</w:t>
            </w:r>
          </w:p>
        </w:tc>
      </w:tr>
      <w:tr w14:paraId="440EC1ED">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64083D4"/>
        </w:tc>
        <w:tc>
          <w:tcPr>
            <w:tcW w:w="6237" w:type="dxa"/>
            <w:tcBorders>
              <w:top w:val="single" w:color="auto" w:sz="4" w:space="0"/>
              <w:left w:val="single" w:color="auto" w:sz="4" w:space="0"/>
              <w:bottom w:val="single" w:color="auto" w:sz="4" w:space="0"/>
              <w:right w:val="single" w:color="auto" w:sz="4" w:space="0"/>
            </w:tcBorders>
            <w:vAlign w:val="center"/>
          </w:tcPr>
          <w:p w14:paraId="5DA40984"/>
        </w:tc>
        <w:tc>
          <w:tcPr>
            <w:tcW w:w="1843" w:type="dxa"/>
            <w:tcBorders>
              <w:top w:val="single" w:color="auto" w:sz="4" w:space="0"/>
              <w:left w:val="nil"/>
              <w:bottom w:val="single" w:color="auto" w:sz="4" w:space="0"/>
              <w:right w:val="single" w:color="auto" w:sz="4" w:space="0"/>
            </w:tcBorders>
            <w:vAlign w:val="center"/>
          </w:tcPr>
          <w:p w14:paraId="298D6F68">
            <w:pPr>
              <w:jc w:val="center"/>
            </w:pPr>
            <w:r>
              <w:rPr>
                <w:rFonts w:hint="eastAsia"/>
              </w:rPr>
              <w:t>见（  ）页</w:t>
            </w:r>
          </w:p>
        </w:tc>
      </w:tr>
      <w:tr w14:paraId="37EB37F1">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AAA0A8D"/>
        </w:tc>
        <w:tc>
          <w:tcPr>
            <w:tcW w:w="6237" w:type="dxa"/>
            <w:tcBorders>
              <w:top w:val="single" w:color="auto" w:sz="4" w:space="0"/>
              <w:left w:val="single" w:color="auto" w:sz="4" w:space="0"/>
              <w:bottom w:val="single" w:color="auto" w:sz="4" w:space="0"/>
              <w:right w:val="single" w:color="auto" w:sz="4" w:space="0"/>
            </w:tcBorders>
            <w:vAlign w:val="center"/>
          </w:tcPr>
          <w:p w14:paraId="1D3CD4F4"/>
        </w:tc>
        <w:tc>
          <w:tcPr>
            <w:tcW w:w="1843" w:type="dxa"/>
            <w:tcBorders>
              <w:top w:val="single" w:color="auto" w:sz="4" w:space="0"/>
              <w:left w:val="nil"/>
              <w:bottom w:val="single" w:color="auto" w:sz="4" w:space="0"/>
              <w:right w:val="single" w:color="auto" w:sz="4" w:space="0"/>
            </w:tcBorders>
            <w:vAlign w:val="center"/>
          </w:tcPr>
          <w:p w14:paraId="6C2FDF19">
            <w:pPr>
              <w:jc w:val="center"/>
            </w:pPr>
            <w:r>
              <w:rPr>
                <w:rFonts w:hint="eastAsia"/>
              </w:rPr>
              <w:t>见（  ）页</w:t>
            </w:r>
          </w:p>
        </w:tc>
      </w:tr>
      <w:tr w14:paraId="11C0E36C">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60C7CA49"/>
        </w:tc>
        <w:tc>
          <w:tcPr>
            <w:tcW w:w="6237" w:type="dxa"/>
            <w:tcBorders>
              <w:top w:val="single" w:color="auto" w:sz="4" w:space="0"/>
              <w:left w:val="single" w:color="auto" w:sz="4" w:space="0"/>
              <w:bottom w:val="single" w:color="auto" w:sz="4" w:space="0"/>
              <w:right w:val="single" w:color="auto" w:sz="4" w:space="0"/>
            </w:tcBorders>
            <w:vAlign w:val="center"/>
          </w:tcPr>
          <w:p w14:paraId="0E14084D"/>
        </w:tc>
        <w:tc>
          <w:tcPr>
            <w:tcW w:w="1843" w:type="dxa"/>
            <w:tcBorders>
              <w:top w:val="single" w:color="auto" w:sz="4" w:space="0"/>
              <w:left w:val="nil"/>
              <w:bottom w:val="single" w:color="auto" w:sz="4" w:space="0"/>
              <w:right w:val="single" w:color="auto" w:sz="4" w:space="0"/>
            </w:tcBorders>
            <w:vAlign w:val="center"/>
          </w:tcPr>
          <w:p w14:paraId="6681FABE">
            <w:pPr>
              <w:jc w:val="center"/>
            </w:pPr>
            <w:r>
              <w:rPr>
                <w:rFonts w:hint="eastAsia"/>
              </w:rPr>
              <w:t>见（  ）页</w:t>
            </w:r>
          </w:p>
        </w:tc>
      </w:tr>
      <w:tr w14:paraId="22F5A2C6">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460F478B"/>
        </w:tc>
        <w:tc>
          <w:tcPr>
            <w:tcW w:w="6237" w:type="dxa"/>
            <w:tcBorders>
              <w:top w:val="single" w:color="auto" w:sz="4" w:space="0"/>
              <w:left w:val="single" w:color="auto" w:sz="4" w:space="0"/>
              <w:bottom w:val="single" w:color="auto" w:sz="4" w:space="0"/>
              <w:right w:val="single" w:color="auto" w:sz="4" w:space="0"/>
            </w:tcBorders>
            <w:vAlign w:val="center"/>
          </w:tcPr>
          <w:p w14:paraId="79B9D60A"/>
        </w:tc>
        <w:tc>
          <w:tcPr>
            <w:tcW w:w="1843" w:type="dxa"/>
            <w:tcBorders>
              <w:top w:val="single" w:color="auto" w:sz="4" w:space="0"/>
              <w:left w:val="nil"/>
              <w:bottom w:val="single" w:color="auto" w:sz="4" w:space="0"/>
              <w:right w:val="single" w:color="auto" w:sz="4" w:space="0"/>
            </w:tcBorders>
            <w:vAlign w:val="center"/>
          </w:tcPr>
          <w:p w14:paraId="4B3F69C7">
            <w:pPr>
              <w:jc w:val="center"/>
            </w:pPr>
            <w:r>
              <w:rPr>
                <w:rFonts w:hint="eastAsia"/>
              </w:rPr>
              <w:t>见（  ）页</w:t>
            </w:r>
          </w:p>
        </w:tc>
      </w:tr>
    </w:tbl>
    <w:p w14:paraId="735D4E34">
      <w:pPr>
        <w:rPr>
          <w:b/>
        </w:rPr>
      </w:pPr>
      <w:r>
        <w:rPr>
          <w:rFonts w:hint="eastAsia"/>
          <w:b/>
        </w:rPr>
        <w:t>根据评分标准逐条填写。</w:t>
      </w:r>
    </w:p>
    <w:p w14:paraId="13685F31"/>
    <w:p w14:paraId="5C6F8BD4">
      <w:pPr>
        <w:ind w:firstLine="6090" w:firstLineChars="2900"/>
      </w:pPr>
      <w:r>
        <w:rPr>
          <w:rFonts w:hint="eastAsia"/>
        </w:rPr>
        <w:t>供应商名称：</w:t>
      </w:r>
    </w:p>
    <w:p w14:paraId="64FA9025"/>
    <w:p w14:paraId="0AD9A205">
      <w:pPr>
        <w:ind w:firstLine="6090" w:firstLineChars="2900"/>
      </w:pPr>
      <w:r>
        <w:rPr>
          <w:rFonts w:hint="eastAsia"/>
        </w:rPr>
        <w:t>年  月  日</w:t>
      </w:r>
    </w:p>
    <w:p w14:paraId="42AE15E3"/>
    <w:p w14:paraId="1241B504">
      <w:r>
        <w:rPr>
          <w:rFonts w:hint="eastAsia"/>
        </w:rPr>
        <w:t xml:space="preserve"> </w:t>
      </w:r>
    </w:p>
    <w:p w14:paraId="075E06E3">
      <w:pPr>
        <w:snapToGrid w:val="0"/>
        <w:spacing w:before="50" w:after="50"/>
        <w:rPr>
          <w:rFonts w:hint="eastAsia" w:ascii="宋体" w:hAnsi="宋体"/>
          <w:b/>
          <w:bCs/>
          <w:szCs w:val="21"/>
        </w:rPr>
      </w:pPr>
      <w:r>
        <w:br w:type="page"/>
      </w:r>
      <w:r>
        <w:rPr>
          <w:rFonts w:hint="eastAsia"/>
        </w:rPr>
        <w:t>格式二：投标保证金缴纳凭证复印件加盖公章</w:t>
      </w:r>
    </w:p>
    <w:p w14:paraId="2CC1CE9C">
      <w:pPr>
        <w:snapToGrid w:val="0"/>
        <w:spacing w:line="400" w:lineRule="exact"/>
        <w:rPr>
          <w:rFonts w:hint="eastAsia"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29"/>
      <w:bookmarkEnd w:id="30"/>
      <w:bookmarkEnd w:id="31"/>
      <w:bookmarkEnd w:id="32"/>
    </w:p>
    <w:p w14:paraId="471435BB">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投标函</w:t>
      </w:r>
    </w:p>
    <w:p w14:paraId="48021CB5">
      <w:pPr>
        <w:snapToGrid w:val="0"/>
        <w:spacing w:line="400" w:lineRule="exact"/>
        <w:jc w:val="center"/>
        <w:rPr>
          <w:rFonts w:hint="eastAsia" w:ascii="宋体" w:hAnsi="宋体" w:cs="宋体"/>
          <w:szCs w:val="21"/>
        </w:rPr>
      </w:pPr>
    </w:p>
    <w:p w14:paraId="062D9F0D">
      <w:pPr>
        <w:snapToGrid w:val="0"/>
        <w:spacing w:line="400" w:lineRule="exact"/>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3C4AD78B">
      <w:pPr>
        <w:snapToGrid w:val="0"/>
        <w:spacing w:line="400" w:lineRule="exact"/>
        <w:ind w:firstLine="420" w:firstLineChars="200"/>
        <w:rPr>
          <w:rFonts w:hint="eastAsia"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15F6D024">
      <w:pPr>
        <w:snapToGrid w:val="0"/>
        <w:spacing w:line="400" w:lineRule="exact"/>
        <w:rPr>
          <w:rFonts w:hint="eastAsia"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30727E71">
      <w:pPr>
        <w:snapToGrid w:val="0"/>
        <w:spacing w:line="400" w:lineRule="exact"/>
        <w:rPr>
          <w:rFonts w:hint="eastAsia"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1F5A9800">
      <w:pPr>
        <w:snapToGrid w:val="0"/>
        <w:spacing w:line="400" w:lineRule="exact"/>
        <w:rPr>
          <w:rFonts w:hint="eastAsia"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6328807E">
      <w:pPr>
        <w:snapToGrid w:val="0"/>
        <w:spacing w:line="400" w:lineRule="exact"/>
        <w:rPr>
          <w:rFonts w:hint="eastAsia" w:ascii="宋体" w:hAnsi="宋体" w:cs="宋体"/>
          <w:szCs w:val="21"/>
        </w:rPr>
      </w:pPr>
      <w:r>
        <w:rPr>
          <w:rFonts w:ascii="宋体" w:hAnsi="宋体" w:cs="宋体"/>
          <w:szCs w:val="21"/>
        </w:rPr>
        <w:t>本报价已经包含了所提供服务应纳的税金及招标文件规定的报价方式应包含的其它费用。</w:t>
      </w:r>
    </w:p>
    <w:p w14:paraId="6799E6BC">
      <w:pPr>
        <w:snapToGrid w:val="0"/>
        <w:spacing w:line="400" w:lineRule="exact"/>
        <w:rPr>
          <w:rFonts w:hint="eastAsia" w:ascii="宋体" w:hAnsi="宋体" w:cs="宋体"/>
          <w:szCs w:val="21"/>
        </w:rPr>
      </w:pPr>
      <w:r>
        <w:rPr>
          <w:rFonts w:ascii="宋体" w:hAnsi="宋体" w:cs="宋体"/>
          <w:szCs w:val="21"/>
        </w:rPr>
        <w:t>本报价在投标有效期内固定不变，并在合同有效期内不受利率波动的影响。</w:t>
      </w:r>
    </w:p>
    <w:p w14:paraId="20B3692E">
      <w:pPr>
        <w:snapToGrid w:val="0"/>
        <w:spacing w:line="400" w:lineRule="exact"/>
        <w:rPr>
          <w:rFonts w:hint="eastAsia"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08C0CA89">
      <w:pPr>
        <w:snapToGrid w:val="0"/>
        <w:spacing w:line="400" w:lineRule="exact"/>
        <w:rPr>
          <w:rFonts w:hint="eastAsia"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04F8D912">
      <w:pPr>
        <w:snapToGrid w:val="0"/>
        <w:spacing w:line="400" w:lineRule="exact"/>
        <w:rPr>
          <w:rFonts w:hint="eastAsia" w:ascii="宋体" w:hAnsi="宋体" w:cs="宋体"/>
          <w:szCs w:val="21"/>
        </w:rPr>
      </w:pPr>
      <w:r>
        <w:rPr>
          <w:rFonts w:ascii="宋体" w:hAnsi="宋体" w:cs="宋体"/>
          <w:szCs w:val="21"/>
        </w:rPr>
        <w:t>保证在中标后忠实地执行与招标人所签署的合同，并承担合同规定的责任义务。保证在中标后按照招标文件的规定支付招标代理服务费。</w:t>
      </w:r>
    </w:p>
    <w:p w14:paraId="1653F090">
      <w:pPr>
        <w:snapToGrid w:val="0"/>
        <w:spacing w:line="400" w:lineRule="exact"/>
        <w:rPr>
          <w:rFonts w:hint="eastAsia"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70332CEA">
      <w:pPr>
        <w:snapToGrid w:val="0"/>
        <w:spacing w:line="400" w:lineRule="exact"/>
        <w:rPr>
          <w:rFonts w:hint="eastAsia"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7D9EE03F">
      <w:pPr>
        <w:snapToGrid w:val="0"/>
        <w:spacing w:line="400" w:lineRule="exact"/>
        <w:rPr>
          <w:rFonts w:hint="eastAsia" w:ascii="宋体" w:hAnsi="宋体" w:cs="宋体"/>
          <w:szCs w:val="21"/>
        </w:rPr>
      </w:pPr>
      <w:r>
        <w:rPr>
          <w:rFonts w:hint="eastAsia" w:ascii="宋体" w:hAnsi="宋体" w:cs="宋体"/>
          <w:szCs w:val="21"/>
        </w:rPr>
        <w:t>供应商</w:t>
      </w:r>
      <w:r>
        <w:rPr>
          <w:rFonts w:ascii="宋体" w:hAnsi="宋体" w:cs="宋体"/>
          <w:szCs w:val="21"/>
        </w:rPr>
        <w:t xml:space="preserve">全称（加盖公章）:                                               </w:t>
      </w:r>
    </w:p>
    <w:p w14:paraId="48E88BF0">
      <w:pPr>
        <w:snapToGrid w:val="0"/>
        <w:spacing w:line="400" w:lineRule="exact"/>
        <w:rPr>
          <w:rFonts w:hint="eastAsia"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5644C0E9">
      <w:pPr>
        <w:snapToGrid w:val="0"/>
        <w:spacing w:line="400" w:lineRule="exact"/>
        <w:rPr>
          <w:rFonts w:hint="eastAsia"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095C13CB">
      <w:pPr>
        <w:snapToGrid w:val="0"/>
        <w:spacing w:line="400" w:lineRule="exact"/>
        <w:rPr>
          <w:rFonts w:hint="eastAsia" w:ascii="宋体" w:hAnsi="宋体" w:cs="宋体"/>
          <w:szCs w:val="21"/>
          <w:u w:val="single"/>
        </w:rPr>
      </w:pPr>
      <w:r>
        <w:rPr>
          <w:rFonts w:hint="eastAsia" w:ascii="宋体" w:hAnsi="宋体" w:cs="宋体"/>
          <w:szCs w:val="21"/>
        </w:rPr>
        <w:t>供应商</w:t>
      </w:r>
      <w:r>
        <w:rPr>
          <w:rFonts w:ascii="宋体" w:hAnsi="宋体" w:cs="宋体"/>
          <w:szCs w:val="21"/>
        </w:rPr>
        <w:t>代表姓名 ___________  职务：</w:t>
      </w:r>
      <w:r>
        <w:rPr>
          <w:rFonts w:ascii="宋体" w:hAnsi="宋体" w:cs="宋体"/>
          <w:szCs w:val="21"/>
          <w:u w:val="single"/>
        </w:rPr>
        <w:t xml:space="preserve">              </w:t>
      </w:r>
    </w:p>
    <w:p w14:paraId="14C2F89E">
      <w:pPr>
        <w:snapToGrid w:val="0"/>
        <w:spacing w:line="400" w:lineRule="exact"/>
        <w:rPr>
          <w:rFonts w:hint="eastAsia" w:ascii="宋体" w:hAnsi="宋体" w:cs="宋体"/>
          <w:szCs w:val="21"/>
        </w:rPr>
      </w:pPr>
    </w:p>
    <w:p w14:paraId="23708AE5">
      <w:pPr>
        <w:snapToGrid w:val="0"/>
        <w:spacing w:line="400" w:lineRule="exact"/>
        <w:rPr>
          <w:rFonts w:hint="eastAsia" w:ascii="宋体" w:hAnsi="宋体" w:cs="宋体"/>
          <w:szCs w:val="21"/>
        </w:rPr>
      </w:pPr>
    </w:p>
    <w:p w14:paraId="1B688EA4">
      <w:pPr>
        <w:snapToGrid w:val="0"/>
        <w:spacing w:line="400" w:lineRule="exact"/>
        <w:rPr>
          <w:rFonts w:hint="eastAsia" w:ascii="宋体" w:hAnsi="宋体" w:cs="宋体"/>
          <w:szCs w:val="21"/>
        </w:rPr>
      </w:pPr>
      <w:r>
        <w:rPr>
          <w:rFonts w:ascii="宋体" w:hAnsi="宋体" w:cs="宋体"/>
          <w:szCs w:val="21"/>
        </w:rPr>
        <w:t xml:space="preserve">                                            授权代表签字:___________ </w:t>
      </w:r>
    </w:p>
    <w:p w14:paraId="16D8DFD3">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42E02727">
      <w:pPr>
        <w:snapToGrid w:val="0"/>
        <w:spacing w:line="400" w:lineRule="exact"/>
        <w:rPr>
          <w:rFonts w:hint="eastAsia" w:ascii="宋体" w:hAnsi="宋体" w:cs="宋体"/>
          <w:szCs w:val="21"/>
        </w:rPr>
      </w:pPr>
      <w:r>
        <w:rPr>
          <w:rFonts w:ascii="宋体" w:hAnsi="宋体" w:cs="宋体"/>
          <w:szCs w:val="21"/>
        </w:rPr>
        <w:br w:type="page"/>
      </w:r>
    </w:p>
    <w:p w14:paraId="609E33F5">
      <w:pPr>
        <w:snapToGrid w:val="0"/>
        <w:spacing w:line="400" w:lineRule="exact"/>
        <w:rPr>
          <w:rFonts w:hint="eastAsia" w:ascii="宋体" w:hAnsi="宋体" w:cs="宋体"/>
          <w:szCs w:val="21"/>
        </w:rPr>
      </w:pPr>
      <w:bookmarkStart w:id="37" w:name="_Toc13391"/>
      <w:bookmarkStart w:id="38" w:name="_Toc10297"/>
      <w:bookmarkStart w:id="39" w:name="_Toc25216"/>
      <w:bookmarkStart w:id="40" w:name="_Toc463726847"/>
      <w:r>
        <w:rPr>
          <w:rFonts w:hint="eastAsia" w:ascii="宋体" w:hAnsi="宋体" w:cs="宋体"/>
          <w:szCs w:val="21"/>
        </w:rPr>
        <w:t>格式四：法定代表人授权委托书格式</w:t>
      </w:r>
      <w:bookmarkEnd w:id="37"/>
      <w:bookmarkEnd w:id="38"/>
      <w:bookmarkEnd w:id="39"/>
      <w:bookmarkEnd w:id="40"/>
    </w:p>
    <w:p w14:paraId="4E3B48E4">
      <w:pPr>
        <w:snapToGrid w:val="0"/>
        <w:spacing w:line="400" w:lineRule="exact"/>
        <w:rPr>
          <w:rFonts w:hint="eastAsia" w:ascii="宋体" w:hAnsi="宋体" w:cs="宋体"/>
          <w:szCs w:val="21"/>
        </w:rPr>
      </w:pPr>
    </w:p>
    <w:p w14:paraId="5F73EC40">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法定代表人授权委托书</w:t>
      </w:r>
    </w:p>
    <w:p w14:paraId="2D65CAAB">
      <w:pPr>
        <w:snapToGrid w:val="0"/>
        <w:spacing w:line="400" w:lineRule="exact"/>
        <w:rPr>
          <w:rFonts w:hint="eastAsia" w:ascii="宋体" w:hAnsi="宋体" w:cs="宋体"/>
          <w:szCs w:val="21"/>
        </w:rPr>
      </w:pPr>
    </w:p>
    <w:p w14:paraId="20776835">
      <w:pPr>
        <w:snapToGrid w:val="0"/>
        <w:spacing w:line="4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0913FC92">
      <w:pPr>
        <w:snapToGrid w:val="0"/>
        <w:spacing w:line="40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570B0FE3">
      <w:pPr>
        <w:snapToGrid w:val="0"/>
        <w:spacing w:line="400" w:lineRule="exact"/>
        <w:rPr>
          <w:rFonts w:hint="eastAsia"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0866D4A9">
      <w:pPr>
        <w:snapToGrid w:val="0"/>
        <w:spacing w:line="400" w:lineRule="exact"/>
        <w:rPr>
          <w:rFonts w:hint="eastAsia" w:ascii="宋体" w:hAnsi="宋体" w:cs="宋体"/>
          <w:szCs w:val="21"/>
        </w:rPr>
      </w:pPr>
      <w:r>
        <w:rPr>
          <w:rFonts w:hint="eastAsia" w:ascii="宋体" w:hAnsi="宋体" w:cs="宋体"/>
          <w:szCs w:val="21"/>
        </w:rPr>
        <w:t>我方对被授权人的签名事项负全部责任。</w:t>
      </w:r>
    </w:p>
    <w:p w14:paraId="413ADAD2">
      <w:pPr>
        <w:snapToGrid w:val="0"/>
        <w:spacing w:line="400" w:lineRule="exact"/>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364EF960">
      <w:pPr>
        <w:snapToGrid w:val="0"/>
        <w:spacing w:line="400" w:lineRule="exact"/>
        <w:rPr>
          <w:rFonts w:hint="eastAsia" w:ascii="宋体" w:hAnsi="宋体" w:cs="宋体"/>
          <w:szCs w:val="21"/>
        </w:rPr>
      </w:pPr>
      <w:r>
        <w:rPr>
          <w:rFonts w:hint="eastAsia" w:ascii="宋体" w:hAnsi="宋体" w:cs="宋体"/>
          <w:szCs w:val="21"/>
        </w:rPr>
        <w:t>被授权人无转委托权，特此委托。</w:t>
      </w:r>
    </w:p>
    <w:p w14:paraId="095F39ED">
      <w:pPr>
        <w:snapToGrid w:val="0"/>
        <w:spacing w:line="400" w:lineRule="exact"/>
        <w:rPr>
          <w:rFonts w:hint="eastAsia" w:ascii="宋体" w:hAnsi="宋体" w:cs="宋体"/>
          <w:szCs w:val="21"/>
        </w:rPr>
      </w:pPr>
    </w:p>
    <w:p w14:paraId="49C256D1">
      <w:pPr>
        <w:snapToGrid w:val="0"/>
        <w:spacing w:line="400" w:lineRule="exact"/>
        <w:rPr>
          <w:rFonts w:hint="eastAsia"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法定代表人（签章）：</w:t>
      </w:r>
      <w:r>
        <w:rPr>
          <w:rFonts w:ascii="宋体" w:hAnsi="宋体" w:cs="宋体"/>
          <w:szCs w:val="21"/>
        </w:rPr>
        <w:t xml:space="preserve">          </w:t>
      </w:r>
    </w:p>
    <w:p w14:paraId="1B8CBD06">
      <w:pPr>
        <w:snapToGrid w:val="0"/>
        <w:spacing w:line="400" w:lineRule="exact"/>
        <w:rPr>
          <w:rFonts w:hint="eastAsia"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职务：</w:t>
      </w:r>
      <w:r>
        <w:rPr>
          <w:rFonts w:ascii="宋体" w:hAnsi="宋体" w:cs="宋体"/>
          <w:szCs w:val="21"/>
        </w:rPr>
        <w:t xml:space="preserve">           </w:t>
      </w:r>
    </w:p>
    <w:p w14:paraId="215562EF">
      <w:pPr>
        <w:snapToGrid w:val="0"/>
        <w:spacing w:line="400" w:lineRule="exact"/>
        <w:rPr>
          <w:rFonts w:hint="eastAsia"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0E489BA8">
      <w:pPr>
        <w:snapToGrid w:val="0"/>
        <w:spacing w:line="400" w:lineRule="exact"/>
        <w:rPr>
          <w:rFonts w:hint="eastAsia" w:ascii="宋体" w:hAnsi="宋体" w:cs="宋体"/>
          <w:szCs w:val="21"/>
        </w:rPr>
      </w:pPr>
      <w:r>
        <w:rPr>
          <w:rFonts w:hint="eastAsia" w:ascii="宋体" w:hAnsi="宋体" w:cs="宋体"/>
          <w:szCs w:val="21"/>
        </w:rPr>
        <w:t>供应商全称（加盖公章）：</w:t>
      </w:r>
    </w:p>
    <w:p w14:paraId="6E4F8425">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52337322">
      <w:pPr>
        <w:snapToGrid w:val="0"/>
        <w:spacing w:line="400" w:lineRule="exact"/>
        <w:rPr>
          <w:rFonts w:hint="eastAsia" w:ascii="宋体" w:hAnsi="宋体" w:cs="宋体"/>
          <w:szCs w:val="21"/>
        </w:rPr>
      </w:pPr>
    </w:p>
    <w:p w14:paraId="48E4C484">
      <w:pPr>
        <w:snapToGrid w:val="0"/>
        <w:spacing w:line="400" w:lineRule="exact"/>
        <w:rPr>
          <w:rFonts w:hint="eastAsia" w:ascii="宋体" w:hAnsi="宋体" w:cs="宋体"/>
          <w:szCs w:val="21"/>
        </w:rPr>
      </w:pPr>
    </w:p>
    <w:p w14:paraId="51BA4335">
      <w:pPr>
        <w:snapToGrid w:val="0"/>
        <w:spacing w:line="400" w:lineRule="exact"/>
        <w:rPr>
          <w:rFonts w:hint="eastAsia" w:ascii="宋体" w:hAnsi="宋体" w:cs="宋体"/>
          <w:szCs w:val="21"/>
        </w:rPr>
      </w:pPr>
    </w:p>
    <w:p w14:paraId="7BD05C7E">
      <w:pPr>
        <w:snapToGrid w:val="0"/>
        <w:spacing w:line="400" w:lineRule="exact"/>
        <w:rPr>
          <w:rFonts w:hint="eastAsia" w:ascii="宋体" w:hAnsi="宋体" w:cs="宋体"/>
          <w:szCs w:val="21"/>
        </w:rPr>
      </w:pPr>
    </w:p>
    <w:p w14:paraId="695CD299">
      <w:pPr>
        <w:snapToGrid w:val="0"/>
        <w:spacing w:line="400" w:lineRule="exact"/>
        <w:rPr>
          <w:rFonts w:hint="eastAsia" w:ascii="宋体" w:hAnsi="宋体" w:cs="宋体"/>
          <w:szCs w:val="21"/>
        </w:rPr>
      </w:pPr>
    </w:p>
    <w:p w14:paraId="3C430483">
      <w:pPr>
        <w:snapToGrid w:val="0"/>
        <w:spacing w:line="400" w:lineRule="exact"/>
        <w:rPr>
          <w:rFonts w:hint="eastAsia"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74D676A4">
      <w:pPr>
        <w:snapToGrid w:val="0"/>
        <w:spacing w:line="400" w:lineRule="exact"/>
        <w:rPr>
          <w:rFonts w:hint="eastAsia" w:ascii="宋体" w:hAnsi="宋体" w:cs="宋体"/>
          <w:szCs w:val="21"/>
        </w:rPr>
      </w:pPr>
      <w:r>
        <w:rPr>
          <w:rFonts w:hint="eastAsia" w:ascii="宋体" w:hAnsi="宋体" w:cs="宋体"/>
          <w:szCs w:val="21"/>
        </w:rPr>
        <w:br w:type="page"/>
      </w:r>
      <w:bookmarkStart w:id="41" w:name="_Toc3392"/>
      <w:bookmarkStart w:id="42" w:name="_Toc463726851"/>
      <w:bookmarkStart w:id="43" w:name="_Toc27342"/>
      <w:bookmarkStart w:id="44" w:name="_Toc4098"/>
      <w:r>
        <w:rPr>
          <w:rFonts w:hint="eastAsia" w:ascii="宋体" w:hAnsi="宋体" w:cs="宋体"/>
          <w:szCs w:val="21"/>
        </w:rPr>
        <w:t>格式五：</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41"/>
      <w:bookmarkEnd w:id="42"/>
      <w:bookmarkEnd w:id="43"/>
      <w:bookmarkEnd w:id="44"/>
    </w:p>
    <w:p w14:paraId="33DE2AFF">
      <w:pPr>
        <w:snapToGrid w:val="0"/>
        <w:spacing w:line="400" w:lineRule="exact"/>
        <w:jc w:val="center"/>
        <w:rPr>
          <w:rFonts w:hint="eastAsia"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3B34A45E">
      <w:pPr>
        <w:snapToGrid w:val="0"/>
        <w:spacing w:line="400" w:lineRule="exact"/>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3"/>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3D1F4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96A6635">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6057070">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765D294">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6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83B83C9">
            <w:pPr>
              <w:snapToGrid w:val="0"/>
              <w:spacing w:line="400" w:lineRule="exact"/>
              <w:jc w:val="center"/>
              <w:rPr>
                <w:rFonts w:hint="eastAsia" w:ascii="宋体" w:hAnsi="宋体" w:cs="宋体"/>
                <w:szCs w:val="21"/>
              </w:rPr>
            </w:pPr>
            <w:r>
              <w:rPr>
                <w:rFonts w:ascii="宋体" w:hAnsi="宋体" w:cs="宋体"/>
                <w:szCs w:val="21"/>
              </w:rPr>
              <w:t>是否</w:t>
            </w:r>
          </w:p>
          <w:p w14:paraId="64704195">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6CDD2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49C82225">
            <w:pPr>
              <w:snapToGrid w:val="0"/>
              <w:spacing w:line="400" w:lineRule="exact"/>
              <w:jc w:val="center"/>
              <w:rPr>
                <w:rFonts w:hint="eastAsia"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5C4CFB90">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1A32D32">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49372B9">
            <w:pPr>
              <w:snapToGrid w:val="0"/>
              <w:spacing w:line="400" w:lineRule="exact"/>
              <w:jc w:val="center"/>
              <w:rPr>
                <w:rFonts w:hint="eastAsia" w:ascii="宋体" w:hAnsi="宋体" w:cs="宋体"/>
                <w:szCs w:val="21"/>
              </w:rPr>
            </w:pPr>
          </w:p>
        </w:tc>
      </w:tr>
      <w:tr w14:paraId="5329B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342FC1CC">
            <w:pPr>
              <w:snapToGrid w:val="0"/>
              <w:spacing w:line="400" w:lineRule="exact"/>
              <w:jc w:val="center"/>
              <w:rPr>
                <w:rFonts w:hint="eastAsia"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510FE3E3">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8F6AA1E">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1813099">
            <w:pPr>
              <w:snapToGrid w:val="0"/>
              <w:spacing w:line="400" w:lineRule="exact"/>
              <w:jc w:val="center"/>
              <w:rPr>
                <w:rFonts w:hint="eastAsia" w:ascii="宋体" w:hAnsi="宋体" w:cs="宋体"/>
                <w:szCs w:val="21"/>
              </w:rPr>
            </w:pPr>
          </w:p>
        </w:tc>
      </w:tr>
      <w:tr w14:paraId="4BE2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7B81993">
            <w:pPr>
              <w:snapToGrid w:val="0"/>
              <w:spacing w:line="400" w:lineRule="exact"/>
              <w:jc w:val="center"/>
              <w:rPr>
                <w:rFonts w:hint="eastAsia"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66C3F18A">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2B22733">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6F98E1C">
            <w:pPr>
              <w:snapToGrid w:val="0"/>
              <w:spacing w:line="400" w:lineRule="exact"/>
              <w:jc w:val="center"/>
              <w:rPr>
                <w:rFonts w:hint="eastAsia" w:ascii="宋体" w:hAnsi="宋体" w:cs="宋体"/>
                <w:szCs w:val="21"/>
              </w:rPr>
            </w:pPr>
          </w:p>
        </w:tc>
      </w:tr>
      <w:tr w14:paraId="5DC41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3FE88FE">
            <w:pPr>
              <w:snapToGrid w:val="0"/>
              <w:spacing w:line="400" w:lineRule="exact"/>
              <w:jc w:val="center"/>
              <w:rPr>
                <w:rFonts w:hint="eastAsia"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69227566">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5B37572">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AF3279C">
            <w:pPr>
              <w:snapToGrid w:val="0"/>
              <w:spacing w:line="400" w:lineRule="exact"/>
              <w:jc w:val="center"/>
              <w:rPr>
                <w:rFonts w:hint="eastAsia" w:ascii="宋体" w:hAnsi="宋体" w:cs="宋体"/>
                <w:szCs w:val="21"/>
              </w:rPr>
            </w:pPr>
          </w:p>
        </w:tc>
      </w:tr>
      <w:tr w14:paraId="5C927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E8AAAE8">
            <w:pPr>
              <w:snapToGrid w:val="0"/>
              <w:spacing w:line="400" w:lineRule="exact"/>
              <w:jc w:val="center"/>
              <w:rPr>
                <w:rFonts w:hint="eastAsia"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16FA5CE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1618726">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B53481E">
            <w:pPr>
              <w:snapToGrid w:val="0"/>
              <w:spacing w:line="400" w:lineRule="exact"/>
              <w:jc w:val="center"/>
              <w:rPr>
                <w:rFonts w:hint="eastAsia" w:ascii="宋体" w:hAnsi="宋体" w:cs="宋体"/>
                <w:szCs w:val="21"/>
              </w:rPr>
            </w:pPr>
          </w:p>
        </w:tc>
      </w:tr>
      <w:tr w14:paraId="0DBC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89C5723">
            <w:pPr>
              <w:snapToGrid w:val="0"/>
              <w:spacing w:line="400" w:lineRule="exact"/>
              <w:jc w:val="center"/>
              <w:rPr>
                <w:rFonts w:hint="eastAsia"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27168FB">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745842C">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BE2EDE7">
            <w:pPr>
              <w:snapToGrid w:val="0"/>
              <w:spacing w:line="400" w:lineRule="exact"/>
              <w:jc w:val="center"/>
              <w:rPr>
                <w:rFonts w:hint="eastAsia" w:ascii="宋体" w:hAnsi="宋体" w:cs="宋体"/>
                <w:szCs w:val="21"/>
              </w:rPr>
            </w:pPr>
          </w:p>
        </w:tc>
      </w:tr>
      <w:tr w14:paraId="7E9F1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36059B0">
            <w:pPr>
              <w:snapToGrid w:val="0"/>
              <w:spacing w:line="400" w:lineRule="exact"/>
              <w:jc w:val="center"/>
              <w:rPr>
                <w:rFonts w:hint="eastAsia"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37A6BDC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74CF613">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02A11FF">
            <w:pPr>
              <w:snapToGrid w:val="0"/>
              <w:spacing w:line="400" w:lineRule="exact"/>
              <w:jc w:val="center"/>
              <w:rPr>
                <w:rFonts w:hint="eastAsia" w:ascii="宋体" w:hAnsi="宋体" w:cs="宋体"/>
                <w:szCs w:val="21"/>
              </w:rPr>
            </w:pPr>
          </w:p>
        </w:tc>
      </w:tr>
      <w:tr w14:paraId="44034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98114E6">
            <w:pPr>
              <w:snapToGrid w:val="0"/>
              <w:spacing w:line="400" w:lineRule="exact"/>
              <w:jc w:val="center"/>
              <w:rPr>
                <w:rFonts w:hint="eastAsia"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5A2AD762">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A859E8F">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C50A177">
            <w:pPr>
              <w:snapToGrid w:val="0"/>
              <w:spacing w:line="400" w:lineRule="exact"/>
              <w:jc w:val="center"/>
              <w:rPr>
                <w:rFonts w:hint="eastAsia" w:ascii="宋体" w:hAnsi="宋体" w:cs="宋体"/>
                <w:szCs w:val="21"/>
              </w:rPr>
            </w:pPr>
          </w:p>
        </w:tc>
      </w:tr>
      <w:tr w14:paraId="25E99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CE3F96D">
            <w:pPr>
              <w:snapToGrid w:val="0"/>
              <w:spacing w:line="400" w:lineRule="exact"/>
              <w:jc w:val="center"/>
              <w:rPr>
                <w:rFonts w:hint="eastAsia"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66B5CB5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09A9FAA">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EB86CBC">
            <w:pPr>
              <w:snapToGrid w:val="0"/>
              <w:spacing w:line="400" w:lineRule="exact"/>
              <w:jc w:val="center"/>
              <w:rPr>
                <w:rFonts w:hint="eastAsia" w:ascii="宋体" w:hAnsi="宋体" w:cs="宋体"/>
                <w:szCs w:val="21"/>
              </w:rPr>
            </w:pPr>
          </w:p>
        </w:tc>
      </w:tr>
      <w:tr w14:paraId="5AE57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000D211">
            <w:pPr>
              <w:snapToGrid w:val="0"/>
              <w:spacing w:line="400" w:lineRule="exact"/>
              <w:jc w:val="center"/>
              <w:rPr>
                <w:rFonts w:hint="eastAsia"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45AA94DA">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A23113E">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4DCB47B">
            <w:pPr>
              <w:snapToGrid w:val="0"/>
              <w:spacing w:line="400" w:lineRule="exact"/>
              <w:jc w:val="center"/>
              <w:rPr>
                <w:rFonts w:hint="eastAsia" w:ascii="宋体" w:hAnsi="宋体" w:cs="宋体"/>
                <w:szCs w:val="21"/>
              </w:rPr>
            </w:pPr>
          </w:p>
        </w:tc>
      </w:tr>
      <w:tr w14:paraId="222DE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6B2EFF7E">
            <w:pPr>
              <w:snapToGrid w:val="0"/>
              <w:spacing w:line="400" w:lineRule="exact"/>
              <w:jc w:val="center"/>
              <w:rPr>
                <w:rFonts w:hint="eastAsia"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74EA0FD2">
            <w:pPr>
              <w:snapToGrid w:val="0"/>
              <w:spacing w:line="400" w:lineRule="exact"/>
              <w:jc w:val="center"/>
              <w:rPr>
                <w:rFonts w:hint="eastAsia" w:ascii="宋体" w:hAns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074095AA">
            <w:pPr>
              <w:snapToGrid w:val="0"/>
              <w:spacing w:line="400" w:lineRule="exact"/>
              <w:jc w:val="center"/>
              <w:rPr>
                <w:rFonts w:hint="eastAsia" w:ascii="宋体" w:hAns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right w:val="single" w:color="auto" w:sz="4" w:space="0"/>
            </w:tcBorders>
            <w:vAlign w:val="center"/>
          </w:tcPr>
          <w:p w14:paraId="6DB057C8">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30E5AC03">
      <w:pPr>
        <w:snapToGrid w:val="0"/>
        <w:spacing w:line="400" w:lineRule="exact"/>
        <w:rPr>
          <w:rFonts w:hint="eastAsia"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01059EFE">
      <w:pPr>
        <w:snapToGrid w:val="0"/>
        <w:spacing w:line="400" w:lineRule="exact"/>
        <w:rPr>
          <w:rFonts w:hint="eastAsia" w:ascii="宋体" w:hAnsi="宋体" w:cs="宋体"/>
          <w:szCs w:val="21"/>
        </w:rPr>
      </w:pPr>
    </w:p>
    <w:p w14:paraId="6C83F9F1">
      <w:pPr>
        <w:snapToGrid w:val="0"/>
        <w:spacing w:line="400" w:lineRule="exact"/>
        <w:rPr>
          <w:rFonts w:hint="eastAsia" w:ascii="宋体" w:hAnsi="宋体" w:cs="宋体"/>
          <w:szCs w:val="21"/>
        </w:rPr>
      </w:pPr>
      <w:r>
        <w:rPr>
          <w:rFonts w:hint="eastAsia" w:ascii="宋体" w:hAnsi="宋体" w:cs="宋体"/>
          <w:szCs w:val="21"/>
        </w:rPr>
        <w:t>供应商全称（加盖公章）：</w:t>
      </w:r>
    </w:p>
    <w:p w14:paraId="7791D63F">
      <w:pPr>
        <w:snapToGrid w:val="0"/>
        <w:spacing w:line="400" w:lineRule="exact"/>
        <w:rPr>
          <w:rFonts w:hint="eastAsia" w:ascii="宋体" w:hAnsi="宋体" w:cs="宋体"/>
          <w:szCs w:val="21"/>
        </w:rPr>
      </w:pPr>
      <w:r>
        <w:rPr>
          <w:rFonts w:hint="eastAsia" w:ascii="宋体" w:hAnsi="宋体" w:cs="宋体"/>
          <w:szCs w:val="21"/>
        </w:rPr>
        <w:t>法定代表人或授权代表（签字）：</w:t>
      </w:r>
    </w:p>
    <w:p w14:paraId="65716EF8">
      <w:pPr>
        <w:snapToGrid w:val="0"/>
        <w:spacing w:line="400" w:lineRule="exact"/>
        <w:rPr>
          <w:rFonts w:hint="eastAsia" w:ascii="宋体" w:hAnsi="宋体" w:cs="宋体"/>
          <w:szCs w:val="21"/>
        </w:rPr>
        <w:sectPr>
          <w:pgSz w:w="11906" w:h="16838"/>
          <w:pgMar w:top="1247" w:right="1531" w:bottom="1304" w:left="1531" w:header="851" w:footer="851" w:gutter="0"/>
          <w:pgNumType w:fmt="decimal"/>
          <w:cols w:space="720" w:num="1"/>
          <w:titlePg/>
          <w:docGrid w:linePitch="312" w:charSpace="0"/>
        </w:sectPr>
      </w:pPr>
      <w:r>
        <w:rPr>
          <w:rFonts w:ascii="宋体" w:hAnsi="宋体" w:cs="宋体"/>
          <w:szCs w:val="21"/>
        </w:rPr>
        <w:t>年    月    日</w:t>
      </w:r>
    </w:p>
    <w:p w14:paraId="40A074CB">
      <w:pPr>
        <w:snapToGrid w:val="0"/>
        <w:spacing w:line="400" w:lineRule="exact"/>
        <w:rPr>
          <w:rFonts w:hint="eastAsia" w:ascii="宋体" w:hAnsi="宋体" w:cs="宋体"/>
          <w:szCs w:val="21"/>
        </w:rPr>
      </w:pPr>
      <w:bookmarkStart w:id="45" w:name="_Toc13752"/>
      <w:r>
        <w:rPr>
          <w:rFonts w:hint="eastAsia" w:ascii="宋体" w:hAnsi="宋体" w:cs="宋体"/>
          <w:szCs w:val="21"/>
        </w:rPr>
        <w:t>格式六：技术条款偏离表</w:t>
      </w:r>
      <w:bookmarkEnd w:id="45"/>
    </w:p>
    <w:p w14:paraId="611C0129">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2BAC6F0E">
      <w:pPr>
        <w:snapToGrid w:val="0"/>
        <w:spacing w:line="400" w:lineRule="exact"/>
        <w:ind w:firstLine="210" w:firstLineChars="100"/>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3"/>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01"/>
      </w:tblGrid>
      <w:tr w14:paraId="3F7FF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D778D49">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D6A881C">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6AA7AF4">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1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0B5F77">
            <w:pPr>
              <w:snapToGrid w:val="0"/>
              <w:spacing w:line="400" w:lineRule="exact"/>
              <w:jc w:val="center"/>
              <w:rPr>
                <w:rFonts w:hint="eastAsia" w:ascii="宋体" w:hAnsi="宋体" w:cs="宋体"/>
                <w:szCs w:val="21"/>
              </w:rPr>
            </w:pPr>
            <w:r>
              <w:rPr>
                <w:rFonts w:ascii="宋体" w:hAnsi="宋体" w:cs="宋体"/>
                <w:szCs w:val="21"/>
              </w:rPr>
              <w:t>是否</w:t>
            </w:r>
          </w:p>
          <w:p w14:paraId="00C0DB99">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7811D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6F63ACC8">
            <w:pPr>
              <w:snapToGrid w:val="0"/>
              <w:spacing w:line="400" w:lineRule="exact"/>
              <w:jc w:val="center"/>
              <w:rPr>
                <w:rFonts w:hint="eastAsia"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009762A1">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8D1945E">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3DDDFDA">
            <w:pPr>
              <w:snapToGrid w:val="0"/>
              <w:spacing w:line="400" w:lineRule="exact"/>
              <w:jc w:val="center"/>
              <w:rPr>
                <w:rFonts w:hint="eastAsia" w:ascii="宋体" w:hAnsi="宋体" w:cs="宋体"/>
                <w:szCs w:val="21"/>
              </w:rPr>
            </w:pPr>
          </w:p>
        </w:tc>
      </w:tr>
      <w:tr w14:paraId="2A359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39CC0D06">
            <w:pPr>
              <w:snapToGrid w:val="0"/>
              <w:spacing w:line="400" w:lineRule="exact"/>
              <w:jc w:val="center"/>
              <w:rPr>
                <w:rFonts w:hint="eastAsia"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57AA6BE5">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1B6B32F">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1D6C35C">
            <w:pPr>
              <w:snapToGrid w:val="0"/>
              <w:spacing w:line="400" w:lineRule="exact"/>
              <w:jc w:val="center"/>
              <w:rPr>
                <w:rFonts w:hint="eastAsia" w:ascii="宋体" w:hAnsi="宋体" w:cs="宋体"/>
                <w:szCs w:val="21"/>
              </w:rPr>
            </w:pPr>
          </w:p>
        </w:tc>
      </w:tr>
      <w:tr w14:paraId="16909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779DA7F">
            <w:pPr>
              <w:snapToGrid w:val="0"/>
              <w:spacing w:line="400" w:lineRule="exact"/>
              <w:jc w:val="center"/>
              <w:rPr>
                <w:rFonts w:hint="eastAsia"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05793D0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6849D9B">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67CAC4E">
            <w:pPr>
              <w:snapToGrid w:val="0"/>
              <w:spacing w:line="400" w:lineRule="exact"/>
              <w:jc w:val="center"/>
              <w:rPr>
                <w:rFonts w:hint="eastAsia" w:ascii="宋体" w:hAnsi="宋体" w:cs="宋体"/>
                <w:szCs w:val="21"/>
              </w:rPr>
            </w:pPr>
          </w:p>
        </w:tc>
      </w:tr>
      <w:tr w14:paraId="62F20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68D10BC">
            <w:pPr>
              <w:snapToGrid w:val="0"/>
              <w:spacing w:line="400" w:lineRule="exact"/>
              <w:jc w:val="center"/>
              <w:rPr>
                <w:rFonts w:hint="eastAsia"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051C4C44">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17109F6">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6E683A31">
            <w:pPr>
              <w:snapToGrid w:val="0"/>
              <w:spacing w:line="400" w:lineRule="exact"/>
              <w:jc w:val="center"/>
              <w:rPr>
                <w:rFonts w:hint="eastAsia" w:ascii="宋体" w:hAnsi="宋体" w:cs="宋体"/>
                <w:szCs w:val="21"/>
              </w:rPr>
            </w:pPr>
          </w:p>
        </w:tc>
      </w:tr>
      <w:tr w14:paraId="2D9CF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5F2C1DA">
            <w:pPr>
              <w:snapToGrid w:val="0"/>
              <w:spacing w:line="400" w:lineRule="exact"/>
              <w:jc w:val="center"/>
              <w:rPr>
                <w:rFonts w:hint="eastAsia"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41769772">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71C9DD4">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0764253">
            <w:pPr>
              <w:snapToGrid w:val="0"/>
              <w:spacing w:line="400" w:lineRule="exact"/>
              <w:jc w:val="center"/>
              <w:rPr>
                <w:rFonts w:hint="eastAsia" w:ascii="宋体" w:hAnsi="宋体" w:cs="宋体"/>
                <w:szCs w:val="21"/>
              </w:rPr>
            </w:pPr>
          </w:p>
        </w:tc>
      </w:tr>
      <w:tr w14:paraId="4943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5DEA80D">
            <w:pPr>
              <w:snapToGrid w:val="0"/>
              <w:spacing w:line="400" w:lineRule="exact"/>
              <w:jc w:val="center"/>
              <w:rPr>
                <w:rFonts w:hint="eastAsia"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DEF219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EF8C652">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03AE887">
            <w:pPr>
              <w:snapToGrid w:val="0"/>
              <w:spacing w:line="400" w:lineRule="exact"/>
              <w:jc w:val="center"/>
              <w:rPr>
                <w:rFonts w:hint="eastAsia" w:ascii="宋体" w:hAnsi="宋体" w:cs="宋体"/>
                <w:szCs w:val="21"/>
              </w:rPr>
            </w:pPr>
          </w:p>
        </w:tc>
      </w:tr>
      <w:tr w14:paraId="6A698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92AA21F">
            <w:pPr>
              <w:snapToGrid w:val="0"/>
              <w:spacing w:line="400" w:lineRule="exact"/>
              <w:jc w:val="center"/>
              <w:rPr>
                <w:rFonts w:hint="eastAsia"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7AE035E4">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B38D710">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9138F17">
            <w:pPr>
              <w:snapToGrid w:val="0"/>
              <w:spacing w:line="400" w:lineRule="exact"/>
              <w:jc w:val="center"/>
              <w:rPr>
                <w:rFonts w:hint="eastAsia" w:ascii="宋体" w:hAnsi="宋体" w:cs="宋体"/>
                <w:szCs w:val="21"/>
              </w:rPr>
            </w:pPr>
          </w:p>
        </w:tc>
      </w:tr>
      <w:tr w14:paraId="61269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10A0C30">
            <w:pPr>
              <w:snapToGrid w:val="0"/>
              <w:spacing w:line="400" w:lineRule="exact"/>
              <w:jc w:val="center"/>
              <w:rPr>
                <w:rFonts w:hint="eastAsia"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33D388F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7DCB5DD">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AEC8E0C">
            <w:pPr>
              <w:snapToGrid w:val="0"/>
              <w:spacing w:line="400" w:lineRule="exact"/>
              <w:jc w:val="center"/>
              <w:rPr>
                <w:rFonts w:hint="eastAsia" w:ascii="宋体" w:hAnsi="宋体" w:cs="宋体"/>
                <w:szCs w:val="21"/>
              </w:rPr>
            </w:pPr>
          </w:p>
        </w:tc>
      </w:tr>
      <w:tr w14:paraId="506D7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97B44B5">
            <w:pPr>
              <w:snapToGrid w:val="0"/>
              <w:spacing w:line="400" w:lineRule="exact"/>
              <w:jc w:val="center"/>
              <w:rPr>
                <w:rFonts w:hint="eastAsia"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483A5FCA">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C80303D">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B3EB888">
            <w:pPr>
              <w:snapToGrid w:val="0"/>
              <w:spacing w:line="400" w:lineRule="exact"/>
              <w:jc w:val="center"/>
              <w:rPr>
                <w:rFonts w:hint="eastAsia" w:ascii="宋体" w:hAnsi="宋体" w:cs="宋体"/>
                <w:szCs w:val="21"/>
              </w:rPr>
            </w:pPr>
          </w:p>
        </w:tc>
      </w:tr>
      <w:tr w14:paraId="4DFE2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35F6B2B">
            <w:pPr>
              <w:snapToGrid w:val="0"/>
              <w:spacing w:line="400" w:lineRule="exact"/>
              <w:jc w:val="center"/>
              <w:rPr>
                <w:rFonts w:hint="eastAsia"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14929943">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06A1514">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59D2BDC">
            <w:pPr>
              <w:snapToGrid w:val="0"/>
              <w:spacing w:line="400" w:lineRule="exact"/>
              <w:jc w:val="center"/>
              <w:rPr>
                <w:rFonts w:hint="eastAsia" w:ascii="宋体" w:hAnsi="宋体" w:cs="宋体"/>
                <w:szCs w:val="21"/>
              </w:rPr>
            </w:pPr>
          </w:p>
        </w:tc>
      </w:tr>
      <w:tr w14:paraId="3C78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7DAC6E6C">
            <w:pPr>
              <w:snapToGrid w:val="0"/>
              <w:spacing w:line="400" w:lineRule="exact"/>
              <w:jc w:val="center"/>
              <w:rPr>
                <w:rFonts w:hint="eastAsia"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7CAF9125">
            <w:pPr>
              <w:snapToGrid w:val="0"/>
              <w:spacing w:line="400" w:lineRule="exact"/>
              <w:jc w:val="center"/>
              <w:rPr>
                <w:rFonts w:hint="eastAsia"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269093E3">
            <w:pPr>
              <w:snapToGrid w:val="0"/>
              <w:spacing w:line="400" w:lineRule="exact"/>
              <w:jc w:val="center"/>
              <w:rPr>
                <w:rFonts w:hint="eastAsia" w:ascii="宋体" w:hAnsi="宋体" w:cs="宋体"/>
                <w:szCs w:val="21"/>
              </w:rPr>
            </w:pPr>
            <w:r>
              <w:rPr>
                <w:rFonts w:hint="eastAsia" w:ascii="宋体" w:hAnsi="宋体" w:cs="宋体"/>
                <w:szCs w:val="21"/>
              </w:rPr>
              <w:t>响应招标文件的其他技术条款。</w:t>
            </w:r>
          </w:p>
        </w:tc>
        <w:tc>
          <w:tcPr>
            <w:tcW w:w="1001" w:type="dxa"/>
            <w:tcBorders>
              <w:top w:val="single" w:color="auto" w:sz="4" w:space="0"/>
              <w:left w:val="single" w:color="auto" w:sz="4" w:space="0"/>
              <w:bottom w:val="single" w:color="auto" w:sz="4" w:space="0"/>
              <w:right w:val="single" w:color="auto" w:sz="4" w:space="0"/>
            </w:tcBorders>
            <w:vAlign w:val="center"/>
          </w:tcPr>
          <w:p w14:paraId="40405403">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34514AED">
      <w:pPr>
        <w:snapToGrid w:val="0"/>
        <w:spacing w:line="400" w:lineRule="exact"/>
        <w:rPr>
          <w:rFonts w:hint="eastAsia"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20D1657D">
      <w:pPr>
        <w:snapToGrid w:val="0"/>
        <w:spacing w:line="400" w:lineRule="exact"/>
        <w:rPr>
          <w:rFonts w:hint="eastAsia" w:ascii="宋体" w:hAnsi="宋体" w:cs="宋体"/>
          <w:szCs w:val="21"/>
        </w:rPr>
      </w:pPr>
    </w:p>
    <w:p w14:paraId="65C104A7">
      <w:pPr>
        <w:snapToGrid w:val="0"/>
        <w:spacing w:line="400" w:lineRule="exact"/>
        <w:rPr>
          <w:rFonts w:hint="eastAsia" w:ascii="宋体" w:hAnsi="宋体" w:cs="宋体"/>
          <w:szCs w:val="21"/>
        </w:rPr>
      </w:pPr>
    </w:p>
    <w:p w14:paraId="563F7F7E">
      <w:pPr>
        <w:snapToGrid w:val="0"/>
        <w:spacing w:line="400" w:lineRule="exact"/>
        <w:rPr>
          <w:rFonts w:hint="eastAsia" w:ascii="宋体" w:hAnsi="宋体" w:cs="宋体"/>
          <w:szCs w:val="21"/>
        </w:rPr>
      </w:pPr>
      <w:r>
        <w:rPr>
          <w:rFonts w:hint="eastAsia" w:ascii="宋体" w:hAnsi="宋体" w:cs="宋体"/>
          <w:szCs w:val="21"/>
        </w:rPr>
        <w:t>供应商全称（加盖公章）：</w:t>
      </w:r>
    </w:p>
    <w:p w14:paraId="64A21A0E">
      <w:pPr>
        <w:snapToGrid w:val="0"/>
        <w:spacing w:line="400" w:lineRule="exact"/>
        <w:rPr>
          <w:rFonts w:hint="eastAsia" w:ascii="宋体" w:hAnsi="宋体" w:cs="宋体"/>
          <w:szCs w:val="21"/>
        </w:rPr>
      </w:pPr>
      <w:r>
        <w:rPr>
          <w:rFonts w:hint="eastAsia" w:ascii="宋体" w:hAnsi="宋体" w:cs="宋体"/>
          <w:szCs w:val="21"/>
        </w:rPr>
        <w:t>法定代表人或授权代表（签字或盖章）：</w:t>
      </w:r>
    </w:p>
    <w:p w14:paraId="068ABF0A">
      <w:pPr>
        <w:snapToGrid w:val="0"/>
        <w:spacing w:line="400" w:lineRule="exact"/>
        <w:rPr>
          <w:rFonts w:hint="eastAsia" w:ascii="宋体" w:hAnsi="宋体" w:cs="宋体"/>
          <w:szCs w:val="21"/>
        </w:rPr>
      </w:pPr>
      <w:r>
        <w:rPr>
          <w:rFonts w:ascii="宋体" w:hAnsi="宋体" w:cs="宋体"/>
          <w:szCs w:val="21"/>
        </w:rPr>
        <w:t>年    月    日</w:t>
      </w:r>
    </w:p>
    <w:p w14:paraId="437A1BCD">
      <w:pPr>
        <w:snapToGrid w:val="0"/>
        <w:spacing w:line="400" w:lineRule="exact"/>
        <w:rPr>
          <w:rFonts w:hint="eastAsia" w:ascii="宋体" w:hAnsi="宋体" w:cs="宋体"/>
          <w:szCs w:val="21"/>
        </w:rPr>
      </w:pPr>
    </w:p>
    <w:p w14:paraId="1C25119A">
      <w:pPr>
        <w:snapToGrid w:val="0"/>
        <w:spacing w:line="400" w:lineRule="exact"/>
        <w:rPr>
          <w:rFonts w:hint="eastAsia" w:ascii="宋体" w:hAnsi="宋体" w:cs="宋体"/>
          <w:szCs w:val="21"/>
        </w:rPr>
      </w:pPr>
    </w:p>
    <w:p w14:paraId="204D23D5">
      <w:pPr>
        <w:snapToGrid w:val="0"/>
        <w:spacing w:line="400" w:lineRule="exact"/>
        <w:rPr>
          <w:rFonts w:hint="eastAsia" w:ascii="宋体" w:hAnsi="宋体" w:cs="宋体"/>
          <w:szCs w:val="21"/>
        </w:rPr>
      </w:pPr>
    </w:p>
    <w:p w14:paraId="67223CC9">
      <w:pPr>
        <w:snapToGrid w:val="0"/>
        <w:spacing w:line="400" w:lineRule="exact"/>
        <w:rPr>
          <w:rFonts w:hint="eastAsia" w:ascii="宋体" w:hAnsi="宋体" w:cs="宋体"/>
          <w:szCs w:val="21"/>
        </w:rPr>
      </w:pPr>
    </w:p>
    <w:p w14:paraId="1EE62E0E">
      <w:pPr>
        <w:snapToGrid w:val="0"/>
        <w:spacing w:line="400" w:lineRule="exact"/>
        <w:rPr>
          <w:rFonts w:hint="eastAsia" w:ascii="宋体" w:hAnsi="宋体" w:cs="宋体"/>
          <w:szCs w:val="21"/>
        </w:rPr>
      </w:pPr>
    </w:p>
    <w:p w14:paraId="61D7A665">
      <w:pPr>
        <w:pStyle w:val="16"/>
        <w:snapToGrid w:val="0"/>
        <w:spacing w:before="120" w:after="120" w:line="360" w:lineRule="auto"/>
        <w:rPr>
          <w:rFonts w:hint="eastAsia" w:hAnsi="宋体"/>
          <w:b/>
          <w:sz w:val="30"/>
        </w:rPr>
      </w:pPr>
    </w:p>
    <w:p w14:paraId="7CD67BB5">
      <w:pPr>
        <w:snapToGrid w:val="0"/>
        <w:spacing w:line="400" w:lineRule="exact"/>
        <w:rPr>
          <w:rFonts w:hint="eastAsia" w:ascii="宋体" w:hAnsi="宋体" w:cs="宋体"/>
          <w:szCs w:val="21"/>
        </w:rPr>
      </w:pPr>
    </w:p>
    <w:p w14:paraId="7E17B8C7">
      <w:pPr>
        <w:snapToGrid w:val="0"/>
        <w:spacing w:line="400" w:lineRule="exact"/>
        <w:rPr>
          <w:rFonts w:hint="eastAsia" w:ascii="宋体" w:hAnsi="宋体" w:cs="宋体"/>
          <w:szCs w:val="21"/>
        </w:rPr>
      </w:pPr>
    </w:p>
    <w:p w14:paraId="70DEBB7E">
      <w:pPr>
        <w:numPr>
          <w:ilvl w:val="0"/>
          <w:numId w:val="20"/>
        </w:numPr>
        <w:snapToGrid w:val="0"/>
        <w:spacing w:before="50" w:after="120" w:afterLines="50"/>
        <w:jc w:val="center"/>
        <w:rPr>
          <w:rFonts w:hint="eastAsia" w:ascii="宋体" w:hAnsi="宋体"/>
          <w:szCs w:val="21"/>
        </w:rPr>
      </w:pPr>
      <w:r>
        <w:rPr>
          <w:rFonts w:hint="eastAsia" w:ascii="宋体" w:hAnsi="宋体"/>
          <w:szCs w:val="21"/>
        </w:rPr>
        <w:t>报价文件格式</w:t>
      </w:r>
    </w:p>
    <w:p w14:paraId="474CD720">
      <w:pPr>
        <w:snapToGrid w:val="0"/>
        <w:spacing w:before="50" w:after="120" w:afterLines="50"/>
        <w:rPr>
          <w:rFonts w:hint="eastAsia" w:ascii="宋体" w:hAnsi="宋体"/>
          <w:b/>
          <w:szCs w:val="21"/>
        </w:rPr>
      </w:pPr>
    </w:p>
    <w:p w14:paraId="6A888092"/>
    <w:p w14:paraId="31814900"/>
    <w:p w14:paraId="371673E4"/>
    <w:p w14:paraId="6D14BF39">
      <w:pPr>
        <w:snapToGrid w:val="0"/>
        <w:spacing w:before="120" w:beforeLines="50" w:after="50"/>
        <w:rPr>
          <w:rFonts w:hint="eastAsia" w:ascii="宋体" w:hAnsi="宋体"/>
          <w:szCs w:val="21"/>
        </w:rPr>
      </w:pPr>
      <w:r>
        <w:rPr>
          <w:rFonts w:hint="eastAsia" w:ascii="宋体" w:hAnsi="宋体"/>
          <w:b/>
          <w:bCs/>
          <w:szCs w:val="21"/>
        </w:rPr>
        <w:t>1.报价文件封面格式：</w:t>
      </w:r>
      <w:r>
        <w:rPr>
          <w:rFonts w:ascii="宋体" w:hAnsi="宋体"/>
          <w:szCs w:val="21"/>
        </w:rPr>
        <w:t xml:space="preserve"> </w:t>
      </w:r>
    </w:p>
    <w:p w14:paraId="30D11FB0">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288D98AA">
      <w:pPr>
        <w:snapToGrid w:val="0"/>
        <w:spacing w:before="120" w:beforeLines="50" w:after="50"/>
        <w:rPr>
          <w:rFonts w:hint="eastAsia" w:ascii="宋体" w:hAnsi="宋体"/>
          <w:szCs w:val="21"/>
        </w:rPr>
      </w:pPr>
    </w:p>
    <w:p w14:paraId="7E145CE1">
      <w:pPr>
        <w:snapToGrid w:val="0"/>
        <w:spacing w:before="120" w:beforeLines="50" w:after="50"/>
        <w:jc w:val="center"/>
        <w:rPr>
          <w:rFonts w:hint="eastAsia" w:ascii="宋体" w:hAnsi="宋体"/>
          <w:bCs/>
          <w:szCs w:val="21"/>
        </w:rPr>
      </w:pPr>
      <w:r>
        <w:rPr>
          <w:rFonts w:hint="eastAsia" w:ascii="宋体" w:hAnsi="宋体"/>
          <w:bCs/>
          <w:szCs w:val="21"/>
        </w:rPr>
        <w:t>报价文件</w:t>
      </w:r>
    </w:p>
    <w:p w14:paraId="1781823D">
      <w:pPr>
        <w:snapToGrid w:val="0"/>
        <w:spacing w:before="120" w:beforeLines="50" w:after="50"/>
        <w:rPr>
          <w:rFonts w:hint="eastAsia" w:ascii="宋体" w:hAnsi="宋体"/>
          <w:bCs/>
          <w:szCs w:val="21"/>
        </w:rPr>
      </w:pPr>
    </w:p>
    <w:p w14:paraId="08E6DAA1">
      <w:pPr>
        <w:snapToGrid w:val="0"/>
        <w:spacing w:before="120" w:beforeLines="50" w:after="50"/>
        <w:rPr>
          <w:rFonts w:hint="eastAsia" w:ascii="宋体" w:hAnsi="宋体"/>
          <w:bCs/>
          <w:szCs w:val="21"/>
        </w:rPr>
      </w:pPr>
      <w:r>
        <w:rPr>
          <w:rFonts w:hint="eastAsia" w:ascii="宋体" w:hAnsi="宋体"/>
          <w:bCs/>
          <w:szCs w:val="21"/>
        </w:rPr>
        <w:t xml:space="preserve">       项目名称：</w:t>
      </w:r>
      <w:r>
        <w:rPr>
          <w:rFonts w:hint="eastAsia"/>
        </w:rPr>
        <w:t xml:space="preserve"> </w:t>
      </w:r>
    </w:p>
    <w:p w14:paraId="6BCB25CA">
      <w:pPr>
        <w:snapToGrid w:val="0"/>
        <w:spacing w:before="120" w:beforeLines="50" w:after="50"/>
        <w:ind w:firstLine="714" w:firstLineChars="340"/>
        <w:rPr>
          <w:rFonts w:hint="eastAsia" w:ascii="宋体" w:hAnsi="宋体"/>
          <w:bCs/>
          <w:szCs w:val="21"/>
        </w:rPr>
      </w:pPr>
      <w:r>
        <w:rPr>
          <w:rFonts w:hint="eastAsia" w:ascii="宋体" w:hAnsi="宋体"/>
          <w:bCs/>
          <w:szCs w:val="21"/>
        </w:rPr>
        <w:t>项目编号：</w:t>
      </w:r>
      <w:r>
        <w:rPr>
          <w:rFonts w:ascii="宋体" w:hAnsi="宋体"/>
          <w:bCs/>
          <w:szCs w:val="21"/>
        </w:rPr>
        <w:t xml:space="preserve"> </w:t>
      </w:r>
    </w:p>
    <w:p w14:paraId="110A2F27">
      <w:pPr>
        <w:snapToGrid w:val="0"/>
        <w:spacing w:before="120" w:beforeLines="50" w:after="50"/>
        <w:ind w:firstLine="525" w:firstLineChars="250"/>
        <w:rPr>
          <w:rFonts w:hint="eastAsia" w:ascii="宋体" w:hAnsi="宋体"/>
          <w:bCs/>
          <w:szCs w:val="21"/>
        </w:rPr>
      </w:pPr>
    </w:p>
    <w:p w14:paraId="11FCF263">
      <w:pPr>
        <w:snapToGrid w:val="0"/>
        <w:spacing w:before="120" w:beforeLines="50" w:after="50"/>
        <w:ind w:firstLine="504" w:firstLineChars="240"/>
        <w:rPr>
          <w:rFonts w:hint="eastAsia" w:ascii="宋体" w:hAnsi="宋体"/>
          <w:bCs/>
          <w:szCs w:val="21"/>
        </w:rPr>
      </w:pPr>
      <w:r>
        <w:rPr>
          <w:rFonts w:hint="eastAsia" w:ascii="宋体" w:hAnsi="宋体"/>
          <w:bCs/>
          <w:szCs w:val="21"/>
        </w:rPr>
        <w:t>供应商名称：</w:t>
      </w:r>
    </w:p>
    <w:p w14:paraId="73E60F03">
      <w:pPr>
        <w:snapToGrid w:val="0"/>
        <w:spacing w:before="120" w:beforeLines="50" w:after="50"/>
        <w:ind w:firstLine="504" w:firstLineChars="240"/>
        <w:rPr>
          <w:rFonts w:hint="eastAsia" w:ascii="宋体" w:hAnsi="宋体"/>
          <w:bCs/>
          <w:szCs w:val="21"/>
        </w:rPr>
      </w:pPr>
      <w:r>
        <w:rPr>
          <w:rFonts w:hint="eastAsia" w:ascii="宋体" w:hAnsi="宋体"/>
          <w:bCs/>
          <w:szCs w:val="21"/>
        </w:rPr>
        <w:t>供应商地址：</w:t>
      </w:r>
    </w:p>
    <w:p w14:paraId="292AEDB1">
      <w:pPr>
        <w:pStyle w:val="16"/>
        <w:snapToGrid w:val="0"/>
        <w:spacing w:before="120" w:after="120"/>
        <w:jc w:val="center"/>
        <w:rPr>
          <w:rFonts w:hint="eastAsia" w:hAnsi="宋体"/>
        </w:rPr>
      </w:pPr>
      <w:r>
        <w:rPr>
          <w:rFonts w:hAnsi="宋体"/>
        </w:rPr>
        <w:t xml:space="preserve">                                             年  月  日</w:t>
      </w:r>
    </w:p>
    <w:p w14:paraId="09F710B3">
      <w:pPr>
        <w:pStyle w:val="14"/>
        <w:spacing w:line="360" w:lineRule="auto"/>
        <w:ind w:firstLine="0"/>
        <w:rPr>
          <w:rFonts w:hint="eastAsia" w:hAnsi="宋体" w:cs="宋体"/>
          <w:spacing w:val="0"/>
          <w:sz w:val="21"/>
          <w:szCs w:val="21"/>
        </w:rPr>
      </w:pPr>
    </w:p>
    <w:p w14:paraId="632358F8">
      <w:pPr>
        <w:pStyle w:val="14"/>
        <w:spacing w:line="360" w:lineRule="auto"/>
        <w:ind w:firstLine="0"/>
        <w:rPr>
          <w:rFonts w:hint="eastAsia" w:hAnsi="宋体" w:cs="宋体"/>
          <w:spacing w:val="0"/>
          <w:sz w:val="21"/>
          <w:szCs w:val="21"/>
        </w:rPr>
      </w:pPr>
    </w:p>
    <w:p w14:paraId="72521A8A">
      <w:pPr>
        <w:pStyle w:val="14"/>
        <w:spacing w:line="360" w:lineRule="auto"/>
        <w:ind w:firstLine="0"/>
        <w:rPr>
          <w:rFonts w:hint="eastAsia" w:hAnsi="宋体" w:cs="宋体"/>
          <w:spacing w:val="0"/>
          <w:sz w:val="21"/>
          <w:szCs w:val="21"/>
        </w:rPr>
      </w:pPr>
    </w:p>
    <w:p w14:paraId="5D0D4551">
      <w:pPr>
        <w:pStyle w:val="14"/>
        <w:spacing w:line="360" w:lineRule="auto"/>
        <w:ind w:firstLine="0"/>
        <w:rPr>
          <w:rFonts w:hint="eastAsia" w:hAnsi="宋体" w:cs="宋体"/>
          <w:spacing w:val="0"/>
          <w:sz w:val="21"/>
          <w:szCs w:val="21"/>
        </w:rPr>
      </w:pPr>
    </w:p>
    <w:p w14:paraId="034F7F9B">
      <w:pPr>
        <w:pStyle w:val="14"/>
        <w:spacing w:line="360" w:lineRule="auto"/>
        <w:ind w:firstLine="0"/>
        <w:rPr>
          <w:rFonts w:hint="eastAsia" w:hAnsi="宋体" w:cs="宋体"/>
          <w:spacing w:val="0"/>
          <w:sz w:val="21"/>
          <w:szCs w:val="21"/>
        </w:rPr>
      </w:pPr>
    </w:p>
    <w:p w14:paraId="1680FCA2">
      <w:pPr>
        <w:pStyle w:val="14"/>
        <w:spacing w:line="360" w:lineRule="auto"/>
        <w:ind w:firstLine="0"/>
        <w:rPr>
          <w:rFonts w:hint="eastAsia" w:hAnsi="宋体" w:cs="宋体"/>
          <w:spacing w:val="0"/>
          <w:sz w:val="21"/>
          <w:szCs w:val="21"/>
        </w:rPr>
      </w:pPr>
    </w:p>
    <w:p w14:paraId="6E1DADCB">
      <w:pPr>
        <w:pStyle w:val="14"/>
        <w:spacing w:line="360" w:lineRule="auto"/>
        <w:ind w:firstLine="0"/>
        <w:rPr>
          <w:rFonts w:hint="eastAsia" w:hAnsi="宋体" w:cs="宋体"/>
          <w:spacing w:val="0"/>
          <w:sz w:val="21"/>
          <w:szCs w:val="21"/>
        </w:rPr>
      </w:pPr>
    </w:p>
    <w:p w14:paraId="0891B0B4">
      <w:pPr>
        <w:pStyle w:val="14"/>
        <w:spacing w:line="360" w:lineRule="auto"/>
        <w:ind w:firstLine="0"/>
        <w:rPr>
          <w:rFonts w:hint="eastAsia" w:hAnsi="宋体" w:cs="宋体"/>
          <w:spacing w:val="0"/>
          <w:sz w:val="21"/>
          <w:szCs w:val="21"/>
        </w:rPr>
      </w:pPr>
    </w:p>
    <w:p w14:paraId="540C3A85">
      <w:pPr>
        <w:pStyle w:val="14"/>
        <w:spacing w:line="360" w:lineRule="auto"/>
        <w:ind w:firstLine="0"/>
        <w:rPr>
          <w:rFonts w:hint="eastAsia" w:hAnsi="宋体" w:cs="宋体"/>
          <w:spacing w:val="0"/>
          <w:sz w:val="21"/>
          <w:szCs w:val="21"/>
        </w:rPr>
      </w:pPr>
    </w:p>
    <w:p w14:paraId="4FAEBB5D">
      <w:pPr>
        <w:pStyle w:val="14"/>
        <w:spacing w:line="360" w:lineRule="auto"/>
        <w:ind w:firstLine="0"/>
        <w:rPr>
          <w:rFonts w:hint="eastAsia"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10841959">
      <w:pPr>
        <w:pStyle w:val="14"/>
        <w:spacing w:line="360" w:lineRule="auto"/>
        <w:ind w:firstLine="0"/>
        <w:rPr>
          <w:rFonts w:hint="eastAsia" w:hAnsi="宋体" w:cs="宋体"/>
          <w:spacing w:val="0"/>
          <w:sz w:val="21"/>
          <w:szCs w:val="21"/>
        </w:rPr>
      </w:pPr>
    </w:p>
    <w:p w14:paraId="4483B199">
      <w:pPr>
        <w:pStyle w:val="14"/>
        <w:spacing w:line="360" w:lineRule="auto"/>
        <w:ind w:firstLine="0"/>
        <w:rPr>
          <w:rFonts w:hint="eastAsia" w:hAnsi="宋体" w:cs="宋体"/>
          <w:spacing w:val="0"/>
          <w:sz w:val="21"/>
          <w:szCs w:val="21"/>
        </w:rPr>
      </w:pPr>
    </w:p>
    <w:p w14:paraId="39421215">
      <w:pPr>
        <w:pStyle w:val="14"/>
        <w:spacing w:line="360" w:lineRule="auto"/>
        <w:ind w:firstLine="0"/>
        <w:rPr>
          <w:rFonts w:hint="eastAsia" w:hAnsi="宋体" w:cs="宋体"/>
          <w:spacing w:val="0"/>
          <w:sz w:val="21"/>
          <w:szCs w:val="21"/>
        </w:rPr>
      </w:pPr>
    </w:p>
    <w:p w14:paraId="6A59CA4F">
      <w:pPr>
        <w:pStyle w:val="14"/>
        <w:spacing w:line="360" w:lineRule="auto"/>
        <w:ind w:firstLine="0"/>
        <w:rPr>
          <w:rFonts w:hint="eastAsia" w:hAnsi="宋体" w:cs="宋体"/>
          <w:spacing w:val="0"/>
          <w:sz w:val="21"/>
          <w:szCs w:val="21"/>
        </w:rPr>
      </w:pPr>
    </w:p>
    <w:p w14:paraId="3CE6AA3E">
      <w:pPr>
        <w:pStyle w:val="14"/>
        <w:spacing w:line="360" w:lineRule="auto"/>
        <w:ind w:firstLine="0"/>
        <w:rPr>
          <w:rFonts w:hint="eastAsia" w:hAnsi="宋体" w:cs="宋体"/>
          <w:spacing w:val="0"/>
          <w:sz w:val="21"/>
          <w:szCs w:val="21"/>
        </w:rPr>
      </w:pPr>
    </w:p>
    <w:p w14:paraId="2F1C1088">
      <w:pPr>
        <w:pStyle w:val="14"/>
        <w:spacing w:line="360" w:lineRule="auto"/>
        <w:ind w:firstLine="0"/>
        <w:rPr>
          <w:rFonts w:hint="eastAsia" w:hAnsi="宋体" w:cs="宋体"/>
          <w:spacing w:val="0"/>
          <w:sz w:val="21"/>
          <w:szCs w:val="21"/>
        </w:rPr>
      </w:pPr>
    </w:p>
    <w:p w14:paraId="5DEE81EB">
      <w:pPr>
        <w:pStyle w:val="14"/>
        <w:spacing w:line="360" w:lineRule="auto"/>
        <w:ind w:firstLine="0"/>
        <w:rPr>
          <w:rFonts w:hint="eastAsia" w:hAnsi="宋体" w:cs="宋体"/>
          <w:spacing w:val="0"/>
          <w:sz w:val="21"/>
          <w:szCs w:val="21"/>
        </w:rPr>
      </w:pPr>
    </w:p>
    <w:p w14:paraId="78D7ED08">
      <w:pPr>
        <w:pStyle w:val="14"/>
        <w:spacing w:line="360" w:lineRule="auto"/>
        <w:ind w:firstLine="0"/>
        <w:rPr>
          <w:rFonts w:hint="eastAsia" w:hAnsi="宋体" w:cs="宋体"/>
          <w:spacing w:val="0"/>
          <w:sz w:val="21"/>
          <w:szCs w:val="21"/>
        </w:rPr>
      </w:pPr>
    </w:p>
    <w:p w14:paraId="6D1FB362">
      <w:pPr>
        <w:pStyle w:val="14"/>
        <w:spacing w:line="360" w:lineRule="auto"/>
        <w:ind w:firstLine="0"/>
        <w:rPr>
          <w:rFonts w:hint="eastAsia" w:hAnsi="宋体" w:cs="宋体"/>
          <w:spacing w:val="0"/>
          <w:sz w:val="21"/>
          <w:szCs w:val="21"/>
        </w:rPr>
      </w:pPr>
    </w:p>
    <w:p w14:paraId="06E9100C">
      <w:pPr>
        <w:pStyle w:val="14"/>
        <w:spacing w:line="360" w:lineRule="auto"/>
        <w:ind w:firstLine="0"/>
        <w:rPr>
          <w:rFonts w:hint="eastAsia"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292BFDE2">
      <w:pPr>
        <w:pStyle w:val="14"/>
        <w:spacing w:line="360" w:lineRule="auto"/>
        <w:ind w:firstLine="0"/>
        <w:jc w:val="center"/>
        <w:rPr>
          <w:rFonts w:hint="eastAsia" w:hAnsi="宋体" w:cs="宋体"/>
          <w:b/>
          <w:bCs/>
          <w:spacing w:val="0"/>
          <w:sz w:val="28"/>
          <w:szCs w:val="28"/>
        </w:rPr>
      </w:pPr>
      <w:r>
        <w:rPr>
          <w:rFonts w:hint="eastAsia" w:hAnsi="宋体" w:cs="宋体"/>
          <w:b/>
          <w:bCs/>
          <w:spacing w:val="0"/>
          <w:sz w:val="28"/>
          <w:szCs w:val="28"/>
        </w:rPr>
        <w:t>开标一览表</w:t>
      </w:r>
    </w:p>
    <w:p w14:paraId="51823488">
      <w:pPr>
        <w:pStyle w:val="14"/>
        <w:spacing w:line="360" w:lineRule="auto"/>
        <w:ind w:firstLine="0"/>
        <w:rPr>
          <w:sz w:val="21"/>
          <w:szCs w:val="21"/>
        </w:rPr>
      </w:pPr>
    </w:p>
    <w:p w14:paraId="3283B7D4">
      <w:pPr>
        <w:pStyle w:val="14"/>
        <w:spacing w:line="360" w:lineRule="auto"/>
        <w:ind w:firstLine="0"/>
        <w:rPr>
          <w:sz w:val="21"/>
          <w:szCs w:val="21"/>
        </w:rPr>
      </w:pPr>
      <w:r>
        <w:rPr>
          <w:rFonts w:hint="eastAsia"/>
          <w:sz w:val="21"/>
          <w:szCs w:val="21"/>
        </w:rPr>
        <w:t xml:space="preserve">项目名称： </w:t>
      </w:r>
    </w:p>
    <w:p w14:paraId="6508B7C2">
      <w:pPr>
        <w:pStyle w:val="14"/>
        <w:spacing w:line="360" w:lineRule="auto"/>
        <w:ind w:firstLine="0"/>
        <w:rPr>
          <w:rFonts w:hint="eastAsia" w:hAnsi="宋体"/>
        </w:rPr>
      </w:pPr>
      <w:r>
        <w:rPr>
          <w:rFonts w:hint="eastAsia"/>
          <w:sz w:val="21"/>
          <w:szCs w:val="21"/>
        </w:rPr>
        <w:t>招标编号：</w:t>
      </w:r>
    </w:p>
    <w:tbl>
      <w:tblPr>
        <w:tblStyle w:val="33"/>
        <w:tblW w:w="8903" w:type="dxa"/>
        <w:jc w:val="center"/>
        <w:tblLayout w:type="fixed"/>
        <w:tblCellMar>
          <w:top w:w="0" w:type="dxa"/>
          <w:left w:w="108" w:type="dxa"/>
          <w:bottom w:w="0" w:type="dxa"/>
          <w:right w:w="108" w:type="dxa"/>
        </w:tblCellMar>
      </w:tblPr>
      <w:tblGrid>
        <w:gridCol w:w="1512"/>
        <w:gridCol w:w="3361"/>
        <w:gridCol w:w="1276"/>
        <w:gridCol w:w="988"/>
        <w:gridCol w:w="1766"/>
      </w:tblGrid>
      <w:tr w14:paraId="55BEA802">
        <w:tblPrEx>
          <w:tblCellMar>
            <w:top w:w="0" w:type="dxa"/>
            <w:left w:w="108" w:type="dxa"/>
            <w:bottom w:w="0" w:type="dxa"/>
            <w:right w:w="108" w:type="dxa"/>
          </w:tblCellMar>
        </w:tblPrEx>
        <w:trPr>
          <w:trHeight w:val="397" w:hRule="atLeast"/>
          <w:tblHeade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B539">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61F4ADC5">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内容</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5E3A5A40">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c>
          <w:tcPr>
            <w:tcW w:w="988" w:type="dxa"/>
            <w:tcBorders>
              <w:top w:val="single" w:color="000000" w:sz="4" w:space="0"/>
              <w:left w:val="nil"/>
              <w:bottom w:val="single" w:color="000000" w:sz="4" w:space="0"/>
              <w:right w:val="single" w:color="000000" w:sz="4" w:space="0"/>
            </w:tcBorders>
            <w:shd w:val="clear" w:color="auto" w:fill="auto"/>
            <w:noWrap/>
            <w:vAlign w:val="center"/>
          </w:tcPr>
          <w:p w14:paraId="5BFFEB77">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1766" w:type="dxa"/>
            <w:tcBorders>
              <w:top w:val="single" w:color="000000" w:sz="4" w:space="0"/>
              <w:left w:val="nil"/>
              <w:bottom w:val="single" w:color="000000" w:sz="4" w:space="0"/>
              <w:right w:val="single" w:color="000000" w:sz="4" w:space="0"/>
            </w:tcBorders>
            <w:shd w:val="clear" w:color="auto" w:fill="auto"/>
            <w:vAlign w:val="center"/>
          </w:tcPr>
          <w:p w14:paraId="35AF34A9">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合价（万元）</w:t>
            </w:r>
          </w:p>
        </w:tc>
      </w:tr>
      <w:tr w14:paraId="36220637">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6A58">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一</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61F3E77A">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农村供水硬件基础设施提升</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6F22639A">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项</w:t>
            </w:r>
          </w:p>
        </w:tc>
        <w:tc>
          <w:tcPr>
            <w:tcW w:w="988" w:type="dxa"/>
            <w:tcBorders>
              <w:top w:val="single" w:color="000000" w:sz="4" w:space="0"/>
              <w:left w:val="nil"/>
              <w:bottom w:val="single" w:color="auto" w:sz="4" w:space="0"/>
              <w:right w:val="single" w:color="000000" w:sz="4" w:space="0"/>
            </w:tcBorders>
            <w:shd w:val="clear" w:color="auto" w:fill="auto"/>
            <w:noWrap/>
            <w:vAlign w:val="center"/>
          </w:tcPr>
          <w:p w14:paraId="4B1186B4">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p>
        </w:tc>
        <w:tc>
          <w:tcPr>
            <w:tcW w:w="1766" w:type="dxa"/>
            <w:tcBorders>
              <w:top w:val="single" w:color="000000" w:sz="4" w:space="0"/>
              <w:left w:val="nil"/>
              <w:bottom w:val="single" w:color="auto" w:sz="4" w:space="0"/>
              <w:right w:val="single" w:color="000000" w:sz="4" w:space="0"/>
            </w:tcBorders>
            <w:shd w:val="clear" w:color="auto" w:fill="auto"/>
            <w:noWrap/>
            <w:vAlign w:val="center"/>
          </w:tcPr>
          <w:p w14:paraId="504A68A2">
            <w:pPr>
              <w:widowControl/>
              <w:autoSpaceDE w:val="0"/>
              <w:jc w:val="center"/>
              <w:rPr>
                <w:rFonts w:hint="eastAsia" w:ascii="宋体" w:hAnsi="宋体" w:cs="宋体"/>
                <w:b/>
                <w:bCs/>
                <w:color w:val="000000"/>
                <w:sz w:val="24"/>
              </w:rPr>
            </w:pPr>
          </w:p>
        </w:tc>
      </w:tr>
      <w:tr w14:paraId="577EE692">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15E8">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4BA40EC4">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供水站（厂）感知监测</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4D06F8A9">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988" w:type="dxa"/>
            <w:tcBorders>
              <w:top w:val="single" w:color="000000" w:sz="4" w:space="0"/>
              <w:left w:val="nil"/>
              <w:bottom w:val="single" w:color="auto" w:sz="4" w:space="0"/>
              <w:right w:val="single" w:color="000000" w:sz="4" w:space="0"/>
            </w:tcBorders>
            <w:shd w:val="clear" w:color="auto" w:fill="auto"/>
            <w:noWrap/>
            <w:vAlign w:val="center"/>
          </w:tcPr>
          <w:p w14:paraId="68242B23">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766" w:type="dxa"/>
            <w:tcBorders>
              <w:top w:val="single" w:color="000000" w:sz="4" w:space="0"/>
              <w:left w:val="nil"/>
              <w:bottom w:val="single" w:color="auto" w:sz="4" w:space="0"/>
              <w:right w:val="single" w:color="000000" w:sz="4" w:space="0"/>
            </w:tcBorders>
            <w:shd w:val="clear" w:color="auto" w:fill="auto"/>
            <w:noWrap/>
            <w:vAlign w:val="center"/>
          </w:tcPr>
          <w:p w14:paraId="6BFEDF24">
            <w:pPr>
              <w:widowControl/>
              <w:autoSpaceDE w:val="0"/>
              <w:jc w:val="center"/>
              <w:rPr>
                <w:rFonts w:hint="eastAsia" w:ascii="宋体" w:hAnsi="宋体" w:cs="宋体"/>
                <w:color w:val="000000"/>
                <w:sz w:val="24"/>
                <w:lang w:bidi="ar"/>
              </w:rPr>
            </w:pPr>
          </w:p>
        </w:tc>
      </w:tr>
      <w:tr w14:paraId="12D974D7">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8F09">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5F852271">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水站自动管控系统</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38511492">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988" w:type="dxa"/>
            <w:tcBorders>
              <w:top w:val="single" w:color="000000" w:sz="4" w:space="0"/>
              <w:left w:val="nil"/>
              <w:bottom w:val="single" w:color="auto" w:sz="4" w:space="0"/>
              <w:right w:val="single" w:color="000000" w:sz="4" w:space="0"/>
            </w:tcBorders>
            <w:shd w:val="clear" w:color="auto" w:fill="auto"/>
            <w:noWrap/>
            <w:vAlign w:val="center"/>
          </w:tcPr>
          <w:p w14:paraId="0FA925A5">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766" w:type="dxa"/>
            <w:tcBorders>
              <w:top w:val="single" w:color="000000" w:sz="4" w:space="0"/>
              <w:left w:val="nil"/>
              <w:bottom w:val="single" w:color="auto" w:sz="4" w:space="0"/>
              <w:right w:val="single" w:color="000000" w:sz="4" w:space="0"/>
            </w:tcBorders>
            <w:shd w:val="clear" w:color="auto" w:fill="auto"/>
            <w:noWrap/>
            <w:vAlign w:val="center"/>
          </w:tcPr>
          <w:p w14:paraId="35A972F3">
            <w:pPr>
              <w:widowControl/>
              <w:autoSpaceDE w:val="0"/>
              <w:jc w:val="center"/>
              <w:rPr>
                <w:rFonts w:hint="eastAsia" w:ascii="宋体" w:hAnsi="宋体" w:cs="宋体"/>
                <w:color w:val="000000"/>
                <w:sz w:val="24"/>
                <w:lang w:bidi="ar"/>
              </w:rPr>
            </w:pPr>
          </w:p>
        </w:tc>
      </w:tr>
      <w:tr w14:paraId="7ECAC16A">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7205">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1EA33AE5">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支撑保障体系</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72CAE522">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988" w:type="dxa"/>
            <w:tcBorders>
              <w:top w:val="single" w:color="000000" w:sz="4" w:space="0"/>
              <w:left w:val="nil"/>
              <w:bottom w:val="single" w:color="auto" w:sz="4" w:space="0"/>
              <w:right w:val="single" w:color="000000" w:sz="4" w:space="0"/>
            </w:tcBorders>
            <w:shd w:val="clear" w:color="auto" w:fill="auto"/>
            <w:noWrap/>
            <w:vAlign w:val="center"/>
          </w:tcPr>
          <w:p w14:paraId="59A0DB5E">
            <w:pPr>
              <w:widowControl/>
              <w:autoSpaceDE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766" w:type="dxa"/>
            <w:tcBorders>
              <w:top w:val="single" w:color="000000" w:sz="4" w:space="0"/>
              <w:left w:val="nil"/>
              <w:bottom w:val="single" w:color="auto" w:sz="4" w:space="0"/>
              <w:right w:val="single" w:color="000000" w:sz="4" w:space="0"/>
            </w:tcBorders>
            <w:shd w:val="clear" w:color="auto" w:fill="auto"/>
            <w:noWrap/>
            <w:vAlign w:val="center"/>
          </w:tcPr>
          <w:p w14:paraId="0E5E439C">
            <w:pPr>
              <w:widowControl/>
              <w:autoSpaceDE w:val="0"/>
              <w:jc w:val="center"/>
              <w:rPr>
                <w:rFonts w:hint="eastAsia" w:ascii="宋体" w:hAnsi="宋体" w:cs="宋体"/>
                <w:color w:val="000000"/>
                <w:sz w:val="24"/>
                <w:lang w:bidi="ar"/>
              </w:rPr>
            </w:pPr>
          </w:p>
        </w:tc>
      </w:tr>
      <w:tr w14:paraId="59662B16">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52D3">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 xml:space="preserve">二 </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10A5ECE8">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智能业务应用</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17E63141">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项</w:t>
            </w:r>
          </w:p>
        </w:tc>
        <w:tc>
          <w:tcPr>
            <w:tcW w:w="988" w:type="dxa"/>
            <w:tcBorders>
              <w:top w:val="single" w:color="auto" w:sz="4" w:space="0"/>
              <w:left w:val="nil"/>
              <w:bottom w:val="single" w:color="000000" w:sz="4" w:space="0"/>
              <w:right w:val="single" w:color="000000" w:sz="4" w:space="0"/>
            </w:tcBorders>
            <w:shd w:val="clear" w:color="auto" w:fill="auto"/>
            <w:noWrap/>
            <w:vAlign w:val="center"/>
          </w:tcPr>
          <w:p w14:paraId="76E8271F">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p>
        </w:tc>
        <w:tc>
          <w:tcPr>
            <w:tcW w:w="1766" w:type="dxa"/>
            <w:tcBorders>
              <w:top w:val="single" w:color="auto" w:sz="4" w:space="0"/>
              <w:left w:val="nil"/>
              <w:bottom w:val="single" w:color="auto" w:sz="4" w:space="0"/>
              <w:right w:val="single" w:color="000000" w:sz="4" w:space="0"/>
            </w:tcBorders>
            <w:shd w:val="clear" w:color="auto" w:fill="auto"/>
            <w:noWrap/>
            <w:vAlign w:val="center"/>
          </w:tcPr>
          <w:p w14:paraId="269088FA">
            <w:pPr>
              <w:widowControl/>
              <w:autoSpaceDE w:val="0"/>
              <w:jc w:val="center"/>
              <w:rPr>
                <w:rFonts w:hint="eastAsia" w:ascii="宋体" w:hAnsi="宋体" w:cs="宋体"/>
                <w:b/>
                <w:bCs/>
                <w:color w:val="000000"/>
                <w:sz w:val="24"/>
              </w:rPr>
            </w:pPr>
          </w:p>
        </w:tc>
      </w:tr>
      <w:tr w14:paraId="0816C05F">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DF16">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1</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45178919">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智慧供水一体化管控应用</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209D1AA6">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c>
          <w:tcPr>
            <w:tcW w:w="988" w:type="dxa"/>
            <w:tcBorders>
              <w:top w:val="single" w:color="000000" w:sz="4" w:space="0"/>
              <w:left w:val="nil"/>
              <w:bottom w:val="single" w:color="000000" w:sz="4" w:space="0"/>
              <w:right w:val="single" w:color="000000" w:sz="4" w:space="0"/>
            </w:tcBorders>
            <w:shd w:val="clear" w:color="auto" w:fill="auto"/>
            <w:noWrap/>
            <w:vAlign w:val="center"/>
          </w:tcPr>
          <w:p w14:paraId="5DC67662">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766" w:type="dxa"/>
            <w:tcBorders>
              <w:top w:val="single" w:color="auto" w:sz="4" w:space="0"/>
              <w:left w:val="nil"/>
              <w:bottom w:val="single" w:color="auto" w:sz="4" w:space="0"/>
              <w:right w:val="single" w:color="000000" w:sz="4" w:space="0"/>
            </w:tcBorders>
            <w:shd w:val="clear" w:color="auto" w:fill="auto"/>
            <w:noWrap/>
            <w:vAlign w:val="center"/>
          </w:tcPr>
          <w:p w14:paraId="42CD50F7">
            <w:pPr>
              <w:widowControl/>
              <w:autoSpaceDE w:val="0"/>
              <w:jc w:val="center"/>
              <w:rPr>
                <w:rFonts w:hint="eastAsia" w:ascii="宋体" w:hAnsi="宋体" w:cs="宋体"/>
                <w:color w:val="000000"/>
                <w:sz w:val="24"/>
              </w:rPr>
            </w:pPr>
          </w:p>
        </w:tc>
      </w:tr>
      <w:tr w14:paraId="191A8B3F">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471D">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2</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2878C4E0">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水资源监测预报应用</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34EDDC39">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c>
          <w:tcPr>
            <w:tcW w:w="988" w:type="dxa"/>
            <w:tcBorders>
              <w:top w:val="single" w:color="000000" w:sz="4" w:space="0"/>
              <w:left w:val="nil"/>
              <w:bottom w:val="single" w:color="000000" w:sz="4" w:space="0"/>
              <w:right w:val="single" w:color="000000" w:sz="4" w:space="0"/>
            </w:tcBorders>
            <w:shd w:val="clear" w:color="auto" w:fill="auto"/>
            <w:noWrap/>
            <w:vAlign w:val="center"/>
          </w:tcPr>
          <w:p w14:paraId="3323C621">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766" w:type="dxa"/>
            <w:tcBorders>
              <w:top w:val="single" w:color="auto" w:sz="4" w:space="0"/>
              <w:left w:val="nil"/>
              <w:bottom w:val="single" w:color="000000" w:sz="4" w:space="0"/>
              <w:right w:val="single" w:color="000000" w:sz="4" w:space="0"/>
            </w:tcBorders>
            <w:shd w:val="clear" w:color="auto" w:fill="auto"/>
            <w:noWrap/>
            <w:vAlign w:val="center"/>
          </w:tcPr>
          <w:p w14:paraId="27A5BB9C">
            <w:pPr>
              <w:widowControl/>
              <w:autoSpaceDE w:val="0"/>
              <w:jc w:val="center"/>
              <w:textAlignment w:val="center"/>
              <w:rPr>
                <w:rFonts w:hint="eastAsia" w:ascii="宋体" w:hAnsi="宋体" w:cs="宋体"/>
                <w:color w:val="000000"/>
                <w:sz w:val="24"/>
              </w:rPr>
            </w:pPr>
          </w:p>
        </w:tc>
      </w:tr>
      <w:tr w14:paraId="54730D00">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6DE6">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三</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708B6149">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省级应用贯通</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13DAAEC9">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项</w:t>
            </w:r>
          </w:p>
        </w:tc>
        <w:tc>
          <w:tcPr>
            <w:tcW w:w="988" w:type="dxa"/>
            <w:tcBorders>
              <w:top w:val="single" w:color="000000" w:sz="4" w:space="0"/>
              <w:left w:val="nil"/>
              <w:bottom w:val="single" w:color="000000" w:sz="4" w:space="0"/>
              <w:right w:val="single" w:color="000000" w:sz="4" w:space="0"/>
            </w:tcBorders>
            <w:shd w:val="clear" w:color="auto" w:fill="auto"/>
            <w:noWrap/>
            <w:vAlign w:val="center"/>
          </w:tcPr>
          <w:p w14:paraId="08368EED">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p>
        </w:tc>
        <w:tc>
          <w:tcPr>
            <w:tcW w:w="1766" w:type="dxa"/>
            <w:tcBorders>
              <w:top w:val="single" w:color="000000" w:sz="4" w:space="0"/>
              <w:left w:val="nil"/>
              <w:bottom w:val="single" w:color="000000" w:sz="4" w:space="0"/>
              <w:right w:val="single" w:color="000000" w:sz="4" w:space="0"/>
            </w:tcBorders>
            <w:shd w:val="clear" w:color="auto" w:fill="auto"/>
            <w:noWrap/>
            <w:vAlign w:val="center"/>
          </w:tcPr>
          <w:p w14:paraId="6865C606">
            <w:pPr>
              <w:widowControl/>
              <w:autoSpaceDE w:val="0"/>
              <w:jc w:val="center"/>
              <w:textAlignment w:val="center"/>
              <w:rPr>
                <w:rFonts w:hint="eastAsia" w:ascii="宋体" w:hAnsi="宋体" w:cs="宋体"/>
                <w:b/>
                <w:bCs/>
                <w:color w:val="000000"/>
                <w:sz w:val="24"/>
              </w:rPr>
            </w:pPr>
          </w:p>
        </w:tc>
      </w:tr>
      <w:tr w14:paraId="17EC2E87">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4F60">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1</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7EBB2ED9">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水管理平台信创改造</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6300D9A4">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c>
          <w:tcPr>
            <w:tcW w:w="988" w:type="dxa"/>
            <w:tcBorders>
              <w:top w:val="single" w:color="000000" w:sz="4" w:space="0"/>
              <w:left w:val="nil"/>
              <w:bottom w:val="single" w:color="000000" w:sz="4" w:space="0"/>
              <w:right w:val="single" w:color="000000" w:sz="4" w:space="0"/>
            </w:tcBorders>
            <w:shd w:val="clear" w:color="auto" w:fill="auto"/>
            <w:noWrap/>
            <w:vAlign w:val="center"/>
          </w:tcPr>
          <w:p w14:paraId="1569E999">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766" w:type="dxa"/>
            <w:tcBorders>
              <w:top w:val="single" w:color="000000" w:sz="4" w:space="0"/>
              <w:left w:val="nil"/>
              <w:bottom w:val="single" w:color="000000" w:sz="4" w:space="0"/>
              <w:right w:val="single" w:color="000000" w:sz="4" w:space="0"/>
            </w:tcBorders>
            <w:shd w:val="clear" w:color="auto" w:fill="auto"/>
            <w:noWrap/>
            <w:vAlign w:val="center"/>
          </w:tcPr>
          <w:p w14:paraId="10607F11">
            <w:pPr>
              <w:widowControl/>
              <w:autoSpaceDE w:val="0"/>
              <w:jc w:val="center"/>
              <w:textAlignment w:val="center"/>
              <w:rPr>
                <w:rFonts w:hint="eastAsia" w:ascii="宋体" w:hAnsi="宋体" w:cs="宋体"/>
                <w:color w:val="000000"/>
                <w:sz w:val="24"/>
              </w:rPr>
            </w:pPr>
          </w:p>
        </w:tc>
      </w:tr>
      <w:tr w14:paraId="42E379A3">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62C1">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2</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5125948A">
            <w:pPr>
              <w:widowControl/>
              <w:autoSpaceDE w:val="0"/>
              <w:jc w:val="center"/>
              <w:textAlignment w:val="center"/>
              <w:rPr>
                <w:rFonts w:hint="eastAsia" w:ascii="宋体" w:hAnsi="宋体" w:cs="宋体"/>
                <w:color w:val="000000"/>
                <w:kern w:val="0"/>
                <w:sz w:val="24"/>
              </w:rPr>
            </w:pPr>
            <w:r>
              <w:rPr>
                <w:rFonts w:hint="eastAsia" w:ascii="宋体" w:hAnsi="宋体" w:cs="宋体"/>
                <w:color w:val="000000"/>
                <w:kern w:val="0"/>
                <w:sz w:val="24"/>
                <w:lang w:bidi="ar"/>
              </w:rPr>
              <w:t>农饮水业务联动</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017F9779">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c>
          <w:tcPr>
            <w:tcW w:w="988" w:type="dxa"/>
            <w:tcBorders>
              <w:top w:val="single" w:color="000000" w:sz="4" w:space="0"/>
              <w:left w:val="nil"/>
              <w:bottom w:val="single" w:color="000000" w:sz="4" w:space="0"/>
              <w:right w:val="single" w:color="000000" w:sz="4" w:space="0"/>
            </w:tcBorders>
            <w:shd w:val="clear" w:color="auto" w:fill="auto"/>
            <w:noWrap/>
            <w:vAlign w:val="center"/>
          </w:tcPr>
          <w:p w14:paraId="678B1DA7">
            <w:pPr>
              <w:widowControl/>
              <w:autoSpaceDE w:val="0"/>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766" w:type="dxa"/>
            <w:tcBorders>
              <w:top w:val="single" w:color="000000" w:sz="4" w:space="0"/>
              <w:left w:val="nil"/>
              <w:bottom w:val="single" w:color="000000" w:sz="4" w:space="0"/>
              <w:right w:val="single" w:color="000000" w:sz="4" w:space="0"/>
            </w:tcBorders>
            <w:shd w:val="clear" w:color="auto" w:fill="auto"/>
            <w:noWrap/>
            <w:vAlign w:val="center"/>
          </w:tcPr>
          <w:p w14:paraId="0FFE7C52">
            <w:pPr>
              <w:widowControl/>
              <w:autoSpaceDE w:val="0"/>
              <w:jc w:val="center"/>
              <w:textAlignment w:val="center"/>
              <w:rPr>
                <w:rFonts w:hint="eastAsia" w:ascii="宋体" w:hAnsi="宋体" w:cs="宋体"/>
                <w:color w:val="000000"/>
                <w:sz w:val="24"/>
              </w:rPr>
            </w:pPr>
          </w:p>
        </w:tc>
      </w:tr>
      <w:tr w14:paraId="1CFC3162">
        <w:tblPrEx>
          <w:tblCellMar>
            <w:top w:w="0" w:type="dxa"/>
            <w:left w:w="108" w:type="dxa"/>
            <w:bottom w:w="0" w:type="dxa"/>
            <w:right w:w="108" w:type="dxa"/>
          </w:tblCellMar>
        </w:tblPrEx>
        <w:trPr>
          <w:trHeight w:val="397"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F924">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四</w:t>
            </w:r>
          </w:p>
        </w:tc>
        <w:tc>
          <w:tcPr>
            <w:tcW w:w="3361" w:type="dxa"/>
            <w:tcBorders>
              <w:top w:val="single" w:color="000000" w:sz="4" w:space="0"/>
              <w:left w:val="nil"/>
              <w:bottom w:val="single" w:color="000000" w:sz="4" w:space="0"/>
              <w:right w:val="single" w:color="000000" w:sz="4" w:space="0"/>
            </w:tcBorders>
            <w:shd w:val="clear" w:color="auto" w:fill="auto"/>
            <w:noWrap/>
            <w:vAlign w:val="center"/>
          </w:tcPr>
          <w:p w14:paraId="6D923A77">
            <w:pPr>
              <w:widowControl/>
              <w:autoSpaceDE w:val="0"/>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lang w:bidi="ar"/>
              </w:rPr>
              <w:t>运维费用</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14:paraId="38F5BD81">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w:t>
            </w:r>
          </w:p>
        </w:tc>
        <w:tc>
          <w:tcPr>
            <w:tcW w:w="988" w:type="dxa"/>
            <w:tcBorders>
              <w:top w:val="single" w:color="000000" w:sz="4" w:space="0"/>
              <w:left w:val="nil"/>
              <w:bottom w:val="single" w:color="000000" w:sz="4" w:space="0"/>
              <w:right w:val="single" w:color="000000" w:sz="4" w:space="0"/>
            </w:tcBorders>
            <w:shd w:val="clear" w:color="auto" w:fill="auto"/>
            <w:noWrap/>
            <w:vAlign w:val="center"/>
          </w:tcPr>
          <w:p w14:paraId="67AFEE35">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3</w:t>
            </w:r>
          </w:p>
        </w:tc>
        <w:tc>
          <w:tcPr>
            <w:tcW w:w="1766" w:type="dxa"/>
            <w:tcBorders>
              <w:top w:val="single" w:color="000000" w:sz="4" w:space="0"/>
              <w:left w:val="nil"/>
              <w:bottom w:val="single" w:color="000000" w:sz="4" w:space="0"/>
              <w:right w:val="single" w:color="000000" w:sz="4" w:space="0"/>
            </w:tcBorders>
            <w:shd w:val="clear" w:color="auto" w:fill="auto"/>
            <w:noWrap/>
            <w:vAlign w:val="center"/>
          </w:tcPr>
          <w:p w14:paraId="4796013E">
            <w:pPr>
              <w:widowControl/>
              <w:autoSpaceDE w:val="0"/>
              <w:jc w:val="center"/>
              <w:textAlignment w:val="center"/>
              <w:rPr>
                <w:rFonts w:hint="eastAsia" w:ascii="宋体" w:hAnsi="宋体" w:cs="宋体"/>
                <w:b/>
                <w:bCs/>
                <w:color w:val="000000"/>
                <w:sz w:val="24"/>
              </w:rPr>
            </w:pPr>
          </w:p>
        </w:tc>
      </w:tr>
      <w:tr w14:paraId="7C9C874E">
        <w:tblPrEx>
          <w:tblCellMar>
            <w:top w:w="0" w:type="dxa"/>
            <w:left w:w="108" w:type="dxa"/>
            <w:bottom w:w="0" w:type="dxa"/>
            <w:right w:w="108" w:type="dxa"/>
          </w:tblCellMar>
        </w:tblPrEx>
        <w:trPr>
          <w:trHeight w:val="397" w:hRule="atLeast"/>
          <w:jc w:val="center"/>
        </w:trPr>
        <w:tc>
          <w:tcPr>
            <w:tcW w:w="71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151B">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合计</w:t>
            </w:r>
          </w:p>
        </w:tc>
        <w:tc>
          <w:tcPr>
            <w:tcW w:w="1766" w:type="dxa"/>
            <w:tcBorders>
              <w:top w:val="single" w:color="000000" w:sz="4" w:space="0"/>
              <w:left w:val="nil"/>
              <w:bottom w:val="single" w:color="000000" w:sz="4" w:space="0"/>
              <w:right w:val="single" w:color="000000" w:sz="4" w:space="0"/>
            </w:tcBorders>
            <w:shd w:val="clear" w:color="auto" w:fill="auto"/>
            <w:noWrap/>
            <w:vAlign w:val="center"/>
          </w:tcPr>
          <w:p w14:paraId="24369951">
            <w:pPr>
              <w:widowControl/>
              <w:autoSpaceDE w:val="0"/>
              <w:jc w:val="center"/>
              <w:textAlignment w:val="center"/>
              <w:rPr>
                <w:rFonts w:hint="eastAsia" w:ascii="宋体" w:hAnsi="宋体" w:cs="宋体"/>
                <w:b/>
                <w:bCs/>
                <w:color w:val="000000"/>
                <w:sz w:val="24"/>
              </w:rPr>
            </w:pPr>
          </w:p>
        </w:tc>
      </w:tr>
    </w:tbl>
    <w:p w14:paraId="5541E02D">
      <w:pPr>
        <w:pStyle w:val="14"/>
        <w:spacing w:line="360" w:lineRule="auto"/>
        <w:ind w:firstLine="0"/>
        <w:rPr>
          <w:sz w:val="21"/>
          <w:szCs w:val="21"/>
        </w:rPr>
      </w:pPr>
    </w:p>
    <w:p w14:paraId="141B3E29">
      <w:pPr>
        <w:pStyle w:val="14"/>
        <w:spacing w:line="360" w:lineRule="auto"/>
        <w:ind w:firstLine="0"/>
        <w:rPr>
          <w:sz w:val="21"/>
          <w:szCs w:val="21"/>
        </w:rPr>
      </w:pPr>
      <w:r>
        <w:rPr>
          <w:rFonts w:hint="eastAsia"/>
          <w:sz w:val="21"/>
          <w:szCs w:val="21"/>
        </w:rPr>
        <w:t>投 标 人  （盖章）：</w:t>
      </w:r>
    </w:p>
    <w:p w14:paraId="5658B196">
      <w:pPr>
        <w:pStyle w:val="14"/>
        <w:spacing w:line="360" w:lineRule="auto"/>
        <w:ind w:firstLine="0"/>
        <w:rPr>
          <w:sz w:val="21"/>
          <w:szCs w:val="21"/>
        </w:rPr>
      </w:pPr>
      <w:r>
        <w:rPr>
          <w:rFonts w:hint="eastAsia"/>
          <w:sz w:val="21"/>
          <w:szCs w:val="21"/>
        </w:rPr>
        <w:t>法定代表人或授权代表人（签字）：</w:t>
      </w:r>
    </w:p>
    <w:p w14:paraId="35CA76FE">
      <w:pPr>
        <w:pStyle w:val="14"/>
        <w:spacing w:line="360" w:lineRule="auto"/>
        <w:ind w:firstLine="0"/>
        <w:rPr>
          <w:sz w:val="21"/>
          <w:szCs w:val="21"/>
        </w:rPr>
      </w:pPr>
      <w:r>
        <w:rPr>
          <w:rFonts w:hint="eastAsia"/>
          <w:sz w:val="21"/>
          <w:szCs w:val="21"/>
        </w:rPr>
        <w:t>日             期：</w:t>
      </w:r>
    </w:p>
    <w:p w14:paraId="1F30898E">
      <w:pPr>
        <w:widowControl/>
        <w:spacing w:line="360" w:lineRule="auto"/>
        <w:jc w:val="left"/>
        <w:rPr>
          <w:rFonts w:ascii="宋体"/>
          <w:szCs w:val="21"/>
        </w:rPr>
        <w:sectPr>
          <w:footerReference r:id="rId14" w:type="default"/>
          <w:pgSz w:w="11906" w:h="16838"/>
          <w:pgMar w:top="1440" w:right="1361" w:bottom="1304" w:left="1361" w:header="720" w:footer="720" w:gutter="0"/>
          <w:pgNumType w:fmt="decimal"/>
          <w:cols w:space="720" w:num="1"/>
        </w:sectPr>
      </w:pPr>
    </w:p>
    <w:p w14:paraId="5C6E528D">
      <w:pPr>
        <w:spacing w:line="360" w:lineRule="auto"/>
        <w:rPr>
          <w:rFonts w:hint="eastAsia" w:hAnsi="宋体" w:cs="宋体"/>
          <w:szCs w:val="21"/>
        </w:rPr>
      </w:pPr>
      <w:r>
        <w:rPr>
          <w:rFonts w:hint="eastAsia" w:hAnsi="宋体"/>
          <w:color w:val="000000"/>
          <w:szCs w:val="21"/>
        </w:rPr>
        <w:t>格式二：</w:t>
      </w:r>
      <w:r>
        <w:rPr>
          <w:rFonts w:hint="eastAsia" w:ascii="宋体" w:hAnsi="宋体" w:cs="宋体"/>
          <w:szCs w:val="21"/>
        </w:rPr>
        <w:t>投标分项报价表</w:t>
      </w:r>
    </w:p>
    <w:p w14:paraId="757DFF48">
      <w:pPr>
        <w:pStyle w:val="16"/>
        <w:snapToGrid w:val="0"/>
        <w:spacing w:before="120" w:after="120" w:line="360" w:lineRule="auto"/>
        <w:jc w:val="center"/>
        <w:rPr>
          <w:rFonts w:hint="eastAsia" w:hAnsi="宋体" w:cs="宋体"/>
          <w:b/>
          <w:sz w:val="32"/>
          <w:szCs w:val="32"/>
        </w:rPr>
      </w:pPr>
      <w:r>
        <w:rPr>
          <w:rFonts w:hAnsi="宋体" w:cs="宋体"/>
          <w:b/>
          <w:sz w:val="32"/>
          <w:szCs w:val="32"/>
        </w:rPr>
        <w:t xml:space="preserve">  </w:t>
      </w:r>
      <w:r>
        <w:rPr>
          <w:rFonts w:hint="eastAsia" w:hAnsi="宋体" w:cs="宋体"/>
          <w:b/>
          <w:sz w:val="32"/>
          <w:szCs w:val="32"/>
        </w:rPr>
        <w:t>投标分项报价表（一）</w:t>
      </w:r>
    </w:p>
    <w:p w14:paraId="521A418B">
      <w:pPr>
        <w:pStyle w:val="16"/>
        <w:snapToGrid w:val="0"/>
        <w:spacing w:before="120" w:after="120" w:line="360" w:lineRule="auto"/>
        <w:jc w:val="center"/>
        <w:rPr>
          <w:rFonts w:hint="eastAsia" w:hAnsi="宋体" w:cs="宋体"/>
          <w:b/>
          <w:sz w:val="32"/>
          <w:szCs w:val="32"/>
        </w:rPr>
      </w:pPr>
      <w:r>
        <w:rPr>
          <w:rFonts w:hint="eastAsia" w:hAnsi="宋体" w:cs="宋体"/>
          <w:b/>
          <w:sz w:val="32"/>
          <w:szCs w:val="32"/>
        </w:rPr>
        <w:t>农村供水硬件基础设施报价表</w:t>
      </w:r>
    </w:p>
    <w:p w14:paraId="054A44BF">
      <w:pPr>
        <w:pStyle w:val="16"/>
        <w:snapToGrid w:val="0"/>
        <w:spacing w:before="120" w:after="120" w:line="360" w:lineRule="auto"/>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3"/>
        <w:tblW w:w="13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399"/>
        <w:gridCol w:w="5291"/>
        <w:gridCol w:w="1260"/>
        <w:gridCol w:w="1290"/>
        <w:gridCol w:w="1365"/>
        <w:gridCol w:w="1205"/>
      </w:tblGrid>
      <w:tr w14:paraId="1F1B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03" w:type="dxa"/>
            <w:shd w:val="clear" w:color="auto" w:fill="auto"/>
            <w:vAlign w:val="center"/>
          </w:tcPr>
          <w:p w14:paraId="767D9F0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399" w:type="dxa"/>
            <w:shd w:val="clear" w:color="auto" w:fill="auto"/>
            <w:vAlign w:val="center"/>
          </w:tcPr>
          <w:p w14:paraId="72222B3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项目名称</w:t>
            </w:r>
          </w:p>
        </w:tc>
        <w:tc>
          <w:tcPr>
            <w:tcW w:w="5291" w:type="dxa"/>
            <w:shd w:val="clear" w:color="auto" w:fill="auto"/>
            <w:vAlign w:val="center"/>
          </w:tcPr>
          <w:p w14:paraId="5E0FF41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规格参数</w:t>
            </w:r>
          </w:p>
        </w:tc>
        <w:tc>
          <w:tcPr>
            <w:tcW w:w="1260" w:type="dxa"/>
            <w:shd w:val="clear" w:color="auto" w:fill="auto"/>
            <w:vAlign w:val="center"/>
          </w:tcPr>
          <w:p w14:paraId="4D47595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1290" w:type="dxa"/>
            <w:shd w:val="clear" w:color="auto" w:fill="auto"/>
            <w:vAlign w:val="center"/>
          </w:tcPr>
          <w:p w14:paraId="50C50F6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365" w:type="dxa"/>
            <w:shd w:val="clear" w:color="auto" w:fill="auto"/>
            <w:vAlign w:val="center"/>
          </w:tcPr>
          <w:p w14:paraId="7B7E136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单价（元）</w:t>
            </w:r>
          </w:p>
        </w:tc>
        <w:tc>
          <w:tcPr>
            <w:tcW w:w="1205" w:type="dxa"/>
            <w:shd w:val="clear" w:color="auto" w:fill="auto"/>
            <w:vAlign w:val="center"/>
          </w:tcPr>
          <w:p w14:paraId="05F5548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合价（元）</w:t>
            </w:r>
          </w:p>
        </w:tc>
      </w:tr>
      <w:tr w14:paraId="56C1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D8AAE4F">
            <w:pPr>
              <w:widowControl/>
              <w:jc w:val="center"/>
              <w:textAlignment w:val="center"/>
              <w:rPr>
                <w:rFonts w:hint="eastAsia" w:ascii="宋体" w:hAnsi="宋体" w:cs="宋体"/>
                <w:color w:val="000000"/>
                <w:szCs w:val="21"/>
              </w:rPr>
            </w:pPr>
          </w:p>
        </w:tc>
        <w:tc>
          <w:tcPr>
            <w:tcW w:w="2399" w:type="dxa"/>
            <w:shd w:val="clear" w:color="auto" w:fill="auto"/>
            <w:vAlign w:val="center"/>
          </w:tcPr>
          <w:p w14:paraId="4072D06E">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3D6D347B">
            <w:pPr>
              <w:widowControl/>
              <w:jc w:val="left"/>
              <w:rPr>
                <w:rFonts w:hint="eastAsia" w:ascii="宋体" w:hAnsi="宋体" w:cs="宋体"/>
                <w:color w:val="000000"/>
                <w:szCs w:val="21"/>
              </w:rPr>
            </w:pPr>
          </w:p>
        </w:tc>
        <w:tc>
          <w:tcPr>
            <w:tcW w:w="1260" w:type="dxa"/>
            <w:shd w:val="clear" w:color="auto" w:fill="auto"/>
            <w:vAlign w:val="center"/>
          </w:tcPr>
          <w:p w14:paraId="1ABF129F">
            <w:pPr>
              <w:widowControl/>
              <w:jc w:val="center"/>
              <w:rPr>
                <w:rFonts w:hint="eastAsia" w:ascii="宋体" w:hAnsi="宋体" w:cs="宋体"/>
                <w:color w:val="000000"/>
                <w:szCs w:val="21"/>
              </w:rPr>
            </w:pPr>
          </w:p>
        </w:tc>
        <w:tc>
          <w:tcPr>
            <w:tcW w:w="1290" w:type="dxa"/>
            <w:shd w:val="clear" w:color="auto" w:fill="auto"/>
            <w:vAlign w:val="center"/>
          </w:tcPr>
          <w:p w14:paraId="4E36BA88">
            <w:pPr>
              <w:widowControl/>
              <w:jc w:val="center"/>
              <w:rPr>
                <w:rFonts w:hint="eastAsia" w:ascii="宋体" w:hAnsi="宋体" w:cs="宋体"/>
                <w:color w:val="000000"/>
                <w:szCs w:val="21"/>
              </w:rPr>
            </w:pPr>
          </w:p>
        </w:tc>
        <w:tc>
          <w:tcPr>
            <w:tcW w:w="1365" w:type="dxa"/>
            <w:shd w:val="clear" w:color="auto" w:fill="auto"/>
            <w:vAlign w:val="center"/>
          </w:tcPr>
          <w:p w14:paraId="7D4A1FC6">
            <w:pPr>
              <w:widowControl/>
              <w:jc w:val="center"/>
              <w:rPr>
                <w:rFonts w:hint="eastAsia" w:ascii="宋体" w:hAnsi="宋体" w:cs="宋体"/>
                <w:color w:val="000000"/>
                <w:szCs w:val="21"/>
              </w:rPr>
            </w:pPr>
          </w:p>
        </w:tc>
        <w:tc>
          <w:tcPr>
            <w:tcW w:w="1205" w:type="dxa"/>
            <w:shd w:val="clear" w:color="auto" w:fill="auto"/>
            <w:vAlign w:val="center"/>
          </w:tcPr>
          <w:p w14:paraId="3CA4A787">
            <w:pPr>
              <w:widowControl/>
              <w:jc w:val="center"/>
              <w:textAlignment w:val="center"/>
              <w:rPr>
                <w:rFonts w:hint="eastAsia" w:ascii="宋体" w:hAnsi="宋体" w:cs="宋体"/>
                <w:b/>
                <w:bCs/>
                <w:color w:val="000000"/>
                <w:szCs w:val="21"/>
              </w:rPr>
            </w:pPr>
          </w:p>
        </w:tc>
      </w:tr>
      <w:tr w14:paraId="3D63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6FB8515D">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351ACB14">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4CB84118">
            <w:pPr>
              <w:widowControl/>
              <w:jc w:val="left"/>
              <w:rPr>
                <w:rFonts w:hint="eastAsia" w:ascii="宋体" w:hAnsi="宋体" w:cs="宋体"/>
                <w:color w:val="000000"/>
                <w:szCs w:val="21"/>
              </w:rPr>
            </w:pPr>
          </w:p>
        </w:tc>
        <w:tc>
          <w:tcPr>
            <w:tcW w:w="1260" w:type="dxa"/>
            <w:shd w:val="clear" w:color="auto" w:fill="auto"/>
            <w:vAlign w:val="center"/>
          </w:tcPr>
          <w:p w14:paraId="5E248710">
            <w:pPr>
              <w:widowControl/>
              <w:jc w:val="center"/>
              <w:rPr>
                <w:rFonts w:hint="eastAsia" w:ascii="宋体" w:hAnsi="宋体" w:cs="宋体"/>
                <w:color w:val="000000"/>
                <w:szCs w:val="21"/>
              </w:rPr>
            </w:pPr>
          </w:p>
        </w:tc>
        <w:tc>
          <w:tcPr>
            <w:tcW w:w="1290" w:type="dxa"/>
            <w:shd w:val="clear" w:color="auto" w:fill="auto"/>
            <w:vAlign w:val="center"/>
          </w:tcPr>
          <w:p w14:paraId="0B6132B2">
            <w:pPr>
              <w:widowControl/>
              <w:jc w:val="center"/>
              <w:rPr>
                <w:rFonts w:hint="eastAsia" w:ascii="宋体" w:hAnsi="宋体" w:cs="宋体"/>
                <w:color w:val="000000"/>
                <w:szCs w:val="21"/>
              </w:rPr>
            </w:pPr>
          </w:p>
        </w:tc>
        <w:tc>
          <w:tcPr>
            <w:tcW w:w="1365" w:type="dxa"/>
            <w:shd w:val="clear" w:color="auto" w:fill="auto"/>
            <w:vAlign w:val="center"/>
          </w:tcPr>
          <w:p w14:paraId="166AFA0F">
            <w:pPr>
              <w:widowControl/>
              <w:jc w:val="center"/>
              <w:rPr>
                <w:rFonts w:hint="eastAsia" w:ascii="宋体" w:hAnsi="宋体" w:cs="宋体"/>
                <w:color w:val="000000"/>
                <w:szCs w:val="21"/>
              </w:rPr>
            </w:pPr>
          </w:p>
        </w:tc>
        <w:tc>
          <w:tcPr>
            <w:tcW w:w="1205" w:type="dxa"/>
            <w:shd w:val="clear" w:color="auto" w:fill="auto"/>
            <w:vAlign w:val="center"/>
          </w:tcPr>
          <w:p w14:paraId="20B8E165">
            <w:pPr>
              <w:widowControl/>
              <w:jc w:val="center"/>
              <w:textAlignment w:val="center"/>
              <w:rPr>
                <w:rFonts w:hint="eastAsia" w:ascii="宋体" w:hAnsi="宋体" w:cs="宋体"/>
                <w:b/>
                <w:bCs/>
                <w:color w:val="000000"/>
                <w:szCs w:val="21"/>
              </w:rPr>
            </w:pPr>
          </w:p>
        </w:tc>
      </w:tr>
      <w:tr w14:paraId="03B4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7856F3BA">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3CA0AE3B">
            <w:pPr>
              <w:widowControl/>
              <w:jc w:val="center"/>
              <w:textAlignment w:val="center"/>
              <w:rPr>
                <w:rFonts w:hint="eastAsia" w:ascii="宋体" w:hAnsi="宋体" w:cs="宋体"/>
                <w:color w:val="000000"/>
                <w:szCs w:val="21"/>
              </w:rPr>
            </w:pPr>
          </w:p>
        </w:tc>
        <w:tc>
          <w:tcPr>
            <w:tcW w:w="5291" w:type="dxa"/>
            <w:shd w:val="clear" w:color="auto" w:fill="auto"/>
            <w:vAlign w:val="center"/>
          </w:tcPr>
          <w:p w14:paraId="3AA07B4B">
            <w:pPr>
              <w:widowControl/>
              <w:jc w:val="left"/>
              <w:textAlignment w:val="center"/>
              <w:rPr>
                <w:rFonts w:hint="eastAsia" w:ascii="宋体" w:hAnsi="宋体" w:cs="宋体"/>
                <w:color w:val="000000"/>
                <w:szCs w:val="21"/>
              </w:rPr>
            </w:pPr>
          </w:p>
        </w:tc>
        <w:tc>
          <w:tcPr>
            <w:tcW w:w="1260" w:type="dxa"/>
            <w:shd w:val="clear" w:color="auto" w:fill="auto"/>
            <w:vAlign w:val="center"/>
          </w:tcPr>
          <w:p w14:paraId="021A8210">
            <w:pPr>
              <w:widowControl/>
              <w:jc w:val="center"/>
              <w:textAlignment w:val="center"/>
              <w:rPr>
                <w:rFonts w:hint="eastAsia" w:ascii="宋体" w:hAnsi="宋体" w:cs="宋体"/>
                <w:color w:val="000000"/>
                <w:szCs w:val="21"/>
              </w:rPr>
            </w:pPr>
          </w:p>
        </w:tc>
        <w:tc>
          <w:tcPr>
            <w:tcW w:w="1290" w:type="dxa"/>
            <w:shd w:val="clear" w:color="auto" w:fill="auto"/>
            <w:vAlign w:val="center"/>
          </w:tcPr>
          <w:p w14:paraId="1EAD5E50">
            <w:pPr>
              <w:widowControl/>
              <w:jc w:val="center"/>
              <w:textAlignment w:val="center"/>
              <w:rPr>
                <w:rFonts w:hint="eastAsia" w:ascii="宋体" w:hAnsi="宋体" w:cs="宋体"/>
                <w:color w:val="000000"/>
                <w:szCs w:val="21"/>
              </w:rPr>
            </w:pPr>
          </w:p>
        </w:tc>
        <w:tc>
          <w:tcPr>
            <w:tcW w:w="1365" w:type="dxa"/>
            <w:shd w:val="clear" w:color="auto" w:fill="auto"/>
            <w:vAlign w:val="center"/>
          </w:tcPr>
          <w:p w14:paraId="1F4DFD73">
            <w:pPr>
              <w:widowControl/>
              <w:jc w:val="center"/>
              <w:textAlignment w:val="center"/>
              <w:rPr>
                <w:rFonts w:hint="eastAsia" w:ascii="宋体" w:hAnsi="宋体" w:cs="宋体"/>
                <w:color w:val="000000"/>
                <w:szCs w:val="21"/>
              </w:rPr>
            </w:pPr>
          </w:p>
        </w:tc>
        <w:tc>
          <w:tcPr>
            <w:tcW w:w="1205" w:type="dxa"/>
            <w:shd w:val="clear" w:color="auto" w:fill="auto"/>
            <w:vAlign w:val="center"/>
          </w:tcPr>
          <w:p w14:paraId="000FC23C">
            <w:pPr>
              <w:widowControl/>
              <w:jc w:val="center"/>
              <w:textAlignment w:val="center"/>
              <w:rPr>
                <w:rFonts w:hint="eastAsia" w:ascii="宋体" w:hAnsi="宋体" w:cs="宋体"/>
                <w:color w:val="000000"/>
                <w:szCs w:val="21"/>
              </w:rPr>
            </w:pPr>
          </w:p>
        </w:tc>
      </w:tr>
      <w:tr w14:paraId="54AC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34DC158D">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35765E0D">
            <w:pPr>
              <w:widowControl/>
              <w:jc w:val="center"/>
              <w:textAlignment w:val="center"/>
              <w:rPr>
                <w:rFonts w:hint="eastAsia" w:ascii="宋体" w:hAnsi="宋体" w:cs="宋体"/>
                <w:color w:val="000000"/>
                <w:szCs w:val="21"/>
              </w:rPr>
            </w:pPr>
          </w:p>
        </w:tc>
        <w:tc>
          <w:tcPr>
            <w:tcW w:w="5291" w:type="dxa"/>
            <w:shd w:val="clear" w:color="auto" w:fill="auto"/>
            <w:vAlign w:val="center"/>
          </w:tcPr>
          <w:p w14:paraId="4105EEB8">
            <w:pPr>
              <w:widowControl/>
              <w:jc w:val="left"/>
              <w:textAlignment w:val="center"/>
              <w:rPr>
                <w:rFonts w:hint="eastAsia" w:ascii="宋体" w:hAnsi="宋体" w:cs="宋体"/>
                <w:color w:val="000000"/>
                <w:szCs w:val="21"/>
              </w:rPr>
            </w:pPr>
          </w:p>
        </w:tc>
        <w:tc>
          <w:tcPr>
            <w:tcW w:w="1260" w:type="dxa"/>
            <w:shd w:val="clear" w:color="auto" w:fill="auto"/>
            <w:vAlign w:val="center"/>
          </w:tcPr>
          <w:p w14:paraId="09C98A7E">
            <w:pPr>
              <w:widowControl/>
              <w:jc w:val="center"/>
              <w:textAlignment w:val="center"/>
              <w:rPr>
                <w:rFonts w:hint="eastAsia" w:ascii="宋体" w:hAnsi="宋体" w:cs="宋体"/>
                <w:color w:val="000000"/>
                <w:szCs w:val="21"/>
              </w:rPr>
            </w:pPr>
          </w:p>
        </w:tc>
        <w:tc>
          <w:tcPr>
            <w:tcW w:w="1290" w:type="dxa"/>
            <w:shd w:val="clear" w:color="auto" w:fill="auto"/>
            <w:vAlign w:val="center"/>
          </w:tcPr>
          <w:p w14:paraId="219AA8E2">
            <w:pPr>
              <w:widowControl/>
              <w:jc w:val="center"/>
              <w:textAlignment w:val="center"/>
              <w:rPr>
                <w:rFonts w:hint="eastAsia" w:ascii="宋体" w:hAnsi="宋体" w:cs="宋体"/>
                <w:color w:val="000000"/>
                <w:szCs w:val="21"/>
              </w:rPr>
            </w:pPr>
          </w:p>
        </w:tc>
        <w:tc>
          <w:tcPr>
            <w:tcW w:w="1365" w:type="dxa"/>
            <w:shd w:val="clear" w:color="auto" w:fill="auto"/>
            <w:vAlign w:val="center"/>
          </w:tcPr>
          <w:p w14:paraId="7E854F0F">
            <w:pPr>
              <w:widowControl/>
              <w:jc w:val="center"/>
              <w:textAlignment w:val="center"/>
              <w:rPr>
                <w:rFonts w:hint="eastAsia" w:ascii="宋体" w:hAnsi="宋体" w:cs="宋体"/>
                <w:color w:val="000000"/>
                <w:szCs w:val="21"/>
              </w:rPr>
            </w:pPr>
          </w:p>
        </w:tc>
        <w:tc>
          <w:tcPr>
            <w:tcW w:w="1205" w:type="dxa"/>
            <w:shd w:val="clear" w:color="auto" w:fill="auto"/>
            <w:vAlign w:val="center"/>
          </w:tcPr>
          <w:p w14:paraId="10B3CC9F">
            <w:pPr>
              <w:widowControl/>
              <w:jc w:val="center"/>
              <w:textAlignment w:val="center"/>
              <w:rPr>
                <w:rFonts w:hint="eastAsia" w:ascii="宋体" w:hAnsi="宋体" w:cs="宋体"/>
                <w:color w:val="000000"/>
                <w:szCs w:val="21"/>
              </w:rPr>
            </w:pPr>
          </w:p>
        </w:tc>
      </w:tr>
      <w:tr w14:paraId="4958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2A32D639">
            <w:pPr>
              <w:widowControl/>
              <w:jc w:val="center"/>
              <w:textAlignment w:val="center"/>
              <w:rPr>
                <w:rFonts w:hint="eastAsia" w:ascii="宋体" w:hAnsi="宋体" w:cs="宋体"/>
                <w:color w:val="000000"/>
                <w:szCs w:val="21"/>
              </w:rPr>
            </w:pPr>
          </w:p>
        </w:tc>
        <w:tc>
          <w:tcPr>
            <w:tcW w:w="2399" w:type="dxa"/>
            <w:shd w:val="clear" w:color="auto" w:fill="auto"/>
            <w:vAlign w:val="center"/>
          </w:tcPr>
          <w:p w14:paraId="72F68873">
            <w:pPr>
              <w:widowControl/>
              <w:jc w:val="center"/>
              <w:textAlignment w:val="center"/>
              <w:rPr>
                <w:rFonts w:hint="eastAsia" w:ascii="宋体" w:hAnsi="宋体" w:cs="宋体"/>
                <w:color w:val="000000"/>
                <w:szCs w:val="21"/>
              </w:rPr>
            </w:pPr>
          </w:p>
        </w:tc>
        <w:tc>
          <w:tcPr>
            <w:tcW w:w="5291" w:type="dxa"/>
            <w:shd w:val="clear" w:color="auto" w:fill="auto"/>
            <w:vAlign w:val="center"/>
          </w:tcPr>
          <w:p w14:paraId="5B02918C">
            <w:pPr>
              <w:widowControl/>
              <w:jc w:val="left"/>
              <w:textAlignment w:val="center"/>
              <w:rPr>
                <w:rFonts w:hint="eastAsia" w:ascii="宋体" w:hAnsi="宋体" w:cs="宋体"/>
                <w:color w:val="000000"/>
                <w:szCs w:val="21"/>
              </w:rPr>
            </w:pPr>
          </w:p>
        </w:tc>
        <w:tc>
          <w:tcPr>
            <w:tcW w:w="1260" w:type="dxa"/>
            <w:shd w:val="clear" w:color="auto" w:fill="auto"/>
            <w:vAlign w:val="center"/>
          </w:tcPr>
          <w:p w14:paraId="0BC05079">
            <w:pPr>
              <w:widowControl/>
              <w:jc w:val="center"/>
              <w:textAlignment w:val="center"/>
              <w:rPr>
                <w:rFonts w:hint="eastAsia" w:ascii="宋体" w:hAnsi="宋体" w:cs="宋体"/>
                <w:color w:val="000000"/>
                <w:szCs w:val="21"/>
              </w:rPr>
            </w:pPr>
          </w:p>
        </w:tc>
        <w:tc>
          <w:tcPr>
            <w:tcW w:w="1290" w:type="dxa"/>
            <w:shd w:val="clear" w:color="auto" w:fill="auto"/>
            <w:vAlign w:val="center"/>
          </w:tcPr>
          <w:p w14:paraId="489DE429">
            <w:pPr>
              <w:widowControl/>
              <w:jc w:val="center"/>
              <w:textAlignment w:val="center"/>
              <w:rPr>
                <w:rFonts w:hint="eastAsia" w:ascii="宋体" w:hAnsi="宋体" w:cs="宋体"/>
                <w:color w:val="000000"/>
                <w:szCs w:val="21"/>
              </w:rPr>
            </w:pPr>
          </w:p>
        </w:tc>
        <w:tc>
          <w:tcPr>
            <w:tcW w:w="1365" w:type="dxa"/>
            <w:shd w:val="clear" w:color="auto" w:fill="auto"/>
            <w:vAlign w:val="center"/>
          </w:tcPr>
          <w:p w14:paraId="6ABA3BB5">
            <w:pPr>
              <w:widowControl/>
              <w:jc w:val="center"/>
              <w:textAlignment w:val="center"/>
              <w:rPr>
                <w:rFonts w:hint="eastAsia" w:ascii="宋体" w:hAnsi="宋体" w:cs="宋体"/>
                <w:color w:val="000000"/>
                <w:szCs w:val="21"/>
              </w:rPr>
            </w:pPr>
          </w:p>
        </w:tc>
        <w:tc>
          <w:tcPr>
            <w:tcW w:w="1205" w:type="dxa"/>
            <w:shd w:val="clear" w:color="auto" w:fill="auto"/>
            <w:vAlign w:val="center"/>
          </w:tcPr>
          <w:p w14:paraId="357FBC94">
            <w:pPr>
              <w:widowControl/>
              <w:jc w:val="center"/>
              <w:textAlignment w:val="center"/>
              <w:rPr>
                <w:rFonts w:hint="eastAsia" w:ascii="宋体" w:hAnsi="宋体" w:cs="宋体"/>
                <w:color w:val="000000"/>
                <w:szCs w:val="21"/>
              </w:rPr>
            </w:pPr>
          </w:p>
        </w:tc>
      </w:tr>
      <w:tr w14:paraId="341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51A771EA">
            <w:pPr>
              <w:widowControl/>
              <w:jc w:val="center"/>
              <w:textAlignment w:val="center"/>
              <w:rPr>
                <w:rFonts w:hint="eastAsia" w:ascii="宋体" w:hAnsi="宋体" w:cs="宋体"/>
                <w:color w:val="000000"/>
                <w:szCs w:val="21"/>
              </w:rPr>
            </w:pPr>
          </w:p>
        </w:tc>
        <w:tc>
          <w:tcPr>
            <w:tcW w:w="2399" w:type="dxa"/>
            <w:shd w:val="clear" w:color="auto" w:fill="auto"/>
            <w:vAlign w:val="center"/>
          </w:tcPr>
          <w:p w14:paraId="7E7F93B6">
            <w:pPr>
              <w:widowControl/>
              <w:jc w:val="center"/>
              <w:textAlignment w:val="center"/>
              <w:rPr>
                <w:rFonts w:hint="eastAsia" w:ascii="宋体" w:hAnsi="宋体" w:cs="宋体"/>
                <w:color w:val="000000"/>
                <w:szCs w:val="21"/>
              </w:rPr>
            </w:pPr>
          </w:p>
        </w:tc>
        <w:tc>
          <w:tcPr>
            <w:tcW w:w="5291" w:type="dxa"/>
            <w:shd w:val="clear" w:color="auto" w:fill="auto"/>
            <w:vAlign w:val="center"/>
          </w:tcPr>
          <w:p w14:paraId="3D7F4013">
            <w:pPr>
              <w:widowControl/>
              <w:jc w:val="left"/>
              <w:textAlignment w:val="center"/>
              <w:rPr>
                <w:rFonts w:hint="eastAsia" w:ascii="宋体" w:hAnsi="宋体" w:cs="宋体"/>
                <w:color w:val="000000"/>
                <w:szCs w:val="21"/>
              </w:rPr>
            </w:pPr>
          </w:p>
        </w:tc>
        <w:tc>
          <w:tcPr>
            <w:tcW w:w="1260" w:type="dxa"/>
            <w:shd w:val="clear" w:color="auto" w:fill="auto"/>
            <w:vAlign w:val="center"/>
          </w:tcPr>
          <w:p w14:paraId="5ABA185A">
            <w:pPr>
              <w:widowControl/>
              <w:jc w:val="center"/>
              <w:textAlignment w:val="center"/>
              <w:rPr>
                <w:rFonts w:hint="eastAsia" w:ascii="宋体" w:hAnsi="宋体" w:cs="宋体"/>
                <w:color w:val="000000"/>
                <w:szCs w:val="21"/>
              </w:rPr>
            </w:pPr>
          </w:p>
        </w:tc>
        <w:tc>
          <w:tcPr>
            <w:tcW w:w="1290" w:type="dxa"/>
            <w:shd w:val="clear" w:color="auto" w:fill="auto"/>
            <w:vAlign w:val="center"/>
          </w:tcPr>
          <w:p w14:paraId="5542FC19">
            <w:pPr>
              <w:widowControl/>
              <w:jc w:val="center"/>
              <w:textAlignment w:val="center"/>
              <w:rPr>
                <w:rFonts w:hint="eastAsia" w:ascii="宋体" w:hAnsi="宋体" w:cs="宋体"/>
                <w:color w:val="000000"/>
                <w:szCs w:val="21"/>
              </w:rPr>
            </w:pPr>
          </w:p>
        </w:tc>
        <w:tc>
          <w:tcPr>
            <w:tcW w:w="1365" w:type="dxa"/>
            <w:shd w:val="clear" w:color="auto" w:fill="auto"/>
            <w:vAlign w:val="center"/>
          </w:tcPr>
          <w:p w14:paraId="02391CFA">
            <w:pPr>
              <w:widowControl/>
              <w:jc w:val="center"/>
              <w:textAlignment w:val="center"/>
              <w:rPr>
                <w:rFonts w:hint="eastAsia" w:ascii="宋体" w:hAnsi="宋体" w:cs="宋体"/>
                <w:color w:val="000000"/>
                <w:szCs w:val="21"/>
              </w:rPr>
            </w:pPr>
          </w:p>
        </w:tc>
        <w:tc>
          <w:tcPr>
            <w:tcW w:w="1205" w:type="dxa"/>
            <w:shd w:val="clear" w:color="auto" w:fill="auto"/>
            <w:vAlign w:val="center"/>
          </w:tcPr>
          <w:p w14:paraId="6AC8E376">
            <w:pPr>
              <w:widowControl/>
              <w:jc w:val="center"/>
              <w:textAlignment w:val="center"/>
              <w:rPr>
                <w:rFonts w:hint="eastAsia" w:ascii="宋体" w:hAnsi="宋体" w:cs="宋体"/>
                <w:color w:val="000000"/>
                <w:szCs w:val="21"/>
              </w:rPr>
            </w:pPr>
          </w:p>
        </w:tc>
      </w:tr>
      <w:tr w14:paraId="712F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7DAB7FEA">
            <w:pPr>
              <w:widowControl/>
              <w:jc w:val="center"/>
              <w:textAlignment w:val="center"/>
              <w:rPr>
                <w:rFonts w:hint="eastAsia" w:ascii="宋体" w:hAnsi="宋体" w:cs="宋体"/>
                <w:color w:val="000000"/>
                <w:szCs w:val="21"/>
              </w:rPr>
            </w:pPr>
          </w:p>
        </w:tc>
        <w:tc>
          <w:tcPr>
            <w:tcW w:w="2399" w:type="dxa"/>
            <w:shd w:val="clear" w:color="auto" w:fill="auto"/>
            <w:vAlign w:val="center"/>
          </w:tcPr>
          <w:p w14:paraId="41D74E1D">
            <w:pPr>
              <w:widowControl/>
              <w:jc w:val="center"/>
              <w:textAlignment w:val="center"/>
              <w:rPr>
                <w:rFonts w:hint="eastAsia" w:ascii="宋体" w:hAnsi="宋体" w:cs="宋体"/>
                <w:color w:val="000000"/>
                <w:szCs w:val="21"/>
              </w:rPr>
            </w:pPr>
          </w:p>
        </w:tc>
        <w:tc>
          <w:tcPr>
            <w:tcW w:w="5291" w:type="dxa"/>
            <w:shd w:val="clear" w:color="auto" w:fill="auto"/>
            <w:vAlign w:val="center"/>
          </w:tcPr>
          <w:p w14:paraId="6015D523">
            <w:pPr>
              <w:widowControl/>
              <w:jc w:val="left"/>
              <w:textAlignment w:val="center"/>
              <w:rPr>
                <w:rFonts w:hint="eastAsia" w:ascii="宋体" w:hAnsi="宋体" w:cs="宋体"/>
                <w:color w:val="000000"/>
                <w:szCs w:val="21"/>
              </w:rPr>
            </w:pPr>
          </w:p>
        </w:tc>
        <w:tc>
          <w:tcPr>
            <w:tcW w:w="1260" w:type="dxa"/>
            <w:shd w:val="clear" w:color="auto" w:fill="auto"/>
            <w:vAlign w:val="center"/>
          </w:tcPr>
          <w:p w14:paraId="79354E22">
            <w:pPr>
              <w:widowControl/>
              <w:jc w:val="center"/>
              <w:textAlignment w:val="center"/>
              <w:rPr>
                <w:rFonts w:hint="eastAsia" w:ascii="宋体" w:hAnsi="宋体" w:cs="宋体"/>
                <w:color w:val="000000"/>
                <w:szCs w:val="21"/>
              </w:rPr>
            </w:pPr>
          </w:p>
        </w:tc>
        <w:tc>
          <w:tcPr>
            <w:tcW w:w="1290" w:type="dxa"/>
            <w:shd w:val="clear" w:color="auto" w:fill="auto"/>
            <w:vAlign w:val="center"/>
          </w:tcPr>
          <w:p w14:paraId="4A82DAB5">
            <w:pPr>
              <w:widowControl/>
              <w:jc w:val="center"/>
              <w:textAlignment w:val="center"/>
              <w:rPr>
                <w:rFonts w:hint="eastAsia" w:ascii="宋体" w:hAnsi="宋体" w:cs="宋体"/>
                <w:color w:val="000000"/>
                <w:szCs w:val="21"/>
              </w:rPr>
            </w:pPr>
          </w:p>
        </w:tc>
        <w:tc>
          <w:tcPr>
            <w:tcW w:w="1365" w:type="dxa"/>
            <w:shd w:val="clear" w:color="auto" w:fill="auto"/>
            <w:vAlign w:val="center"/>
          </w:tcPr>
          <w:p w14:paraId="571BB478">
            <w:pPr>
              <w:widowControl/>
              <w:jc w:val="center"/>
              <w:textAlignment w:val="center"/>
              <w:rPr>
                <w:rFonts w:hint="eastAsia" w:ascii="宋体" w:hAnsi="宋体" w:cs="宋体"/>
                <w:color w:val="000000"/>
                <w:szCs w:val="21"/>
              </w:rPr>
            </w:pPr>
          </w:p>
        </w:tc>
        <w:tc>
          <w:tcPr>
            <w:tcW w:w="1205" w:type="dxa"/>
            <w:shd w:val="clear" w:color="auto" w:fill="auto"/>
            <w:vAlign w:val="center"/>
          </w:tcPr>
          <w:p w14:paraId="7E2FE867">
            <w:pPr>
              <w:widowControl/>
              <w:jc w:val="center"/>
              <w:textAlignment w:val="center"/>
              <w:rPr>
                <w:rFonts w:hint="eastAsia" w:ascii="宋体" w:hAnsi="宋体" w:cs="宋体"/>
                <w:color w:val="000000"/>
                <w:szCs w:val="21"/>
              </w:rPr>
            </w:pPr>
          </w:p>
        </w:tc>
      </w:tr>
      <w:tr w14:paraId="7672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4E52C7D4">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48F622F8">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66372B61">
            <w:pPr>
              <w:widowControl/>
              <w:jc w:val="left"/>
              <w:rPr>
                <w:rFonts w:hint="eastAsia" w:ascii="宋体" w:hAnsi="宋体" w:cs="宋体"/>
                <w:color w:val="000000"/>
                <w:szCs w:val="21"/>
              </w:rPr>
            </w:pPr>
          </w:p>
        </w:tc>
        <w:tc>
          <w:tcPr>
            <w:tcW w:w="1260" w:type="dxa"/>
            <w:shd w:val="clear" w:color="auto" w:fill="auto"/>
            <w:vAlign w:val="center"/>
          </w:tcPr>
          <w:p w14:paraId="270A065F">
            <w:pPr>
              <w:widowControl/>
              <w:jc w:val="center"/>
              <w:rPr>
                <w:rFonts w:hint="eastAsia" w:ascii="宋体" w:hAnsi="宋体" w:cs="宋体"/>
                <w:color w:val="000000"/>
                <w:szCs w:val="21"/>
              </w:rPr>
            </w:pPr>
          </w:p>
        </w:tc>
        <w:tc>
          <w:tcPr>
            <w:tcW w:w="1290" w:type="dxa"/>
            <w:shd w:val="clear" w:color="auto" w:fill="auto"/>
            <w:vAlign w:val="center"/>
          </w:tcPr>
          <w:p w14:paraId="68BDB872">
            <w:pPr>
              <w:widowControl/>
              <w:jc w:val="center"/>
              <w:rPr>
                <w:rFonts w:hint="eastAsia" w:ascii="宋体" w:hAnsi="宋体" w:cs="宋体"/>
                <w:color w:val="000000"/>
                <w:szCs w:val="21"/>
              </w:rPr>
            </w:pPr>
          </w:p>
        </w:tc>
        <w:tc>
          <w:tcPr>
            <w:tcW w:w="1365" w:type="dxa"/>
            <w:shd w:val="clear" w:color="auto" w:fill="auto"/>
            <w:vAlign w:val="center"/>
          </w:tcPr>
          <w:p w14:paraId="6BEE5515">
            <w:pPr>
              <w:widowControl/>
              <w:jc w:val="center"/>
              <w:rPr>
                <w:rFonts w:hint="eastAsia" w:ascii="宋体" w:hAnsi="宋体" w:cs="宋体"/>
                <w:color w:val="000000"/>
                <w:szCs w:val="21"/>
              </w:rPr>
            </w:pPr>
          </w:p>
        </w:tc>
        <w:tc>
          <w:tcPr>
            <w:tcW w:w="1205" w:type="dxa"/>
            <w:shd w:val="clear" w:color="auto" w:fill="auto"/>
            <w:vAlign w:val="center"/>
          </w:tcPr>
          <w:p w14:paraId="0DF63A17">
            <w:pPr>
              <w:widowControl/>
              <w:jc w:val="center"/>
              <w:textAlignment w:val="center"/>
              <w:rPr>
                <w:rFonts w:hint="eastAsia" w:ascii="宋体" w:hAnsi="宋体" w:cs="宋体"/>
                <w:b/>
                <w:bCs/>
                <w:color w:val="000000"/>
                <w:szCs w:val="21"/>
              </w:rPr>
            </w:pPr>
          </w:p>
        </w:tc>
      </w:tr>
      <w:tr w14:paraId="6373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4FBAFC54">
            <w:pPr>
              <w:widowControl/>
              <w:jc w:val="center"/>
              <w:textAlignment w:val="center"/>
              <w:rPr>
                <w:rFonts w:hint="eastAsia" w:ascii="宋体" w:hAnsi="宋体" w:cs="宋体"/>
                <w:color w:val="000000"/>
                <w:szCs w:val="21"/>
              </w:rPr>
            </w:pPr>
          </w:p>
        </w:tc>
        <w:tc>
          <w:tcPr>
            <w:tcW w:w="2399" w:type="dxa"/>
            <w:shd w:val="clear" w:color="auto" w:fill="auto"/>
            <w:vAlign w:val="center"/>
          </w:tcPr>
          <w:p w14:paraId="5475F120">
            <w:pPr>
              <w:widowControl/>
              <w:jc w:val="center"/>
              <w:textAlignment w:val="center"/>
              <w:rPr>
                <w:rFonts w:hint="eastAsia" w:ascii="宋体" w:hAnsi="宋体" w:cs="宋体"/>
                <w:color w:val="000000"/>
                <w:szCs w:val="21"/>
              </w:rPr>
            </w:pPr>
          </w:p>
        </w:tc>
        <w:tc>
          <w:tcPr>
            <w:tcW w:w="5291" w:type="dxa"/>
            <w:shd w:val="clear" w:color="auto" w:fill="auto"/>
            <w:vAlign w:val="center"/>
          </w:tcPr>
          <w:p w14:paraId="3C4BF4F7">
            <w:pPr>
              <w:widowControl/>
              <w:jc w:val="left"/>
              <w:textAlignment w:val="center"/>
              <w:rPr>
                <w:rFonts w:hint="eastAsia" w:ascii="宋体" w:hAnsi="宋体" w:cs="宋体"/>
                <w:color w:val="000000"/>
                <w:szCs w:val="21"/>
              </w:rPr>
            </w:pPr>
          </w:p>
        </w:tc>
        <w:tc>
          <w:tcPr>
            <w:tcW w:w="1260" w:type="dxa"/>
            <w:shd w:val="clear" w:color="auto" w:fill="auto"/>
            <w:vAlign w:val="center"/>
          </w:tcPr>
          <w:p w14:paraId="02DFA575">
            <w:pPr>
              <w:widowControl/>
              <w:jc w:val="center"/>
              <w:textAlignment w:val="center"/>
              <w:rPr>
                <w:rFonts w:hint="eastAsia" w:ascii="宋体" w:hAnsi="宋体" w:cs="宋体"/>
                <w:color w:val="000000"/>
                <w:szCs w:val="21"/>
              </w:rPr>
            </w:pPr>
          </w:p>
        </w:tc>
        <w:tc>
          <w:tcPr>
            <w:tcW w:w="1290" w:type="dxa"/>
            <w:shd w:val="clear" w:color="auto" w:fill="auto"/>
            <w:vAlign w:val="center"/>
          </w:tcPr>
          <w:p w14:paraId="1C5F34E6">
            <w:pPr>
              <w:widowControl/>
              <w:jc w:val="center"/>
              <w:textAlignment w:val="center"/>
              <w:rPr>
                <w:rFonts w:hint="eastAsia" w:ascii="宋体" w:hAnsi="宋体" w:cs="宋体"/>
                <w:color w:val="000000"/>
                <w:szCs w:val="21"/>
              </w:rPr>
            </w:pPr>
          </w:p>
        </w:tc>
        <w:tc>
          <w:tcPr>
            <w:tcW w:w="1365" w:type="dxa"/>
            <w:shd w:val="clear" w:color="auto" w:fill="auto"/>
            <w:vAlign w:val="center"/>
          </w:tcPr>
          <w:p w14:paraId="488AEC0F">
            <w:pPr>
              <w:widowControl/>
              <w:jc w:val="center"/>
              <w:textAlignment w:val="center"/>
              <w:rPr>
                <w:rFonts w:hint="eastAsia" w:ascii="宋体" w:hAnsi="宋体" w:cs="宋体"/>
                <w:color w:val="000000"/>
                <w:szCs w:val="21"/>
              </w:rPr>
            </w:pPr>
          </w:p>
        </w:tc>
        <w:tc>
          <w:tcPr>
            <w:tcW w:w="1205" w:type="dxa"/>
            <w:shd w:val="clear" w:color="auto" w:fill="auto"/>
            <w:vAlign w:val="center"/>
          </w:tcPr>
          <w:p w14:paraId="2E2D9AAF">
            <w:pPr>
              <w:widowControl/>
              <w:jc w:val="center"/>
              <w:textAlignment w:val="center"/>
              <w:rPr>
                <w:rFonts w:hint="eastAsia" w:ascii="宋体" w:hAnsi="宋体" w:cs="宋体"/>
                <w:color w:val="000000"/>
                <w:szCs w:val="21"/>
              </w:rPr>
            </w:pPr>
          </w:p>
        </w:tc>
      </w:tr>
      <w:tr w14:paraId="6427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996A240">
            <w:pPr>
              <w:widowControl/>
              <w:jc w:val="center"/>
              <w:textAlignment w:val="center"/>
              <w:rPr>
                <w:rFonts w:hint="eastAsia" w:ascii="宋体" w:hAnsi="宋体" w:cs="宋体"/>
                <w:color w:val="000000"/>
                <w:szCs w:val="21"/>
              </w:rPr>
            </w:pPr>
          </w:p>
        </w:tc>
        <w:tc>
          <w:tcPr>
            <w:tcW w:w="2399" w:type="dxa"/>
            <w:shd w:val="clear" w:color="auto" w:fill="auto"/>
            <w:vAlign w:val="center"/>
          </w:tcPr>
          <w:p w14:paraId="4001776D">
            <w:pPr>
              <w:widowControl/>
              <w:jc w:val="center"/>
              <w:textAlignment w:val="center"/>
              <w:rPr>
                <w:rFonts w:hint="eastAsia" w:ascii="宋体" w:hAnsi="宋体" w:cs="宋体"/>
                <w:color w:val="000000"/>
                <w:szCs w:val="21"/>
              </w:rPr>
            </w:pPr>
          </w:p>
        </w:tc>
        <w:tc>
          <w:tcPr>
            <w:tcW w:w="5291" w:type="dxa"/>
            <w:shd w:val="clear" w:color="auto" w:fill="auto"/>
            <w:vAlign w:val="center"/>
          </w:tcPr>
          <w:p w14:paraId="65F40282">
            <w:pPr>
              <w:widowControl/>
              <w:jc w:val="left"/>
              <w:textAlignment w:val="center"/>
              <w:rPr>
                <w:rFonts w:hint="eastAsia" w:ascii="宋体" w:hAnsi="宋体" w:cs="宋体"/>
                <w:color w:val="000000"/>
                <w:szCs w:val="21"/>
              </w:rPr>
            </w:pPr>
          </w:p>
        </w:tc>
        <w:tc>
          <w:tcPr>
            <w:tcW w:w="1260" w:type="dxa"/>
            <w:shd w:val="clear" w:color="auto" w:fill="auto"/>
            <w:vAlign w:val="center"/>
          </w:tcPr>
          <w:p w14:paraId="50B9DC84">
            <w:pPr>
              <w:widowControl/>
              <w:jc w:val="center"/>
              <w:textAlignment w:val="center"/>
              <w:rPr>
                <w:rFonts w:hint="eastAsia" w:ascii="宋体" w:hAnsi="宋体" w:cs="宋体"/>
                <w:color w:val="000000"/>
                <w:szCs w:val="21"/>
              </w:rPr>
            </w:pPr>
          </w:p>
        </w:tc>
        <w:tc>
          <w:tcPr>
            <w:tcW w:w="1290" w:type="dxa"/>
            <w:shd w:val="clear" w:color="auto" w:fill="auto"/>
            <w:vAlign w:val="center"/>
          </w:tcPr>
          <w:p w14:paraId="1D830C4F">
            <w:pPr>
              <w:widowControl/>
              <w:jc w:val="center"/>
              <w:textAlignment w:val="center"/>
              <w:rPr>
                <w:rFonts w:hint="eastAsia" w:ascii="宋体" w:hAnsi="宋体" w:cs="宋体"/>
                <w:color w:val="000000"/>
                <w:szCs w:val="21"/>
              </w:rPr>
            </w:pPr>
          </w:p>
        </w:tc>
        <w:tc>
          <w:tcPr>
            <w:tcW w:w="1365" w:type="dxa"/>
            <w:shd w:val="clear" w:color="auto" w:fill="auto"/>
            <w:vAlign w:val="center"/>
          </w:tcPr>
          <w:p w14:paraId="7FF1DA98">
            <w:pPr>
              <w:widowControl/>
              <w:jc w:val="center"/>
              <w:textAlignment w:val="center"/>
              <w:rPr>
                <w:rFonts w:hint="eastAsia" w:ascii="宋体" w:hAnsi="宋体" w:cs="宋体"/>
                <w:color w:val="000000"/>
                <w:szCs w:val="21"/>
              </w:rPr>
            </w:pPr>
          </w:p>
        </w:tc>
        <w:tc>
          <w:tcPr>
            <w:tcW w:w="1205" w:type="dxa"/>
            <w:shd w:val="clear" w:color="auto" w:fill="auto"/>
            <w:vAlign w:val="center"/>
          </w:tcPr>
          <w:p w14:paraId="4A8ED5AC">
            <w:pPr>
              <w:widowControl/>
              <w:jc w:val="center"/>
              <w:textAlignment w:val="center"/>
              <w:rPr>
                <w:rFonts w:hint="eastAsia" w:ascii="宋体" w:hAnsi="宋体" w:cs="宋体"/>
                <w:color w:val="000000"/>
                <w:szCs w:val="21"/>
              </w:rPr>
            </w:pPr>
          </w:p>
        </w:tc>
      </w:tr>
      <w:tr w14:paraId="1581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6ED641F1">
            <w:pPr>
              <w:widowControl/>
              <w:jc w:val="center"/>
              <w:textAlignment w:val="center"/>
              <w:rPr>
                <w:rFonts w:hint="eastAsia" w:ascii="宋体" w:hAnsi="宋体" w:cs="宋体"/>
                <w:color w:val="000000"/>
                <w:szCs w:val="21"/>
              </w:rPr>
            </w:pPr>
          </w:p>
        </w:tc>
        <w:tc>
          <w:tcPr>
            <w:tcW w:w="2399" w:type="dxa"/>
            <w:shd w:val="clear" w:color="auto" w:fill="auto"/>
            <w:vAlign w:val="center"/>
          </w:tcPr>
          <w:p w14:paraId="6BE2258C">
            <w:pPr>
              <w:widowControl/>
              <w:jc w:val="center"/>
              <w:textAlignment w:val="center"/>
              <w:rPr>
                <w:rFonts w:hint="eastAsia" w:ascii="宋体" w:hAnsi="宋体" w:cs="宋体"/>
                <w:color w:val="000000"/>
                <w:szCs w:val="21"/>
              </w:rPr>
            </w:pPr>
          </w:p>
        </w:tc>
        <w:tc>
          <w:tcPr>
            <w:tcW w:w="5291" w:type="dxa"/>
            <w:shd w:val="clear" w:color="auto" w:fill="auto"/>
            <w:vAlign w:val="center"/>
          </w:tcPr>
          <w:p w14:paraId="2BEE1F46">
            <w:pPr>
              <w:widowControl/>
              <w:jc w:val="left"/>
              <w:textAlignment w:val="center"/>
              <w:rPr>
                <w:rFonts w:hint="eastAsia" w:ascii="宋体" w:hAnsi="宋体" w:cs="宋体"/>
                <w:color w:val="000000"/>
                <w:szCs w:val="21"/>
              </w:rPr>
            </w:pPr>
          </w:p>
        </w:tc>
        <w:tc>
          <w:tcPr>
            <w:tcW w:w="1260" w:type="dxa"/>
            <w:shd w:val="clear" w:color="auto" w:fill="auto"/>
            <w:vAlign w:val="center"/>
          </w:tcPr>
          <w:p w14:paraId="717C8C62">
            <w:pPr>
              <w:widowControl/>
              <w:jc w:val="center"/>
              <w:textAlignment w:val="center"/>
              <w:rPr>
                <w:rFonts w:hint="eastAsia" w:ascii="宋体" w:hAnsi="宋体" w:cs="宋体"/>
                <w:color w:val="000000"/>
                <w:szCs w:val="21"/>
              </w:rPr>
            </w:pPr>
          </w:p>
        </w:tc>
        <w:tc>
          <w:tcPr>
            <w:tcW w:w="1290" w:type="dxa"/>
            <w:shd w:val="clear" w:color="auto" w:fill="auto"/>
            <w:vAlign w:val="center"/>
          </w:tcPr>
          <w:p w14:paraId="5BE9B749">
            <w:pPr>
              <w:widowControl/>
              <w:jc w:val="center"/>
              <w:textAlignment w:val="center"/>
              <w:rPr>
                <w:rFonts w:hint="eastAsia" w:ascii="宋体" w:hAnsi="宋体" w:cs="宋体"/>
                <w:color w:val="000000"/>
                <w:szCs w:val="21"/>
              </w:rPr>
            </w:pPr>
          </w:p>
        </w:tc>
        <w:tc>
          <w:tcPr>
            <w:tcW w:w="1365" w:type="dxa"/>
            <w:shd w:val="clear" w:color="auto" w:fill="auto"/>
            <w:vAlign w:val="center"/>
          </w:tcPr>
          <w:p w14:paraId="25FF7998">
            <w:pPr>
              <w:widowControl/>
              <w:jc w:val="center"/>
              <w:textAlignment w:val="center"/>
              <w:rPr>
                <w:rFonts w:hint="eastAsia" w:ascii="宋体" w:hAnsi="宋体" w:cs="宋体"/>
                <w:color w:val="000000"/>
                <w:szCs w:val="21"/>
              </w:rPr>
            </w:pPr>
          </w:p>
        </w:tc>
        <w:tc>
          <w:tcPr>
            <w:tcW w:w="1205" w:type="dxa"/>
            <w:shd w:val="clear" w:color="auto" w:fill="auto"/>
            <w:vAlign w:val="center"/>
          </w:tcPr>
          <w:p w14:paraId="74AEAA7D">
            <w:pPr>
              <w:widowControl/>
              <w:jc w:val="center"/>
              <w:textAlignment w:val="center"/>
              <w:rPr>
                <w:rFonts w:hint="eastAsia" w:ascii="宋体" w:hAnsi="宋体" w:cs="宋体"/>
                <w:color w:val="000000"/>
                <w:szCs w:val="21"/>
              </w:rPr>
            </w:pPr>
          </w:p>
        </w:tc>
      </w:tr>
      <w:tr w14:paraId="560B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397E3733">
            <w:pPr>
              <w:widowControl/>
              <w:jc w:val="center"/>
              <w:textAlignment w:val="center"/>
              <w:rPr>
                <w:rFonts w:hint="eastAsia" w:ascii="宋体" w:hAnsi="宋体" w:cs="宋体"/>
                <w:color w:val="000000"/>
                <w:szCs w:val="21"/>
              </w:rPr>
            </w:pPr>
          </w:p>
        </w:tc>
        <w:tc>
          <w:tcPr>
            <w:tcW w:w="2399" w:type="dxa"/>
            <w:shd w:val="clear" w:color="auto" w:fill="auto"/>
            <w:vAlign w:val="center"/>
          </w:tcPr>
          <w:p w14:paraId="35B2CDBD">
            <w:pPr>
              <w:widowControl/>
              <w:jc w:val="center"/>
              <w:textAlignment w:val="center"/>
              <w:rPr>
                <w:rFonts w:hint="eastAsia" w:ascii="宋体" w:hAnsi="宋体" w:cs="宋体"/>
                <w:color w:val="000000"/>
                <w:szCs w:val="21"/>
              </w:rPr>
            </w:pPr>
          </w:p>
        </w:tc>
        <w:tc>
          <w:tcPr>
            <w:tcW w:w="5291" w:type="dxa"/>
            <w:shd w:val="clear" w:color="auto" w:fill="auto"/>
            <w:vAlign w:val="center"/>
          </w:tcPr>
          <w:p w14:paraId="06903E34">
            <w:pPr>
              <w:widowControl/>
              <w:jc w:val="left"/>
              <w:textAlignment w:val="center"/>
              <w:rPr>
                <w:rFonts w:hint="eastAsia" w:ascii="宋体" w:hAnsi="宋体" w:cs="宋体"/>
                <w:color w:val="000000"/>
                <w:szCs w:val="21"/>
              </w:rPr>
            </w:pPr>
          </w:p>
        </w:tc>
        <w:tc>
          <w:tcPr>
            <w:tcW w:w="1260" w:type="dxa"/>
            <w:shd w:val="clear" w:color="auto" w:fill="auto"/>
            <w:vAlign w:val="center"/>
          </w:tcPr>
          <w:p w14:paraId="3C072048">
            <w:pPr>
              <w:widowControl/>
              <w:jc w:val="center"/>
              <w:textAlignment w:val="center"/>
              <w:rPr>
                <w:rFonts w:hint="eastAsia" w:ascii="宋体" w:hAnsi="宋体" w:cs="宋体"/>
                <w:color w:val="000000"/>
                <w:szCs w:val="21"/>
              </w:rPr>
            </w:pPr>
          </w:p>
        </w:tc>
        <w:tc>
          <w:tcPr>
            <w:tcW w:w="1290" w:type="dxa"/>
            <w:shd w:val="clear" w:color="auto" w:fill="auto"/>
            <w:vAlign w:val="center"/>
          </w:tcPr>
          <w:p w14:paraId="546F3995">
            <w:pPr>
              <w:widowControl/>
              <w:jc w:val="center"/>
              <w:textAlignment w:val="center"/>
              <w:rPr>
                <w:rFonts w:hint="eastAsia" w:ascii="宋体" w:hAnsi="宋体" w:cs="宋体"/>
                <w:color w:val="000000"/>
                <w:szCs w:val="21"/>
              </w:rPr>
            </w:pPr>
          </w:p>
        </w:tc>
        <w:tc>
          <w:tcPr>
            <w:tcW w:w="1365" w:type="dxa"/>
            <w:shd w:val="clear" w:color="auto" w:fill="auto"/>
            <w:vAlign w:val="center"/>
          </w:tcPr>
          <w:p w14:paraId="0189C290">
            <w:pPr>
              <w:widowControl/>
              <w:jc w:val="center"/>
              <w:textAlignment w:val="center"/>
              <w:rPr>
                <w:rFonts w:hint="eastAsia" w:ascii="宋体" w:hAnsi="宋体" w:cs="宋体"/>
                <w:color w:val="000000"/>
                <w:szCs w:val="21"/>
              </w:rPr>
            </w:pPr>
          </w:p>
        </w:tc>
        <w:tc>
          <w:tcPr>
            <w:tcW w:w="1205" w:type="dxa"/>
            <w:shd w:val="clear" w:color="auto" w:fill="auto"/>
            <w:vAlign w:val="center"/>
          </w:tcPr>
          <w:p w14:paraId="7A733C21">
            <w:pPr>
              <w:widowControl/>
              <w:jc w:val="center"/>
              <w:textAlignment w:val="center"/>
              <w:rPr>
                <w:rFonts w:hint="eastAsia" w:ascii="宋体" w:hAnsi="宋体" w:cs="宋体"/>
                <w:color w:val="000000"/>
                <w:szCs w:val="21"/>
              </w:rPr>
            </w:pPr>
          </w:p>
        </w:tc>
      </w:tr>
    </w:tbl>
    <w:p w14:paraId="3AB37633">
      <w:pPr>
        <w:pStyle w:val="14"/>
        <w:spacing w:line="360" w:lineRule="auto"/>
        <w:ind w:firstLine="0"/>
        <w:rPr>
          <w:sz w:val="21"/>
          <w:szCs w:val="21"/>
        </w:rPr>
      </w:pPr>
      <w:r>
        <w:rPr>
          <w:rFonts w:hint="eastAsia"/>
          <w:sz w:val="21"/>
          <w:szCs w:val="21"/>
        </w:rPr>
        <w:t>供应商（盖章）：</w:t>
      </w:r>
      <w:r>
        <w:rPr>
          <w:sz w:val="21"/>
          <w:szCs w:val="21"/>
        </w:rPr>
        <w:t xml:space="preserve"> </w:t>
      </w:r>
    </w:p>
    <w:p w14:paraId="309D2FEB">
      <w:pPr>
        <w:pStyle w:val="14"/>
        <w:spacing w:line="360" w:lineRule="auto"/>
        <w:ind w:firstLine="0"/>
        <w:rPr>
          <w:sz w:val="21"/>
          <w:szCs w:val="21"/>
        </w:rPr>
      </w:pPr>
      <w:r>
        <w:rPr>
          <w:rFonts w:hint="eastAsia"/>
          <w:sz w:val="21"/>
          <w:szCs w:val="21"/>
        </w:rPr>
        <w:t>法定代表人或授权代表人（签字）：</w:t>
      </w:r>
    </w:p>
    <w:p w14:paraId="19703A67">
      <w:pPr>
        <w:pStyle w:val="14"/>
        <w:spacing w:line="360" w:lineRule="auto"/>
        <w:ind w:firstLine="0"/>
        <w:rPr>
          <w:sz w:val="21"/>
          <w:szCs w:val="21"/>
        </w:rPr>
      </w:pPr>
      <w:r>
        <w:rPr>
          <w:rFonts w:hint="eastAsia"/>
          <w:sz w:val="21"/>
          <w:szCs w:val="21"/>
        </w:rPr>
        <w:t>日</w:t>
      </w:r>
      <w:r>
        <w:rPr>
          <w:sz w:val="21"/>
          <w:szCs w:val="21"/>
        </w:rPr>
        <w:t xml:space="preserve">         </w:t>
      </w:r>
      <w:r>
        <w:rPr>
          <w:rFonts w:hint="eastAsia"/>
          <w:sz w:val="21"/>
          <w:szCs w:val="21"/>
        </w:rPr>
        <w:t>期：</w:t>
      </w:r>
    </w:p>
    <w:p w14:paraId="78A5BF75">
      <w:pPr>
        <w:pStyle w:val="30"/>
        <w:sectPr>
          <w:pgSz w:w="16838" w:h="11906" w:orient="landscape"/>
          <w:pgMar w:top="1361" w:right="1440" w:bottom="1361" w:left="1304" w:header="720" w:footer="720" w:gutter="0"/>
          <w:pgNumType w:fmt="decimal"/>
          <w:cols w:space="720" w:num="1"/>
        </w:sectPr>
      </w:pPr>
    </w:p>
    <w:p w14:paraId="375D9EF4">
      <w:pPr>
        <w:pStyle w:val="16"/>
        <w:snapToGrid w:val="0"/>
        <w:spacing w:before="120" w:after="120" w:line="240" w:lineRule="auto"/>
        <w:jc w:val="center"/>
        <w:rPr>
          <w:rFonts w:hint="eastAsia" w:hAnsi="宋体" w:cs="宋体"/>
          <w:b/>
          <w:sz w:val="32"/>
          <w:szCs w:val="32"/>
        </w:rPr>
      </w:pPr>
      <w:r>
        <w:rPr>
          <w:rFonts w:hAnsi="宋体" w:cs="宋体"/>
          <w:b/>
          <w:sz w:val="32"/>
          <w:szCs w:val="32"/>
        </w:rPr>
        <w:t xml:space="preserve">  </w:t>
      </w:r>
      <w:r>
        <w:rPr>
          <w:rFonts w:hint="eastAsia" w:hAnsi="宋体" w:cs="宋体"/>
          <w:b/>
          <w:sz w:val="32"/>
          <w:szCs w:val="32"/>
        </w:rPr>
        <w:t>投标分项报价表（二）</w:t>
      </w:r>
    </w:p>
    <w:p w14:paraId="26CF46A3">
      <w:pPr>
        <w:pStyle w:val="16"/>
        <w:snapToGrid w:val="0"/>
        <w:spacing w:before="120" w:after="120" w:line="240" w:lineRule="auto"/>
        <w:jc w:val="center"/>
        <w:rPr>
          <w:rFonts w:hint="eastAsia" w:hAnsi="宋体" w:cs="宋体"/>
          <w:b/>
          <w:sz w:val="32"/>
          <w:szCs w:val="32"/>
        </w:rPr>
      </w:pPr>
      <w:r>
        <w:rPr>
          <w:rFonts w:hint="eastAsia" w:hAnsi="宋体" w:cs="宋体"/>
          <w:b/>
          <w:sz w:val="32"/>
          <w:szCs w:val="32"/>
        </w:rPr>
        <w:t>信息系统软件平台</w:t>
      </w:r>
    </w:p>
    <w:p w14:paraId="26F77A8B">
      <w:pPr>
        <w:pStyle w:val="16"/>
        <w:snapToGrid w:val="0"/>
        <w:spacing w:before="120" w:after="120" w:line="360" w:lineRule="auto"/>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3"/>
        <w:tblW w:w="14171" w:type="dxa"/>
        <w:tblInd w:w="98" w:type="dxa"/>
        <w:tblLayout w:type="fixed"/>
        <w:tblCellMar>
          <w:top w:w="0" w:type="dxa"/>
          <w:left w:w="108" w:type="dxa"/>
          <w:bottom w:w="0" w:type="dxa"/>
          <w:right w:w="108" w:type="dxa"/>
        </w:tblCellMar>
      </w:tblPr>
      <w:tblGrid>
        <w:gridCol w:w="911"/>
        <w:gridCol w:w="2274"/>
        <w:gridCol w:w="6526"/>
        <w:gridCol w:w="810"/>
        <w:gridCol w:w="820"/>
        <w:gridCol w:w="960"/>
        <w:gridCol w:w="1090"/>
        <w:gridCol w:w="780"/>
      </w:tblGrid>
      <w:tr w14:paraId="57405EC9">
        <w:tblPrEx>
          <w:tblCellMar>
            <w:top w:w="0" w:type="dxa"/>
            <w:left w:w="108" w:type="dxa"/>
            <w:bottom w:w="0" w:type="dxa"/>
            <w:right w:w="108" w:type="dxa"/>
          </w:tblCellMar>
        </w:tblPrEx>
        <w:trPr>
          <w:trHeight w:val="292" w:hRule="atLeast"/>
          <w:tblHeader/>
        </w:trPr>
        <w:tc>
          <w:tcPr>
            <w:tcW w:w="91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EBB10B0">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序号</w:t>
            </w:r>
          </w:p>
        </w:tc>
        <w:tc>
          <w:tcPr>
            <w:tcW w:w="227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C40D82A">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项目名称</w:t>
            </w:r>
          </w:p>
        </w:tc>
        <w:tc>
          <w:tcPr>
            <w:tcW w:w="652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796BA33">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技术要求</w:t>
            </w:r>
          </w:p>
        </w:tc>
        <w:tc>
          <w:tcPr>
            <w:tcW w:w="81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B088852">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人月</w:t>
            </w:r>
          </w:p>
        </w:tc>
        <w:tc>
          <w:tcPr>
            <w:tcW w:w="8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C877528">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数量</w:t>
            </w:r>
          </w:p>
        </w:tc>
        <w:tc>
          <w:tcPr>
            <w:tcW w:w="9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50987A">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单价</w:t>
            </w:r>
          </w:p>
        </w:tc>
        <w:tc>
          <w:tcPr>
            <w:tcW w:w="10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34ABBDA">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总价</w:t>
            </w:r>
          </w:p>
        </w:tc>
        <w:tc>
          <w:tcPr>
            <w:tcW w:w="78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26643665">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备注</w:t>
            </w:r>
          </w:p>
        </w:tc>
      </w:tr>
      <w:tr w14:paraId="66436A32">
        <w:tblPrEx>
          <w:tblCellMar>
            <w:top w:w="0" w:type="dxa"/>
            <w:left w:w="108" w:type="dxa"/>
            <w:bottom w:w="0" w:type="dxa"/>
            <w:right w:w="108" w:type="dxa"/>
          </w:tblCellMar>
        </w:tblPrEx>
        <w:trPr>
          <w:trHeight w:val="362" w:hRule="atLeast"/>
          <w:tblHeader/>
        </w:trPr>
        <w:tc>
          <w:tcPr>
            <w:tcW w:w="91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855D6B2">
            <w:pPr>
              <w:spacing w:line="360" w:lineRule="auto"/>
              <w:jc w:val="center"/>
              <w:rPr>
                <w:rFonts w:ascii="Times New Roman" w:hAnsi="Times New Roman" w:cs="Times New Roman"/>
                <w:b/>
                <w:bCs/>
                <w:color w:val="000000"/>
                <w:szCs w:val="21"/>
              </w:rPr>
            </w:pPr>
          </w:p>
        </w:tc>
        <w:tc>
          <w:tcPr>
            <w:tcW w:w="227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43A6816">
            <w:pPr>
              <w:spacing w:line="360" w:lineRule="auto"/>
              <w:jc w:val="center"/>
              <w:rPr>
                <w:rFonts w:ascii="Times New Roman" w:hAnsi="Times New Roman" w:cs="Times New Roman"/>
                <w:b/>
                <w:bCs/>
                <w:color w:val="000000"/>
                <w:szCs w:val="21"/>
              </w:rPr>
            </w:pPr>
          </w:p>
        </w:tc>
        <w:tc>
          <w:tcPr>
            <w:tcW w:w="652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42749DB">
            <w:pPr>
              <w:spacing w:line="360" w:lineRule="auto"/>
              <w:jc w:val="center"/>
              <w:rPr>
                <w:rFonts w:ascii="Times New Roman" w:hAnsi="Times New Roman" w:cs="Times New Roman"/>
                <w:b/>
                <w:bCs/>
                <w:color w:val="000000"/>
                <w:szCs w:val="21"/>
              </w:rPr>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6E64BF">
            <w:pPr>
              <w:spacing w:line="360" w:lineRule="auto"/>
              <w:jc w:val="center"/>
              <w:rPr>
                <w:rFonts w:ascii="Times New Roman" w:hAnsi="Times New Roman" w:cs="Times New Roman"/>
                <w:b/>
                <w:bCs/>
                <w:color w:val="000000"/>
                <w:szCs w:val="21"/>
              </w:rPr>
            </w:pPr>
          </w:p>
        </w:tc>
        <w:tc>
          <w:tcPr>
            <w:tcW w:w="8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10477BF">
            <w:pPr>
              <w:spacing w:line="360" w:lineRule="auto"/>
              <w:jc w:val="center"/>
              <w:rPr>
                <w:rFonts w:ascii="Times New Roman" w:hAnsi="Times New Roman" w:cs="Times New Roman"/>
                <w:b/>
                <w:bCs/>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0572">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3717">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（元）</w:t>
            </w:r>
          </w:p>
        </w:tc>
        <w:tc>
          <w:tcPr>
            <w:tcW w:w="78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3F65B5B">
            <w:pPr>
              <w:spacing w:line="360" w:lineRule="auto"/>
              <w:jc w:val="center"/>
              <w:rPr>
                <w:rFonts w:ascii="Times New Roman" w:hAnsi="Times New Roman" w:cs="Times New Roman"/>
                <w:b/>
                <w:bCs/>
                <w:color w:val="000000"/>
                <w:szCs w:val="21"/>
              </w:rPr>
            </w:pPr>
          </w:p>
        </w:tc>
      </w:tr>
      <w:tr w14:paraId="5C6E4310">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1F8CBE">
            <w:pPr>
              <w:widowControl/>
              <w:spacing w:line="360" w:lineRule="auto"/>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6A09">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69FC">
            <w:pPr>
              <w:spacing w:line="360" w:lineRule="auto"/>
              <w:jc w:val="center"/>
              <w:rPr>
                <w:rFonts w:ascii="Times New Roman" w:hAnsi="Times New Roman" w:cs="Times New Roman"/>
                <w:b/>
                <w:bCs/>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4D7">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8CE1">
            <w:pPr>
              <w:spacing w:line="360" w:lineRule="auto"/>
              <w:jc w:val="center"/>
              <w:rPr>
                <w:rFonts w:ascii="Times New Roman" w:hAnsi="Times New Roman" w:cs="Times New Roman"/>
                <w:b/>
                <w:bCs/>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E07A">
            <w:pPr>
              <w:spacing w:line="360" w:lineRule="auto"/>
              <w:jc w:val="center"/>
              <w:rPr>
                <w:rFonts w:ascii="Times New Roman" w:hAnsi="Times New Roman" w:cs="Times New Roman"/>
                <w:b/>
                <w:bCs/>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E7CE">
            <w:pPr>
              <w:spacing w:line="360" w:lineRule="auto"/>
              <w:jc w:val="center"/>
              <w:rPr>
                <w:rFonts w:ascii="Times New Roman" w:hAnsi="Times New Roman" w:cs="Times New Roman"/>
                <w:b/>
                <w:bCs/>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5CCC6B">
            <w:pPr>
              <w:spacing w:line="360" w:lineRule="auto"/>
              <w:jc w:val="center"/>
              <w:rPr>
                <w:rFonts w:ascii="Times New Roman" w:hAnsi="Times New Roman" w:cs="Times New Roman"/>
                <w:b/>
                <w:bCs/>
                <w:color w:val="000000"/>
                <w:szCs w:val="21"/>
              </w:rPr>
            </w:pPr>
          </w:p>
        </w:tc>
      </w:tr>
      <w:tr w14:paraId="66A52944">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B46E99">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4ABD">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B44F">
            <w:pPr>
              <w:spacing w:line="360" w:lineRule="auto"/>
              <w:jc w:val="center"/>
              <w:rPr>
                <w:rFonts w:ascii="Times New Roman" w:hAnsi="Times New Roman" w:cs="Times New Roman"/>
                <w:b/>
                <w:bCs/>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7CAF">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ACE">
            <w:pPr>
              <w:spacing w:line="360" w:lineRule="auto"/>
              <w:jc w:val="center"/>
              <w:rPr>
                <w:rFonts w:ascii="Times New Roman" w:hAnsi="Times New Roman" w:cs="Times New Roman"/>
                <w:b/>
                <w:bCs/>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68D3">
            <w:pPr>
              <w:spacing w:line="360" w:lineRule="auto"/>
              <w:jc w:val="center"/>
              <w:rPr>
                <w:rFonts w:ascii="Times New Roman" w:hAnsi="Times New Roman" w:cs="Times New Roman"/>
                <w:b/>
                <w:bCs/>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191">
            <w:pPr>
              <w:spacing w:line="360" w:lineRule="auto"/>
              <w:jc w:val="center"/>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022497">
            <w:pPr>
              <w:spacing w:line="360" w:lineRule="auto"/>
              <w:jc w:val="center"/>
              <w:rPr>
                <w:rFonts w:ascii="Times New Roman" w:hAnsi="Times New Roman" w:cs="Times New Roman"/>
                <w:b/>
                <w:bCs/>
                <w:color w:val="000000"/>
                <w:szCs w:val="21"/>
              </w:rPr>
            </w:pPr>
          </w:p>
        </w:tc>
      </w:tr>
      <w:tr w14:paraId="067F91FB">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7507E7">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899">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C3D2">
            <w:pPr>
              <w:spacing w:line="360" w:lineRule="auto"/>
              <w:jc w:val="left"/>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20E4">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F7E">
            <w:pPr>
              <w:spacing w:line="360" w:lineRule="auto"/>
              <w:jc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FB44">
            <w:pPr>
              <w:spacing w:line="360" w:lineRule="auto"/>
              <w:jc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97A1">
            <w:pPr>
              <w:spacing w:line="360" w:lineRule="auto"/>
              <w:jc w:val="center"/>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E9DD83">
            <w:pPr>
              <w:spacing w:line="360" w:lineRule="auto"/>
              <w:jc w:val="center"/>
              <w:rPr>
                <w:rFonts w:ascii="Times New Roman" w:hAnsi="Times New Roman" w:cs="Times New Roman"/>
                <w:color w:val="000000"/>
                <w:szCs w:val="21"/>
              </w:rPr>
            </w:pPr>
          </w:p>
        </w:tc>
      </w:tr>
      <w:tr w14:paraId="71007202">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F0716">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1B83">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05A2">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4167">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46C5">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3B03">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5ED8">
            <w:pPr>
              <w:widowControl/>
              <w:spacing w:line="360" w:lineRule="auto"/>
              <w:jc w:val="center"/>
              <w:textAlignment w:val="center"/>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69C412">
            <w:pPr>
              <w:spacing w:line="360" w:lineRule="auto"/>
              <w:rPr>
                <w:rFonts w:ascii="Times New Roman" w:hAnsi="Times New Roman" w:cs="Times New Roman"/>
                <w:color w:val="000000"/>
                <w:szCs w:val="21"/>
              </w:rPr>
            </w:pPr>
          </w:p>
        </w:tc>
      </w:tr>
      <w:tr w14:paraId="27AC3473">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15BB8A">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ECC3">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9D82">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8B23">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F8E">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0870">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3489">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5C1F7A">
            <w:pPr>
              <w:spacing w:line="360" w:lineRule="auto"/>
              <w:rPr>
                <w:rFonts w:ascii="Times New Roman" w:hAnsi="Times New Roman" w:cs="Times New Roman"/>
                <w:color w:val="000000"/>
                <w:szCs w:val="21"/>
              </w:rPr>
            </w:pPr>
          </w:p>
        </w:tc>
      </w:tr>
      <w:tr w14:paraId="7F70B2B5">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9A4CD">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46A0">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F31D">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55C2">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1267">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1A0E">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50EB">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1FB391">
            <w:pPr>
              <w:spacing w:line="360" w:lineRule="auto"/>
              <w:rPr>
                <w:rFonts w:ascii="Times New Roman" w:hAnsi="Times New Roman" w:cs="Times New Roman"/>
                <w:color w:val="000000"/>
                <w:szCs w:val="21"/>
              </w:rPr>
            </w:pPr>
          </w:p>
        </w:tc>
      </w:tr>
      <w:tr w14:paraId="1B3399D7">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B2E412">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417">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2D07">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A5B">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C31F">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41F7">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4B7E">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D66993">
            <w:pPr>
              <w:spacing w:line="360" w:lineRule="auto"/>
              <w:rPr>
                <w:rFonts w:ascii="Times New Roman" w:hAnsi="Times New Roman" w:cs="Times New Roman"/>
                <w:color w:val="000000"/>
                <w:szCs w:val="21"/>
              </w:rPr>
            </w:pPr>
          </w:p>
        </w:tc>
      </w:tr>
      <w:tr w14:paraId="0611F911">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5D9783">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C525">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580">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4A2">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8203">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C01C">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A956">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E70535">
            <w:pPr>
              <w:spacing w:line="360" w:lineRule="auto"/>
              <w:rPr>
                <w:rFonts w:ascii="Times New Roman" w:hAnsi="Times New Roman" w:cs="Times New Roman"/>
                <w:color w:val="000000"/>
                <w:szCs w:val="21"/>
              </w:rPr>
            </w:pPr>
          </w:p>
        </w:tc>
      </w:tr>
      <w:tr w14:paraId="08F91541">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491E4D">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E0D">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163E">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C4A6">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814E">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9927">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AD31">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22DF69">
            <w:pPr>
              <w:spacing w:line="360" w:lineRule="auto"/>
              <w:rPr>
                <w:rFonts w:ascii="Times New Roman" w:hAnsi="Times New Roman" w:cs="Times New Roman"/>
                <w:color w:val="000000"/>
                <w:szCs w:val="21"/>
              </w:rPr>
            </w:pPr>
          </w:p>
        </w:tc>
      </w:tr>
      <w:tr w14:paraId="41450FB2">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800357">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24D4">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CF35">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6D58">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CA5">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9D43">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804B">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A75449">
            <w:pPr>
              <w:spacing w:line="360" w:lineRule="auto"/>
              <w:rPr>
                <w:rFonts w:ascii="Times New Roman" w:hAnsi="Times New Roman" w:cs="Times New Roman"/>
                <w:color w:val="000000"/>
                <w:szCs w:val="21"/>
              </w:rPr>
            </w:pPr>
          </w:p>
        </w:tc>
      </w:tr>
      <w:tr w14:paraId="5A56DFE8">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CCB56E">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D35">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53D">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50EA">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B8F6">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6E6D">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FDDB">
            <w:pPr>
              <w:widowControl/>
              <w:spacing w:line="360" w:lineRule="auto"/>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566B14">
            <w:pPr>
              <w:spacing w:line="360" w:lineRule="auto"/>
              <w:rPr>
                <w:rFonts w:ascii="Times New Roman" w:hAnsi="Times New Roman" w:cs="Times New Roman"/>
                <w:color w:val="000000"/>
                <w:szCs w:val="21"/>
              </w:rPr>
            </w:pPr>
          </w:p>
        </w:tc>
      </w:tr>
      <w:tr w14:paraId="2615E51C">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CBD345">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0D7D">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976A">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A19C">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B79C">
            <w:pPr>
              <w:spacing w:line="360" w:lineRule="auto"/>
              <w:jc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44A">
            <w:pPr>
              <w:spacing w:line="360" w:lineRule="auto"/>
              <w:jc w:val="center"/>
              <w:rPr>
                <w:rFonts w:ascii="Times New Roman" w:hAnsi="Times New Roman" w:cs="Times New Roman"/>
                <w:b/>
                <w:bCs/>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05AD">
            <w:pPr>
              <w:spacing w:line="360" w:lineRule="auto"/>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FDB55F">
            <w:pPr>
              <w:spacing w:line="360" w:lineRule="auto"/>
              <w:rPr>
                <w:rFonts w:ascii="Times New Roman" w:hAnsi="Times New Roman" w:cs="Times New Roman"/>
                <w:color w:val="000000"/>
                <w:szCs w:val="21"/>
              </w:rPr>
            </w:pPr>
          </w:p>
        </w:tc>
      </w:tr>
      <w:tr w14:paraId="4690FF46">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38D3A8">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021">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9766">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02A">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BA3">
            <w:pPr>
              <w:spacing w:line="360" w:lineRule="auto"/>
              <w:jc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F7C5">
            <w:pPr>
              <w:spacing w:line="360" w:lineRule="auto"/>
              <w:jc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5EE9">
            <w:pPr>
              <w:spacing w:line="360" w:lineRule="auto"/>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F801E4">
            <w:pPr>
              <w:spacing w:line="360" w:lineRule="auto"/>
              <w:rPr>
                <w:rFonts w:ascii="Times New Roman" w:hAnsi="Times New Roman" w:cs="Times New Roman"/>
                <w:color w:val="000000"/>
                <w:szCs w:val="21"/>
              </w:rPr>
            </w:pPr>
          </w:p>
        </w:tc>
      </w:tr>
      <w:tr w14:paraId="0892179A">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C54261">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775C">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F5C8">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8A92">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9E67">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3EF">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0A37">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AFA9C1">
            <w:pPr>
              <w:spacing w:line="360" w:lineRule="auto"/>
              <w:rPr>
                <w:rFonts w:ascii="Times New Roman" w:hAnsi="Times New Roman" w:cs="Times New Roman"/>
                <w:color w:val="000000"/>
                <w:szCs w:val="21"/>
              </w:rPr>
            </w:pPr>
          </w:p>
        </w:tc>
      </w:tr>
      <w:tr w14:paraId="1ADF5FE2">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8D37C0">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B8CB">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5D55">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4848">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C3F5">
            <w:pPr>
              <w:spacing w:line="360" w:lineRule="auto"/>
              <w:jc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569A">
            <w:pPr>
              <w:spacing w:line="360" w:lineRule="auto"/>
              <w:jc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69B3">
            <w:pPr>
              <w:spacing w:line="360" w:lineRule="auto"/>
              <w:jc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745CF8">
            <w:pPr>
              <w:spacing w:line="360" w:lineRule="auto"/>
              <w:rPr>
                <w:rFonts w:ascii="Times New Roman" w:hAnsi="Times New Roman" w:cs="Times New Roman"/>
                <w:color w:val="000000"/>
                <w:szCs w:val="21"/>
              </w:rPr>
            </w:pPr>
          </w:p>
        </w:tc>
      </w:tr>
      <w:tr w14:paraId="05569519">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5921CB">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C40">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537">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BDA0">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262">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0D68">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0C40">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61A9DC">
            <w:pPr>
              <w:spacing w:line="360" w:lineRule="auto"/>
              <w:rPr>
                <w:rFonts w:ascii="Times New Roman" w:hAnsi="Times New Roman" w:cs="Times New Roman"/>
                <w:color w:val="000000"/>
                <w:szCs w:val="21"/>
              </w:rPr>
            </w:pPr>
          </w:p>
        </w:tc>
      </w:tr>
    </w:tbl>
    <w:p w14:paraId="50D3724C">
      <w:pPr>
        <w:pStyle w:val="14"/>
        <w:spacing w:line="360" w:lineRule="auto"/>
        <w:ind w:firstLine="0"/>
        <w:rPr>
          <w:sz w:val="21"/>
          <w:szCs w:val="21"/>
        </w:rPr>
      </w:pPr>
      <w:r>
        <w:rPr>
          <w:rFonts w:hint="eastAsia"/>
          <w:sz w:val="21"/>
          <w:szCs w:val="21"/>
        </w:rPr>
        <w:t>供应商（盖章）：</w:t>
      </w:r>
      <w:r>
        <w:rPr>
          <w:sz w:val="21"/>
          <w:szCs w:val="21"/>
        </w:rPr>
        <w:t xml:space="preserve"> </w:t>
      </w:r>
    </w:p>
    <w:p w14:paraId="0C59007F">
      <w:pPr>
        <w:pStyle w:val="14"/>
        <w:spacing w:line="360" w:lineRule="auto"/>
        <w:ind w:firstLine="0"/>
        <w:rPr>
          <w:sz w:val="21"/>
          <w:szCs w:val="21"/>
        </w:rPr>
      </w:pPr>
      <w:r>
        <w:rPr>
          <w:rFonts w:hint="eastAsia"/>
          <w:sz w:val="21"/>
          <w:szCs w:val="21"/>
        </w:rPr>
        <w:t>法定代表人或授权代表人（签字）：</w:t>
      </w:r>
    </w:p>
    <w:p w14:paraId="25F653E6">
      <w:pPr>
        <w:pStyle w:val="14"/>
        <w:spacing w:line="360" w:lineRule="auto"/>
        <w:ind w:firstLine="0"/>
        <w:rPr>
          <w:sz w:val="21"/>
          <w:szCs w:val="21"/>
        </w:rPr>
      </w:pPr>
      <w:r>
        <w:rPr>
          <w:rFonts w:hint="eastAsia"/>
          <w:sz w:val="21"/>
          <w:szCs w:val="21"/>
        </w:rPr>
        <w:t>日</w:t>
      </w:r>
      <w:r>
        <w:rPr>
          <w:sz w:val="21"/>
          <w:szCs w:val="21"/>
        </w:rPr>
        <w:t xml:space="preserve">         </w:t>
      </w:r>
      <w:r>
        <w:rPr>
          <w:rFonts w:hint="eastAsia"/>
          <w:sz w:val="21"/>
          <w:szCs w:val="21"/>
        </w:rPr>
        <w:t>期：</w:t>
      </w:r>
    </w:p>
    <w:p w14:paraId="4F10575B">
      <w:pPr>
        <w:pStyle w:val="16"/>
        <w:snapToGrid w:val="0"/>
        <w:spacing w:before="120" w:after="120" w:line="240" w:lineRule="auto"/>
        <w:jc w:val="center"/>
        <w:rPr>
          <w:rFonts w:hint="eastAsia" w:hAnsi="宋体" w:cs="宋体"/>
          <w:b/>
          <w:sz w:val="32"/>
          <w:szCs w:val="32"/>
        </w:rPr>
      </w:pPr>
      <w:r>
        <w:rPr>
          <w:rFonts w:hint="eastAsia" w:hAnsi="宋体" w:cs="宋体"/>
          <w:b/>
          <w:sz w:val="32"/>
          <w:szCs w:val="32"/>
        </w:rPr>
        <w:t>投标分项报价表（</w:t>
      </w:r>
      <w:r>
        <w:rPr>
          <w:rFonts w:hint="eastAsia" w:hAnsi="宋体" w:cs="宋体"/>
          <w:b/>
          <w:sz w:val="32"/>
          <w:szCs w:val="32"/>
          <w:lang w:val="en-US" w:eastAsia="zh-CN"/>
        </w:rPr>
        <w:t>三</w:t>
      </w:r>
      <w:r>
        <w:rPr>
          <w:rFonts w:hint="eastAsia" w:hAnsi="宋体" w:cs="宋体"/>
          <w:b/>
          <w:sz w:val="32"/>
          <w:szCs w:val="32"/>
        </w:rPr>
        <w:t>）</w:t>
      </w:r>
    </w:p>
    <w:p w14:paraId="1D9DED39">
      <w:pPr>
        <w:pStyle w:val="16"/>
        <w:snapToGrid w:val="0"/>
        <w:spacing w:before="120" w:after="120" w:line="240" w:lineRule="auto"/>
        <w:jc w:val="center"/>
        <w:rPr>
          <w:rFonts w:hint="eastAsia" w:hAnsi="宋体" w:cs="宋体"/>
          <w:b/>
          <w:sz w:val="32"/>
          <w:szCs w:val="32"/>
        </w:rPr>
      </w:pPr>
      <w:r>
        <w:rPr>
          <w:rFonts w:hint="eastAsia" w:hAnsi="宋体" w:cs="宋体"/>
          <w:b/>
          <w:sz w:val="32"/>
          <w:szCs w:val="32"/>
          <w:lang w:val="en-US" w:eastAsia="zh-CN"/>
        </w:rPr>
        <w:t>运维部分</w:t>
      </w:r>
    </w:p>
    <w:p w14:paraId="26300E9D">
      <w:pPr>
        <w:pStyle w:val="16"/>
        <w:snapToGrid w:val="0"/>
        <w:spacing w:before="120" w:after="120" w:line="360" w:lineRule="auto"/>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3"/>
        <w:tblW w:w="14171" w:type="dxa"/>
        <w:tblInd w:w="98" w:type="dxa"/>
        <w:tblLayout w:type="fixed"/>
        <w:tblCellMar>
          <w:top w:w="0" w:type="dxa"/>
          <w:left w:w="108" w:type="dxa"/>
          <w:bottom w:w="0" w:type="dxa"/>
          <w:right w:w="108" w:type="dxa"/>
        </w:tblCellMar>
      </w:tblPr>
      <w:tblGrid>
        <w:gridCol w:w="911"/>
        <w:gridCol w:w="2274"/>
        <w:gridCol w:w="6526"/>
        <w:gridCol w:w="810"/>
        <w:gridCol w:w="820"/>
        <w:gridCol w:w="960"/>
        <w:gridCol w:w="1090"/>
        <w:gridCol w:w="780"/>
      </w:tblGrid>
      <w:tr w14:paraId="2C1FC32A">
        <w:tblPrEx>
          <w:tblCellMar>
            <w:top w:w="0" w:type="dxa"/>
            <w:left w:w="108" w:type="dxa"/>
            <w:bottom w:w="0" w:type="dxa"/>
            <w:right w:w="108" w:type="dxa"/>
          </w:tblCellMar>
        </w:tblPrEx>
        <w:trPr>
          <w:trHeight w:val="292" w:hRule="atLeast"/>
          <w:tblHeader/>
        </w:trPr>
        <w:tc>
          <w:tcPr>
            <w:tcW w:w="91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73D89D1">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序号</w:t>
            </w:r>
          </w:p>
        </w:tc>
        <w:tc>
          <w:tcPr>
            <w:tcW w:w="227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9C34101">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项目名称</w:t>
            </w:r>
          </w:p>
        </w:tc>
        <w:tc>
          <w:tcPr>
            <w:tcW w:w="652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BA7E0A7">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技术要求</w:t>
            </w:r>
          </w:p>
        </w:tc>
        <w:tc>
          <w:tcPr>
            <w:tcW w:w="81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7D22C04">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人月</w:t>
            </w:r>
          </w:p>
        </w:tc>
        <w:tc>
          <w:tcPr>
            <w:tcW w:w="8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B6B0D65">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数量</w:t>
            </w:r>
          </w:p>
        </w:tc>
        <w:tc>
          <w:tcPr>
            <w:tcW w:w="9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194C377">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单价</w:t>
            </w:r>
          </w:p>
        </w:tc>
        <w:tc>
          <w:tcPr>
            <w:tcW w:w="10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8F26B12">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总价</w:t>
            </w:r>
          </w:p>
        </w:tc>
        <w:tc>
          <w:tcPr>
            <w:tcW w:w="78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7D0137D3">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备注</w:t>
            </w:r>
          </w:p>
        </w:tc>
      </w:tr>
      <w:tr w14:paraId="73623B1E">
        <w:tblPrEx>
          <w:tblCellMar>
            <w:top w:w="0" w:type="dxa"/>
            <w:left w:w="108" w:type="dxa"/>
            <w:bottom w:w="0" w:type="dxa"/>
            <w:right w:w="108" w:type="dxa"/>
          </w:tblCellMar>
        </w:tblPrEx>
        <w:trPr>
          <w:trHeight w:val="362" w:hRule="atLeast"/>
          <w:tblHeader/>
        </w:trPr>
        <w:tc>
          <w:tcPr>
            <w:tcW w:w="91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2BB10A8">
            <w:pPr>
              <w:spacing w:line="360" w:lineRule="auto"/>
              <w:jc w:val="center"/>
              <w:rPr>
                <w:rFonts w:ascii="Times New Roman" w:hAnsi="Times New Roman" w:cs="Times New Roman"/>
                <w:b/>
                <w:bCs/>
                <w:color w:val="000000"/>
                <w:szCs w:val="21"/>
              </w:rPr>
            </w:pPr>
          </w:p>
        </w:tc>
        <w:tc>
          <w:tcPr>
            <w:tcW w:w="227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13DB9D4">
            <w:pPr>
              <w:spacing w:line="360" w:lineRule="auto"/>
              <w:jc w:val="center"/>
              <w:rPr>
                <w:rFonts w:ascii="Times New Roman" w:hAnsi="Times New Roman" w:cs="Times New Roman"/>
                <w:b/>
                <w:bCs/>
                <w:color w:val="000000"/>
                <w:szCs w:val="21"/>
              </w:rPr>
            </w:pPr>
          </w:p>
        </w:tc>
        <w:tc>
          <w:tcPr>
            <w:tcW w:w="652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4CF246E">
            <w:pPr>
              <w:spacing w:line="360" w:lineRule="auto"/>
              <w:jc w:val="center"/>
              <w:rPr>
                <w:rFonts w:ascii="Times New Roman" w:hAnsi="Times New Roman" w:cs="Times New Roman"/>
                <w:b/>
                <w:bCs/>
                <w:color w:val="000000"/>
                <w:szCs w:val="21"/>
              </w:rPr>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634CA63">
            <w:pPr>
              <w:spacing w:line="360" w:lineRule="auto"/>
              <w:jc w:val="center"/>
              <w:rPr>
                <w:rFonts w:ascii="Times New Roman" w:hAnsi="Times New Roman" w:cs="Times New Roman"/>
                <w:b/>
                <w:bCs/>
                <w:color w:val="000000"/>
                <w:szCs w:val="21"/>
              </w:rPr>
            </w:pPr>
          </w:p>
        </w:tc>
        <w:tc>
          <w:tcPr>
            <w:tcW w:w="82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BFEA12C">
            <w:pPr>
              <w:spacing w:line="360" w:lineRule="auto"/>
              <w:jc w:val="center"/>
              <w:rPr>
                <w:rFonts w:ascii="Times New Roman" w:hAnsi="Times New Roman" w:cs="Times New Roman"/>
                <w:b/>
                <w:bCs/>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741">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B32">
            <w:pPr>
              <w:widowControl/>
              <w:spacing w:line="360" w:lineRule="auto"/>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（元）</w:t>
            </w:r>
          </w:p>
        </w:tc>
        <w:tc>
          <w:tcPr>
            <w:tcW w:w="78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F480756">
            <w:pPr>
              <w:spacing w:line="360" w:lineRule="auto"/>
              <w:jc w:val="center"/>
              <w:rPr>
                <w:rFonts w:ascii="Times New Roman" w:hAnsi="Times New Roman" w:cs="Times New Roman"/>
                <w:b/>
                <w:bCs/>
                <w:color w:val="000000"/>
                <w:szCs w:val="21"/>
              </w:rPr>
            </w:pPr>
          </w:p>
        </w:tc>
      </w:tr>
      <w:tr w14:paraId="2EA770D2">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3BD192">
            <w:pPr>
              <w:widowControl/>
              <w:spacing w:line="360" w:lineRule="auto"/>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2BF5">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CBA2">
            <w:pPr>
              <w:spacing w:line="360" w:lineRule="auto"/>
              <w:jc w:val="center"/>
              <w:rPr>
                <w:rFonts w:ascii="Times New Roman" w:hAnsi="Times New Roman" w:cs="Times New Roman"/>
                <w:b/>
                <w:bCs/>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6010">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247">
            <w:pPr>
              <w:spacing w:line="360" w:lineRule="auto"/>
              <w:jc w:val="center"/>
              <w:rPr>
                <w:rFonts w:ascii="Times New Roman" w:hAnsi="Times New Roman" w:cs="Times New Roman"/>
                <w:b/>
                <w:bCs/>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9C4">
            <w:pPr>
              <w:spacing w:line="360" w:lineRule="auto"/>
              <w:jc w:val="center"/>
              <w:rPr>
                <w:rFonts w:ascii="Times New Roman" w:hAnsi="Times New Roman" w:cs="Times New Roman"/>
                <w:b/>
                <w:bCs/>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D4C1">
            <w:pPr>
              <w:spacing w:line="360" w:lineRule="auto"/>
              <w:jc w:val="center"/>
              <w:rPr>
                <w:rFonts w:ascii="Times New Roman" w:hAnsi="Times New Roman" w:cs="Times New Roman"/>
                <w:b/>
                <w:bCs/>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16E42B">
            <w:pPr>
              <w:spacing w:line="360" w:lineRule="auto"/>
              <w:jc w:val="center"/>
              <w:rPr>
                <w:rFonts w:ascii="Times New Roman" w:hAnsi="Times New Roman" w:cs="Times New Roman"/>
                <w:b/>
                <w:bCs/>
                <w:color w:val="000000"/>
                <w:szCs w:val="21"/>
              </w:rPr>
            </w:pPr>
          </w:p>
        </w:tc>
      </w:tr>
      <w:tr w14:paraId="1403BA3A">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2D1F17">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8A00">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9A7B">
            <w:pPr>
              <w:spacing w:line="360" w:lineRule="auto"/>
              <w:jc w:val="center"/>
              <w:rPr>
                <w:rFonts w:ascii="Times New Roman" w:hAnsi="Times New Roman" w:cs="Times New Roman"/>
                <w:b/>
                <w:bCs/>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B17E">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63FB">
            <w:pPr>
              <w:spacing w:line="360" w:lineRule="auto"/>
              <w:jc w:val="center"/>
              <w:rPr>
                <w:rFonts w:ascii="Times New Roman" w:hAnsi="Times New Roman" w:cs="Times New Roman"/>
                <w:b/>
                <w:bCs/>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C1E1">
            <w:pPr>
              <w:spacing w:line="360" w:lineRule="auto"/>
              <w:jc w:val="center"/>
              <w:rPr>
                <w:rFonts w:ascii="Times New Roman" w:hAnsi="Times New Roman" w:cs="Times New Roman"/>
                <w:b/>
                <w:bCs/>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CD3D">
            <w:pPr>
              <w:spacing w:line="360" w:lineRule="auto"/>
              <w:jc w:val="center"/>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382778">
            <w:pPr>
              <w:spacing w:line="360" w:lineRule="auto"/>
              <w:jc w:val="center"/>
              <w:rPr>
                <w:rFonts w:ascii="Times New Roman" w:hAnsi="Times New Roman" w:cs="Times New Roman"/>
                <w:b/>
                <w:bCs/>
                <w:color w:val="000000"/>
                <w:szCs w:val="21"/>
              </w:rPr>
            </w:pPr>
          </w:p>
        </w:tc>
      </w:tr>
      <w:tr w14:paraId="00BA2F97">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D6A7DB">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A8DE">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B96E">
            <w:pPr>
              <w:spacing w:line="360" w:lineRule="auto"/>
              <w:jc w:val="left"/>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B962">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7A1C">
            <w:pPr>
              <w:spacing w:line="360" w:lineRule="auto"/>
              <w:jc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42DA">
            <w:pPr>
              <w:spacing w:line="360" w:lineRule="auto"/>
              <w:jc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6BA">
            <w:pPr>
              <w:spacing w:line="360" w:lineRule="auto"/>
              <w:jc w:val="center"/>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8069B6">
            <w:pPr>
              <w:spacing w:line="360" w:lineRule="auto"/>
              <w:jc w:val="center"/>
              <w:rPr>
                <w:rFonts w:ascii="Times New Roman" w:hAnsi="Times New Roman" w:cs="Times New Roman"/>
                <w:color w:val="000000"/>
                <w:szCs w:val="21"/>
              </w:rPr>
            </w:pPr>
          </w:p>
        </w:tc>
      </w:tr>
      <w:tr w14:paraId="744C8C48">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284D66">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B12">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25AC">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C245">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2CC">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D7C">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AD44">
            <w:pPr>
              <w:widowControl/>
              <w:spacing w:line="360" w:lineRule="auto"/>
              <w:jc w:val="center"/>
              <w:textAlignment w:val="center"/>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A0AFA2">
            <w:pPr>
              <w:spacing w:line="360" w:lineRule="auto"/>
              <w:rPr>
                <w:rFonts w:ascii="Times New Roman" w:hAnsi="Times New Roman" w:cs="Times New Roman"/>
                <w:color w:val="000000"/>
                <w:szCs w:val="21"/>
              </w:rPr>
            </w:pPr>
          </w:p>
        </w:tc>
      </w:tr>
      <w:tr w14:paraId="34E3417B">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44570A">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BFC4">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FBBC">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2032">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6D99">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3C71">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FEC1">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409E1D">
            <w:pPr>
              <w:spacing w:line="360" w:lineRule="auto"/>
              <w:rPr>
                <w:rFonts w:ascii="Times New Roman" w:hAnsi="Times New Roman" w:cs="Times New Roman"/>
                <w:color w:val="000000"/>
                <w:szCs w:val="21"/>
              </w:rPr>
            </w:pPr>
          </w:p>
        </w:tc>
      </w:tr>
      <w:tr w14:paraId="2E0F7BA2">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898B3E">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0EAF">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D9C6">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3904">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BA79">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9A5C">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83DA">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C6DF2A">
            <w:pPr>
              <w:spacing w:line="360" w:lineRule="auto"/>
              <w:rPr>
                <w:rFonts w:ascii="Times New Roman" w:hAnsi="Times New Roman" w:cs="Times New Roman"/>
                <w:color w:val="000000"/>
                <w:szCs w:val="21"/>
              </w:rPr>
            </w:pPr>
          </w:p>
        </w:tc>
      </w:tr>
      <w:tr w14:paraId="52FC6012">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FF0B69">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F742">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0549">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8F85">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E7D">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D866">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DED5">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F91677">
            <w:pPr>
              <w:spacing w:line="360" w:lineRule="auto"/>
              <w:rPr>
                <w:rFonts w:ascii="Times New Roman" w:hAnsi="Times New Roman" w:cs="Times New Roman"/>
                <w:color w:val="000000"/>
                <w:szCs w:val="21"/>
              </w:rPr>
            </w:pPr>
          </w:p>
        </w:tc>
      </w:tr>
      <w:tr w14:paraId="23A87B9B">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3C88C2">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B92C">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7BAE">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8630">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3BC3">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E3DA">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FB3A">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DCB2FB">
            <w:pPr>
              <w:spacing w:line="360" w:lineRule="auto"/>
              <w:rPr>
                <w:rFonts w:ascii="Times New Roman" w:hAnsi="Times New Roman" w:cs="Times New Roman"/>
                <w:color w:val="000000"/>
                <w:szCs w:val="21"/>
              </w:rPr>
            </w:pPr>
          </w:p>
        </w:tc>
      </w:tr>
      <w:tr w14:paraId="728155CC">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F955A1">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7F59">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F4A0">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8624">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B01">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FF55">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0564">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7D8E96">
            <w:pPr>
              <w:spacing w:line="360" w:lineRule="auto"/>
              <w:rPr>
                <w:rFonts w:ascii="Times New Roman" w:hAnsi="Times New Roman" w:cs="Times New Roman"/>
                <w:color w:val="000000"/>
                <w:szCs w:val="21"/>
              </w:rPr>
            </w:pPr>
          </w:p>
        </w:tc>
      </w:tr>
      <w:tr w14:paraId="0436DE07">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D723F3">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8552">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A65E">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76A7">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24AC">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0DE">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21AE">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38B050">
            <w:pPr>
              <w:spacing w:line="360" w:lineRule="auto"/>
              <w:rPr>
                <w:rFonts w:ascii="Times New Roman" w:hAnsi="Times New Roman" w:cs="Times New Roman"/>
                <w:color w:val="000000"/>
                <w:szCs w:val="21"/>
              </w:rPr>
            </w:pPr>
          </w:p>
        </w:tc>
      </w:tr>
      <w:tr w14:paraId="4226424E">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8BC86A">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1F5C">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3315">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32A2">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740A">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E144">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4FD2">
            <w:pPr>
              <w:widowControl/>
              <w:spacing w:line="360" w:lineRule="auto"/>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546643">
            <w:pPr>
              <w:spacing w:line="360" w:lineRule="auto"/>
              <w:rPr>
                <w:rFonts w:ascii="Times New Roman" w:hAnsi="Times New Roman" w:cs="Times New Roman"/>
                <w:color w:val="000000"/>
                <w:szCs w:val="21"/>
              </w:rPr>
            </w:pPr>
          </w:p>
        </w:tc>
      </w:tr>
      <w:tr w14:paraId="16277A3A">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51CCED">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81F9">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F255">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8E0B">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7C05">
            <w:pPr>
              <w:spacing w:line="360" w:lineRule="auto"/>
              <w:jc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BAFC">
            <w:pPr>
              <w:spacing w:line="360" w:lineRule="auto"/>
              <w:jc w:val="center"/>
              <w:rPr>
                <w:rFonts w:ascii="Times New Roman" w:hAnsi="Times New Roman" w:cs="Times New Roman"/>
                <w:b/>
                <w:bCs/>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6869">
            <w:pPr>
              <w:spacing w:line="360" w:lineRule="auto"/>
              <w:rPr>
                <w:rFonts w:ascii="Times New Roman" w:hAnsi="Times New Roman" w:cs="Times New Roman"/>
                <w:b/>
                <w:bCs/>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9006AA">
            <w:pPr>
              <w:spacing w:line="360" w:lineRule="auto"/>
              <w:rPr>
                <w:rFonts w:ascii="Times New Roman" w:hAnsi="Times New Roman" w:cs="Times New Roman"/>
                <w:color w:val="000000"/>
                <w:szCs w:val="21"/>
              </w:rPr>
            </w:pPr>
          </w:p>
        </w:tc>
      </w:tr>
      <w:tr w14:paraId="47B3DEEE">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5BE15E">
            <w:pPr>
              <w:widowControl/>
              <w:spacing w:line="360" w:lineRule="auto"/>
              <w:jc w:val="center"/>
              <w:textAlignment w:val="center"/>
              <w:rPr>
                <w:rFonts w:ascii="Times New Roman" w:hAnsi="Times New Roman" w:cs="Times New Roman"/>
                <w:b/>
                <w:bCs/>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8109">
            <w:pPr>
              <w:widowControl/>
              <w:spacing w:line="360" w:lineRule="auto"/>
              <w:jc w:val="center"/>
              <w:textAlignment w:val="center"/>
              <w:rPr>
                <w:rFonts w:ascii="Times New Roman" w:hAnsi="Times New Roman" w:cs="Times New Roman"/>
                <w:b/>
                <w:bCs/>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B90B">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E56">
            <w:pPr>
              <w:spacing w:line="360" w:lineRule="auto"/>
              <w:jc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1C55">
            <w:pPr>
              <w:spacing w:line="360" w:lineRule="auto"/>
              <w:jc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130A">
            <w:pPr>
              <w:spacing w:line="360" w:lineRule="auto"/>
              <w:jc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CEEB">
            <w:pPr>
              <w:spacing w:line="360" w:lineRule="auto"/>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B6B7BF">
            <w:pPr>
              <w:spacing w:line="360" w:lineRule="auto"/>
              <w:rPr>
                <w:rFonts w:ascii="Times New Roman" w:hAnsi="Times New Roman" w:cs="Times New Roman"/>
                <w:color w:val="000000"/>
                <w:szCs w:val="21"/>
              </w:rPr>
            </w:pPr>
          </w:p>
        </w:tc>
      </w:tr>
      <w:tr w14:paraId="6820DB59">
        <w:tblPrEx>
          <w:tblCellMar>
            <w:top w:w="0" w:type="dxa"/>
            <w:left w:w="108" w:type="dxa"/>
            <w:bottom w:w="0" w:type="dxa"/>
            <w:right w:w="108" w:type="dxa"/>
          </w:tblCellMar>
        </w:tblPrEx>
        <w:trPr>
          <w:trHeight w:val="23" w:hRule="atLeast"/>
        </w:trPr>
        <w:tc>
          <w:tcPr>
            <w:tcW w:w="91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FB4CA1">
            <w:pPr>
              <w:widowControl/>
              <w:spacing w:line="360" w:lineRule="auto"/>
              <w:jc w:val="center"/>
              <w:textAlignment w:val="center"/>
              <w:rPr>
                <w:rFonts w:ascii="Times New Roman" w:hAnsi="Times New Roman" w:cs="Times New Roman"/>
                <w:color w:val="000000"/>
                <w:szCs w:val="21"/>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A0B">
            <w:pPr>
              <w:widowControl/>
              <w:spacing w:line="360" w:lineRule="auto"/>
              <w:jc w:val="center"/>
              <w:textAlignment w:val="center"/>
              <w:rPr>
                <w:rFonts w:ascii="Times New Roman" w:hAnsi="Times New Roman" w:cs="Times New Roman"/>
                <w:color w:val="000000"/>
                <w:szCs w:val="21"/>
              </w:rPr>
            </w:pPr>
          </w:p>
        </w:tc>
        <w:tc>
          <w:tcPr>
            <w:tcW w:w="6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A429">
            <w:pPr>
              <w:widowControl/>
              <w:spacing w:line="360" w:lineRule="auto"/>
              <w:jc w:val="center"/>
              <w:textAlignment w:val="center"/>
              <w:rPr>
                <w:rFonts w:ascii="Times New Roman" w:hAnsi="Times New Roman" w:cs="Times New Roman"/>
                <w:color w:val="000000"/>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FDE7">
            <w:pPr>
              <w:widowControl/>
              <w:spacing w:line="360" w:lineRule="auto"/>
              <w:jc w:val="center"/>
              <w:textAlignment w:val="center"/>
              <w:rPr>
                <w:rFonts w:ascii="Times New Roman" w:hAnsi="Times New Roman" w:cs="Times New Roman"/>
                <w:color w:val="000000"/>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F17">
            <w:pPr>
              <w:widowControl/>
              <w:spacing w:line="360" w:lineRule="auto"/>
              <w:jc w:val="center"/>
              <w:textAlignment w:val="center"/>
              <w:rPr>
                <w:rFonts w:ascii="Times New Roman" w:hAnsi="Times New Roman" w:cs="Times New Roman"/>
                <w:color w:val="00000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FC19">
            <w:pPr>
              <w:widowControl/>
              <w:spacing w:line="360" w:lineRule="auto"/>
              <w:jc w:val="center"/>
              <w:textAlignment w:val="center"/>
              <w:rPr>
                <w:rFonts w:ascii="Times New Roman" w:hAnsi="Times New Roman" w:cs="Times New Roman"/>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E2FA">
            <w:pPr>
              <w:widowControl/>
              <w:spacing w:line="360" w:lineRule="auto"/>
              <w:jc w:val="center"/>
              <w:textAlignment w:val="center"/>
              <w:rPr>
                <w:rFonts w:ascii="Times New Roman" w:hAnsi="Times New Roman" w:cs="Times New Roman"/>
                <w:color w:val="000000"/>
                <w:szCs w:val="21"/>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E49E08">
            <w:pPr>
              <w:spacing w:line="360" w:lineRule="auto"/>
              <w:rPr>
                <w:rFonts w:ascii="Times New Roman" w:hAnsi="Times New Roman" w:cs="Times New Roman"/>
                <w:color w:val="000000"/>
                <w:szCs w:val="21"/>
              </w:rPr>
            </w:pPr>
          </w:p>
        </w:tc>
      </w:tr>
    </w:tbl>
    <w:p w14:paraId="5C39CFBF">
      <w:pPr>
        <w:pStyle w:val="14"/>
        <w:spacing w:line="360" w:lineRule="auto"/>
        <w:ind w:firstLine="0"/>
        <w:rPr>
          <w:sz w:val="21"/>
          <w:szCs w:val="21"/>
        </w:rPr>
      </w:pPr>
      <w:r>
        <w:rPr>
          <w:rFonts w:hint="eastAsia"/>
          <w:sz w:val="21"/>
          <w:szCs w:val="21"/>
        </w:rPr>
        <w:t>供应商（盖章）：</w:t>
      </w:r>
      <w:r>
        <w:rPr>
          <w:sz w:val="21"/>
          <w:szCs w:val="21"/>
        </w:rPr>
        <w:t xml:space="preserve"> </w:t>
      </w:r>
    </w:p>
    <w:p w14:paraId="7FE02B37">
      <w:pPr>
        <w:pStyle w:val="14"/>
        <w:spacing w:line="360" w:lineRule="auto"/>
        <w:ind w:firstLine="0"/>
        <w:rPr>
          <w:sz w:val="21"/>
          <w:szCs w:val="21"/>
        </w:rPr>
      </w:pPr>
      <w:r>
        <w:rPr>
          <w:rFonts w:hint="eastAsia"/>
          <w:sz w:val="21"/>
          <w:szCs w:val="21"/>
        </w:rPr>
        <w:t>法定代表人或授权代表人（签字）：</w:t>
      </w:r>
    </w:p>
    <w:p w14:paraId="7BF5480D">
      <w:pPr>
        <w:pStyle w:val="14"/>
        <w:spacing w:line="360" w:lineRule="auto"/>
        <w:ind w:firstLine="0"/>
        <w:rPr>
          <w:sz w:val="21"/>
          <w:szCs w:val="21"/>
        </w:rPr>
      </w:pPr>
      <w:r>
        <w:rPr>
          <w:rFonts w:hint="eastAsia"/>
          <w:sz w:val="21"/>
          <w:szCs w:val="21"/>
        </w:rPr>
        <w:t>日</w:t>
      </w:r>
      <w:r>
        <w:rPr>
          <w:sz w:val="21"/>
          <w:szCs w:val="21"/>
        </w:rPr>
        <w:t xml:space="preserve">         </w:t>
      </w:r>
      <w:r>
        <w:rPr>
          <w:rFonts w:hint="eastAsia"/>
          <w:sz w:val="21"/>
          <w:szCs w:val="21"/>
        </w:rPr>
        <w:t>期：</w:t>
      </w:r>
    </w:p>
    <w:p w14:paraId="52E6F7F9">
      <w:pPr>
        <w:pStyle w:val="16"/>
        <w:snapToGrid w:val="0"/>
        <w:spacing w:before="120" w:after="120" w:line="360" w:lineRule="auto"/>
        <w:rPr>
          <w:rFonts w:hint="eastAsia" w:hAnsi="宋体" w:cs="宋体"/>
          <w:color w:val="FF0000"/>
          <w:sz w:val="21"/>
          <w:szCs w:val="21"/>
        </w:rPr>
        <w:sectPr>
          <w:footerReference r:id="rId15" w:type="first"/>
          <w:pgSz w:w="16838" w:h="11906" w:orient="landscape"/>
          <w:pgMar w:top="1134" w:right="1474" w:bottom="1134" w:left="1247" w:header="851" w:footer="851" w:gutter="0"/>
          <w:pgNumType w:fmt="decimal"/>
          <w:cols w:space="720" w:num="1"/>
          <w:titlePg/>
          <w:docGrid w:linePitch="312" w:charSpace="0"/>
        </w:sectPr>
      </w:pPr>
      <w:r>
        <w:rPr>
          <w:rFonts w:hint="eastAsia" w:hAnsi="宋体" w:cs="宋体"/>
          <w:color w:val="FF0000"/>
          <w:sz w:val="21"/>
          <w:szCs w:val="21"/>
        </w:rPr>
        <w:t>注：以上分项报价表仅供查考，分项内容可根据各供应商投标文件编制情况自行拟定</w:t>
      </w:r>
    </w:p>
    <w:p w14:paraId="1D751F11">
      <w:pPr>
        <w:rPr>
          <w:rFonts w:ascii="宋体"/>
          <w:b/>
          <w:szCs w:val="21"/>
        </w:rPr>
      </w:pPr>
      <w:r>
        <w:rPr>
          <w:rFonts w:hint="eastAsia" w:ascii="宋体" w:hAnsi="宋体" w:cs="宋体"/>
          <w:b/>
          <w:bCs/>
          <w:szCs w:val="21"/>
        </w:rPr>
        <w:t>格式三：供应商针对报价需要说明的其他文件和说明（格式自拟）</w:t>
      </w:r>
    </w:p>
    <w:p w14:paraId="5F507225">
      <w:pPr>
        <w:pStyle w:val="16"/>
        <w:numPr>
          <w:ilvl w:val="0"/>
          <w:numId w:val="21"/>
        </w:numPr>
        <w:snapToGrid w:val="0"/>
        <w:spacing w:before="156" w:after="156" w:line="360" w:lineRule="auto"/>
        <w:jc w:val="center"/>
        <w:rPr>
          <w:rFonts w:hint="eastAsia" w:hAnsi="宋体"/>
          <w:b/>
          <w:sz w:val="30"/>
        </w:rPr>
      </w:pPr>
      <w:r>
        <w:rPr>
          <w:rFonts w:hint="eastAsia" w:hAnsi="宋体" w:cs="宋体"/>
          <w:szCs w:val="21"/>
        </w:rPr>
        <w:br w:type="page"/>
      </w:r>
      <w:r>
        <w:rPr>
          <w:rFonts w:hint="eastAsia" w:hAnsi="宋体"/>
          <w:b/>
          <w:sz w:val="30"/>
        </w:rPr>
        <w:t>合同样本</w:t>
      </w:r>
    </w:p>
    <w:p w14:paraId="54412355">
      <w:pPr>
        <w:pStyle w:val="16"/>
        <w:snapToGrid w:val="0"/>
        <w:spacing w:before="156" w:after="156" w:line="360" w:lineRule="auto"/>
        <w:jc w:val="center"/>
        <w:rPr>
          <w:rFonts w:hint="eastAsia" w:hAnsi="宋体"/>
          <w:b/>
        </w:rPr>
      </w:pPr>
      <w:r>
        <w:rPr>
          <w:rFonts w:hint="eastAsia" w:hAnsi="宋体"/>
          <w:b/>
          <w:sz w:val="30"/>
        </w:rPr>
        <w:t>（本合同为参照样稿，最终稿由甲乙双方协商后确定）</w:t>
      </w:r>
    </w:p>
    <w:p w14:paraId="713096E6">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w:t>
      </w:r>
    </w:p>
    <w:p w14:paraId="0E47F02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甲方（需方）：                                     </w:t>
      </w:r>
    </w:p>
    <w:p w14:paraId="1F1B9C2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乙方（供方）：                                     </w:t>
      </w:r>
    </w:p>
    <w:p w14:paraId="1E9149D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项目（招标编号: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）招标结果和招标文件的要求，并经双方协调一致，订立本采购合同。</w:t>
      </w:r>
    </w:p>
    <w:p w14:paraId="5B2239A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一、合同文件：</w:t>
      </w:r>
    </w:p>
    <w:p w14:paraId="4EBA6E1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1.合同条款。</w:t>
      </w:r>
    </w:p>
    <w:p w14:paraId="2C12697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2.中标通知书。</w:t>
      </w:r>
    </w:p>
    <w:p w14:paraId="52754B70">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3.招标文件。</w:t>
      </w:r>
    </w:p>
    <w:p w14:paraId="3BE2EDB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4.更正公告。</w:t>
      </w:r>
    </w:p>
    <w:p w14:paraId="56EA181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5.中标单位投标文件。</w:t>
      </w:r>
    </w:p>
    <w:p w14:paraId="7B93823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6.其他。</w:t>
      </w:r>
    </w:p>
    <w:p w14:paraId="244B185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14:paraId="34C2BA2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33"/>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14:paraId="1852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4C42557">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567DFBFB">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7A18C82B">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627BC3F7">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68EE748A">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025C6754">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中标总价（元）</w:t>
            </w:r>
          </w:p>
        </w:tc>
      </w:tr>
      <w:tr w14:paraId="03C6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2E14B727">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14:paraId="762A4896">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4614D4E">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5DC4519A">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2AB7C12B">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1B66C64C">
            <w:pPr>
              <w:widowControl/>
              <w:spacing w:line="400" w:lineRule="exact"/>
              <w:ind w:firstLine="420" w:firstLineChars="200"/>
              <w:jc w:val="center"/>
              <w:rPr>
                <w:rFonts w:hint="eastAsia" w:asciiTheme="minorEastAsia" w:hAnsiTheme="minorEastAsia" w:eastAsiaTheme="minorEastAsia"/>
                <w:szCs w:val="21"/>
              </w:rPr>
            </w:pPr>
          </w:p>
        </w:tc>
      </w:tr>
      <w:tr w14:paraId="6D95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14:paraId="14222138">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14:paraId="2AE46927">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8C66A3B">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6BC41FD8">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0D4DA417">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13750214">
            <w:pPr>
              <w:widowControl/>
              <w:spacing w:line="400" w:lineRule="exact"/>
              <w:ind w:firstLine="420" w:firstLineChars="200"/>
              <w:jc w:val="center"/>
              <w:rPr>
                <w:rFonts w:hint="eastAsia" w:asciiTheme="minorEastAsia" w:hAnsiTheme="minorEastAsia" w:eastAsiaTheme="minorEastAsia"/>
                <w:szCs w:val="21"/>
              </w:rPr>
            </w:pPr>
          </w:p>
        </w:tc>
      </w:tr>
    </w:tbl>
    <w:p w14:paraId="0D99816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三、质量要求及乙方对质量负责条件和期限：</w:t>
      </w:r>
    </w:p>
    <w:p w14:paraId="4DA8660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1.乙方提供的货物必须是现货、全新，符合招标要求的规格型号和技术指标。乙方对货物提供</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年的免费保修期（货物厂家另有超过此质保期的按原规定执行），保修期内非因甲方的人为原因而出现质量问题的，由乙方负责包修、包换或者包退，并承担调换或退货的实际费用。</w:t>
      </w:r>
    </w:p>
    <w:p w14:paraId="6A9879A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2.乙方在维保期内接到用户单位的电话后，在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小时内响应，</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小时以内到现场，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小时以内解决问题，不能修复的，必须采取无偿提供备品、备件或备机等措施，以保证用户单位的正常使用。</w:t>
      </w:r>
    </w:p>
    <w:p w14:paraId="14E0DCC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3.在质保期内，中标单位需每年一次对采购方指定人员进行免费培训。</w:t>
      </w:r>
    </w:p>
    <w:p w14:paraId="57C79190">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14:paraId="43F99AC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交货地点：                                                               </w:t>
      </w:r>
    </w:p>
    <w:p w14:paraId="1206C1E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五、货款支付</w:t>
      </w:r>
    </w:p>
    <w:p w14:paraId="0A643AF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1.付款方式：</w:t>
      </w:r>
    </w:p>
    <w:p w14:paraId="38EAFB9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六、履约保证金</w:t>
      </w:r>
    </w:p>
    <w:p w14:paraId="764F576D">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履约保证金：为保证政府采购项目合同的顺利执行，乙方在本合同签订之前，其中标价的___%作为履约保证金（银行汇票形式）交付采购人。待项目验收合格后，由采购人将履约保证金无息退还乙方。</w:t>
      </w:r>
    </w:p>
    <w:p w14:paraId="519FA63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七、违约责任</w:t>
      </w:r>
    </w:p>
    <w:p w14:paraId="00ACE0E0">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1.甲方无正当理由拒收货物的，甲方向乙方偿付拒收货款总值的百分之五违约金。</w:t>
      </w:r>
    </w:p>
    <w:p w14:paraId="34B1996D">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14:paraId="248D86B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596C6586">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4.因甲方原因逾期支付合同款，自逾期之日起，向乙方每日偿付合同总价千分之二的滞纳金；甲方无正当理由拒付货款的，应向乙方偿付合同总价百分之五的违约金。</w:t>
      </w:r>
    </w:p>
    <w:p w14:paraId="197EF54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5.乙方在项目验收合格之日起保修期内违反本合同有关承诺保证的，按合同第九条处理。</w:t>
      </w:r>
    </w:p>
    <w:p w14:paraId="58AFE19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6.如发现乙方违反招投标文件和合同的有关规定，甲方有权根据约定对乙方进行处罚，并有权提前终止合同。</w:t>
      </w:r>
    </w:p>
    <w:p w14:paraId="49DD834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八、调试和验收</w:t>
      </w:r>
    </w:p>
    <w:p w14:paraId="10D9608E">
      <w:pPr>
        <w:pStyle w:val="16"/>
        <w:snapToGrid w:val="0"/>
        <w:spacing w:beforeLines="0" w:afterLines="0"/>
        <w:ind w:firstLine="420" w:firstLineChars="200"/>
        <w:jc w:val="left"/>
        <w:rPr>
          <w:rFonts w:hint="eastAsia" w:hAnsi="宋体"/>
          <w:sz w:val="21"/>
          <w:szCs w:val="21"/>
        </w:rPr>
      </w:pPr>
      <w:r>
        <w:rPr>
          <w:rFonts w:hAnsi="宋体"/>
          <w:sz w:val="21"/>
          <w:szCs w:val="21"/>
        </w:rPr>
        <w:t>1</w:t>
      </w:r>
      <w:r>
        <w:rPr>
          <w:rFonts w:hint="eastAsia" w:hAnsi="宋体"/>
          <w:sz w:val="21"/>
          <w:szCs w:val="21"/>
        </w:rPr>
        <w:t>.</w:t>
      </w:r>
      <w:r>
        <w:rPr>
          <w:rFonts w:hAnsi="宋体"/>
          <w:sz w:val="21"/>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B829E23">
      <w:pPr>
        <w:pStyle w:val="16"/>
        <w:snapToGrid w:val="0"/>
        <w:spacing w:beforeLines="0" w:afterLines="0"/>
        <w:ind w:firstLine="420" w:firstLineChars="200"/>
        <w:rPr>
          <w:rFonts w:hint="eastAsia" w:hAnsi="宋体"/>
          <w:sz w:val="21"/>
          <w:szCs w:val="21"/>
        </w:rPr>
      </w:pPr>
      <w:r>
        <w:rPr>
          <w:rFonts w:hAnsi="宋体"/>
          <w:sz w:val="21"/>
          <w:szCs w:val="21"/>
        </w:rPr>
        <w:t>2</w:t>
      </w:r>
      <w:r>
        <w:rPr>
          <w:rFonts w:hint="eastAsia" w:hAnsi="宋体"/>
          <w:sz w:val="21"/>
          <w:szCs w:val="21"/>
        </w:rPr>
        <w:t>.</w:t>
      </w:r>
      <w:r>
        <w:rPr>
          <w:rFonts w:hAnsi="宋体"/>
          <w:sz w:val="21"/>
          <w:szCs w:val="21"/>
        </w:rPr>
        <w:t>乙方交货前应对产品作出全面检查和对验收文件进行整理，并列出清单，作为甲方收货验收和使用的技术条件依据，检验的结果应随货物交甲方。</w:t>
      </w:r>
    </w:p>
    <w:p w14:paraId="4EA8EA27">
      <w:pPr>
        <w:pStyle w:val="16"/>
        <w:snapToGrid w:val="0"/>
        <w:spacing w:beforeLines="0" w:afterLines="0"/>
        <w:ind w:firstLine="420" w:firstLineChars="200"/>
        <w:rPr>
          <w:rFonts w:hint="eastAsia" w:hAnsi="宋体"/>
          <w:sz w:val="21"/>
          <w:szCs w:val="21"/>
          <w:u w:val="single"/>
        </w:rPr>
      </w:pPr>
      <w:r>
        <w:rPr>
          <w:rFonts w:hAnsi="宋体"/>
          <w:sz w:val="21"/>
          <w:szCs w:val="21"/>
        </w:rPr>
        <w:t>3</w:t>
      </w:r>
      <w:r>
        <w:rPr>
          <w:rFonts w:hint="eastAsia" w:hAnsi="宋体"/>
          <w:sz w:val="21"/>
          <w:szCs w:val="21"/>
        </w:rPr>
        <w:t>.</w:t>
      </w:r>
      <w:r>
        <w:rPr>
          <w:rFonts w:hAnsi="宋体"/>
          <w:sz w:val="21"/>
          <w:szCs w:val="21"/>
        </w:rPr>
        <w:t>甲方对乙方提供的货物在使用前进行调试时，乙方需负责安装并培训甲方的使用操作人员，并协助甲方一起调试，直到符合技术要求，甲方才做最终验收。</w:t>
      </w:r>
    </w:p>
    <w:p w14:paraId="3407E57D">
      <w:pPr>
        <w:pStyle w:val="16"/>
        <w:snapToGrid w:val="0"/>
        <w:spacing w:beforeLines="0" w:afterLines="0"/>
        <w:ind w:firstLine="420" w:firstLineChars="200"/>
        <w:rPr>
          <w:rFonts w:hint="eastAsia" w:asciiTheme="minorEastAsia" w:hAnsiTheme="minorEastAsia" w:eastAsiaTheme="minorEastAsia" w:cstheme="minorEastAsia"/>
          <w:sz w:val="21"/>
          <w:szCs w:val="21"/>
        </w:rPr>
      </w:pPr>
      <w:r>
        <w:rPr>
          <w:rFonts w:hAnsi="宋体"/>
          <w:sz w:val="21"/>
          <w:szCs w:val="21"/>
        </w:rPr>
        <w:t>4</w:t>
      </w:r>
      <w:r>
        <w:rPr>
          <w:rFonts w:hint="eastAsia" w:hAnsi="宋体"/>
          <w:sz w:val="21"/>
          <w:szCs w:val="21"/>
        </w:rPr>
        <w:t>.</w:t>
      </w:r>
      <w:r>
        <w:rPr>
          <w:rFonts w:hAnsi="宋体"/>
          <w:sz w:val="21"/>
          <w:szCs w:val="21"/>
        </w:rPr>
        <w:t>对技术复杂的货物，甲方应请国家认可的专业检测机构参与初步验收及最终验收，</w:t>
      </w:r>
      <w:r>
        <w:rPr>
          <w:rFonts w:hint="eastAsia" w:asciiTheme="minorEastAsia" w:hAnsiTheme="minorEastAsia" w:eastAsiaTheme="minorEastAsia" w:cstheme="minorEastAsia"/>
          <w:sz w:val="21"/>
          <w:szCs w:val="21"/>
        </w:rPr>
        <w:t>并由其出具质量检测报告。</w:t>
      </w:r>
    </w:p>
    <w:p w14:paraId="22120F79">
      <w:pPr>
        <w:pStyle w:val="16"/>
        <w:snapToGrid w:val="0"/>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5.验收时乙方必须在现场，由乙方提供检测报告，检测费用由乙方负责。</w:t>
      </w:r>
    </w:p>
    <w:p w14:paraId="4741451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九、争议的解决</w:t>
      </w:r>
    </w:p>
    <w:p w14:paraId="532E6D9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因本合同引起的或与本合同有关的任何争议，合同双方应首先通过协商解决，达成书面协议，如协商不成，可选择下列第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种方式解决。</w:t>
      </w:r>
    </w:p>
    <w:p w14:paraId="5476F44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1.提请宁海县仲裁委员会按照该会仲裁规则进行仲裁，仲裁裁决是终局的，对合同双方均有约束力。</w:t>
      </w:r>
    </w:p>
    <w:p w14:paraId="7DB95B2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2.向有管辖权的人民法院提起诉讼。</w:t>
      </w:r>
    </w:p>
    <w:p w14:paraId="245F496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十、合同生效及其它</w:t>
      </w:r>
    </w:p>
    <w:p w14:paraId="0C29CE96">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1.中标方持中标通知书作为与甲方签订合同的凭证。</w:t>
      </w:r>
    </w:p>
    <w:p w14:paraId="3287ED6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14:paraId="3AEA753D">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3.合同执行中涉及采购资金和采购内容修改或补充的，须经财政部门审批，并签书面补充协议报政府采购监督管理部门备案，方可作为主合同不可分割的一部分。</w:t>
      </w:r>
    </w:p>
    <w:p w14:paraId="03FDA42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4.本合同未尽事宜，遵照《民法典》有关条文执行。</w:t>
      </w:r>
    </w:p>
    <w:p w14:paraId="508F37B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5.本合同正本一式四份，具有同等法律效力，甲乙双方各执一份；国资局各执一份。</w:t>
      </w:r>
    </w:p>
    <w:p w14:paraId="0570FFDB">
      <w:pPr>
        <w:widowControl/>
        <w:spacing w:line="400" w:lineRule="exact"/>
        <w:ind w:firstLine="420" w:firstLineChars="200"/>
        <w:jc w:val="left"/>
        <w:rPr>
          <w:rFonts w:hint="eastAsia" w:asciiTheme="minorEastAsia" w:hAnsiTheme="minorEastAsia" w:eastAsiaTheme="minorEastAsia"/>
          <w:szCs w:val="21"/>
        </w:rPr>
      </w:pPr>
    </w:p>
    <w:p w14:paraId="746861C6">
      <w:pPr>
        <w:widowControl/>
        <w:spacing w:line="400" w:lineRule="exact"/>
        <w:jc w:val="left"/>
        <w:rPr>
          <w:rFonts w:hint="eastAsia" w:asciiTheme="minorEastAsia" w:hAnsiTheme="minorEastAsia" w:eastAsiaTheme="minorEastAsia"/>
          <w:szCs w:val="21"/>
        </w:rPr>
      </w:pPr>
    </w:p>
    <w:p w14:paraId="2C09E86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甲方（加盖公章）：                       乙方（加盖公章）：</w:t>
      </w:r>
    </w:p>
    <w:p w14:paraId="0FBBE32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地址：                                   地址：</w:t>
      </w:r>
    </w:p>
    <w:p w14:paraId="2EE63E78">
      <w:pPr>
        <w:pStyle w:val="16"/>
        <w:snapToGrid w:val="0"/>
        <w:spacing w:beforeLines="0" w:afterLines="0"/>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14:paraId="5AC07899">
      <w:pPr>
        <w:pStyle w:val="16"/>
        <w:snapToGrid w:val="0"/>
        <w:spacing w:beforeLines="0" w:afterLines="0"/>
        <w:ind w:firstLine="420" w:firstLineChars="200"/>
        <w:rPr>
          <w:rFonts w:hint="eastAsia"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14:paraId="14021A5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14:paraId="13C2C611">
      <w:pPr>
        <w:widowControl/>
        <w:spacing w:line="400" w:lineRule="exact"/>
        <w:ind w:firstLine="420" w:firstLineChars="200"/>
        <w:jc w:val="left"/>
        <w:rPr>
          <w:rFonts w:hint="eastAsia" w:asciiTheme="minorEastAsia" w:hAnsiTheme="minorEastAsia" w:eastAsiaTheme="minorEastAsia"/>
          <w:szCs w:val="21"/>
        </w:rPr>
      </w:pPr>
    </w:p>
    <w:p w14:paraId="2C848CFA">
      <w:pPr>
        <w:widowControl/>
        <w:spacing w:line="400" w:lineRule="exact"/>
        <w:ind w:firstLine="420" w:firstLineChars="200"/>
        <w:jc w:val="left"/>
        <w:rPr>
          <w:rFonts w:hint="eastAsia" w:ascii="宋体" w:hAnsi="宋体"/>
          <w:szCs w:val="21"/>
        </w:rPr>
      </w:pPr>
    </w:p>
    <w:p w14:paraId="3614428C">
      <w:pPr>
        <w:pStyle w:val="2"/>
        <w:rPr>
          <w:rFonts w:hint="eastAsia" w:ascii="宋体" w:hAnsi="宋体"/>
          <w:szCs w:val="21"/>
        </w:rPr>
      </w:pPr>
    </w:p>
    <w:p w14:paraId="31BF0151">
      <w:pPr>
        <w:rPr>
          <w:rFonts w:hint="eastAsia" w:ascii="宋体" w:hAnsi="宋体"/>
          <w:szCs w:val="21"/>
        </w:rPr>
      </w:pPr>
    </w:p>
    <w:p w14:paraId="6228F225">
      <w:pPr>
        <w:pStyle w:val="2"/>
        <w:rPr>
          <w:rFonts w:hint="eastAsia" w:ascii="宋体" w:hAnsi="宋体"/>
          <w:szCs w:val="21"/>
        </w:rPr>
      </w:pPr>
    </w:p>
    <w:p w14:paraId="1BED396C">
      <w:pPr>
        <w:rPr>
          <w:rFonts w:hint="eastAsia" w:ascii="宋体" w:hAnsi="宋体"/>
          <w:szCs w:val="21"/>
        </w:rPr>
      </w:pPr>
    </w:p>
    <w:p w14:paraId="63B1A71F">
      <w:pPr>
        <w:pStyle w:val="2"/>
        <w:rPr>
          <w:rFonts w:hint="eastAsia" w:ascii="宋体" w:hAnsi="宋体"/>
          <w:szCs w:val="21"/>
        </w:rPr>
      </w:pPr>
    </w:p>
    <w:p w14:paraId="005EC8D6">
      <w:pPr>
        <w:rPr>
          <w:rFonts w:hint="eastAsia" w:ascii="宋体" w:hAnsi="宋体"/>
          <w:szCs w:val="21"/>
        </w:rPr>
      </w:pPr>
    </w:p>
    <w:p w14:paraId="1466B760">
      <w:pPr>
        <w:rPr>
          <w:rFonts w:hint="eastAsia" w:ascii="宋体" w:hAnsi="宋体"/>
          <w:szCs w:val="21"/>
        </w:rPr>
      </w:pPr>
    </w:p>
    <w:p w14:paraId="1A2C7F5C">
      <w:pPr>
        <w:pStyle w:val="2"/>
        <w:jc w:val="center"/>
        <w:rPr>
          <w:rFonts w:hint="eastAsia" w:ascii="宋体" w:hAnsi="宋体"/>
          <w:sz w:val="32"/>
          <w:szCs w:val="32"/>
          <w:lang w:val="en-US" w:eastAsia="zh-CN"/>
        </w:rPr>
      </w:pPr>
      <w:r>
        <w:rPr>
          <w:rFonts w:hint="eastAsia" w:ascii="宋体" w:hAnsi="宋体"/>
          <w:sz w:val="32"/>
          <w:szCs w:val="32"/>
          <w:lang w:val="en-US" w:eastAsia="zh-CN"/>
        </w:rPr>
        <w:t>运维合同</w:t>
      </w:r>
    </w:p>
    <w:p w14:paraId="04B92DE5">
      <w:pPr>
        <w:spacing w:line="360" w:lineRule="auto"/>
        <w:ind w:firstLine="0" w:firstLineChars="0"/>
        <w:rPr>
          <w:rFonts w:ascii="宋体" w:hAnsi="宋体" w:eastAsia="宋体" w:cs="宋体"/>
          <w:b/>
          <w:sz w:val="21"/>
          <w:szCs w:val="21"/>
        </w:rPr>
      </w:pPr>
      <w:r>
        <w:rPr>
          <w:rFonts w:hint="eastAsia" w:ascii="宋体" w:hAnsi="宋体" w:eastAsia="宋体" w:cs="宋体"/>
          <w:b/>
          <w:sz w:val="21"/>
          <w:szCs w:val="21"/>
        </w:rPr>
        <w:t>甲    方</w:t>
      </w:r>
      <w:r>
        <w:rPr>
          <w:rFonts w:hint="eastAsia" w:ascii="宋体" w:hAnsi="宋体" w:eastAsia="宋体" w:cs="宋体"/>
          <w:sz w:val="21"/>
          <w:szCs w:val="21"/>
        </w:rPr>
        <w:t>（采购人）</w:t>
      </w:r>
      <w:r>
        <w:rPr>
          <w:rFonts w:hint="eastAsia" w:ascii="宋体" w:hAnsi="宋体" w:eastAsia="宋体" w:cs="宋体"/>
          <w:b/>
          <w:sz w:val="21"/>
          <w:szCs w:val="21"/>
        </w:rPr>
        <w:t>：</w:t>
      </w:r>
      <w:r>
        <w:rPr>
          <w:rFonts w:hint="eastAsia" w:ascii="宋体" w:hAnsi="宋体" w:eastAsia="宋体" w:cs="宋体"/>
          <w:b/>
          <w:sz w:val="21"/>
          <w:szCs w:val="21"/>
          <w:u w:val="single"/>
        </w:rPr>
        <w:t xml:space="preserve">                 </w:t>
      </w:r>
    </w:p>
    <w:p w14:paraId="6EA6AA80">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电    话：           　   传  真：           地  址：</w:t>
      </w:r>
    </w:p>
    <w:p w14:paraId="1D3F3FEA">
      <w:pPr>
        <w:spacing w:line="360" w:lineRule="auto"/>
        <w:ind w:firstLine="0" w:firstLineChars="0"/>
        <w:rPr>
          <w:rFonts w:ascii="宋体" w:hAnsi="宋体" w:eastAsia="宋体" w:cs="宋体"/>
          <w:b/>
          <w:sz w:val="21"/>
          <w:szCs w:val="21"/>
        </w:rPr>
      </w:pPr>
    </w:p>
    <w:p w14:paraId="2EE4A4F9">
      <w:pPr>
        <w:spacing w:line="360" w:lineRule="auto"/>
        <w:ind w:firstLine="0" w:firstLineChars="0"/>
        <w:rPr>
          <w:rFonts w:ascii="宋体" w:hAnsi="宋体" w:eastAsia="宋体" w:cs="宋体"/>
          <w:sz w:val="21"/>
          <w:szCs w:val="21"/>
        </w:rPr>
      </w:pPr>
      <w:r>
        <w:rPr>
          <w:rFonts w:hint="eastAsia" w:ascii="宋体" w:hAnsi="宋体" w:eastAsia="宋体" w:cs="宋体"/>
          <w:b/>
          <w:sz w:val="21"/>
          <w:szCs w:val="21"/>
        </w:rPr>
        <w:t>乙    方</w:t>
      </w:r>
      <w:r>
        <w:rPr>
          <w:rFonts w:hint="eastAsia" w:ascii="宋体" w:hAnsi="宋体" w:eastAsia="宋体" w:cs="宋体"/>
          <w:sz w:val="21"/>
          <w:szCs w:val="21"/>
        </w:rPr>
        <w:t>（中标人）</w:t>
      </w:r>
      <w:r>
        <w:rPr>
          <w:rFonts w:hint="eastAsia" w:ascii="宋体" w:hAnsi="宋体" w:eastAsia="宋体" w:cs="宋体"/>
          <w:b/>
          <w:sz w:val="21"/>
          <w:szCs w:val="21"/>
        </w:rPr>
        <w:t>：</w:t>
      </w:r>
      <w:r>
        <w:rPr>
          <w:rFonts w:hint="eastAsia" w:ascii="宋体" w:hAnsi="宋体" w:eastAsia="宋体" w:cs="宋体"/>
          <w:b/>
          <w:sz w:val="21"/>
          <w:szCs w:val="21"/>
          <w:u w:val="single"/>
        </w:rPr>
        <w:t xml:space="preserve">                  </w:t>
      </w:r>
      <w:r>
        <w:rPr>
          <w:rFonts w:hint="eastAsia" w:ascii="宋体" w:hAnsi="宋体" w:eastAsia="宋体" w:cs="宋体"/>
          <w:b/>
          <w:sz w:val="21"/>
          <w:szCs w:val="21"/>
        </w:rPr>
        <w:br w:type="textWrapping"/>
      </w:r>
      <w:r>
        <w:rPr>
          <w:rFonts w:hint="eastAsia" w:ascii="宋体" w:hAnsi="宋体" w:eastAsia="宋体" w:cs="宋体"/>
          <w:sz w:val="21"/>
          <w:szCs w:val="21"/>
        </w:rPr>
        <w:t xml:space="preserve">电    话：                传  真：           地  址：   </w:t>
      </w:r>
    </w:p>
    <w:p w14:paraId="12F536D0">
      <w:pPr>
        <w:spacing w:line="360" w:lineRule="auto"/>
        <w:ind w:firstLine="420"/>
        <w:rPr>
          <w:rFonts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（项目编号：（项目编号））的采购结果，按照《中华人民共和国政府采购法》及其实施条例、《中华人民共和国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》的规定，</w:t>
      </w:r>
      <w:r>
        <w:rPr>
          <w:rFonts w:hint="eastAsia" w:ascii="宋体" w:hAnsi="宋体" w:eastAsia="宋体" w:cs="宋体"/>
          <w:kern w:val="28"/>
          <w:sz w:val="21"/>
          <w:szCs w:val="21"/>
        </w:rPr>
        <w:t>经双方协商，</w:t>
      </w:r>
      <w:r>
        <w:rPr>
          <w:rFonts w:hint="eastAsia" w:ascii="宋体" w:hAnsi="宋体" w:eastAsia="宋体" w:cs="宋体"/>
          <w:sz w:val="21"/>
          <w:szCs w:val="21"/>
        </w:rPr>
        <w:t>本着平等互利和诚实信用的原则，</w:t>
      </w:r>
      <w:r>
        <w:rPr>
          <w:rFonts w:hint="eastAsia" w:ascii="宋体" w:hAnsi="宋体" w:eastAsia="宋体" w:cs="宋体"/>
          <w:kern w:val="28"/>
          <w:sz w:val="21"/>
          <w:szCs w:val="21"/>
        </w:rPr>
        <w:t>一致同意签订本合同如下</w:t>
      </w:r>
      <w:r>
        <w:rPr>
          <w:rFonts w:hint="eastAsia" w:ascii="宋体" w:hAnsi="宋体" w:eastAsia="宋体" w:cs="宋体"/>
          <w:sz w:val="21"/>
          <w:szCs w:val="21"/>
        </w:rPr>
        <w:t>。</w:t>
      </w:r>
    </w:p>
    <w:p w14:paraId="14DA2834">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一、</w:t>
      </w:r>
      <w:bookmarkStart w:id="46" w:name="_Toc435540759"/>
      <w:r>
        <w:rPr>
          <w:rFonts w:hint="eastAsia" w:ascii="宋体" w:hAnsi="宋体" w:eastAsia="宋体" w:cs="宋体"/>
          <w:sz w:val="21"/>
          <w:szCs w:val="21"/>
        </w:rPr>
        <w:t>合同金额</w:t>
      </w:r>
      <w:bookmarkEnd w:id="46"/>
    </w:p>
    <w:p w14:paraId="5BD76B56">
      <w:pPr>
        <w:spacing w:before="156" w:beforeLines="50" w:after="156" w:afterLines="50" w:line="360" w:lineRule="auto"/>
        <w:ind w:firstLine="480"/>
        <w:rPr>
          <w:rFonts w:ascii="宋体" w:hAnsi="宋体" w:eastAsia="宋体" w:cs="宋体"/>
          <w:sz w:val="24"/>
        </w:rPr>
      </w:pPr>
      <w:r>
        <w:rPr>
          <w:rFonts w:ascii="宋体" w:hAnsi="宋体" w:eastAsia="宋体" w:cs="宋体"/>
          <w:sz w:val="24"/>
        </w:rPr>
        <w:t>合同金额为（大写）：_________________元（￥_______________元）。</w:t>
      </w:r>
    </w:p>
    <w:p w14:paraId="458FB6B3">
      <w:pPr>
        <w:spacing w:line="360" w:lineRule="auto"/>
        <w:ind w:firstLine="0" w:firstLineChars="0"/>
        <w:rPr>
          <w:rFonts w:ascii="宋体" w:hAnsi="宋体" w:eastAsia="宋体" w:cs="宋体"/>
          <w:sz w:val="21"/>
          <w:szCs w:val="21"/>
        </w:rPr>
      </w:pPr>
      <w:bookmarkStart w:id="47" w:name="_Toc435540760"/>
      <w:r>
        <w:rPr>
          <w:rFonts w:hint="eastAsia" w:ascii="宋体" w:hAnsi="宋体" w:eastAsia="宋体" w:cs="宋体"/>
          <w:sz w:val="21"/>
          <w:szCs w:val="21"/>
        </w:rPr>
        <w:t>二、服务范围</w:t>
      </w:r>
      <w:bookmarkEnd w:id="47"/>
    </w:p>
    <w:p w14:paraId="62B20A3C">
      <w:pPr>
        <w:spacing w:line="360" w:lineRule="auto"/>
        <w:ind w:firstLine="0" w:firstLineChars="0"/>
        <w:rPr>
          <w:rFonts w:ascii="宋体" w:hAnsi="宋体" w:eastAsia="宋体" w:cs="宋体"/>
          <w:sz w:val="21"/>
          <w:szCs w:val="21"/>
          <w:u w:val="single"/>
        </w:rPr>
      </w:pPr>
      <w:r>
        <w:rPr>
          <w:rFonts w:hint="eastAsia" w:ascii="宋体" w:hAnsi="宋体" w:eastAsia="宋体" w:cs="宋体"/>
          <w:sz w:val="21"/>
          <w:szCs w:val="21"/>
        </w:rPr>
        <w:t>　　1．本合同项下的服务指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6FD40B">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2．……</w:t>
      </w:r>
    </w:p>
    <w:p w14:paraId="01EDBBDF">
      <w:pPr>
        <w:spacing w:line="360" w:lineRule="auto"/>
        <w:ind w:firstLine="420"/>
        <w:rPr>
          <w:rFonts w:ascii="宋体" w:hAnsi="宋体" w:eastAsia="宋体" w:cs="宋体"/>
          <w:sz w:val="21"/>
          <w:szCs w:val="21"/>
        </w:rPr>
      </w:pPr>
      <w:r>
        <w:rPr>
          <w:rFonts w:hint="eastAsia" w:ascii="宋体" w:hAnsi="宋体" w:eastAsia="宋体" w:cs="宋体"/>
          <w:sz w:val="21"/>
          <w:szCs w:val="21"/>
        </w:rPr>
        <w:t>3．……</w:t>
      </w:r>
    </w:p>
    <w:p w14:paraId="2B0EF4B7">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三、采购需求实质性条款：</w:t>
      </w:r>
    </w:p>
    <w:p w14:paraId="38755D2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p>
    <w:p w14:paraId="717FE14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w:t>
      </w:r>
    </w:p>
    <w:p w14:paraId="785BE935">
      <w:pPr>
        <w:spacing w:line="360" w:lineRule="auto"/>
        <w:ind w:firstLine="0" w:firstLineChars="0"/>
        <w:rPr>
          <w:rFonts w:ascii="宋体" w:hAnsi="宋体" w:eastAsia="宋体" w:cs="宋体"/>
          <w:sz w:val="21"/>
          <w:szCs w:val="21"/>
        </w:rPr>
      </w:pPr>
      <w:bookmarkStart w:id="48" w:name="_Toc435540761"/>
      <w:r>
        <w:rPr>
          <w:rFonts w:hint="eastAsia" w:ascii="宋体" w:hAnsi="宋体" w:eastAsia="宋体" w:cs="宋体"/>
          <w:sz w:val="21"/>
          <w:szCs w:val="21"/>
        </w:rPr>
        <w:t>四、甲方乙方的权利和义务</w:t>
      </w:r>
      <w:bookmarkEnd w:id="48"/>
    </w:p>
    <w:p w14:paraId="4AF7410E">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（一）甲方的权利和义务</w:t>
      </w:r>
    </w:p>
    <w:p w14:paraId="4BB6DB15">
      <w:pPr>
        <w:spacing w:line="360" w:lineRule="auto"/>
        <w:ind w:left="405" w:firstLine="0" w:firstLineChars="0"/>
        <w:rPr>
          <w:rFonts w:ascii="宋体" w:hAnsi="宋体" w:eastAsia="宋体" w:cs="宋体"/>
          <w:sz w:val="21"/>
          <w:szCs w:val="21"/>
        </w:rPr>
      </w:pPr>
      <w:r>
        <w:rPr>
          <w:rFonts w:hint="eastAsia" w:ascii="宋体" w:hAnsi="宋体" w:eastAsia="宋体" w:cs="宋体"/>
          <w:sz w:val="21"/>
          <w:szCs w:val="21"/>
        </w:rPr>
        <w:t>（二）乙方的权利和义务.</w:t>
      </w:r>
    </w:p>
    <w:p w14:paraId="3BF85C38">
      <w:pPr>
        <w:spacing w:line="360" w:lineRule="auto"/>
        <w:ind w:firstLine="0" w:firstLineChars="0"/>
        <w:rPr>
          <w:rFonts w:ascii="宋体" w:hAnsi="宋体" w:eastAsia="宋体" w:cs="宋体"/>
          <w:sz w:val="21"/>
          <w:szCs w:val="21"/>
        </w:rPr>
      </w:pPr>
      <w:bookmarkStart w:id="49" w:name="_Toc435540762"/>
      <w:r>
        <w:rPr>
          <w:rFonts w:hint="eastAsia" w:ascii="宋体" w:hAnsi="宋体" w:eastAsia="宋体" w:cs="宋体"/>
          <w:sz w:val="21"/>
          <w:szCs w:val="21"/>
        </w:rPr>
        <w:t>五、</w:t>
      </w:r>
      <w:bookmarkEnd w:id="49"/>
      <w:r>
        <w:rPr>
          <w:rFonts w:hint="eastAsia" w:ascii="宋体" w:hAnsi="宋体" w:eastAsia="宋体" w:cs="宋体"/>
          <w:sz w:val="21"/>
          <w:szCs w:val="21"/>
        </w:rPr>
        <w:t>项目要求：</w:t>
      </w:r>
    </w:p>
    <w:p w14:paraId="371B4210">
      <w:pPr>
        <w:spacing w:line="360" w:lineRule="auto"/>
        <w:ind w:firstLine="420"/>
        <w:rPr>
          <w:rFonts w:asciiTheme="minorEastAsia" w:hAnsiTheme="minorEastAsia" w:eastAsiaTheme="minorEastAsia"/>
          <w:sz w:val="21"/>
          <w:szCs w:val="21"/>
          <w:lang w:bidi="ar"/>
        </w:rPr>
      </w:pPr>
      <w:r>
        <w:rPr>
          <w:rFonts w:hint="eastAsia" w:ascii="宋体" w:hAnsi="宋体" w:eastAsia="宋体" w:cs="宋体"/>
          <w:sz w:val="21"/>
          <w:szCs w:val="21"/>
        </w:rPr>
        <w:t>1、</w:t>
      </w:r>
      <w:r>
        <w:rPr>
          <w:rFonts w:hint="eastAsia" w:asciiTheme="minorEastAsia" w:hAnsiTheme="minorEastAsia" w:eastAsiaTheme="minorEastAsia"/>
          <w:sz w:val="21"/>
          <w:szCs w:val="21"/>
          <w:lang w:bidi="ar"/>
        </w:rPr>
        <w:t>运维人员管理要求</w:t>
      </w:r>
    </w:p>
    <w:p w14:paraId="40D7CC04">
      <w:pPr>
        <w:spacing w:line="360" w:lineRule="auto"/>
        <w:ind w:firstLine="42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运维单位应负责运维团队的具体人员管理工作，接收用户单位的监督。具体管理要求如下：</w:t>
      </w:r>
    </w:p>
    <w:p w14:paraId="3BC96B86">
      <w:pPr>
        <w:spacing w:line="360" w:lineRule="auto"/>
        <w:ind w:firstLine="42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1）运维单位内部应建立健全的人员管理制度，明确员工工作分工，规范员工工作内容、工作时限、福利待遇等事项，避免因劳务纠纷影响运维工作开展。</w:t>
      </w:r>
    </w:p>
    <w:p w14:paraId="70204D3F">
      <w:pPr>
        <w:spacing w:line="360" w:lineRule="auto"/>
        <w:ind w:firstLine="42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2）运维单位应对维护人员的工作情况进行巡查抽查，要求团队成员不得在工作时间内做与本项目无关的工作。</w:t>
      </w:r>
    </w:p>
    <w:p w14:paraId="58FF9247">
      <w:pPr>
        <w:spacing w:line="360" w:lineRule="auto"/>
        <w:ind w:firstLine="42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3）运维单位宜为维护人员购买必要的人身安全保险，并提供保险证明。相关专业工作需要专业技术人员进行操作，对于维护人员因为在工作中引起的各种工伤、安全事件和事故，用户单位免于一切责任。</w:t>
      </w:r>
    </w:p>
    <w:p w14:paraId="3E5FB47B">
      <w:pPr>
        <w:spacing w:line="360" w:lineRule="auto"/>
        <w:ind w:firstLine="42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4）对于存在安全风险的重点岗位维护人员，应当签署保密协议和安全协议，通过安全培训、信息安全专项考试、日常督促等手段保证维护人员自觉遵守保密及安全协议内容。</w:t>
      </w:r>
    </w:p>
    <w:p w14:paraId="3A711ED0">
      <w:pPr>
        <w:spacing w:line="360" w:lineRule="auto"/>
        <w:ind w:firstLine="420"/>
      </w:pPr>
      <w:r>
        <w:rPr>
          <w:rFonts w:hint="eastAsia" w:asciiTheme="minorEastAsia" w:hAnsiTheme="minorEastAsia" w:eastAsiaTheme="minorEastAsia"/>
          <w:sz w:val="21"/>
          <w:szCs w:val="21"/>
          <w:lang w:bidi="ar"/>
        </w:rPr>
        <w:t>5）运维人员未经用户单位同意不得随意更换，如果维护人员存在工作态度、责任心、技术能力、协调能力等方面之一的问题时，用户有权要求更换维护人员，接替人员必须经过面试、审核同意后才能开始试用。</w:t>
      </w:r>
    </w:p>
    <w:p w14:paraId="447BC303">
      <w:pPr>
        <w:spacing w:line="360" w:lineRule="auto"/>
        <w:ind w:firstLine="42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6）运维人员未经申请和审核同意不得擅离职守。因人员擅离职守造成影响或损失，由运维单位承担一切法律和经济责任，并视严重性予以扣除运维费用的处罚。</w:t>
      </w:r>
    </w:p>
    <w:p w14:paraId="5AFB3971">
      <w:pPr>
        <w:spacing w:line="360" w:lineRule="auto"/>
        <w:ind w:firstLine="42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7）运维单位要加强对团队成员的素质培养和管理，保障维护人员以恪守用户单位的人员管理制度为底线，通过服务意识和技术能力提供高品质的运维服务。</w:t>
      </w:r>
    </w:p>
    <w:p w14:paraId="0F7D9A26">
      <w:pPr>
        <w:spacing w:line="360" w:lineRule="auto"/>
        <w:ind w:firstLine="420"/>
        <w:rPr>
          <w:rFonts w:asciiTheme="minorEastAsia" w:hAnsiTheme="minorEastAsia" w:eastAsiaTheme="minorEastAsia"/>
          <w:sz w:val="21"/>
          <w:szCs w:val="21"/>
          <w:lang w:bidi="ar"/>
        </w:rPr>
      </w:pPr>
      <w:r>
        <w:rPr>
          <w:rFonts w:hint="eastAsia" w:ascii="宋体" w:hAnsi="宋体" w:eastAsia="宋体" w:cs="宋体"/>
          <w:sz w:val="21"/>
          <w:szCs w:val="21"/>
          <w:lang w:val="en-US" w:eastAsia="zh-CN"/>
        </w:rPr>
        <w:t>8</w:t>
      </w:r>
      <w:r>
        <w:rPr>
          <w:rFonts w:hint="eastAsia" w:asciiTheme="minorEastAsia" w:hAnsiTheme="minorEastAsia" w:eastAsiaTheme="minorEastAsia"/>
          <w:sz w:val="21"/>
          <w:szCs w:val="21"/>
          <w:lang w:bidi="ar"/>
        </w:rPr>
        <w:t>）原则上</w:t>
      </w:r>
      <w:r>
        <w:rPr>
          <w:rFonts w:hint="eastAsia" w:asciiTheme="minorEastAsia" w:hAnsiTheme="minorEastAsia" w:eastAsiaTheme="minorEastAsia"/>
          <w:sz w:val="21"/>
          <w:szCs w:val="21"/>
          <w:lang w:val="en-US" w:eastAsia="zh-CN" w:bidi="ar"/>
        </w:rPr>
        <w:t>运维期</w:t>
      </w:r>
      <w:r>
        <w:rPr>
          <w:rFonts w:hint="eastAsia" w:asciiTheme="minorEastAsia" w:hAnsiTheme="minorEastAsia" w:eastAsiaTheme="minorEastAsia"/>
          <w:sz w:val="21"/>
          <w:szCs w:val="21"/>
          <w:lang w:bidi="ar"/>
        </w:rPr>
        <w:t>不得更换项目经理及其技术负责人、安全负责人，发生下列情形之一确需更换或撤离的，应至少提前7天以书面形式通知甲方及运维监理，并征得甲方同意。后任继续行使合同文件约定的前任的职权，履行前任的义务。</w:t>
      </w:r>
    </w:p>
    <w:p w14:paraId="7D739278">
      <w:pPr>
        <w:pStyle w:val="74"/>
        <w:numPr>
          <w:ilvl w:val="0"/>
          <w:numId w:val="22"/>
        </w:numPr>
        <w:spacing w:line="360" w:lineRule="auto"/>
        <w:ind w:firstLineChars="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因患病等身体原因无法坚持施工现场管理工作的，需提供医院证明；</w:t>
      </w:r>
    </w:p>
    <w:p w14:paraId="3C9EA10D">
      <w:pPr>
        <w:pStyle w:val="74"/>
        <w:numPr>
          <w:ilvl w:val="0"/>
          <w:numId w:val="22"/>
        </w:numPr>
        <w:spacing w:line="360" w:lineRule="auto"/>
        <w:ind w:firstLineChars="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退休或离开本单位的；</w:t>
      </w:r>
    </w:p>
    <w:p w14:paraId="1A266661">
      <w:pPr>
        <w:pStyle w:val="74"/>
        <w:numPr>
          <w:ilvl w:val="0"/>
          <w:numId w:val="22"/>
        </w:numPr>
        <w:spacing w:line="360" w:lineRule="auto"/>
        <w:ind w:firstLineChars="0"/>
        <w:rPr>
          <w:rFonts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工程因故停止(或暂停3个月以上)建设或领取中标通知书后未开工达3个月以上的；</w:t>
      </w:r>
    </w:p>
    <w:p w14:paraId="084BFC37">
      <w:pPr>
        <w:spacing w:line="360" w:lineRule="auto"/>
        <w:ind w:firstLine="420"/>
        <w:rPr>
          <w:rFonts w:hint="eastAsia" w:asciiTheme="minorEastAsia" w:hAnsiTheme="minorEastAsia" w:eastAsiaTheme="minorEastAsia"/>
          <w:sz w:val="21"/>
          <w:szCs w:val="21"/>
          <w:lang w:bidi="ar"/>
        </w:rPr>
      </w:pPr>
      <w:r>
        <w:rPr>
          <w:rFonts w:hint="eastAsia" w:asciiTheme="minorEastAsia" w:hAnsiTheme="minorEastAsia" w:eastAsiaTheme="minorEastAsia"/>
          <w:sz w:val="21"/>
          <w:szCs w:val="21"/>
          <w:lang w:bidi="ar"/>
        </w:rPr>
        <w:t>被有关部门依法追究刑事责任的。</w:t>
      </w:r>
    </w:p>
    <w:p w14:paraId="5C58393E">
      <w:pPr>
        <w:spacing w:line="360" w:lineRule="auto"/>
        <w:ind w:firstLine="420"/>
        <w:rPr>
          <w:rFonts w:hint="default" w:eastAsia="宋体" w:asciiTheme="minorEastAsia" w:hAnsiTheme="minorEastAsia"/>
          <w:sz w:val="21"/>
          <w:szCs w:val="21"/>
          <w:lang w:val="en-US" w:eastAsia="zh-CN" w:bidi="ar"/>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Theme="minorEastAsia" w:hAnsiTheme="minorEastAsia" w:eastAsiaTheme="minorEastAsia"/>
          <w:sz w:val="21"/>
          <w:szCs w:val="21"/>
          <w:lang w:val="en-US" w:eastAsia="zh-CN" w:bidi="ar"/>
        </w:rPr>
        <w:t>运维期间硬件设备完好率必须达到100%；若未到达，一经发现甲方有权从运维费中扣除10000元/次。</w:t>
      </w:r>
    </w:p>
    <w:p w14:paraId="18C9FFEB">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六、服务期间（项目完成期限）</w:t>
      </w:r>
    </w:p>
    <w:p w14:paraId="1C272C6D">
      <w:pPr>
        <w:spacing w:line="360" w:lineRule="auto"/>
        <w:ind w:firstLine="435" w:firstLineChars="0"/>
        <w:rPr>
          <w:rFonts w:ascii="宋体" w:hAnsi="宋体" w:eastAsia="宋体" w:cs="宋体"/>
          <w:sz w:val="21"/>
          <w:szCs w:val="21"/>
        </w:rPr>
      </w:pPr>
      <w:r>
        <w:rPr>
          <w:rFonts w:hint="eastAsia" w:ascii="宋体" w:hAnsi="宋体" w:eastAsia="宋体" w:cs="宋体"/>
          <w:sz w:val="21"/>
          <w:szCs w:val="21"/>
        </w:rPr>
        <w:t>委托服务期间自______年______月至______年______月止。</w:t>
      </w:r>
    </w:p>
    <w:p w14:paraId="75CDC5A5">
      <w:pPr>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七、</w:t>
      </w:r>
      <w:bookmarkStart w:id="50" w:name="_Toc435540763"/>
      <w:r>
        <w:rPr>
          <w:rFonts w:hint="eastAsia" w:ascii="宋体" w:hAnsi="宋体" w:eastAsia="宋体" w:cs="宋体"/>
          <w:sz w:val="21"/>
          <w:szCs w:val="21"/>
        </w:rPr>
        <w:t>付款方式</w:t>
      </w:r>
      <w:bookmarkEnd w:id="50"/>
      <w:r>
        <w:rPr>
          <w:rFonts w:hint="eastAsia" w:ascii="宋体" w:hAnsi="宋体" w:eastAsia="宋体" w:cs="宋体"/>
          <w:sz w:val="21"/>
          <w:szCs w:val="21"/>
          <w:lang w:eastAsia="zh-CN"/>
        </w:rPr>
        <w:t>：</w:t>
      </w:r>
    </w:p>
    <w:p w14:paraId="1B77ECF0">
      <w:pPr>
        <w:spacing w:line="360" w:lineRule="auto"/>
        <w:ind w:firstLine="0" w:firstLineChars="0"/>
        <w:rPr>
          <w:rFonts w:ascii="宋体" w:hAnsi="宋体" w:eastAsia="宋体" w:cs="宋体"/>
          <w:sz w:val="21"/>
          <w:szCs w:val="21"/>
        </w:rPr>
      </w:pPr>
      <w:bookmarkStart w:id="51" w:name="_Toc435540764"/>
      <w:r>
        <w:rPr>
          <w:rFonts w:hint="eastAsia" w:ascii="宋体" w:hAnsi="宋体" w:eastAsia="宋体" w:cs="宋体"/>
          <w:sz w:val="21"/>
          <w:szCs w:val="21"/>
        </w:rPr>
        <w:t>八、知识产权产权归属</w:t>
      </w:r>
      <w:bookmarkEnd w:id="51"/>
    </w:p>
    <w:p w14:paraId="71B2BF10">
      <w:pPr>
        <w:spacing w:line="360" w:lineRule="auto"/>
        <w:ind w:firstLine="420"/>
        <w:rPr>
          <w:rFonts w:ascii="宋体" w:hAnsi="宋体" w:eastAsia="宋体" w:cs="宋体"/>
          <w:sz w:val="21"/>
          <w:szCs w:val="21"/>
        </w:rPr>
      </w:pPr>
      <w:r>
        <w:rPr>
          <w:rFonts w:hint="eastAsia" w:ascii="宋体" w:hAnsi="宋体" w:eastAsia="宋体" w:cs="宋体"/>
          <w:sz w:val="21"/>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2" w:name="_Toc435540765"/>
    </w:p>
    <w:p w14:paraId="14588F27">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九、保密</w:t>
      </w:r>
      <w:bookmarkEnd w:id="52"/>
    </w:p>
    <w:p w14:paraId="447B3F5C">
      <w:pPr>
        <w:spacing w:line="360" w:lineRule="auto"/>
        <w:ind w:firstLine="420"/>
        <w:rPr>
          <w:rFonts w:ascii="宋体" w:hAnsi="宋体" w:eastAsia="宋体" w:cs="宋体"/>
          <w:sz w:val="21"/>
          <w:szCs w:val="21"/>
        </w:rPr>
      </w:pPr>
      <w:r>
        <w:rPr>
          <w:rFonts w:hint="eastAsia" w:ascii="宋体" w:hAnsi="宋体" w:eastAsia="宋体" w:cs="宋体"/>
          <w:sz w:val="21"/>
          <w:szCs w:val="21"/>
        </w:rPr>
        <w:t>乙方必须采取措施对本项目实施过程中的技术资料保密，否则，由于乙方过错导致的上述资料泄密的，乙方必须承担一切责任。项目完成后，甲、乙双方均有责任对本项目的技术保密承担责任。</w:t>
      </w:r>
    </w:p>
    <w:p w14:paraId="22B3E373">
      <w:pPr>
        <w:tabs>
          <w:tab w:val="left" w:pos="900"/>
        </w:tabs>
        <w:spacing w:line="360" w:lineRule="auto"/>
        <w:ind w:firstLine="420"/>
        <w:rPr>
          <w:rFonts w:ascii="宋体" w:hAnsi="宋体" w:eastAsia="宋体" w:cs="宋体"/>
          <w:sz w:val="21"/>
          <w:szCs w:val="21"/>
        </w:rPr>
      </w:pPr>
      <w:r>
        <w:rPr>
          <w:rFonts w:hint="eastAsia" w:ascii="宋体" w:hAnsi="宋体" w:eastAsia="宋体" w:cs="宋体"/>
          <w:sz w:val="21"/>
          <w:szCs w:val="21"/>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583EC7F2">
      <w:pPr>
        <w:tabs>
          <w:tab w:val="left" w:pos="900"/>
        </w:tabs>
        <w:spacing w:line="360" w:lineRule="auto"/>
        <w:ind w:firstLine="420"/>
        <w:rPr>
          <w:rFonts w:ascii="宋体" w:hAnsi="宋体" w:eastAsia="宋体" w:cs="宋体"/>
          <w:sz w:val="21"/>
          <w:szCs w:val="21"/>
        </w:rPr>
      </w:pPr>
      <w:r>
        <w:rPr>
          <w:rFonts w:hint="eastAsia" w:ascii="宋体" w:hAnsi="宋体" w:eastAsia="宋体" w:cs="宋体"/>
          <w:sz w:val="21"/>
          <w:szCs w:val="21"/>
        </w:rPr>
        <w:t>2）如果甲方有要求，乙方在完成合同后应将有关资料还给甲方。</w:t>
      </w:r>
    </w:p>
    <w:p w14:paraId="35C263D8">
      <w:pPr>
        <w:spacing w:line="360" w:lineRule="auto"/>
        <w:ind w:firstLine="0" w:firstLineChars="0"/>
        <w:rPr>
          <w:rFonts w:ascii="宋体" w:hAnsi="宋体" w:eastAsia="宋体" w:cs="宋体"/>
          <w:sz w:val="21"/>
          <w:szCs w:val="21"/>
        </w:rPr>
      </w:pPr>
      <w:bookmarkStart w:id="53" w:name="_Toc435540766"/>
      <w:r>
        <w:rPr>
          <w:rFonts w:hint="eastAsia" w:ascii="宋体" w:hAnsi="宋体" w:eastAsia="宋体" w:cs="宋体"/>
          <w:sz w:val="21"/>
          <w:szCs w:val="21"/>
        </w:rPr>
        <w:t>十、违约责任与赔偿损失</w:t>
      </w:r>
      <w:bookmarkEnd w:id="53"/>
    </w:p>
    <w:p w14:paraId="38FAA09F">
      <w:pPr>
        <w:spacing w:line="360" w:lineRule="auto"/>
        <w:ind w:firstLine="420"/>
        <w:rPr>
          <w:rFonts w:ascii="宋体" w:hAnsi="宋体" w:eastAsia="宋体" w:cs="宋体"/>
          <w:sz w:val="21"/>
          <w:szCs w:val="21"/>
        </w:rPr>
      </w:pPr>
      <w:r>
        <w:rPr>
          <w:rFonts w:hint="eastAsia" w:ascii="宋体" w:hAnsi="宋体" w:eastAsia="宋体" w:cs="宋体"/>
          <w:sz w:val="21"/>
          <w:szCs w:val="21"/>
        </w:rPr>
        <w:t>1）乙方提供的服务不符合采购文件、响应文件或本合同规定的，甲方有权拒收，并且乙方须向甲方方支付本合同总价5%的违约金。</w:t>
      </w:r>
    </w:p>
    <w:p w14:paraId="6BC360AC">
      <w:pPr>
        <w:tabs>
          <w:tab w:val="left" w:pos="720"/>
          <w:tab w:val="left" w:pos="900"/>
        </w:tabs>
        <w:spacing w:line="360" w:lineRule="auto"/>
        <w:ind w:right="51" w:firstLine="420"/>
        <w:rPr>
          <w:rFonts w:ascii="宋体" w:hAnsi="宋体" w:eastAsia="宋体" w:cs="宋体"/>
          <w:sz w:val="21"/>
          <w:szCs w:val="21"/>
        </w:rPr>
      </w:pPr>
      <w:r>
        <w:rPr>
          <w:rFonts w:hint="eastAsia" w:ascii="宋体" w:hAnsi="宋体" w:eastAsia="宋体" w:cs="宋体"/>
          <w:sz w:val="21"/>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4CE4E599">
      <w:pPr>
        <w:spacing w:line="360" w:lineRule="auto"/>
        <w:ind w:firstLine="420"/>
        <w:rPr>
          <w:rFonts w:ascii="宋体" w:hAnsi="宋体" w:eastAsia="宋体" w:cs="宋体"/>
          <w:sz w:val="21"/>
          <w:szCs w:val="21"/>
        </w:rPr>
      </w:pPr>
      <w:r>
        <w:rPr>
          <w:rFonts w:hint="eastAsia" w:ascii="宋体" w:hAnsi="宋体" w:eastAsia="宋体" w:cs="宋体"/>
          <w:sz w:val="21"/>
          <w:szCs w:val="21"/>
        </w:rPr>
        <w:t>3）甲方无正当理由拒收接受服务，到期拒付服务款项的，甲方向乙方偿付本合同总价5%的违约金。甲方逾期付款，则每日按本合同总价的3‰向乙方偿付违约金。</w:t>
      </w:r>
    </w:p>
    <w:p w14:paraId="2EBD186E">
      <w:pPr>
        <w:spacing w:line="360" w:lineRule="auto"/>
        <w:ind w:firstLine="420"/>
        <w:rPr>
          <w:rFonts w:ascii="宋体" w:hAnsi="宋体" w:eastAsia="宋体" w:cs="宋体"/>
          <w:bCs/>
          <w:sz w:val="21"/>
          <w:szCs w:val="21"/>
        </w:rPr>
      </w:pPr>
      <w:r>
        <w:rPr>
          <w:rFonts w:hint="eastAsia" w:ascii="宋体" w:hAnsi="宋体" w:eastAsia="宋体" w:cs="宋体"/>
          <w:bCs/>
          <w:sz w:val="21"/>
          <w:szCs w:val="21"/>
        </w:rPr>
        <w:t>4）其它违约责任按《中华人民共和国</w:t>
      </w:r>
      <w:r>
        <w:rPr>
          <w:rFonts w:hint="eastAsia" w:ascii="宋体" w:hAnsi="宋体" w:eastAsia="宋体" w:cs="宋体"/>
          <w:bCs/>
          <w:sz w:val="21"/>
          <w:szCs w:val="21"/>
          <w:lang w:val="en-US" w:eastAsia="zh-CN"/>
        </w:rPr>
        <w:t>民法典</w:t>
      </w:r>
      <w:r>
        <w:rPr>
          <w:rFonts w:hint="eastAsia" w:ascii="宋体" w:hAnsi="宋体" w:eastAsia="宋体" w:cs="宋体"/>
          <w:bCs/>
          <w:sz w:val="21"/>
          <w:szCs w:val="21"/>
        </w:rPr>
        <w:t>》处理。</w:t>
      </w:r>
    </w:p>
    <w:p w14:paraId="483262F0">
      <w:pPr>
        <w:spacing w:line="360" w:lineRule="auto"/>
        <w:ind w:firstLine="0" w:firstLineChars="0"/>
        <w:rPr>
          <w:rFonts w:ascii="宋体" w:hAnsi="宋体" w:eastAsia="宋体" w:cs="宋体"/>
          <w:sz w:val="21"/>
          <w:szCs w:val="21"/>
        </w:rPr>
      </w:pPr>
      <w:bookmarkStart w:id="54" w:name="_Toc435540767"/>
      <w:r>
        <w:rPr>
          <w:rFonts w:hint="eastAsia" w:ascii="宋体" w:hAnsi="宋体" w:eastAsia="宋体" w:cs="宋体"/>
          <w:sz w:val="21"/>
          <w:szCs w:val="21"/>
        </w:rPr>
        <w:t>十一、争端的解决</w:t>
      </w:r>
      <w:bookmarkEnd w:id="54"/>
    </w:p>
    <w:p w14:paraId="268B5191">
      <w:pPr>
        <w:spacing w:line="360" w:lineRule="auto"/>
        <w:ind w:firstLine="420"/>
        <w:rPr>
          <w:rFonts w:ascii="宋体" w:hAnsi="宋体" w:eastAsia="宋体" w:cs="宋体"/>
          <w:sz w:val="21"/>
          <w:szCs w:val="21"/>
        </w:rPr>
      </w:pPr>
      <w:r>
        <w:rPr>
          <w:rFonts w:hint="eastAsia" w:ascii="宋体" w:hAnsi="宋体" w:eastAsia="宋体" w:cs="宋体"/>
          <w:sz w:val="21"/>
          <w:szCs w:val="21"/>
        </w:rPr>
        <w:t>合同执行过程中发生的任何争议，如双方不能通过友好协商解决，甲、乙双方一致同意向甲方所在地人民法院提起诉讼。</w:t>
      </w:r>
    </w:p>
    <w:p w14:paraId="6DBF91F5">
      <w:pPr>
        <w:spacing w:line="360" w:lineRule="auto"/>
        <w:ind w:firstLine="0" w:firstLineChars="0"/>
        <w:rPr>
          <w:rFonts w:ascii="宋体" w:hAnsi="宋体" w:eastAsia="宋体" w:cs="宋体"/>
          <w:sz w:val="21"/>
          <w:szCs w:val="21"/>
        </w:rPr>
      </w:pPr>
      <w:bookmarkStart w:id="55" w:name="_Toc435540768"/>
      <w:r>
        <w:rPr>
          <w:rFonts w:hint="eastAsia" w:ascii="宋体" w:hAnsi="宋体" w:eastAsia="宋体" w:cs="宋体"/>
          <w:sz w:val="21"/>
          <w:szCs w:val="21"/>
        </w:rPr>
        <w:t>十二、不可抗力</w:t>
      </w:r>
      <w:bookmarkEnd w:id="55"/>
    </w:p>
    <w:p w14:paraId="29DB3A28">
      <w:pPr>
        <w:spacing w:line="360" w:lineRule="auto"/>
        <w:ind w:firstLine="420"/>
        <w:rPr>
          <w:rFonts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AD1D192">
      <w:pPr>
        <w:spacing w:line="360" w:lineRule="auto"/>
        <w:ind w:firstLine="0" w:firstLineChars="0"/>
        <w:rPr>
          <w:rFonts w:ascii="宋体" w:hAnsi="宋体" w:eastAsia="宋体" w:cs="宋体"/>
          <w:sz w:val="21"/>
          <w:szCs w:val="21"/>
        </w:rPr>
      </w:pPr>
      <w:bookmarkStart w:id="56" w:name="_Toc435540769"/>
      <w:r>
        <w:rPr>
          <w:rFonts w:hint="eastAsia" w:ascii="宋体" w:hAnsi="宋体" w:eastAsia="宋体" w:cs="宋体"/>
          <w:sz w:val="21"/>
          <w:szCs w:val="21"/>
        </w:rPr>
        <w:t>十三、税费</w:t>
      </w:r>
      <w:bookmarkEnd w:id="56"/>
    </w:p>
    <w:p w14:paraId="05ACE037">
      <w:pPr>
        <w:spacing w:line="360" w:lineRule="auto"/>
        <w:ind w:firstLine="420"/>
        <w:rPr>
          <w:rFonts w:ascii="宋体" w:hAnsi="宋体" w:eastAsia="宋体" w:cs="宋体"/>
          <w:sz w:val="21"/>
          <w:szCs w:val="21"/>
        </w:rPr>
      </w:pPr>
      <w:r>
        <w:rPr>
          <w:rFonts w:hint="eastAsia" w:ascii="宋体" w:hAnsi="宋体" w:eastAsia="宋体" w:cs="宋体"/>
          <w:sz w:val="21"/>
          <w:szCs w:val="21"/>
        </w:rPr>
        <w:t>在中国境内、外发生的与本合同执行有关的一切税费均由乙方负担。</w:t>
      </w:r>
    </w:p>
    <w:p w14:paraId="40AD2D0D">
      <w:pPr>
        <w:spacing w:line="360" w:lineRule="auto"/>
        <w:ind w:firstLine="0" w:firstLineChars="0"/>
        <w:rPr>
          <w:rFonts w:ascii="宋体" w:hAnsi="宋体" w:eastAsia="宋体" w:cs="宋体"/>
          <w:sz w:val="21"/>
          <w:szCs w:val="21"/>
        </w:rPr>
      </w:pPr>
      <w:bookmarkStart w:id="57" w:name="_Toc435540770"/>
      <w:r>
        <w:rPr>
          <w:rFonts w:hint="eastAsia" w:ascii="宋体" w:hAnsi="宋体" w:eastAsia="宋体" w:cs="宋体"/>
          <w:sz w:val="21"/>
          <w:szCs w:val="21"/>
        </w:rPr>
        <w:t>十四、其它</w:t>
      </w:r>
      <w:bookmarkEnd w:id="57"/>
    </w:p>
    <w:p w14:paraId="19EA32B5">
      <w:pPr>
        <w:spacing w:line="360" w:lineRule="auto"/>
        <w:ind w:firstLine="420"/>
        <w:rPr>
          <w:rFonts w:ascii="宋体" w:hAnsi="宋体" w:eastAsia="宋体" w:cs="宋体"/>
          <w:b/>
          <w:sz w:val="21"/>
          <w:szCs w:val="21"/>
        </w:rPr>
      </w:pPr>
      <w:r>
        <w:rPr>
          <w:rFonts w:hint="eastAsia" w:ascii="宋体" w:hAnsi="宋体" w:eastAsia="宋体" w:cs="宋体"/>
          <w:sz w:val="21"/>
          <w:szCs w:val="21"/>
        </w:rPr>
        <w:t>1）本合同所有附件、采购文件、响应文件、中标通知书均为合同的有效组成部分，与本合同具有同等法律效力。</w:t>
      </w:r>
    </w:p>
    <w:p w14:paraId="77AE4B2B">
      <w:pPr>
        <w:spacing w:line="360" w:lineRule="auto"/>
        <w:ind w:firstLine="420"/>
        <w:rPr>
          <w:rFonts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）在执行本合同的过程中，所有经双方签署确认的文件（包括会议纪要、补充协议、往来信函）即成为本合同的有效组成部分。</w:t>
      </w:r>
    </w:p>
    <w:p w14:paraId="3BD2EA23">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3）如一方地址、电话、传真号码有变更，应在变更当日内书面通知对方，否则，应承担相应责任。 </w:t>
      </w:r>
    </w:p>
    <w:p w14:paraId="20977BA2">
      <w:pPr>
        <w:spacing w:line="360" w:lineRule="auto"/>
        <w:ind w:firstLine="420"/>
        <w:rPr>
          <w:rFonts w:ascii="宋体" w:hAnsi="宋体" w:eastAsia="宋体" w:cs="宋体"/>
          <w:sz w:val="21"/>
          <w:szCs w:val="21"/>
        </w:rPr>
      </w:pPr>
      <w:r>
        <w:rPr>
          <w:rFonts w:hint="eastAsia" w:ascii="宋体" w:hAnsi="宋体" w:eastAsia="宋体" w:cs="宋体"/>
          <w:sz w:val="21"/>
          <w:szCs w:val="21"/>
        </w:rPr>
        <w:t>4）除甲方事先书面同意外，乙方不得部分或全部转让其应履行的合同项下的义务。</w:t>
      </w:r>
    </w:p>
    <w:p w14:paraId="3A1AB1AD">
      <w:pPr>
        <w:spacing w:line="360" w:lineRule="auto"/>
        <w:ind w:firstLine="0" w:firstLineChars="0"/>
        <w:rPr>
          <w:rFonts w:ascii="宋体" w:hAnsi="宋体" w:eastAsia="宋体" w:cs="宋体"/>
          <w:sz w:val="21"/>
          <w:szCs w:val="21"/>
        </w:rPr>
      </w:pPr>
      <w:bookmarkStart w:id="58" w:name="_Toc435540771"/>
      <w:r>
        <w:rPr>
          <w:rFonts w:hint="eastAsia" w:ascii="宋体" w:hAnsi="宋体" w:eastAsia="宋体" w:cs="宋体"/>
          <w:sz w:val="21"/>
          <w:szCs w:val="21"/>
        </w:rPr>
        <w:t>十四、合同生效</w:t>
      </w:r>
      <w:bookmarkEnd w:id="58"/>
    </w:p>
    <w:p w14:paraId="05CEC4DE">
      <w:pPr>
        <w:spacing w:line="360" w:lineRule="auto"/>
        <w:ind w:firstLine="420"/>
        <w:rPr>
          <w:rFonts w:ascii="宋体" w:hAnsi="宋体" w:eastAsia="宋体" w:cs="宋体"/>
          <w:sz w:val="21"/>
          <w:szCs w:val="21"/>
        </w:rPr>
      </w:pPr>
      <w:r>
        <w:rPr>
          <w:rFonts w:hint="eastAsia" w:ascii="宋体" w:hAnsi="宋体" w:eastAsia="宋体" w:cs="宋体"/>
          <w:sz w:val="21"/>
          <w:szCs w:val="21"/>
        </w:rPr>
        <w:t>1）合同自甲乙双方法人代表或其授权代表签字盖章之日起生效。</w:t>
      </w:r>
    </w:p>
    <w:p w14:paraId="00148D95">
      <w:pPr>
        <w:spacing w:line="360" w:lineRule="auto"/>
        <w:ind w:firstLine="420"/>
        <w:rPr>
          <w:rFonts w:ascii="宋体" w:hAnsi="宋体" w:eastAsia="宋体" w:cs="宋体"/>
          <w:sz w:val="21"/>
          <w:szCs w:val="21"/>
        </w:rPr>
      </w:pPr>
      <w:r>
        <w:rPr>
          <w:rFonts w:hint="eastAsia" w:ascii="宋体" w:hAnsi="宋体" w:eastAsia="宋体" w:cs="宋体"/>
          <w:sz w:val="21"/>
          <w:szCs w:val="21"/>
        </w:rPr>
        <w:t>2）合同壹式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份，其中甲乙双方各执</w:t>
      </w:r>
      <w:r>
        <w:rPr>
          <w:rFonts w:hint="eastAsia" w:ascii="宋体" w:hAnsi="宋体" w:eastAsia="宋体" w:cs="宋体"/>
          <w:sz w:val="21"/>
          <w:szCs w:val="21"/>
          <w:u w:val="single"/>
        </w:rPr>
        <w:t xml:space="preserve">    </w:t>
      </w:r>
      <w:r>
        <w:rPr>
          <w:rFonts w:hint="eastAsia" w:ascii="宋体" w:hAnsi="宋体" w:eastAsia="宋体" w:cs="宋体"/>
          <w:sz w:val="21"/>
          <w:szCs w:val="21"/>
        </w:rPr>
        <w:t>份，采购代理机构执壹份。</w:t>
      </w:r>
    </w:p>
    <w:p w14:paraId="3DE39671">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甲方（盖章）：                          乙方（盖章）：</w:t>
      </w:r>
    </w:p>
    <w:p w14:paraId="5FE836F9">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代表：                                  代表： </w:t>
      </w:r>
    </w:p>
    <w:p w14:paraId="76738DEE">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签定地点：</w:t>
      </w:r>
    </w:p>
    <w:p w14:paraId="2D8E3089">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签定日期：        年     月    日       签定日期：        年     月     日    </w:t>
      </w:r>
    </w:p>
    <w:p w14:paraId="2B635D4E">
      <w:pPr>
        <w:snapToGrid w:val="0"/>
        <w:spacing w:line="360" w:lineRule="auto"/>
        <w:ind w:firstLine="4200" w:firstLineChars="2000"/>
        <w:rPr>
          <w:rFonts w:ascii="宋体" w:hAnsi="宋体" w:eastAsia="宋体" w:cs="宋体"/>
          <w:sz w:val="21"/>
          <w:szCs w:val="21"/>
        </w:rPr>
      </w:pPr>
      <w:r>
        <w:rPr>
          <w:rFonts w:hint="eastAsia" w:ascii="宋体" w:hAnsi="宋体" w:eastAsia="宋体" w:cs="宋体"/>
          <w:sz w:val="21"/>
          <w:szCs w:val="21"/>
        </w:rPr>
        <w:t>开户名称：</w:t>
      </w:r>
    </w:p>
    <w:p w14:paraId="79CDDD4D">
      <w:pPr>
        <w:snapToGrid w:val="0"/>
        <w:spacing w:line="360" w:lineRule="auto"/>
        <w:ind w:firstLine="4200" w:firstLineChars="2000"/>
        <w:rPr>
          <w:rFonts w:ascii="宋体" w:hAnsi="宋体" w:eastAsia="宋体" w:cs="宋体"/>
          <w:sz w:val="21"/>
          <w:szCs w:val="21"/>
        </w:rPr>
      </w:pPr>
      <w:r>
        <w:rPr>
          <w:rFonts w:hint="eastAsia" w:ascii="宋体" w:hAnsi="宋体" w:eastAsia="宋体" w:cs="宋体"/>
          <w:sz w:val="21"/>
          <w:szCs w:val="21"/>
        </w:rPr>
        <w:t>银行账号：</w:t>
      </w:r>
    </w:p>
    <w:p w14:paraId="26068E4B">
      <w:pPr>
        <w:snapToGrid w:val="0"/>
        <w:spacing w:line="360" w:lineRule="auto"/>
        <w:ind w:firstLine="4200" w:firstLineChars="2000"/>
        <w:rPr>
          <w:rFonts w:ascii="宋体" w:hAnsi="宋体" w:eastAsia="宋体" w:cs="宋体"/>
          <w:sz w:val="21"/>
          <w:szCs w:val="21"/>
        </w:rPr>
      </w:pPr>
      <w:r>
        <w:rPr>
          <w:rFonts w:hint="eastAsia" w:ascii="宋体" w:hAnsi="宋体" w:eastAsia="宋体" w:cs="宋体"/>
          <w:sz w:val="21"/>
          <w:szCs w:val="21"/>
        </w:rPr>
        <w:t>开 户 行：</w:t>
      </w:r>
    </w:p>
    <w:p w14:paraId="476B3767">
      <w:pPr>
        <w:rPr>
          <w:rFonts w:hint="default"/>
          <w:lang w:val="en-US" w:eastAsia="zh-CN"/>
        </w:rPr>
      </w:pPr>
    </w:p>
    <w:sectPr>
      <w:headerReference r:id="rId16" w:type="default"/>
      <w:footerReference r:id="rId1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 ( 正文 ) _x0000_">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1365">
    <w:pPr>
      <w:pStyle w:val="20"/>
      <w:ind w:right="630"/>
      <w:rPr>
        <w:rStyle w:val="37"/>
      </w:rPr>
    </w:pPr>
  </w:p>
  <w:p w14:paraId="77139804">
    <w:pPr>
      <w:pStyle w:val="20"/>
      <w:ind w:right="72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9F35A">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675A2">
                          <w:pPr>
                            <w:pStyle w:val="20"/>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8A675A2">
                    <w:pPr>
                      <w:pStyle w:val="20"/>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610B">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Pr>
      <w:t>24</w:t>
    </w:r>
    <w:r>
      <w:fldChar w:fldCharType="end"/>
    </w:r>
  </w:p>
  <w:p w14:paraId="25BB3DC4">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014C">
    <w:pPr>
      <w:pStyle w:val="20"/>
      <w:ind w:right="630"/>
      <w:rPr>
        <w:rStyle w:val="37"/>
      </w:rPr>
    </w:pPr>
  </w:p>
  <w:p w14:paraId="4C496456">
    <w:pPr>
      <w:pStyle w:val="20"/>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7ACF">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B45A">
    <w:pPr>
      <w:pStyle w:val="20"/>
      <w:pBdr>
        <w:top w:val="none" w:color="auto" w:sz="0" w:space="1"/>
        <w:left w:val="none" w:color="auto" w:sz="0" w:space="4"/>
        <w:bottom w:val="none" w:color="auto" w:sz="0" w:space="1"/>
        <w:right w:val="none" w:color="auto" w:sz="0" w:space="4"/>
      </w:pBdr>
      <w:spacing w:line="360" w:lineRule="auto"/>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9D76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89D76A">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4D7EAB17">
    <w:pPr>
      <w:pStyle w:val="20"/>
      <w:pBdr>
        <w:top w:val="none" w:color="auto" w:sz="0" w:space="1"/>
        <w:left w:val="none" w:color="auto" w:sz="0" w:space="4"/>
        <w:bottom w:val="none" w:color="auto" w:sz="0" w:space="1"/>
        <w:right w:val="none" w:color="auto" w:sz="0" w:space="4"/>
      </w:pBdr>
      <w:spacing w:line="360" w:lineRule="auto"/>
      <w:rPr>
        <w:sz w:val="21"/>
      </w:rPr>
    </w:pPr>
    <w:sdt>
      <w:sdtPr>
        <w:id w:val="-1"/>
      </w:sdtPr>
      <w:sdtEndPr>
        <w:rPr>
          <w:sz w:val="21"/>
        </w:rPr>
      </w:sdtEndP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A52AC">
    <w:pPr>
      <w:pStyle w:val="20"/>
      <w:ind w:right="630"/>
      <w:rPr>
        <w:rStyle w:val="3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12473">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A012473">
                    <w:pPr>
                      <w:pStyle w:val="20"/>
                    </w:pPr>
                    <w:r>
                      <w:fldChar w:fldCharType="begin"/>
                    </w:r>
                    <w:r>
                      <w:instrText xml:space="preserve"> PAGE  \* MERGEFORMAT </w:instrText>
                    </w:r>
                    <w:r>
                      <w:fldChar w:fldCharType="separate"/>
                    </w:r>
                    <w:r>
                      <w:t>2</w:t>
                    </w:r>
                    <w:r>
                      <w:fldChar w:fldCharType="end"/>
                    </w:r>
                  </w:p>
                </w:txbxContent>
              </v:textbox>
            </v:shape>
          </w:pict>
        </mc:Fallback>
      </mc:AlternateContent>
    </w:r>
  </w:p>
  <w:p w14:paraId="1C690396">
    <w:pPr>
      <w:pStyle w:val="20"/>
      <w:ind w:right="7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0686">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36A5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6236A5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2875">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5B690">
                          <w:pPr>
                            <w:pStyle w:val="2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45B690">
                    <w:pPr>
                      <w:pStyle w:val="2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8A18">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0A04F">
                          <w:pPr>
                            <w:pStyle w:val="2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B40A04F">
                    <w:pPr>
                      <w:pStyle w:val="2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AFC1">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8429">
    <w:pPr>
      <w:pStyle w:val="21"/>
      <w:pBdr>
        <w:top w:val="none" w:color="auto" w:sz="0" w:space="1"/>
        <w:left w:val="none" w:color="auto" w:sz="0" w:space="4"/>
        <w:bottom w:val="none" w:color="auto" w:sz="0" w:space="1"/>
        <w:right w:val="none" w:color="auto" w:sz="0" w:space="4"/>
      </w:pBdr>
      <w:spacing w:line="360" w:lineRule="auto"/>
      <w:ind w:firstLine="360" w:firstLineChars="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B9AC">
    <w:pPr>
      <w:pStyle w:val="21"/>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E858">
    <w:pPr>
      <w:pStyle w:val="21"/>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A0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F7DEE"/>
    <w:multiLevelType w:val="singleLevel"/>
    <w:tmpl w:val="A1DF7DEE"/>
    <w:lvl w:ilvl="0" w:tentative="0">
      <w:start w:val="1"/>
      <w:numFmt w:val="decimal"/>
      <w:suff w:val="nothing"/>
      <w:lvlText w:val="（%1）"/>
      <w:lvlJc w:val="left"/>
    </w:lvl>
  </w:abstractNum>
  <w:abstractNum w:abstractNumId="1">
    <w:nsid w:val="D4301079"/>
    <w:multiLevelType w:val="singleLevel"/>
    <w:tmpl w:val="D4301079"/>
    <w:lvl w:ilvl="0" w:tentative="0">
      <w:start w:val="1"/>
      <w:numFmt w:val="decimal"/>
      <w:suff w:val="nothing"/>
      <w:lvlText w:val="（%1）"/>
      <w:lvlJc w:val="left"/>
    </w:lvl>
  </w:abstractNum>
  <w:abstractNum w:abstractNumId="2">
    <w:nsid w:val="DAB85F76"/>
    <w:multiLevelType w:val="singleLevel"/>
    <w:tmpl w:val="DAB85F76"/>
    <w:lvl w:ilvl="0" w:tentative="0">
      <w:start w:val="1"/>
      <w:numFmt w:val="decimal"/>
      <w:suff w:val="nothing"/>
      <w:lvlText w:val="（%1）"/>
      <w:lvlJc w:val="left"/>
    </w:lvl>
  </w:abstractNum>
  <w:abstractNum w:abstractNumId="3">
    <w:nsid w:val="EBDFCFF3"/>
    <w:multiLevelType w:val="singleLevel"/>
    <w:tmpl w:val="EBDFCFF3"/>
    <w:lvl w:ilvl="0" w:tentative="0">
      <w:start w:val="1"/>
      <w:numFmt w:val="decimal"/>
      <w:suff w:val="nothing"/>
      <w:lvlText w:val="%1）"/>
      <w:lvlJc w:val="left"/>
    </w:lvl>
  </w:abstractNum>
  <w:abstractNum w:abstractNumId="4">
    <w:nsid w:val="F43DEBC7"/>
    <w:multiLevelType w:val="singleLevel"/>
    <w:tmpl w:val="F43DEBC7"/>
    <w:lvl w:ilvl="0" w:tentative="0">
      <w:start w:val="1"/>
      <w:numFmt w:val="decimal"/>
      <w:pStyle w:val="7"/>
      <w:lvlText w:val="%1."/>
      <w:lvlJc w:val="left"/>
      <w:pPr>
        <w:tabs>
          <w:tab w:val="left" w:pos="360"/>
        </w:tabs>
        <w:ind w:left="360" w:hanging="360"/>
      </w:pPr>
    </w:lvl>
  </w:abstractNum>
  <w:abstractNum w:abstractNumId="5">
    <w:nsid w:val="00000001"/>
    <w:multiLevelType w:val="singleLevel"/>
    <w:tmpl w:val="00000001"/>
    <w:lvl w:ilvl="0" w:tentative="0">
      <w:start w:val="1"/>
      <w:numFmt w:val="decimal"/>
      <w:suff w:val="nothing"/>
      <w:lvlText w:val="（%1）"/>
      <w:lvlJc w:val="left"/>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3"/>
    <w:multiLevelType w:val="singleLevel"/>
    <w:tmpl w:val="00000003"/>
    <w:lvl w:ilvl="0" w:tentative="0">
      <w:start w:val="1"/>
      <w:numFmt w:val="chineseCounting"/>
      <w:suff w:val="nothing"/>
      <w:lvlText w:val="%1、"/>
      <w:lvlJc w:val="left"/>
      <w:rPr>
        <w:rFonts w:hint="eastAsia"/>
      </w:rPr>
    </w:lvl>
  </w:abstractNum>
  <w:abstractNum w:abstractNumId="8">
    <w:nsid w:val="00000004"/>
    <w:multiLevelType w:val="multilevel"/>
    <w:tmpl w:val="00000004"/>
    <w:lvl w:ilvl="0" w:tentative="0">
      <w:start w:val="1"/>
      <w:numFmt w:val="decimal"/>
      <w:pStyle w:val="6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6"/>
    <w:multiLevelType w:val="singleLevel"/>
    <w:tmpl w:val="00000006"/>
    <w:lvl w:ilvl="0" w:tentative="0">
      <w:start w:val="1"/>
      <w:numFmt w:val="decimal"/>
      <w:suff w:val="nothing"/>
      <w:lvlText w:val="（%1）"/>
      <w:lvlJc w:val="left"/>
    </w:lvl>
  </w:abstractNum>
  <w:abstractNum w:abstractNumId="10">
    <w:nsid w:val="00000007"/>
    <w:multiLevelType w:val="singleLevel"/>
    <w:tmpl w:val="00000007"/>
    <w:lvl w:ilvl="0" w:tentative="0">
      <w:start w:val="6"/>
      <w:numFmt w:val="chineseCounting"/>
      <w:suff w:val="space"/>
      <w:lvlText w:val="第%1章"/>
      <w:lvlJc w:val="left"/>
    </w:lvl>
  </w:abstractNum>
  <w:abstractNum w:abstractNumId="11">
    <w:nsid w:val="1790E57E"/>
    <w:multiLevelType w:val="singleLevel"/>
    <w:tmpl w:val="1790E57E"/>
    <w:lvl w:ilvl="0" w:tentative="0">
      <w:start w:val="1"/>
      <w:numFmt w:val="decimal"/>
      <w:suff w:val="nothing"/>
      <w:lvlText w:val="%1）"/>
      <w:lvlJc w:val="left"/>
    </w:lvl>
  </w:abstractNum>
  <w:abstractNum w:abstractNumId="12">
    <w:nsid w:val="2AE2EDD0"/>
    <w:multiLevelType w:val="singleLevel"/>
    <w:tmpl w:val="2AE2EDD0"/>
    <w:lvl w:ilvl="0" w:tentative="0">
      <w:start w:val="1"/>
      <w:numFmt w:val="decimal"/>
      <w:suff w:val="nothing"/>
      <w:lvlText w:val="（%1）"/>
      <w:lvlJc w:val="left"/>
    </w:lvl>
  </w:abstractNum>
  <w:abstractNum w:abstractNumId="13">
    <w:nsid w:val="31D8DDC7"/>
    <w:multiLevelType w:val="singleLevel"/>
    <w:tmpl w:val="31D8DDC7"/>
    <w:lvl w:ilvl="0" w:tentative="0">
      <w:start w:val="1"/>
      <w:numFmt w:val="decimal"/>
      <w:suff w:val="nothing"/>
      <w:lvlText w:val="（%1）"/>
      <w:lvlJc w:val="left"/>
    </w:lvl>
  </w:abstractNum>
  <w:abstractNum w:abstractNumId="14">
    <w:nsid w:val="36885B0D"/>
    <w:multiLevelType w:val="singleLevel"/>
    <w:tmpl w:val="36885B0D"/>
    <w:lvl w:ilvl="0" w:tentative="0">
      <w:start w:val="4"/>
      <w:numFmt w:val="decimal"/>
      <w:suff w:val="nothing"/>
      <w:lvlText w:val="（%1）"/>
      <w:lvlJc w:val="left"/>
    </w:lvl>
  </w:abstractNum>
  <w:abstractNum w:abstractNumId="15">
    <w:nsid w:val="3ADB1394"/>
    <w:multiLevelType w:val="singleLevel"/>
    <w:tmpl w:val="3ADB1394"/>
    <w:lvl w:ilvl="0" w:tentative="0">
      <w:start w:val="3"/>
      <w:numFmt w:val="chineseCounting"/>
      <w:suff w:val="nothing"/>
      <w:lvlText w:val="%1、"/>
      <w:lvlJc w:val="left"/>
      <w:rPr>
        <w:rFonts w:hint="eastAsia"/>
      </w:rPr>
    </w:lvl>
  </w:abstractNum>
  <w:abstractNum w:abstractNumId="16">
    <w:nsid w:val="424D6897"/>
    <w:multiLevelType w:val="singleLevel"/>
    <w:tmpl w:val="424D6897"/>
    <w:lvl w:ilvl="0" w:tentative="0">
      <w:start w:val="1"/>
      <w:numFmt w:val="decimal"/>
      <w:lvlText w:val="%1."/>
      <w:lvlJc w:val="left"/>
      <w:pPr>
        <w:tabs>
          <w:tab w:val="left" w:pos="312"/>
        </w:tabs>
      </w:pPr>
    </w:lvl>
  </w:abstractNum>
  <w:abstractNum w:abstractNumId="17">
    <w:nsid w:val="4C6D304B"/>
    <w:multiLevelType w:val="multilevel"/>
    <w:tmpl w:val="4C6D304B"/>
    <w:lvl w:ilvl="0" w:tentative="0">
      <w:start w:val="1"/>
      <w:numFmt w:val="decimalEnclosedCircl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816A84A"/>
    <w:multiLevelType w:val="singleLevel"/>
    <w:tmpl w:val="5816A84A"/>
    <w:lvl w:ilvl="0" w:tentative="0">
      <w:start w:val="1"/>
      <w:numFmt w:val="decimal"/>
      <w:suff w:val="nothing"/>
      <w:lvlText w:val="%1、"/>
      <w:lvlJc w:val="left"/>
    </w:lvl>
  </w:abstractNum>
  <w:abstractNum w:abstractNumId="19">
    <w:nsid w:val="60040154"/>
    <w:multiLevelType w:val="singleLevel"/>
    <w:tmpl w:val="60040154"/>
    <w:lvl w:ilvl="0" w:tentative="0">
      <w:start w:val="1"/>
      <w:numFmt w:val="decimal"/>
      <w:suff w:val="nothing"/>
      <w:lvlText w:val="（%1）"/>
      <w:lvlJc w:val="left"/>
      <w:pPr>
        <w:ind w:left="240" w:firstLine="0"/>
      </w:pPr>
    </w:lvl>
  </w:abstractNum>
  <w:abstractNum w:abstractNumId="20">
    <w:nsid w:val="705AD789"/>
    <w:multiLevelType w:val="singleLevel"/>
    <w:tmpl w:val="705AD789"/>
    <w:lvl w:ilvl="0" w:tentative="0">
      <w:start w:val="1"/>
      <w:numFmt w:val="decimal"/>
      <w:lvlText w:val="%1."/>
      <w:lvlJc w:val="left"/>
      <w:pPr>
        <w:tabs>
          <w:tab w:val="left" w:pos="312"/>
        </w:tabs>
      </w:pPr>
    </w:lvl>
  </w:abstractNum>
  <w:abstractNum w:abstractNumId="21">
    <w:nsid w:val="716B8448"/>
    <w:multiLevelType w:val="singleLevel"/>
    <w:tmpl w:val="716B8448"/>
    <w:lvl w:ilvl="0" w:tentative="0">
      <w:start w:val="1"/>
      <w:numFmt w:val="decimal"/>
      <w:lvlText w:val="%1."/>
      <w:lvlJc w:val="left"/>
      <w:pPr>
        <w:tabs>
          <w:tab w:val="left" w:pos="312"/>
        </w:tabs>
      </w:pPr>
    </w:lvl>
  </w:abstractNum>
  <w:num w:numId="1">
    <w:abstractNumId w:val="4"/>
  </w:num>
  <w:num w:numId="2">
    <w:abstractNumId w:val="8"/>
  </w:num>
  <w:num w:numId="3">
    <w:abstractNumId w:val="7"/>
  </w:num>
  <w:num w:numId="4">
    <w:abstractNumId w:val="1"/>
  </w:num>
  <w:num w:numId="5">
    <w:abstractNumId w:val="3"/>
  </w:num>
  <w:num w:numId="6">
    <w:abstractNumId w:val="14"/>
  </w:num>
  <w:num w:numId="7">
    <w:abstractNumId w:val="0"/>
  </w:num>
  <w:num w:numId="8">
    <w:abstractNumId w:val="11"/>
  </w:num>
  <w:num w:numId="9">
    <w:abstractNumId w:val="19"/>
  </w:num>
  <w:num w:numId="10">
    <w:abstractNumId w:val="16"/>
  </w:num>
  <w:num w:numId="11">
    <w:abstractNumId w:val="21"/>
  </w:num>
  <w:num w:numId="12">
    <w:abstractNumId w:val="18"/>
  </w:num>
  <w:num w:numId="13">
    <w:abstractNumId w:val="2"/>
  </w:num>
  <w:num w:numId="14">
    <w:abstractNumId w:val="13"/>
  </w:num>
  <w:num w:numId="15">
    <w:abstractNumId w:val="6"/>
  </w:num>
  <w:num w:numId="16">
    <w:abstractNumId w:val="5"/>
  </w:num>
  <w:num w:numId="17">
    <w:abstractNumId w:val="9"/>
  </w:num>
  <w:num w:numId="18">
    <w:abstractNumId w:val="20"/>
  </w:num>
  <w:num w:numId="19">
    <w:abstractNumId w:val="12"/>
  </w:num>
  <w:num w:numId="20">
    <w:abstractNumId w:val="15"/>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33DA5"/>
    <w:rsid w:val="000169FB"/>
    <w:rsid w:val="000F044A"/>
    <w:rsid w:val="000F6BE4"/>
    <w:rsid w:val="00193DE6"/>
    <w:rsid w:val="001C43A5"/>
    <w:rsid w:val="001F1045"/>
    <w:rsid w:val="001F4FEC"/>
    <w:rsid w:val="0025702A"/>
    <w:rsid w:val="00277AD0"/>
    <w:rsid w:val="00307E24"/>
    <w:rsid w:val="00334661"/>
    <w:rsid w:val="00356539"/>
    <w:rsid w:val="00381BCC"/>
    <w:rsid w:val="00430D16"/>
    <w:rsid w:val="004423FE"/>
    <w:rsid w:val="004572FB"/>
    <w:rsid w:val="004C5655"/>
    <w:rsid w:val="004C612D"/>
    <w:rsid w:val="00531AF8"/>
    <w:rsid w:val="0053424B"/>
    <w:rsid w:val="00535240"/>
    <w:rsid w:val="00543644"/>
    <w:rsid w:val="00550C80"/>
    <w:rsid w:val="005C7CC0"/>
    <w:rsid w:val="006760FD"/>
    <w:rsid w:val="006777D5"/>
    <w:rsid w:val="00685B72"/>
    <w:rsid w:val="006A17AB"/>
    <w:rsid w:val="006B1F86"/>
    <w:rsid w:val="00704E01"/>
    <w:rsid w:val="00715AC1"/>
    <w:rsid w:val="00716ABE"/>
    <w:rsid w:val="00720397"/>
    <w:rsid w:val="00720FF3"/>
    <w:rsid w:val="0073193D"/>
    <w:rsid w:val="00763CA4"/>
    <w:rsid w:val="00775C73"/>
    <w:rsid w:val="0078085E"/>
    <w:rsid w:val="007954AB"/>
    <w:rsid w:val="007A1226"/>
    <w:rsid w:val="007A63CF"/>
    <w:rsid w:val="007D06A4"/>
    <w:rsid w:val="007D1D2C"/>
    <w:rsid w:val="007D548B"/>
    <w:rsid w:val="00861EF8"/>
    <w:rsid w:val="00884B93"/>
    <w:rsid w:val="00884CD0"/>
    <w:rsid w:val="008951CB"/>
    <w:rsid w:val="008D68DF"/>
    <w:rsid w:val="0091677E"/>
    <w:rsid w:val="009B2C49"/>
    <w:rsid w:val="009E65A6"/>
    <w:rsid w:val="00A12AF1"/>
    <w:rsid w:val="00A33DA5"/>
    <w:rsid w:val="00A40B08"/>
    <w:rsid w:val="00A64205"/>
    <w:rsid w:val="00A86B81"/>
    <w:rsid w:val="00B3645F"/>
    <w:rsid w:val="00BA3B0D"/>
    <w:rsid w:val="00BD0B49"/>
    <w:rsid w:val="00C1786C"/>
    <w:rsid w:val="00CA209D"/>
    <w:rsid w:val="00CE4CE8"/>
    <w:rsid w:val="00DD5CCF"/>
    <w:rsid w:val="00E82BA5"/>
    <w:rsid w:val="00EC535C"/>
    <w:rsid w:val="00F03599"/>
    <w:rsid w:val="00F14AF3"/>
    <w:rsid w:val="00F45991"/>
    <w:rsid w:val="00F82D5F"/>
    <w:rsid w:val="00FA422B"/>
    <w:rsid w:val="00FD18EB"/>
    <w:rsid w:val="01E3797E"/>
    <w:rsid w:val="01FD42EF"/>
    <w:rsid w:val="02D52B76"/>
    <w:rsid w:val="02EE5303"/>
    <w:rsid w:val="03D42428"/>
    <w:rsid w:val="04380764"/>
    <w:rsid w:val="04E532F6"/>
    <w:rsid w:val="04E902E2"/>
    <w:rsid w:val="06071F71"/>
    <w:rsid w:val="064509F5"/>
    <w:rsid w:val="064E1513"/>
    <w:rsid w:val="06A0516D"/>
    <w:rsid w:val="06B517A5"/>
    <w:rsid w:val="06C42ACD"/>
    <w:rsid w:val="06FD56F0"/>
    <w:rsid w:val="07AB20F7"/>
    <w:rsid w:val="08C7272D"/>
    <w:rsid w:val="09E83DC9"/>
    <w:rsid w:val="0A7B1506"/>
    <w:rsid w:val="0B8D5EA9"/>
    <w:rsid w:val="0B9855DB"/>
    <w:rsid w:val="0BE708A5"/>
    <w:rsid w:val="0C49010F"/>
    <w:rsid w:val="0C651D0E"/>
    <w:rsid w:val="0CCE09D7"/>
    <w:rsid w:val="0DF5498E"/>
    <w:rsid w:val="0E39789F"/>
    <w:rsid w:val="0E4A3F76"/>
    <w:rsid w:val="0EE01F38"/>
    <w:rsid w:val="0FE75F46"/>
    <w:rsid w:val="11405C91"/>
    <w:rsid w:val="13347072"/>
    <w:rsid w:val="13416846"/>
    <w:rsid w:val="134C5737"/>
    <w:rsid w:val="13BD35E6"/>
    <w:rsid w:val="143968D5"/>
    <w:rsid w:val="155D69B9"/>
    <w:rsid w:val="156A3217"/>
    <w:rsid w:val="15D31211"/>
    <w:rsid w:val="164833CF"/>
    <w:rsid w:val="187F4A56"/>
    <w:rsid w:val="18A163C5"/>
    <w:rsid w:val="18CA550E"/>
    <w:rsid w:val="194979CF"/>
    <w:rsid w:val="1A3C4946"/>
    <w:rsid w:val="1A807D07"/>
    <w:rsid w:val="1AF43F07"/>
    <w:rsid w:val="1D282B85"/>
    <w:rsid w:val="1D3E1944"/>
    <w:rsid w:val="1F4C79AB"/>
    <w:rsid w:val="2208666C"/>
    <w:rsid w:val="22564EC3"/>
    <w:rsid w:val="22733775"/>
    <w:rsid w:val="22846DAC"/>
    <w:rsid w:val="228A5DC9"/>
    <w:rsid w:val="22BA00B5"/>
    <w:rsid w:val="22DA46B0"/>
    <w:rsid w:val="25715837"/>
    <w:rsid w:val="26040E8D"/>
    <w:rsid w:val="26E9294D"/>
    <w:rsid w:val="279B6606"/>
    <w:rsid w:val="27CF594B"/>
    <w:rsid w:val="28357004"/>
    <w:rsid w:val="28C94144"/>
    <w:rsid w:val="29C7722D"/>
    <w:rsid w:val="2ADC41F2"/>
    <w:rsid w:val="2BE74BFC"/>
    <w:rsid w:val="2C793114"/>
    <w:rsid w:val="2DFA0653"/>
    <w:rsid w:val="2F2C47E5"/>
    <w:rsid w:val="3062765E"/>
    <w:rsid w:val="30983EA3"/>
    <w:rsid w:val="30D55565"/>
    <w:rsid w:val="3432035B"/>
    <w:rsid w:val="349D2C55"/>
    <w:rsid w:val="34CA1F79"/>
    <w:rsid w:val="362535E4"/>
    <w:rsid w:val="366D6723"/>
    <w:rsid w:val="37D85500"/>
    <w:rsid w:val="39543014"/>
    <w:rsid w:val="3AC01C69"/>
    <w:rsid w:val="3AFE34CB"/>
    <w:rsid w:val="3B084B8F"/>
    <w:rsid w:val="3B571350"/>
    <w:rsid w:val="3CD1609F"/>
    <w:rsid w:val="3D01621A"/>
    <w:rsid w:val="3DFF671E"/>
    <w:rsid w:val="3E742C68"/>
    <w:rsid w:val="3F3317D8"/>
    <w:rsid w:val="3F3B47F3"/>
    <w:rsid w:val="3FC9521F"/>
    <w:rsid w:val="41C44CA4"/>
    <w:rsid w:val="42AC3A51"/>
    <w:rsid w:val="46FB3BB8"/>
    <w:rsid w:val="471A5C34"/>
    <w:rsid w:val="472B6EE1"/>
    <w:rsid w:val="484F02A2"/>
    <w:rsid w:val="4928157F"/>
    <w:rsid w:val="49D94027"/>
    <w:rsid w:val="4B515112"/>
    <w:rsid w:val="4B55797D"/>
    <w:rsid w:val="4B6C20C1"/>
    <w:rsid w:val="4BA6650A"/>
    <w:rsid w:val="4E542AA7"/>
    <w:rsid w:val="4FD00463"/>
    <w:rsid w:val="517E3014"/>
    <w:rsid w:val="527928CA"/>
    <w:rsid w:val="53B939A5"/>
    <w:rsid w:val="53CF2C1F"/>
    <w:rsid w:val="547A73A8"/>
    <w:rsid w:val="549D365A"/>
    <w:rsid w:val="54F95E00"/>
    <w:rsid w:val="558C5D51"/>
    <w:rsid w:val="56632179"/>
    <w:rsid w:val="582F5C3B"/>
    <w:rsid w:val="58AF4857"/>
    <w:rsid w:val="58CC58F0"/>
    <w:rsid w:val="59BB737B"/>
    <w:rsid w:val="59BC7F6B"/>
    <w:rsid w:val="5A8D29E3"/>
    <w:rsid w:val="5AFE65E5"/>
    <w:rsid w:val="5C75596D"/>
    <w:rsid w:val="5CC606DB"/>
    <w:rsid w:val="5CD02BD9"/>
    <w:rsid w:val="5DF750E9"/>
    <w:rsid w:val="5EDF570F"/>
    <w:rsid w:val="5F764E73"/>
    <w:rsid w:val="5FA8056B"/>
    <w:rsid w:val="60E46774"/>
    <w:rsid w:val="612C3FFB"/>
    <w:rsid w:val="614E3300"/>
    <w:rsid w:val="61A62E2F"/>
    <w:rsid w:val="631C7DC3"/>
    <w:rsid w:val="63A71409"/>
    <w:rsid w:val="64B7383A"/>
    <w:rsid w:val="66600292"/>
    <w:rsid w:val="669B6888"/>
    <w:rsid w:val="67563F63"/>
    <w:rsid w:val="6774750D"/>
    <w:rsid w:val="689457A1"/>
    <w:rsid w:val="68ED0706"/>
    <w:rsid w:val="6BDE7E90"/>
    <w:rsid w:val="6CA53999"/>
    <w:rsid w:val="6DA47633"/>
    <w:rsid w:val="6DAD14E5"/>
    <w:rsid w:val="6DE04AA2"/>
    <w:rsid w:val="6E4C1F1C"/>
    <w:rsid w:val="6E5673E4"/>
    <w:rsid w:val="6E7B312F"/>
    <w:rsid w:val="6E9F0A2B"/>
    <w:rsid w:val="6F672728"/>
    <w:rsid w:val="721240D3"/>
    <w:rsid w:val="76677431"/>
    <w:rsid w:val="76D14F89"/>
    <w:rsid w:val="77B14D78"/>
    <w:rsid w:val="782D019C"/>
    <w:rsid w:val="7A3A6EFA"/>
    <w:rsid w:val="7A4E2000"/>
    <w:rsid w:val="7B235834"/>
    <w:rsid w:val="7BEF53C5"/>
    <w:rsid w:val="7C2D3607"/>
    <w:rsid w:val="7D534AA0"/>
    <w:rsid w:val="7DA6567B"/>
    <w:rsid w:val="7E264F47"/>
    <w:rsid w:val="7EAC6146"/>
    <w:rsid w:val="7FD05249"/>
    <w:rsid w:val="7FE2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widowControl/>
      <w:spacing w:before="240" w:after="60"/>
      <w:jc w:val="left"/>
      <w:outlineLvl w:val="4"/>
    </w:pPr>
    <w:rPr>
      <w:rFonts w:ascii="MS Sans Serif" w:hAnsi="Arial" w:eastAsia="MS Sans Serif"/>
      <w:kern w:val="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szCs w:val="20"/>
    </w:rPr>
  </w:style>
  <w:style w:type="paragraph" w:styleId="9">
    <w:name w:val="annotation text"/>
    <w:basedOn w:val="1"/>
    <w:link w:val="55"/>
    <w:qFormat/>
    <w:uiPriority w:val="0"/>
    <w:pPr>
      <w:jc w:val="left"/>
    </w:pPr>
  </w:style>
  <w:style w:type="paragraph" w:styleId="10">
    <w:name w:val="Salutation"/>
    <w:basedOn w:val="1"/>
    <w:next w:val="1"/>
    <w:qFormat/>
    <w:uiPriority w:val="0"/>
    <w:rPr>
      <w:rFonts w:cs="Times New Roman"/>
    </w:rPr>
  </w:style>
  <w:style w:type="paragraph" w:styleId="11">
    <w:name w:val="Body Text"/>
    <w:basedOn w:val="1"/>
    <w:next w:val="12"/>
    <w:qFormat/>
    <w:uiPriority w:val="99"/>
    <w:rPr>
      <w:rFonts w:eastAsia="黑体"/>
      <w:b/>
      <w:bCs/>
      <w:spacing w:val="20"/>
      <w:kern w:val="52"/>
      <w:sz w:val="56"/>
    </w:rPr>
  </w:style>
  <w:style w:type="paragraph" w:styleId="12">
    <w:name w:val="Body Text First Indent"/>
    <w:basedOn w:val="11"/>
    <w:next w:val="13"/>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13">
    <w:name w:val="toc 6"/>
    <w:basedOn w:val="1"/>
    <w:next w:val="1"/>
    <w:semiHidden/>
    <w:qFormat/>
    <w:uiPriority w:val="0"/>
    <w:pPr>
      <w:ind w:left="1050"/>
      <w:jc w:val="left"/>
    </w:pPr>
    <w:rPr>
      <w:sz w:val="18"/>
      <w:szCs w:val="18"/>
    </w:rPr>
  </w:style>
  <w:style w:type="paragraph" w:styleId="14">
    <w:name w:val="Body Text Indent"/>
    <w:basedOn w:val="1"/>
    <w:qFormat/>
    <w:uiPriority w:val="0"/>
    <w:pPr>
      <w:spacing w:line="200" w:lineRule="exact"/>
      <w:ind w:firstLine="301"/>
    </w:pPr>
    <w:rPr>
      <w:rFonts w:ascii="宋体" w:hAnsi="Courier New"/>
      <w:spacing w:val="-4"/>
      <w:sz w:val="18"/>
      <w:szCs w:val="20"/>
    </w:rPr>
  </w:style>
  <w:style w:type="paragraph" w:styleId="15">
    <w:name w:val="toc 3"/>
    <w:basedOn w:val="1"/>
    <w:next w:val="1"/>
    <w:qFormat/>
    <w:uiPriority w:val="0"/>
    <w:pPr>
      <w:ind w:left="840" w:leftChars="400"/>
    </w:pPr>
  </w:style>
  <w:style w:type="paragraph" w:styleId="16">
    <w:name w:val="Plain Text"/>
    <w:basedOn w:val="1"/>
    <w:qFormat/>
    <w:uiPriority w:val="0"/>
    <w:pPr>
      <w:spacing w:beforeLines="50" w:afterLines="50" w:line="400" w:lineRule="exact"/>
    </w:pPr>
    <w:rPr>
      <w:rFonts w:ascii="宋体" w:hAnsi="Courier New"/>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qFormat/>
    <w:uiPriority w:val="0"/>
    <w:pPr>
      <w:spacing w:after="120" w:line="480" w:lineRule="auto"/>
      <w:ind w:left="420" w:leftChars="200"/>
    </w:pPr>
    <w:rPr>
      <w:szCs w:val="20"/>
    </w:rPr>
  </w:style>
  <w:style w:type="paragraph" w:styleId="19">
    <w:name w:val="Balloon Text"/>
    <w:basedOn w:val="1"/>
    <w:link w:val="54"/>
    <w:qFormat/>
    <w:uiPriority w:val="0"/>
    <w:rPr>
      <w:sz w:val="18"/>
      <w:szCs w:val="18"/>
    </w:rPr>
  </w:style>
  <w:style w:type="paragraph" w:styleId="20">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2">
    <w:name w:val="toc 1"/>
    <w:basedOn w:val="1"/>
    <w:next w:val="1"/>
    <w:qFormat/>
    <w:uiPriority w:val="0"/>
  </w:style>
  <w:style w:type="paragraph" w:styleId="23">
    <w:name w:val="List"/>
    <w:basedOn w:val="1"/>
    <w:qFormat/>
    <w:uiPriority w:val="0"/>
    <w:pPr>
      <w:ind w:left="200" w:hanging="200" w:hangingChars="200"/>
    </w:pPr>
    <w:rPr>
      <w:sz w:val="28"/>
    </w:r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qFormat/>
    <w:uiPriority w:val="0"/>
    <w:pPr>
      <w:ind w:left="420" w:leftChars="200"/>
    </w:pPr>
  </w:style>
  <w:style w:type="paragraph" w:styleId="26">
    <w:name w:val="Body Text 2"/>
    <w:basedOn w:val="1"/>
    <w:qFormat/>
    <w:uiPriority w:val="0"/>
    <w:pPr>
      <w:widowControl/>
      <w:snapToGrid w:val="0"/>
      <w:spacing w:afterLines="50" w:line="400" w:lineRule="exact"/>
      <w:jc w:val="left"/>
    </w:pPr>
    <w:rPr>
      <w:rFonts w:ascii="宋体" w:hAnsi="宋体"/>
      <w:color w:val="000000"/>
      <w:sz w:val="24"/>
    </w:rPr>
  </w:style>
  <w:style w:type="paragraph" w:styleId="27">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28">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9">
    <w:name w:val="annotation subject"/>
    <w:basedOn w:val="9"/>
    <w:next w:val="9"/>
    <w:link w:val="56"/>
    <w:qFormat/>
    <w:uiPriority w:val="0"/>
    <w:rPr>
      <w:b/>
      <w:bCs/>
    </w:rPr>
  </w:style>
  <w:style w:type="paragraph" w:styleId="30">
    <w:name w:val="Body Text First Indent 2"/>
    <w:basedOn w:val="14"/>
    <w:next w:val="31"/>
    <w:qFormat/>
    <w:uiPriority w:val="99"/>
    <w:pPr>
      <w:spacing w:after="120" w:line="240" w:lineRule="auto"/>
      <w:ind w:left="420" w:leftChars="200" w:firstLine="420" w:firstLineChars="200"/>
    </w:pPr>
    <w:rPr>
      <w:rFonts w:ascii="Times New Roman" w:hAnsi="Times New Roman"/>
      <w:spacing w:val="0"/>
      <w:sz w:val="21"/>
      <w:szCs w:val="24"/>
    </w:rPr>
  </w:style>
  <w:style w:type="paragraph" w:customStyle="1" w:styleId="31">
    <w:name w:val="xl53"/>
    <w:basedOn w:val="32"/>
    <w:qFormat/>
    <w:uiPriority w:val="0"/>
    <w:pPr>
      <w:pBdr>
        <w:top w:val="single" w:color="auto" w:sz="4" w:space="0"/>
        <w:left w:val="single" w:color="auto" w:sz="8" w:space="0"/>
        <w:bottom w:val="single" w:color="auto" w:sz="8" w:space="0"/>
        <w:right w:val="single" w:color="auto" w:sz="4" w:space="0"/>
      </w:pBdr>
      <w:jc w:val="center"/>
    </w:pPr>
    <w:rPr>
      <w:rFonts w:ascii="宋体" w:hAnsi="宋体" w:cstheme="minorBidi"/>
      <w:b/>
      <w:bCs/>
      <w:kern w:val="0"/>
      <w:szCs w:val="20"/>
    </w:rPr>
  </w:style>
  <w:style w:type="paragraph" w:customStyle="1" w:styleId="32">
    <w:name w:val="正文（四号）"/>
    <w:basedOn w:val="1"/>
    <w:qFormat/>
    <w:uiPriority w:val="0"/>
    <w:pPr>
      <w:widowControl/>
      <w:snapToGrid w:val="0"/>
      <w:spacing w:line="360" w:lineRule="auto"/>
      <w:ind w:firstLine="200" w:firstLineChars="200"/>
    </w:pPr>
    <w:rPr>
      <w:rFonts w:ascii="Times New Roman" w:hAnsi="Times New Roman" w:cs="宋体"/>
      <w:sz w:val="28"/>
      <w:szCs w:val="28"/>
    </w:rPr>
  </w:style>
  <w:style w:type="table" w:styleId="34">
    <w:name w:val="Table Grid"/>
    <w:basedOn w:val="3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0"/>
    <w:rPr>
      <w:rFonts w:ascii="Tahoma" w:hAnsi="Tahoma"/>
      <w:b/>
      <w:bCs/>
      <w:sz w:val="24"/>
      <w:szCs w:val="20"/>
    </w:rPr>
  </w:style>
  <w:style w:type="character" w:styleId="37">
    <w:name w:val="page number"/>
    <w:basedOn w:val="35"/>
    <w:qFormat/>
    <w:uiPriority w:val="0"/>
  </w:style>
  <w:style w:type="character" w:styleId="38">
    <w:name w:val="Hyperlink"/>
    <w:basedOn w:val="35"/>
    <w:qFormat/>
    <w:uiPriority w:val="0"/>
    <w:rPr>
      <w:color w:val="0000FF"/>
      <w:u w:val="single"/>
    </w:rPr>
  </w:style>
  <w:style w:type="character" w:styleId="39">
    <w:name w:val="annotation reference"/>
    <w:qFormat/>
    <w:uiPriority w:val="0"/>
    <w:rPr>
      <w:sz w:val="21"/>
      <w:szCs w:val="21"/>
    </w:rPr>
  </w:style>
  <w:style w:type="character" w:customStyle="1" w:styleId="40">
    <w:name w:val="标题 1 字符"/>
    <w:link w:val="2"/>
    <w:qFormat/>
    <w:uiPriority w:val="0"/>
    <w:rPr>
      <w:rFonts w:ascii="Calibri" w:hAnsi="Calibri" w:eastAsia="宋体" w:cs="黑体"/>
      <w:b/>
      <w:bCs/>
      <w:kern w:val="44"/>
      <w:sz w:val="44"/>
      <w:szCs w:val="44"/>
    </w:rPr>
  </w:style>
  <w:style w:type="paragraph" w:customStyle="1" w:styleId="4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2">
    <w:name w:val="正文2"/>
    <w:basedOn w:val="1"/>
    <w:qFormat/>
    <w:uiPriority w:val="0"/>
    <w:pPr>
      <w:adjustRightInd w:val="0"/>
      <w:spacing w:line="318" w:lineRule="atLeast"/>
      <w:ind w:left="369" w:firstLine="369"/>
      <w:textAlignment w:val="baseline"/>
    </w:pPr>
    <w:rPr>
      <w:rFonts w:ascii="宋体"/>
      <w:szCs w:val="20"/>
    </w:rPr>
  </w:style>
  <w:style w:type="paragraph" w:customStyle="1" w:styleId="43">
    <w:name w:val="正文段"/>
    <w:basedOn w:val="1"/>
    <w:qFormat/>
    <w:uiPriority w:val="0"/>
    <w:pPr>
      <w:widowControl/>
      <w:snapToGrid w:val="0"/>
      <w:spacing w:afterLines="50"/>
      <w:ind w:firstLine="200" w:firstLineChars="200"/>
    </w:pPr>
    <w:rPr>
      <w:kern w:val="0"/>
      <w:sz w:val="24"/>
      <w:szCs w:val="20"/>
    </w:rPr>
  </w:style>
  <w:style w:type="paragraph" w:customStyle="1" w:styleId="44">
    <w:name w:val="Char Char1 Char Char Char Char Char Char Char Char"/>
    <w:basedOn w:val="1"/>
    <w:qFormat/>
    <w:uiPriority w:val="0"/>
    <w:pPr>
      <w:widowControl/>
      <w:spacing w:line="240" w:lineRule="exact"/>
      <w:jc w:val="left"/>
    </w:pPr>
  </w:style>
  <w:style w:type="paragraph" w:customStyle="1" w:styleId="4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6">
    <w:name w:val="lei.header1"/>
    <w:next w:val="47"/>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7">
    <w:name w:val="lei.header2"/>
    <w:next w:val="48"/>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8">
    <w:name w:val="lei.header3"/>
    <w:next w:val="49"/>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9">
    <w:name w:val="lei.text"/>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50">
    <w:name w:val="样式1"/>
    <w:basedOn w:val="1"/>
    <w:qFormat/>
    <w:uiPriority w:val="0"/>
    <w:pPr>
      <w:spacing w:line="480" w:lineRule="auto"/>
    </w:pPr>
    <w:rPr>
      <w:sz w:val="24"/>
      <w:szCs w:val="20"/>
    </w:rPr>
  </w:style>
  <w:style w:type="paragraph" w:customStyle="1" w:styleId="51">
    <w:name w:val="列出段落1"/>
    <w:basedOn w:val="1"/>
    <w:qFormat/>
    <w:uiPriority w:val="34"/>
    <w:pPr>
      <w:ind w:firstLine="420" w:firstLineChars="200"/>
    </w:pPr>
  </w:style>
  <w:style w:type="paragraph" w:customStyle="1" w:styleId="52">
    <w:name w:val="_Style 61"/>
    <w:basedOn w:val="1"/>
    <w:qFormat/>
    <w:uiPriority w:val="0"/>
    <w:pPr>
      <w:widowControl/>
      <w:spacing w:after="160" w:line="240" w:lineRule="exact"/>
      <w:jc w:val="left"/>
    </w:pPr>
    <w:rPr>
      <w:rFonts w:ascii="Times New Roman" w:hAnsi="Times New Roman" w:cs="Times New Roman"/>
    </w:rPr>
  </w:style>
  <w:style w:type="paragraph" w:customStyle="1" w:styleId="53">
    <w:name w:val="列出段落2"/>
    <w:basedOn w:val="1"/>
    <w:qFormat/>
    <w:uiPriority w:val="99"/>
    <w:pPr>
      <w:ind w:firstLine="420" w:firstLineChars="200"/>
    </w:pPr>
  </w:style>
  <w:style w:type="character" w:customStyle="1" w:styleId="54">
    <w:name w:val="批注框文本 字符"/>
    <w:link w:val="19"/>
    <w:qFormat/>
    <w:uiPriority w:val="0"/>
    <w:rPr>
      <w:rFonts w:ascii="Calibri" w:hAnsi="Calibri" w:eastAsia="宋体" w:cs="黑体"/>
      <w:kern w:val="2"/>
      <w:sz w:val="18"/>
      <w:szCs w:val="18"/>
    </w:rPr>
  </w:style>
  <w:style w:type="character" w:customStyle="1" w:styleId="55">
    <w:name w:val="批注文字 字符"/>
    <w:link w:val="9"/>
    <w:qFormat/>
    <w:uiPriority w:val="0"/>
    <w:rPr>
      <w:rFonts w:ascii="Calibri" w:hAnsi="Calibri" w:cs="黑体"/>
      <w:kern w:val="2"/>
      <w:sz w:val="21"/>
      <w:szCs w:val="24"/>
    </w:rPr>
  </w:style>
  <w:style w:type="character" w:customStyle="1" w:styleId="56">
    <w:name w:val="批注主题 字符"/>
    <w:link w:val="29"/>
    <w:qFormat/>
    <w:uiPriority w:val="0"/>
    <w:rPr>
      <w:rFonts w:ascii="Calibri" w:hAnsi="Calibri" w:cs="黑体"/>
      <w:b/>
      <w:bCs/>
      <w:kern w:val="2"/>
      <w:sz w:val="21"/>
      <w:szCs w:val="24"/>
    </w:rPr>
  </w:style>
  <w:style w:type="paragraph" w:customStyle="1" w:styleId="5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9">
    <w:name w:val="p-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02正文"/>
    <w:basedOn w:val="1"/>
    <w:qFormat/>
    <w:uiPriority w:val="0"/>
    <w:pPr>
      <w:spacing w:line="360" w:lineRule="auto"/>
      <w:ind w:firstLine="200" w:firstLineChars="200"/>
    </w:pPr>
    <w:rPr>
      <w:rFonts w:ascii="仿宋_GB2312" w:eastAsia="仿宋_GB2312" w:cs="宋体"/>
      <w:color w:val="000000"/>
      <w:sz w:val="28"/>
      <w:szCs w:val="20"/>
    </w:rPr>
  </w:style>
  <w:style w:type="paragraph" w:customStyle="1" w:styleId="61">
    <w:name w:val="标书正文1"/>
    <w:basedOn w:val="1"/>
    <w:qFormat/>
    <w:uiPriority w:val="0"/>
    <w:pPr>
      <w:spacing w:line="520" w:lineRule="exact"/>
      <w:ind w:firstLine="640" w:firstLineChars="200"/>
    </w:pPr>
  </w:style>
  <w:style w:type="paragraph" w:customStyle="1" w:styleId="62">
    <w:name w:val="List Paragraph_8c10a5f1-10ce-4de6-9fb4-d808594f75ee"/>
    <w:basedOn w:val="1"/>
    <w:qFormat/>
    <w:uiPriority w:val="0"/>
    <w:pPr>
      <w:ind w:firstLine="420" w:firstLineChars="200"/>
    </w:pPr>
    <w:rPr>
      <w:szCs w:val="22"/>
    </w:rPr>
  </w:style>
  <w:style w:type="paragraph" w:customStyle="1" w:styleId="63">
    <w:name w:val="hea"/>
    <w:basedOn w:val="1"/>
    <w:next w:val="1"/>
    <w:qFormat/>
    <w:uiPriority w:val="0"/>
    <w:pPr>
      <w:keepNext/>
      <w:keepLines/>
      <w:numPr>
        <w:ilvl w:val="0"/>
        <w:numId w:val="2"/>
      </w:numPr>
      <w:spacing w:before="340" w:after="330" w:line="578" w:lineRule="auto"/>
      <w:outlineLvl w:val="0"/>
    </w:pPr>
    <w:rPr>
      <w:b/>
      <w:bCs/>
      <w:kern w:val="44"/>
      <w:sz w:val="44"/>
      <w:szCs w:val="44"/>
    </w:rPr>
  </w:style>
  <w:style w:type="character" w:customStyle="1" w:styleId="64">
    <w:name w:val="font11"/>
    <w:basedOn w:val="35"/>
    <w:qFormat/>
    <w:uiPriority w:val="0"/>
    <w:rPr>
      <w:rFonts w:hint="eastAsia" w:ascii="宋体" w:hAnsi="宋体" w:eastAsia="宋体" w:cs="宋体"/>
      <w:color w:val="000000"/>
      <w:sz w:val="21"/>
      <w:szCs w:val="21"/>
      <w:u w:val="none"/>
    </w:rPr>
  </w:style>
  <w:style w:type="paragraph" w:customStyle="1" w:styleId="65">
    <w:name w:val="_Style 2"/>
    <w:basedOn w:val="1"/>
    <w:qFormat/>
    <w:uiPriority w:val="0"/>
    <w:pPr>
      <w:ind w:firstLine="420" w:firstLineChars="200"/>
    </w:pPr>
    <w:rPr>
      <w:szCs w:val="22"/>
    </w:rPr>
  </w:style>
  <w:style w:type="paragraph" w:customStyle="1" w:styleId="66">
    <w:name w:val="List Paragraph_7e826d30-5ec9-465b-bbea-5b7a58d5b3d2"/>
    <w:basedOn w:val="1"/>
    <w:qFormat/>
    <w:uiPriority w:val="0"/>
    <w:pPr>
      <w:ind w:firstLine="420" w:firstLineChars="200"/>
    </w:pPr>
  </w:style>
  <w:style w:type="paragraph" w:customStyle="1" w:styleId="67">
    <w:name w:val="无间隔1"/>
    <w:qFormat/>
    <w:uiPriority w:val="1"/>
    <w:rPr>
      <w:rFonts w:ascii="Calibri" w:hAnsi="Calibri" w:eastAsia="宋体" w:cs="Times New Roman"/>
      <w:sz w:val="22"/>
      <w:szCs w:val="22"/>
      <w:lang w:val="en-US" w:eastAsia="zh-CN" w:bidi="ar-SA"/>
    </w:rPr>
  </w:style>
  <w:style w:type="paragraph" w:customStyle="1" w:styleId="6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_Style 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font51"/>
    <w:basedOn w:val="35"/>
    <w:qFormat/>
    <w:uiPriority w:val="0"/>
    <w:rPr>
      <w:rFonts w:hint="eastAsia" w:ascii="宋体" w:hAnsi="宋体" w:eastAsia="宋体" w:cs="宋体"/>
      <w:color w:val="000000"/>
      <w:sz w:val="23"/>
      <w:szCs w:val="23"/>
      <w:u w:val="none"/>
    </w:rPr>
  </w:style>
  <w:style w:type="paragraph" w:customStyle="1" w:styleId="71">
    <w:name w:val="正文21"/>
    <w:basedOn w:val="1"/>
    <w:qFormat/>
    <w:uiPriority w:val="0"/>
    <w:pPr>
      <w:spacing w:before="156" w:line="360" w:lineRule="auto"/>
      <w:ind w:firstLine="510" w:firstLineChars="200"/>
    </w:pPr>
    <w:rPr>
      <w:sz w:val="24"/>
      <w:szCs w:val="20"/>
    </w:rPr>
  </w:style>
  <w:style w:type="character" w:customStyle="1" w:styleId="72">
    <w:name w:val="font71"/>
    <w:basedOn w:val="35"/>
    <w:qFormat/>
    <w:uiPriority w:val="0"/>
    <w:rPr>
      <w:rFonts w:ascii="微软雅黑" w:hAnsi="微软雅黑" w:eastAsia="微软雅黑" w:cs="微软雅黑"/>
      <w:color w:val="000000"/>
      <w:sz w:val="24"/>
      <w:szCs w:val="24"/>
      <w:u w:val="none"/>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74">
    <w:name w:val="List Paragraph"/>
    <w:basedOn w:val="1"/>
    <w:qFormat/>
    <w:uiPriority w:val="99"/>
    <w:pPr>
      <w:ind w:firstLine="420" w:firstLineChars="200"/>
    </w:pPr>
  </w:style>
  <w:style w:type="character" w:customStyle="1" w:styleId="75">
    <w:name w:val="font21"/>
    <w:basedOn w:val="35"/>
    <w:qFormat/>
    <w:uiPriority w:val="0"/>
    <w:rPr>
      <w:rFonts w:hint="eastAsia" w:ascii="宋体" w:hAnsi="宋体" w:eastAsia="宋体" w:cs="宋体"/>
      <w:color w:val="000000"/>
      <w:sz w:val="20"/>
      <w:szCs w:val="20"/>
      <w:u w:val="none"/>
    </w:rPr>
  </w:style>
  <w:style w:type="character" w:customStyle="1" w:styleId="76">
    <w:name w:val="font41"/>
    <w:basedOn w:val="35"/>
    <w:qFormat/>
    <w:uiPriority w:val="0"/>
    <w:rPr>
      <w:rFonts w:hint="default" w:ascii="宋体 ( 正文 ) _x0000_" w:hAnsi="宋体 ( 正文 ) _x0000_" w:eastAsia="宋体 ( 正文 ) _x0000_" w:cs="宋体 ( 正文 ) _x0000_"/>
      <w:b/>
      <w:bCs/>
      <w:color w:val="FF0000"/>
      <w:sz w:val="24"/>
      <w:szCs w:val="24"/>
      <w:u w:val="none"/>
    </w:rPr>
  </w:style>
  <w:style w:type="character" w:customStyle="1" w:styleId="77">
    <w:name w:val="font151"/>
    <w:basedOn w:val="35"/>
    <w:qFormat/>
    <w:uiPriority w:val="0"/>
    <w:rPr>
      <w:rFonts w:hint="default" w:ascii="仿宋_GB2312" w:eastAsia="仿宋_GB2312" w:cs="仿宋_GB2312"/>
      <w:color w:val="000000"/>
      <w:sz w:val="24"/>
      <w:szCs w:val="24"/>
      <w:u w:val="none"/>
    </w:rPr>
  </w:style>
  <w:style w:type="character" w:customStyle="1" w:styleId="78">
    <w:name w:val="font161"/>
    <w:basedOn w:val="35"/>
    <w:qFormat/>
    <w:uiPriority w:val="0"/>
    <w:rPr>
      <w:rFonts w:hint="default" w:ascii="Times New Roman" w:hAnsi="Times New Roman" w:cs="Times New Roman"/>
      <w:color w:val="000000"/>
      <w:sz w:val="24"/>
      <w:szCs w:val="24"/>
      <w:u w:val="none"/>
    </w:rPr>
  </w:style>
  <w:style w:type="character" w:customStyle="1" w:styleId="79">
    <w:name w:val="font171"/>
    <w:basedOn w:val="35"/>
    <w:qFormat/>
    <w:uiPriority w:val="0"/>
    <w:rPr>
      <w:rFonts w:hint="eastAsia" w:ascii="宋体" w:hAnsi="宋体" w:eastAsia="宋体" w:cs="宋体"/>
      <w:color w:val="000000"/>
      <w:sz w:val="24"/>
      <w:szCs w:val="24"/>
      <w:u w:val="none"/>
    </w:rPr>
  </w:style>
  <w:style w:type="paragraph" w:customStyle="1" w:styleId="80">
    <w:name w:val="图啊"/>
    <w:qFormat/>
    <w:uiPriority w:val="0"/>
    <w:pPr>
      <w:jc w:val="center"/>
    </w:pPr>
    <w:rPr>
      <w:rFonts w:asciiTheme="minorHAnsi" w:hAnsiTheme="minorHAnsi" w:eastAsiaTheme="minorEastAsia" w:cstheme="minorBidi"/>
      <w:b/>
      <w:kern w:val="2"/>
      <w:sz w:val="24"/>
      <w:szCs w:val="22"/>
      <w:lang w:val="en-US" w:eastAsia="zh-CN" w:bidi="ar-SA"/>
    </w:rPr>
  </w:style>
  <w:style w:type="paragraph" w:customStyle="1" w:styleId="81">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119</Pages>
  <Words>10948</Words>
  <Characters>11984</Characters>
  <Lines>610</Lines>
  <Paragraphs>171</Paragraphs>
  <TotalTime>16</TotalTime>
  <ScaleCrop>false</ScaleCrop>
  <LinksUpToDate>false</LinksUpToDate>
  <CharactersWithSpaces>12089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2024-12-16T11:55:00Z</dcterms:created>
  <dc:creator>Administrator</dc:creator>
  <cp:lastModifiedBy>ACTIVE SIDELIGHTS</cp:lastModifiedBy>
  <cp:lastPrinted>2024-12-13T03:23:00Z</cp:lastPrinted>
  <dcterms:modified xsi:type="dcterms:W3CDTF">2024-12-31T08:15:52Z</dcterms:modified>
  <dc:title>国内公开招标文件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D358992E263E4EDBADEE2F46234D3168_13</vt:lpwstr>
  </property>
  <property fmtid="{D5CDD505-2E9C-101B-9397-08002B2CF9AE}" pid="4" name="KSOTemplateDocerSaveRecord">
    <vt:lpwstr>eyJoZGlkIjoiYmM0MjNjODhlMmFmNWE2MDI2MDM4YTY5MWYzZTZhNTMiLCJ1c2VySWQiOiIyOTYzOTYwNTEifQ==</vt:lpwstr>
  </property>
</Properties>
</file>