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3C858">
      <w:pPr>
        <w:shd w:val="clear" w:color="auto" w:fill="FFFFFF"/>
        <w:jc w:val="center"/>
        <w:textAlignment w:val="bottom"/>
        <w:rPr>
          <w:rFonts w:ascii="宋体"/>
          <w:b/>
          <w:color w:val="000000" w:themeColor="text1"/>
          <w:kern w:val="0"/>
          <w:sz w:val="52"/>
          <w:szCs w:val="52"/>
          <w:highlight w:val="none"/>
          <w14:textFill>
            <w14:solidFill>
              <w14:schemeClr w14:val="tx1"/>
            </w14:solidFill>
          </w14:textFill>
        </w:rPr>
      </w:pPr>
      <w:bookmarkStart w:id="0" w:name="_Toc32435_WPSOffice_Type1"/>
    </w:p>
    <w:p w14:paraId="15F2FDB0">
      <w:pPr>
        <w:shd w:val="clear" w:color="auto" w:fill="FFFFFF"/>
        <w:spacing w:line="360" w:lineRule="auto"/>
        <w:jc w:val="center"/>
        <w:textAlignment w:val="bottom"/>
        <w:rPr>
          <w:rFonts w:hint="eastAsia" w:ascii="宋体" w:hAnsi="宋体" w:cs="宋体"/>
          <w:b/>
          <w:bCs/>
          <w:color w:val="000000" w:themeColor="text1"/>
          <w:sz w:val="36"/>
          <w:szCs w:val="36"/>
          <w:highlight w:val="none"/>
          <w:lang w:eastAsia="zh-CN"/>
          <w14:textFill>
            <w14:solidFill>
              <w14:schemeClr w14:val="tx1"/>
            </w14:solidFill>
          </w14:textFill>
        </w:rPr>
      </w:pPr>
    </w:p>
    <w:p w14:paraId="023D18C0">
      <w:pPr>
        <w:shd w:val="clear" w:color="auto" w:fill="FFFFFF"/>
        <w:spacing w:line="360" w:lineRule="auto"/>
        <w:jc w:val="center"/>
        <w:textAlignment w:val="bottom"/>
        <w:rPr>
          <w:rFonts w:hint="eastAsia" w:ascii="宋体" w:hAnsi="宋体" w:eastAsia="宋体" w:cs="宋体"/>
          <w:b/>
          <w:bCs/>
          <w:color w:val="000000" w:themeColor="text1"/>
          <w:sz w:val="44"/>
          <w:szCs w:val="44"/>
          <w:highlight w:val="none"/>
          <w:lang w:eastAsia="zh-CN"/>
          <w14:textFill>
            <w14:solidFill>
              <w14:schemeClr w14:val="tx1"/>
            </w14:solidFill>
          </w14:textFill>
        </w:rPr>
      </w:pPr>
      <w:r>
        <w:rPr>
          <w:rFonts w:hint="eastAsia" w:ascii="宋体" w:hAnsi="宋体" w:cs="宋体"/>
          <w:b/>
          <w:bCs/>
          <w:color w:val="000000" w:themeColor="text1"/>
          <w:sz w:val="44"/>
          <w:szCs w:val="44"/>
          <w:highlight w:val="none"/>
          <w:lang w:eastAsia="zh-CN"/>
          <w14:textFill>
            <w14:solidFill>
              <w14:schemeClr w14:val="tx1"/>
            </w14:solidFill>
          </w14:textFill>
        </w:rPr>
        <w:t xml:space="preserve"> 台州方特熊出没水上休闲游乐度假中心（一期）酒店地毯采购</w:t>
      </w:r>
    </w:p>
    <w:p w14:paraId="75830F40">
      <w:pPr>
        <w:shd w:val="clear" w:color="auto" w:fill="FFFFFF"/>
        <w:spacing w:line="500" w:lineRule="exact"/>
        <w:jc w:val="center"/>
        <w:textAlignment w:val="bottom"/>
        <w:rPr>
          <w:rFonts w:ascii="宋体"/>
          <w:b/>
          <w:color w:val="000000" w:themeColor="text1"/>
          <w:kern w:val="0"/>
          <w:sz w:val="52"/>
          <w:szCs w:val="52"/>
          <w:highlight w:val="none"/>
          <w14:textFill>
            <w14:solidFill>
              <w14:schemeClr w14:val="tx1"/>
            </w14:solidFill>
          </w14:textFill>
        </w:rPr>
      </w:pPr>
    </w:p>
    <w:p w14:paraId="7E679D2C">
      <w:pPr>
        <w:shd w:val="clear" w:color="auto" w:fill="FFFFFF"/>
        <w:spacing w:line="1000" w:lineRule="exact"/>
        <w:jc w:val="center"/>
        <w:textAlignment w:val="bottom"/>
        <w:rPr>
          <w:rFonts w:hint="eastAsia" w:ascii="宋体"/>
          <w:b/>
          <w:color w:val="000000" w:themeColor="text1"/>
          <w:kern w:val="0"/>
          <w:sz w:val="72"/>
          <w:szCs w:val="72"/>
          <w:highlight w:val="none"/>
          <w14:textFill>
            <w14:solidFill>
              <w14:schemeClr w14:val="tx1"/>
            </w14:solidFill>
          </w14:textFill>
        </w:rPr>
      </w:pPr>
    </w:p>
    <w:p w14:paraId="564CAEE4">
      <w:pPr>
        <w:shd w:val="clear" w:color="auto" w:fill="FFFFFF"/>
        <w:spacing w:line="1000" w:lineRule="exac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b/>
          <w:color w:val="000000" w:themeColor="text1"/>
          <w:kern w:val="0"/>
          <w:sz w:val="72"/>
          <w:szCs w:val="72"/>
          <w:highlight w:val="none"/>
          <w14:textFill>
            <w14:solidFill>
              <w14:schemeClr w14:val="tx1"/>
            </w14:solidFill>
          </w14:textFill>
        </w:rPr>
        <w:t>采 购 文 件</w:t>
      </w:r>
    </w:p>
    <w:p w14:paraId="1138D399">
      <w:pPr>
        <w:pStyle w:val="153"/>
        <w:ind w:firstLine="2880" w:firstLineChars="900"/>
        <w:rPr>
          <w:rFonts w:hAnsi="宋体" w:cs="宋体"/>
          <w:bCs/>
          <w:color w:val="000000" w:themeColor="text1"/>
          <w:sz w:val="32"/>
          <w:szCs w:val="32"/>
          <w:highlight w:val="none"/>
          <w14:textFill>
            <w14:solidFill>
              <w14:schemeClr w14:val="tx1"/>
            </w14:solidFill>
          </w14:textFill>
        </w:rPr>
      </w:pPr>
    </w:p>
    <w:p w14:paraId="08708DD1">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31F04AC5">
      <w:pPr>
        <w:pStyle w:val="153"/>
        <w:rPr>
          <w:rFonts w:ascii="楷体_GB2312" w:hAnsi="宋体" w:eastAsia="楷体_GB2312" w:cs="楷体_GB2312"/>
          <w:b/>
          <w:bCs/>
          <w:color w:val="000000" w:themeColor="text1"/>
          <w:sz w:val="30"/>
          <w:szCs w:val="30"/>
          <w:highlight w:val="none"/>
          <w14:textFill>
            <w14:solidFill>
              <w14:schemeClr w14:val="tx1"/>
            </w14:solidFill>
          </w14:textFill>
        </w:rPr>
      </w:pPr>
    </w:p>
    <w:p w14:paraId="7A54CA98">
      <w:pPr>
        <w:pStyle w:val="3"/>
        <w:rPr>
          <w:color w:val="000000" w:themeColor="text1"/>
          <w:highlight w:val="none"/>
          <w14:textFill>
            <w14:solidFill>
              <w14:schemeClr w14:val="tx1"/>
            </w14:solidFill>
          </w14:textFill>
        </w:rPr>
      </w:pPr>
    </w:p>
    <w:p w14:paraId="0C9E47FA">
      <w:pPr>
        <w:pStyle w:val="2"/>
        <w:ind w:firstLine="210"/>
        <w:rPr>
          <w:color w:val="000000" w:themeColor="text1"/>
          <w:highlight w:val="none"/>
          <w14:textFill>
            <w14:solidFill>
              <w14:schemeClr w14:val="tx1"/>
            </w14:solidFill>
          </w14:textFill>
        </w:rPr>
      </w:pPr>
    </w:p>
    <w:p w14:paraId="0779340F">
      <w:pPr>
        <w:rPr>
          <w:color w:val="000000" w:themeColor="text1"/>
          <w:highlight w:val="none"/>
          <w14:textFill>
            <w14:solidFill>
              <w14:schemeClr w14:val="tx1"/>
            </w14:solidFill>
          </w14:textFill>
        </w:rPr>
      </w:pPr>
    </w:p>
    <w:p w14:paraId="2D09A1C9">
      <w:pPr>
        <w:pStyle w:val="3"/>
        <w:rPr>
          <w:color w:val="000000" w:themeColor="text1"/>
          <w:highlight w:val="none"/>
          <w14:textFill>
            <w14:solidFill>
              <w14:schemeClr w14:val="tx1"/>
            </w14:solidFill>
          </w14:textFill>
        </w:rPr>
      </w:pPr>
    </w:p>
    <w:p w14:paraId="32313284">
      <w:pPr>
        <w:pStyle w:val="2"/>
        <w:ind w:firstLine="210"/>
        <w:rPr>
          <w:color w:val="000000" w:themeColor="text1"/>
          <w:highlight w:val="none"/>
          <w14:textFill>
            <w14:solidFill>
              <w14:schemeClr w14:val="tx1"/>
            </w14:solidFill>
          </w14:textFill>
        </w:rPr>
      </w:pPr>
    </w:p>
    <w:p w14:paraId="026453E2">
      <w:pPr>
        <w:rPr>
          <w:rFonts w:ascii="楷体_GB2312" w:hAnsi="宋体" w:eastAsia="楷体_GB2312" w:cs="楷体_GB2312"/>
          <w:b/>
          <w:bCs/>
          <w:color w:val="000000" w:themeColor="text1"/>
          <w:sz w:val="30"/>
          <w:szCs w:val="30"/>
          <w:highlight w:val="none"/>
          <w14:textFill>
            <w14:solidFill>
              <w14:schemeClr w14:val="tx1"/>
            </w14:solidFill>
          </w14:textFill>
        </w:rPr>
      </w:pPr>
    </w:p>
    <w:p w14:paraId="53309C82">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1" w:name="_Toc12417"/>
      <w:r>
        <w:rPr>
          <w:rFonts w:hAnsi="宋体"/>
          <w:b w:val="0"/>
          <w:color w:val="000000" w:themeColor="text1"/>
          <w:sz w:val="28"/>
          <w:highlight w:val="none"/>
          <w14:textFill>
            <w14:solidFill>
              <w14:schemeClr w14:val="tx1"/>
            </w14:solidFill>
          </w14:textFill>
        </w:rPr>
        <w:t>采购单位：</w:t>
      </w:r>
      <w:r>
        <w:rPr>
          <w:rFonts w:hint="eastAsia" w:hAnsi="宋体"/>
          <w:b w:val="0"/>
          <w:color w:val="000000" w:themeColor="text1"/>
          <w:sz w:val="28"/>
          <w:highlight w:val="none"/>
          <w:u w:val="single"/>
          <w:lang w:eastAsia="zh-CN"/>
          <w14:textFill>
            <w14:solidFill>
              <w14:schemeClr w14:val="tx1"/>
            </w14:solidFill>
          </w14:textFill>
        </w:rPr>
        <w:t>台州东游文化旅游发展有限公司</w:t>
      </w:r>
      <w:r>
        <w:rPr>
          <w:rFonts w:hAnsi="宋体"/>
          <w:b w:val="0"/>
          <w:color w:val="000000" w:themeColor="text1"/>
          <w:sz w:val="28"/>
          <w:highlight w:val="none"/>
          <w14:textFill>
            <w14:solidFill>
              <w14:schemeClr w14:val="tx1"/>
            </w14:solidFill>
          </w14:textFill>
        </w:rPr>
        <w:t>（盖章）</w:t>
      </w:r>
      <w:bookmarkEnd w:id="1"/>
    </w:p>
    <w:p w14:paraId="00A58BE4">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2" w:name="_Toc24937"/>
      <w:r>
        <w:rPr>
          <w:rFonts w:hAnsi="宋体"/>
          <w:b w:val="0"/>
          <w:color w:val="000000" w:themeColor="text1"/>
          <w:sz w:val="28"/>
          <w:highlight w:val="none"/>
          <w14:textFill>
            <w14:solidFill>
              <w14:schemeClr w14:val="tx1"/>
            </w14:solidFill>
          </w14:textFill>
        </w:rPr>
        <w:t>联系人：</w:t>
      </w:r>
      <w:r>
        <w:rPr>
          <w:rFonts w:hAnsi="宋体"/>
          <w:b w:val="0"/>
          <w:color w:val="000000" w:themeColor="text1"/>
          <w:sz w:val="28"/>
          <w:highlight w:val="none"/>
          <w:u w:val="single"/>
          <w14:textFill>
            <w14:solidFill>
              <w14:schemeClr w14:val="tx1"/>
            </w14:solidFill>
          </w14:textFill>
        </w:rPr>
        <w:t xml:space="preserve"> </w:t>
      </w:r>
      <w:r>
        <w:rPr>
          <w:b w:val="0"/>
          <w:color w:val="000000" w:themeColor="text1"/>
          <w:sz w:val="28"/>
          <w:highlight w:val="none"/>
          <w:u w:val="single"/>
          <w14:textFill>
            <w14:solidFill>
              <w14:schemeClr w14:val="tx1"/>
            </w14:solidFill>
          </w14:textFill>
        </w:rPr>
        <w:t xml:space="preserve"> </w:t>
      </w:r>
      <w:r>
        <w:rPr>
          <w:rFonts w:hint="eastAsia" w:hAnsi="宋体"/>
          <w:b w:val="0"/>
          <w:color w:val="000000" w:themeColor="text1"/>
          <w:sz w:val="28"/>
          <w:highlight w:val="none"/>
          <w:u w:val="single"/>
          <w:lang w:val="en-US" w:eastAsia="zh-CN"/>
          <w14:textFill>
            <w14:solidFill>
              <w14:schemeClr w14:val="tx1"/>
            </w14:solidFill>
          </w14:textFill>
        </w:rPr>
        <w:t>张女士</w:t>
      </w:r>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联系电话：</w:t>
      </w:r>
      <w:r>
        <w:rPr>
          <w:b w:val="0"/>
          <w:color w:val="000000" w:themeColor="text1"/>
          <w:sz w:val="28"/>
          <w:highlight w:val="none"/>
          <w:u w:val="single"/>
          <w14:textFill>
            <w14:solidFill>
              <w14:schemeClr w14:val="tx1"/>
            </w14:solidFill>
          </w14:textFill>
        </w:rPr>
        <w:t xml:space="preserve"> </w:t>
      </w:r>
      <w:r>
        <w:rPr>
          <w:rFonts w:hint="eastAsia"/>
          <w:b w:val="0"/>
          <w:color w:val="000000" w:themeColor="text1"/>
          <w:sz w:val="28"/>
          <w:highlight w:val="none"/>
          <w:u w:val="single"/>
          <w:lang w:val="en-US" w:eastAsia="zh-CN"/>
          <w14:textFill>
            <w14:solidFill>
              <w14:schemeClr w14:val="tx1"/>
            </w14:solidFill>
          </w14:textFill>
        </w:rPr>
        <w:t>0576-88909028</w:t>
      </w:r>
      <w:bookmarkEnd w:id="2"/>
      <w:r>
        <w:rPr>
          <w:b w:val="0"/>
          <w:color w:val="000000" w:themeColor="text1"/>
          <w:sz w:val="28"/>
          <w:highlight w:val="none"/>
          <w:u w:val="single"/>
          <w14:textFill>
            <w14:solidFill>
              <w14:schemeClr w14:val="tx1"/>
            </w14:solidFill>
          </w14:textFill>
        </w:rPr>
        <w:t xml:space="preserve"> </w:t>
      </w:r>
      <w:r>
        <w:rPr>
          <w:rFonts w:hAnsi="宋体"/>
          <w:b w:val="0"/>
          <w:color w:val="000000" w:themeColor="text1"/>
          <w:sz w:val="28"/>
          <w:highlight w:val="none"/>
          <w14:textFill>
            <w14:solidFill>
              <w14:schemeClr w14:val="tx1"/>
            </w14:solidFill>
          </w14:textFill>
        </w:rPr>
        <w:t xml:space="preserve">    </w:t>
      </w:r>
    </w:p>
    <w:p w14:paraId="11746B35">
      <w:pPr>
        <w:pStyle w:val="20"/>
        <w:tabs>
          <w:tab w:val="left" w:pos="1620"/>
        </w:tabs>
        <w:snapToGrid w:val="0"/>
        <w:spacing w:before="0" w:beforeLines="0" w:after="0" w:afterLines="0" w:line="480" w:lineRule="auto"/>
        <w:ind w:firstLine="1120" w:firstLineChars="400"/>
        <w:outlineLvl w:val="0"/>
        <w:rPr>
          <w:rFonts w:hint="default" w:hAnsi="宋体"/>
          <w:b w:val="0"/>
          <w:color w:val="000000" w:themeColor="text1"/>
          <w:sz w:val="28"/>
          <w:highlight w:val="none"/>
          <w14:textFill>
            <w14:solidFill>
              <w14:schemeClr w14:val="tx1"/>
            </w14:solidFill>
          </w14:textFill>
        </w:rPr>
      </w:pPr>
      <w:bookmarkStart w:id="3" w:name="_Toc27593"/>
      <w:r>
        <w:rPr>
          <w:rFonts w:hAnsi="宋体"/>
          <w:b w:val="0"/>
          <w:color w:val="000000" w:themeColor="text1"/>
          <w:sz w:val="28"/>
          <w:highlight w:val="none"/>
          <w14:textFill>
            <w14:solidFill>
              <w14:schemeClr w14:val="tx1"/>
            </w14:solidFill>
          </w14:textFill>
        </w:rPr>
        <w:t>代理机构：</w:t>
      </w:r>
      <w:r>
        <w:rPr>
          <w:rFonts w:hint="eastAsia" w:hAnsi="宋体"/>
          <w:b w:val="0"/>
          <w:color w:val="000000" w:themeColor="text1"/>
          <w:sz w:val="28"/>
          <w:highlight w:val="none"/>
          <w:u w:val="single"/>
          <w:lang w:eastAsia="zh-CN"/>
          <w14:textFill>
            <w14:solidFill>
              <w14:schemeClr w14:val="tx1"/>
            </w14:solidFill>
          </w14:textFill>
        </w:rPr>
        <w:t>建经投资咨询有限公司</w:t>
      </w:r>
      <w:r>
        <w:rPr>
          <w:rFonts w:hAnsi="宋体"/>
          <w:b w:val="0"/>
          <w:color w:val="000000" w:themeColor="text1"/>
          <w:sz w:val="28"/>
          <w:highlight w:val="none"/>
          <w14:textFill>
            <w14:solidFill>
              <w14:schemeClr w14:val="tx1"/>
            </w14:solidFill>
          </w14:textFill>
        </w:rPr>
        <w:t>（盖章）</w:t>
      </w:r>
      <w:bookmarkEnd w:id="3"/>
    </w:p>
    <w:p w14:paraId="28DC8733">
      <w:pPr>
        <w:spacing w:line="480" w:lineRule="auto"/>
        <w:ind w:firstLine="1120" w:firstLineChars="400"/>
        <w:rPr>
          <w:rFonts w:hint="default" w:ascii="宋体" w:hAnsi="宋体" w:eastAsia="宋体"/>
          <w:color w:val="000000" w:themeColor="text1"/>
          <w:highlight w:val="none"/>
          <w:lang w:val="en-US" w:eastAsia="zh-CN"/>
          <w14:textFill>
            <w14:solidFill>
              <w14:schemeClr w14:val="tx1"/>
            </w14:solidFill>
          </w14:textFill>
        </w:rPr>
      </w:pPr>
      <w:r>
        <w:rPr>
          <w:rFonts w:hint="eastAsia" w:ascii="宋体" w:hAnsi="宋体"/>
          <w:color w:val="000000" w:themeColor="text1"/>
          <w:highlight w:val="none"/>
          <w14:textFill>
            <w14:solidFill>
              <w14:schemeClr w14:val="tx1"/>
            </w14:solidFill>
          </w14:textFill>
        </w:rPr>
        <w:t>代理项目</w:t>
      </w:r>
      <w:r>
        <w:rPr>
          <w:rFonts w:hint="eastAsia" w:ascii="宋体" w:hAnsi="宋体"/>
          <w:color w:val="000000" w:themeColor="text1"/>
          <w:highlight w:val="none"/>
          <w:lang w:val="en-US" w:eastAsia="zh-CN"/>
          <w14:textFill>
            <w14:solidFill>
              <w14:schemeClr w14:val="tx1"/>
            </w14:solidFill>
          </w14:textFill>
        </w:rPr>
        <w:t>联系人</w:t>
      </w: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u w:val="single"/>
          <w:lang w:val="en-US" w:eastAsia="zh-CN"/>
          <w14:textFill>
            <w14:solidFill>
              <w14:schemeClr w14:val="tx1"/>
            </w14:solidFill>
          </w14:textFill>
        </w:rPr>
        <w:t>戴萍</w:t>
      </w:r>
      <w:r>
        <w:rPr>
          <w:rFonts w:hint="eastAsia" w:ascii="宋体" w:hAnsi="宋体"/>
          <w:color w:val="000000" w:themeColor="text1"/>
          <w:highlight w:val="none"/>
          <w:u w:val="singl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联系电话：</w:t>
      </w:r>
      <w:r>
        <w:rPr>
          <w:rFonts w:hint="eastAsia" w:ascii="宋体" w:hAnsi="宋体"/>
          <w:color w:val="000000" w:themeColor="text1"/>
          <w:highlight w:val="none"/>
          <w:u w:val="single"/>
          <w:lang w:eastAsia="zh-CN"/>
          <w14:textFill>
            <w14:solidFill>
              <w14:schemeClr w14:val="tx1"/>
            </w14:solidFill>
          </w14:textFill>
        </w:rPr>
        <w:t>0576-</w:t>
      </w:r>
      <w:r>
        <w:rPr>
          <w:rFonts w:hint="eastAsia" w:ascii="宋体" w:hAnsi="宋体"/>
          <w:color w:val="000000" w:themeColor="text1"/>
          <w:highlight w:val="none"/>
          <w:u w:val="single"/>
          <w:lang w:val="en-US" w:eastAsia="zh-CN"/>
          <w14:textFill>
            <w14:solidFill>
              <w14:schemeClr w14:val="tx1"/>
            </w14:solidFill>
          </w14:textFill>
        </w:rPr>
        <w:t>88550073</w:t>
      </w:r>
    </w:p>
    <w:p w14:paraId="42C0061B">
      <w:pPr>
        <w:adjustRightInd w:val="0"/>
        <w:snapToGrid w:val="0"/>
        <w:spacing w:line="480" w:lineRule="auto"/>
        <w:ind w:left="2890" w:leftChars="532" w:hanging="1400" w:hangingChars="500"/>
        <w:rPr>
          <w:rFonts w:ascii="宋体" w:hAnsi="宋体" w:cs="宋体"/>
          <w:color w:val="000000" w:themeColor="text1"/>
          <w:kern w:val="0"/>
          <w:szCs w:val="28"/>
          <w:highlight w:val="none"/>
          <w:lang w:bidi="ar"/>
          <w14:textFill>
            <w14:solidFill>
              <w14:schemeClr w14:val="tx1"/>
            </w14:solidFill>
          </w14:textFill>
        </w:rPr>
      </w:pPr>
    </w:p>
    <w:p w14:paraId="00FEA47B">
      <w:pPr>
        <w:pStyle w:val="3"/>
        <w:rPr>
          <w:color w:val="000000" w:themeColor="text1"/>
          <w:highlight w:val="none"/>
          <w14:textFill>
            <w14:solidFill>
              <w14:schemeClr w14:val="tx1"/>
            </w14:solidFill>
          </w14:textFill>
        </w:rPr>
      </w:pPr>
    </w:p>
    <w:p w14:paraId="34D4DB77">
      <w:pPr>
        <w:adjustRightInd w:val="0"/>
        <w:snapToGrid w:val="0"/>
        <w:spacing w:line="480" w:lineRule="auto"/>
        <w:jc w:val="left"/>
        <w:rPr>
          <w:rFonts w:ascii="宋体" w:hAnsi="宋体" w:cs="宋体"/>
          <w:color w:val="000000" w:themeColor="text1"/>
          <w:kern w:val="0"/>
          <w:szCs w:val="28"/>
          <w:highlight w:val="none"/>
          <w14:textFill>
            <w14:solidFill>
              <w14:schemeClr w14:val="tx1"/>
            </w14:solidFill>
          </w14:textFill>
        </w:rPr>
      </w:pPr>
      <w:r>
        <w:rPr>
          <w:rFonts w:hint="eastAsia" w:ascii="宋体" w:hAnsi="宋体" w:cs="宋体"/>
          <w:color w:val="000000" w:themeColor="text1"/>
          <w:kern w:val="0"/>
          <w:szCs w:val="28"/>
          <w:highlight w:val="none"/>
          <w:lang w:bidi="ar"/>
          <w14:textFill>
            <w14:solidFill>
              <w14:schemeClr w14:val="tx1"/>
            </w14:solidFill>
          </w14:textFill>
        </w:rPr>
        <w:t xml:space="preserve"> </w:t>
      </w:r>
    </w:p>
    <w:p w14:paraId="49B1EB32">
      <w:pPr>
        <w:spacing w:line="360" w:lineRule="auto"/>
        <w:ind w:left="-280" w:leftChars="-100" w:right="-57"/>
        <w:jc w:val="center"/>
        <w:rPr>
          <w:rFonts w:hint="eastAsia" w:ascii="等线" w:hAnsi="等线" w:cs="宋体"/>
          <w:color w:val="000000" w:themeColor="text1"/>
          <w:sz w:val="30"/>
          <w:szCs w:val="30"/>
          <w:highlight w:val="none"/>
          <w:lang w:bidi="ar"/>
          <w14:textFill>
            <w14:solidFill>
              <w14:schemeClr w14:val="tx1"/>
            </w14:solidFill>
          </w14:textFill>
        </w:rPr>
      </w:pPr>
      <w:r>
        <w:rPr>
          <w:rFonts w:hint="eastAsia" w:ascii="等线" w:hAnsi="等线" w:cs="宋体"/>
          <w:color w:val="000000" w:themeColor="text1"/>
          <w:sz w:val="30"/>
          <w:szCs w:val="30"/>
          <w:highlight w:val="none"/>
          <w:lang w:bidi="ar"/>
          <w14:textFill>
            <w14:solidFill>
              <w14:schemeClr w14:val="tx1"/>
            </w14:solidFill>
          </w14:textFill>
        </w:rPr>
        <w:t>二〇二</w:t>
      </w:r>
      <w:r>
        <w:rPr>
          <w:rFonts w:hint="eastAsia" w:ascii="等线" w:hAnsi="等线" w:cs="宋体"/>
          <w:color w:val="000000" w:themeColor="text1"/>
          <w:sz w:val="30"/>
          <w:szCs w:val="30"/>
          <w:highlight w:val="none"/>
          <w:lang w:val="en-US" w:eastAsia="zh-CN" w:bidi="ar"/>
          <w14:textFill>
            <w14:solidFill>
              <w14:schemeClr w14:val="tx1"/>
            </w14:solidFill>
          </w14:textFill>
        </w:rPr>
        <w:t>四</w:t>
      </w:r>
      <w:r>
        <w:rPr>
          <w:rFonts w:hint="eastAsia" w:ascii="等线" w:hAnsi="等线" w:cs="宋体"/>
          <w:color w:val="000000" w:themeColor="text1"/>
          <w:sz w:val="30"/>
          <w:szCs w:val="30"/>
          <w:highlight w:val="none"/>
          <w:lang w:bidi="ar"/>
          <w14:textFill>
            <w14:solidFill>
              <w14:schemeClr w14:val="tx1"/>
            </w14:solidFill>
          </w14:textFill>
        </w:rPr>
        <w:t>年</w:t>
      </w:r>
      <w:r>
        <w:rPr>
          <w:rFonts w:hint="eastAsia" w:ascii="等线" w:hAnsi="等线" w:cs="宋体"/>
          <w:color w:val="000000" w:themeColor="text1"/>
          <w:sz w:val="30"/>
          <w:szCs w:val="30"/>
          <w:highlight w:val="none"/>
          <w:lang w:val="en-US" w:eastAsia="zh-CN" w:bidi="ar"/>
          <w14:textFill>
            <w14:solidFill>
              <w14:schemeClr w14:val="tx1"/>
            </w14:solidFill>
          </w14:textFill>
        </w:rPr>
        <w:t>九</w:t>
      </w:r>
      <w:r>
        <w:rPr>
          <w:rFonts w:hint="eastAsia" w:ascii="等线" w:hAnsi="等线" w:cs="宋体"/>
          <w:color w:val="000000" w:themeColor="text1"/>
          <w:sz w:val="30"/>
          <w:szCs w:val="30"/>
          <w:highlight w:val="none"/>
          <w:lang w:bidi="ar"/>
          <w14:textFill>
            <w14:solidFill>
              <w14:schemeClr w14:val="tx1"/>
            </w14:solidFill>
          </w14:textFill>
        </w:rPr>
        <w:t>月</w:t>
      </w:r>
    </w:p>
    <w:bookmarkEnd w:id="0"/>
    <w:p w14:paraId="08DFDFA0">
      <w:pPr>
        <w:pStyle w:val="20"/>
        <w:snapToGrid w:val="0"/>
        <w:spacing w:before="120" w:beforeLines="0" w:after="120" w:afterLines="0" w:line="240" w:lineRule="auto"/>
        <w:outlineLvl w:val="9"/>
        <w:rPr>
          <w:rFonts w:hint="default" w:hAnsi="宋体" w:cs="宋体"/>
          <w:color w:val="000000" w:themeColor="text1"/>
          <w:sz w:val="28"/>
          <w:szCs w:val="28"/>
          <w:highlight w:val="none"/>
          <w14:textFill>
            <w14:solidFill>
              <w14:schemeClr w14:val="tx1"/>
            </w14:solidFill>
          </w14:textFill>
        </w:rPr>
      </w:pPr>
      <w:bookmarkStart w:id="4" w:name="_Toc10354_WPSOffice_Level1"/>
    </w:p>
    <w:p w14:paraId="45422661">
      <w:pPr>
        <w:pStyle w:val="20"/>
        <w:snapToGrid w:val="0"/>
        <w:spacing w:before="120" w:beforeLines="0" w:after="120" w:afterLines="0" w:line="240" w:lineRule="auto"/>
        <w:outlineLvl w:val="9"/>
        <w:rPr>
          <w:rFonts w:hint="default" w:hAnsi="宋体" w:cs="宋体"/>
          <w:color w:val="000000" w:themeColor="text1"/>
          <w:sz w:val="28"/>
          <w:szCs w:val="28"/>
          <w:highlight w:val="none"/>
          <w14:textFill>
            <w14:solidFill>
              <w14:schemeClr w14:val="tx1"/>
            </w14:solidFill>
          </w14:textFill>
        </w:rPr>
      </w:pPr>
    </w:p>
    <w:sdt>
      <w:sdtPr>
        <w:rPr>
          <w:rFonts w:ascii="宋体" w:hAnsi="宋体" w:eastAsia="宋体" w:cs="Times New Roman"/>
          <w:kern w:val="2"/>
          <w:sz w:val="52"/>
          <w:szCs w:val="52"/>
          <w:highlight w:val="none"/>
          <w:lang w:val="en-US" w:eastAsia="zh-CN" w:bidi="ar-SA"/>
        </w:rPr>
        <w:id w:val="147462105"/>
        <w15:color w:val="DBDBDB"/>
        <w:docPartObj>
          <w:docPartGallery w:val="Table of Contents"/>
          <w:docPartUnique/>
        </w:docPartObj>
      </w:sdtPr>
      <w:sdtEndPr>
        <w:rPr>
          <w:rFonts w:hint="default" w:ascii="宋体" w:hAnsi="宋体" w:eastAsia="宋体" w:cs="宋体"/>
          <w:b/>
          <w:color w:val="000000" w:themeColor="text1"/>
          <w:kern w:val="2"/>
          <w:sz w:val="24"/>
          <w:szCs w:val="30"/>
          <w:highlight w:val="none"/>
          <w:lang w:val="en-US" w:eastAsia="zh-CN" w:bidi="ar-SA"/>
          <w14:textFill>
            <w14:solidFill>
              <w14:schemeClr w14:val="tx1"/>
            </w14:solidFill>
          </w14:textFill>
        </w:rPr>
      </w:sdtEndPr>
      <w:sdtContent>
        <w:p w14:paraId="3C98F8F3">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r>
            <w:rPr>
              <w:rFonts w:ascii="宋体" w:hAnsi="宋体" w:eastAsia="宋体"/>
              <w:sz w:val="52"/>
              <w:szCs w:val="52"/>
              <w:highlight w:val="none"/>
            </w:rPr>
            <w:t>目录</w:t>
          </w:r>
        </w:p>
        <w:p w14:paraId="55BDAAB4">
          <w:pPr>
            <w:spacing w:before="0" w:beforeLines="0" w:after="0" w:afterLines="0" w:line="240" w:lineRule="auto"/>
            <w:ind w:left="0" w:leftChars="0" w:right="0" w:rightChars="0" w:firstLine="0" w:firstLineChars="0"/>
            <w:jc w:val="center"/>
            <w:rPr>
              <w:rFonts w:ascii="宋体" w:hAnsi="宋体" w:eastAsia="宋体"/>
              <w:sz w:val="52"/>
              <w:szCs w:val="52"/>
              <w:highlight w:val="none"/>
            </w:rPr>
          </w:pPr>
        </w:p>
        <w:p w14:paraId="2378FE45">
          <w:pPr>
            <w:pStyle w:val="101"/>
            <w:tabs>
              <w:tab w:val="right" w:leader="dot" w:pos="8732"/>
            </w:tabs>
            <w:rPr>
              <w:highlight w:val="none"/>
            </w:rPr>
          </w:pPr>
          <w:r>
            <w:rPr>
              <w:rFonts w:hint="default" w:hAnsi="宋体" w:cs="宋体"/>
              <w:color w:val="000000" w:themeColor="text1"/>
              <w:sz w:val="30"/>
              <w:szCs w:val="30"/>
              <w:highlight w:val="none"/>
              <w14:textFill>
                <w14:solidFill>
                  <w14:schemeClr w14:val="tx1"/>
                </w14:solidFill>
              </w14:textFill>
            </w:rPr>
            <w:fldChar w:fldCharType="begin"/>
          </w:r>
          <w:r>
            <w:rPr>
              <w:rFonts w:hint="default" w:hAnsi="宋体" w:cs="宋体"/>
              <w:color w:val="000000" w:themeColor="text1"/>
              <w:sz w:val="30"/>
              <w:szCs w:val="30"/>
              <w:highlight w:val="none"/>
              <w14:textFill>
                <w14:solidFill>
                  <w14:schemeClr w14:val="tx1"/>
                </w14:solidFill>
              </w14:textFill>
            </w:rPr>
            <w:instrText xml:space="preserve">TOC \o "1-1" \h \u </w:instrText>
          </w:r>
          <w:r>
            <w:rPr>
              <w:rFonts w:hint="default" w:hAnsi="宋体" w:cs="宋体"/>
              <w:color w:val="000000" w:themeColor="text1"/>
              <w:sz w:val="30"/>
              <w:szCs w:val="30"/>
              <w:highlight w:val="none"/>
              <w14:textFill>
                <w14:solidFill>
                  <w14:schemeClr w14:val="tx1"/>
                </w14:solidFill>
              </w14:textFill>
            </w:rPr>
            <w:fldChar w:fldCharType="separate"/>
          </w:r>
        </w:p>
        <w:p w14:paraId="7CC8B3FC">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_Toc14482 </w:instrText>
          </w:r>
          <w:r>
            <w:rPr>
              <w:rFonts w:hint="default" w:hAnsi="宋体" w:cs="宋体"/>
              <w:sz w:val="32"/>
              <w:szCs w:val="32"/>
              <w:highlight w:val="none"/>
            </w:rPr>
            <w:fldChar w:fldCharType="separate"/>
          </w:r>
          <w:r>
            <w:rPr>
              <w:rFonts w:hAnsi="宋体" w:cs="宋体"/>
              <w:sz w:val="32"/>
              <w:szCs w:val="32"/>
              <w:highlight w:val="none"/>
            </w:rPr>
            <w:t>第一章 公开招标采购公告</w:t>
          </w:r>
          <w:r>
            <w:rPr>
              <w:sz w:val="32"/>
              <w:szCs w:val="32"/>
              <w:highlight w:val="none"/>
            </w:rPr>
            <w:tab/>
          </w:r>
          <w:r>
            <w:rPr>
              <w:sz w:val="32"/>
              <w:szCs w:val="32"/>
              <w:highlight w:val="none"/>
            </w:rPr>
            <w:fldChar w:fldCharType="begin"/>
          </w:r>
          <w:r>
            <w:rPr>
              <w:sz w:val="32"/>
              <w:szCs w:val="32"/>
              <w:highlight w:val="none"/>
            </w:rPr>
            <w:instrText xml:space="preserve"> PAGEREF _Toc14482 \h </w:instrText>
          </w:r>
          <w:r>
            <w:rPr>
              <w:sz w:val="32"/>
              <w:szCs w:val="32"/>
              <w:highlight w:val="none"/>
            </w:rPr>
            <w:fldChar w:fldCharType="separate"/>
          </w:r>
          <w:r>
            <w:rPr>
              <w:sz w:val="32"/>
              <w:szCs w:val="32"/>
              <w:highlight w:val="none"/>
            </w:rPr>
            <w:t>1</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5D458B1B">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_Toc1257 </w:instrText>
          </w:r>
          <w:r>
            <w:rPr>
              <w:rFonts w:hint="default" w:hAnsi="宋体" w:cs="宋体"/>
              <w:sz w:val="32"/>
              <w:szCs w:val="32"/>
              <w:highlight w:val="none"/>
            </w:rPr>
            <w:fldChar w:fldCharType="separate"/>
          </w:r>
          <w:r>
            <w:rPr>
              <w:rFonts w:hAnsi="宋体" w:cs="宋体"/>
              <w:sz w:val="32"/>
              <w:szCs w:val="32"/>
              <w:highlight w:val="none"/>
            </w:rPr>
            <w:t xml:space="preserve">第二章 </w:t>
          </w:r>
          <w:r>
            <w:rPr>
              <w:rFonts w:hint="eastAsia" w:hAnsi="宋体" w:cs="宋体"/>
              <w:sz w:val="32"/>
              <w:szCs w:val="32"/>
              <w:highlight w:val="none"/>
              <w:lang w:val="en-US" w:eastAsia="zh-CN"/>
            </w:rPr>
            <w:t>招标</w:t>
          </w:r>
          <w:r>
            <w:rPr>
              <w:rFonts w:hAnsi="宋体" w:cs="宋体"/>
              <w:sz w:val="32"/>
              <w:szCs w:val="32"/>
              <w:highlight w:val="none"/>
            </w:rPr>
            <w:t>需求</w:t>
          </w:r>
          <w:r>
            <w:rPr>
              <w:sz w:val="32"/>
              <w:szCs w:val="32"/>
              <w:highlight w:val="none"/>
            </w:rPr>
            <w:tab/>
          </w:r>
          <w:r>
            <w:rPr>
              <w:sz w:val="32"/>
              <w:szCs w:val="32"/>
              <w:highlight w:val="none"/>
            </w:rPr>
            <w:fldChar w:fldCharType="begin"/>
          </w:r>
          <w:r>
            <w:rPr>
              <w:sz w:val="32"/>
              <w:szCs w:val="32"/>
              <w:highlight w:val="none"/>
            </w:rPr>
            <w:instrText xml:space="preserve"> PAGEREF _Toc1257 \h </w:instrText>
          </w:r>
          <w:r>
            <w:rPr>
              <w:sz w:val="32"/>
              <w:szCs w:val="32"/>
              <w:highlight w:val="none"/>
            </w:rPr>
            <w:fldChar w:fldCharType="separate"/>
          </w:r>
          <w:r>
            <w:rPr>
              <w:sz w:val="32"/>
              <w:szCs w:val="32"/>
              <w:highlight w:val="none"/>
            </w:rPr>
            <w:t>5</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356A2B65">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_Toc25734 </w:instrText>
          </w:r>
          <w:r>
            <w:rPr>
              <w:rFonts w:hint="default" w:hAnsi="宋体" w:cs="宋体"/>
              <w:sz w:val="32"/>
              <w:szCs w:val="32"/>
              <w:highlight w:val="none"/>
            </w:rPr>
            <w:fldChar w:fldCharType="separate"/>
          </w:r>
          <w:r>
            <w:rPr>
              <w:rFonts w:ascii="宋体" w:hAnsi="宋体"/>
              <w:bCs/>
              <w:sz w:val="32"/>
              <w:szCs w:val="32"/>
              <w:highlight w:val="none"/>
            </w:rPr>
            <w:t>第三章 投标人须知</w:t>
          </w:r>
          <w:r>
            <w:rPr>
              <w:sz w:val="32"/>
              <w:szCs w:val="32"/>
              <w:highlight w:val="none"/>
            </w:rPr>
            <w:tab/>
          </w:r>
          <w:r>
            <w:rPr>
              <w:sz w:val="32"/>
              <w:szCs w:val="32"/>
              <w:highlight w:val="none"/>
            </w:rPr>
            <w:fldChar w:fldCharType="begin"/>
          </w:r>
          <w:r>
            <w:rPr>
              <w:sz w:val="32"/>
              <w:szCs w:val="32"/>
              <w:highlight w:val="none"/>
            </w:rPr>
            <w:instrText xml:space="preserve"> PAGEREF _Toc25734 \h </w:instrText>
          </w:r>
          <w:r>
            <w:rPr>
              <w:sz w:val="32"/>
              <w:szCs w:val="32"/>
              <w:highlight w:val="none"/>
            </w:rPr>
            <w:fldChar w:fldCharType="separate"/>
          </w:r>
          <w:r>
            <w:rPr>
              <w:sz w:val="32"/>
              <w:szCs w:val="32"/>
              <w:highlight w:val="none"/>
            </w:rPr>
            <w:t>7</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18E7CD9A">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_Toc4790 </w:instrText>
          </w:r>
          <w:r>
            <w:rPr>
              <w:rFonts w:hint="default" w:hAnsi="宋体" w:cs="宋体"/>
              <w:sz w:val="32"/>
              <w:szCs w:val="32"/>
              <w:highlight w:val="none"/>
            </w:rPr>
            <w:fldChar w:fldCharType="separate"/>
          </w:r>
          <w:r>
            <w:rPr>
              <w:rFonts w:hAnsi="宋体"/>
              <w:sz w:val="32"/>
              <w:szCs w:val="32"/>
              <w:highlight w:val="none"/>
            </w:rPr>
            <w:t>第四章 评标办法及评分标准</w:t>
          </w:r>
          <w:r>
            <w:rPr>
              <w:sz w:val="32"/>
              <w:szCs w:val="32"/>
              <w:highlight w:val="none"/>
            </w:rPr>
            <w:tab/>
          </w:r>
          <w:r>
            <w:rPr>
              <w:sz w:val="32"/>
              <w:szCs w:val="32"/>
              <w:highlight w:val="none"/>
            </w:rPr>
            <w:fldChar w:fldCharType="begin"/>
          </w:r>
          <w:r>
            <w:rPr>
              <w:sz w:val="32"/>
              <w:szCs w:val="32"/>
              <w:highlight w:val="none"/>
            </w:rPr>
            <w:instrText xml:space="preserve"> PAGEREF _Toc4790 \h </w:instrText>
          </w:r>
          <w:r>
            <w:rPr>
              <w:sz w:val="32"/>
              <w:szCs w:val="32"/>
              <w:highlight w:val="none"/>
            </w:rPr>
            <w:fldChar w:fldCharType="separate"/>
          </w:r>
          <w:r>
            <w:rPr>
              <w:sz w:val="32"/>
              <w:szCs w:val="32"/>
              <w:highlight w:val="none"/>
            </w:rPr>
            <w:t>19</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6421A2C3">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_Toc17728 </w:instrText>
          </w:r>
          <w:r>
            <w:rPr>
              <w:rFonts w:hint="default" w:hAnsi="宋体" w:cs="宋体"/>
              <w:sz w:val="32"/>
              <w:szCs w:val="32"/>
              <w:highlight w:val="none"/>
            </w:rPr>
            <w:fldChar w:fldCharType="separate"/>
          </w:r>
          <w:r>
            <w:rPr>
              <w:rFonts w:hint="eastAsia" w:ascii="宋体" w:hAnsi="宋体" w:cs="宋体"/>
              <w:bCs/>
              <w:sz w:val="32"/>
              <w:szCs w:val="32"/>
              <w:highlight w:val="none"/>
            </w:rPr>
            <w:t>第五章 合同主要条款</w:t>
          </w:r>
          <w:r>
            <w:rPr>
              <w:sz w:val="32"/>
              <w:szCs w:val="32"/>
              <w:highlight w:val="none"/>
            </w:rPr>
            <w:tab/>
          </w:r>
          <w:r>
            <w:rPr>
              <w:sz w:val="32"/>
              <w:szCs w:val="32"/>
              <w:highlight w:val="none"/>
            </w:rPr>
            <w:fldChar w:fldCharType="begin"/>
          </w:r>
          <w:r>
            <w:rPr>
              <w:sz w:val="32"/>
              <w:szCs w:val="32"/>
              <w:highlight w:val="none"/>
            </w:rPr>
            <w:instrText xml:space="preserve"> PAGEREF _Toc17728 \h </w:instrText>
          </w:r>
          <w:r>
            <w:rPr>
              <w:sz w:val="32"/>
              <w:szCs w:val="32"/>
              <w:highlight w:val="none"/>
            </w:rPr>
            <w:fldChar w:fldCharType="separate"/>
          </w:r>
          <w:r>
            <w:rPr>
              <w:sz w:val="32"/>
              <w:szCs w:val="32"/>
              <w:highlight w:val="none"/>
            </w:rPr>
            <w:t>22</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45BF5E6D">
          <w:pPr>
            <w:pStyle w:val="101"/>
            <w:keepNext w:val="0"/>
            <w:keepLines w:val="0"/>
            <w:pageBreakBefore w:val="0"/>
            <w:widowControl/>
            <w:tabs>
              <w:tab w:val="right" w:leader="dot" w:pos="8732"/>
            </w:tabs>
            <w:kinsoku/>
            <w:wordWrap/>
            <w:overflowPunct/>
            <w:topLinePunct w:val="0"/>
            <w:autoSpaceDE/>
            <w:autoSpaceDN/>
            <w:bidi w:val="0"/>
            <w:adjustRightInd/>
            <w:snapToGrid/>
            <w:spacing w:before="157" w:beforeLines="50" w:after="157" w:afterLines="50" w:line="480" w:lineRule="auto"/>
            <w:textAlignment w:val="auto"/>
            <w:rPr>
              <w:sz w:val="32"/>
              <w:szCs w:val="32"/>
              <w:highlight w:val="none"/>
            </w:rPr>
          </w:pPr>
          <w:r>
            <w:rPr>
              <w:rFonts w:hint="default" w:hAnsi="宋体" w:cs="宋体"/>
              <w:color w:val="000000" w:themeColor="text1"/>
              <w:sz w:val="32"/>
              <w:szCs w:val="32"/>
              <w:highlight w:val="none"/>
              <w14:textFill>
                <w14:solidFill>
                  <w14:schemeClr w14:val="tx1"/>
                </w14:solidFill>
              </w14:textFill>
            </w:rPr>
            <w:fldChar w:fldCharType="begin"/>
          </w:r>
          <w:r>
            <w:rPr>
              <w:rFonts w:hint="default" w:hAnsi="宋体" w:cs="宋体"/>
              <w:sz w:val="32"/>
              <w:szCs w:val="32"/>
              <w:highlight w:val="none"/>
            </w:rPr>
            <w:instrText xml:space="preserve"> HYPERLINK \l _Toc4865 </w:instrText>
          </w:r>
          <w:r>
            <w:rPr>
              <w:rFonts w:hint="default" w:hAnsi="宋体" w:cs="宋体"/>
              <w:sz w:val="32"/>
              <w:szCs w:val="32"/>
              <w:highlight w:val="none"/>
            </w:rPr>
            <w:fldChar w:fldCharType="separate"/>
          </w:r>
          <w:r>
            <w:rPr>
              <w:rFonts w:hAnsi="宋体"/>
              <w:sz w:val="32"/>
              <w:szCs w:val="32"/>
              <w:highlight w:val="none"/>
            </w:rPr>
            <w:t>第六章投标文件格式</w:t>
          </w:r>
          <w:r>
            <w:rPr>
              <w:sz w:val="32"/>
              <w:szCs w:val="32"/>
              <w:highlight w:val="none"/>
            </w:rPr>
            <w:tab/>
          </w:r>
          <w:r>
            <w:rPr>
              <w:sz w:val="32"/>
              <w:szCs w:val="32"/>
              <w:highlight w:val="none"/>
            </w:rPr>
            <w:fldChar w:fldCharType="begin"/>
          </w:r>
          <w:r>
            <w:rPr>
              <w:sz w:val="32"/>
              <w:szCs w:val="32"/>
              <w:highlight w:val="none"/>
            </w:rPr>
            <w:instrText xml:space="preserve"> PAGEREF _Toc4865 \h </w:instrText>
          </w:r>
          <w:r>
            <w:rPr>
              <w:sz w:val="32"/>
              <w:szCs w:val="32"/>
              <w:highlight w:val="none"/>
            </w:rPr>
            <w:fldChar w:fldCharType="separate"/>
          </w:r>
          <w:r>
            <w:rPr>
              <w:sz w:val="32"/>
              <w:szCs w:val="32"/>
              <w:highlight w:val="none"/>
            </w:rPr>
            <w:t>28</w:t>
          </w:r>
          <w:r>
            <w:rPr>
              <w:sz w:val="32"/>
              <w:szCs w:val="32"/>
              <w:highlight w:val="none"/>
            </w:rPr>
            <w:fldChar w:fldCharType="end"/>
          </w:r>
          <w:r>
            <w:rPr>
              <w:rFonts w:hint="default" w:hAnsi="宋体" w:cs="宋体"/>
              <w:color w:val="000000" w:themeColor="text1"/>
              <w:sz w:val="32"/>
              <w:szCs w:val="32"/>
              <w:highlight w:val="none"/>
              <w14:textFill>
                <w14:solidFill>
                  <w14:schemeClr w14:val="tx1"/>
                </w14:solidFill>
              </w14:textFill>
            </w:rPr>
            <w:fldChar w:fldCharType="end"/>
          </w:r>
        </w:p>
        <w:p w14:paraId="68B2B4E6">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r>
            <w:rPr>
              <w:rFonts w:hint="default" w:hAnsi="宋体" w:cs="宋体"/>
              <w:color w:val="000000" w:themeColor="text1"/>
              <w:szCs w:val="30"/>
              <w:highlight w:val="none"/>
              <w14:textFill>
                <w14:solidFill>
                  <w14:schemeClr w14:val="tx1"/>
                </w14:solidFill>
              </w14:textFill>
            </w:rPr>
            <w:fldChar w:fldCharType="end"/>
          </w:r>
        </w:p>
      </w:sdtContent>
    </w:sdt>
    <w:p w14:paraId="4D2BBA93">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516E590D">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23F66087">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39B65B4">
      <w:pPr>
        <w:pStyle w:val="21"/>
        <w:ind w:left="7000"/>
        <w:rPr>
          <w:color w:val="000000" w:themeColor="text1"/>
          <w:highlight w:val="none"/>
          <w14:textFill>
            <w14:solidFill>
              <w14:schemeClr w14:val="tx1"/>
            </w14:solidFill>
          </w14:textFill>
        </w:rPr>
      </w:pPr>
    </w:p>
    <w:p w14:paraId="0EC619E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392C733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2E62728">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51ACBACC">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49B40E69">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57887678">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sectPr>
          <w:headerReference r:id="rId3" w:type="default"/>
          <w:footerReference r:id="rId4"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04F05114">
      <w:pPr>
        <w:pStyle w:val="20"/>
        <w:snapToGrid w:val="0"/>
        <w:spacing w:before="120" w:beforeLines="0" w:after="120" w:afterLines="0" w:line="240" w:lineRule="auto"/>
        <w:outlineLvl w:val="9"/>
        <w:rPr>
          <w:rFonts w:hint="default" w:hAnsi="宋体" w:cs="宋体"/>
          <w:color w:val="000000" w:themeColor="text1"/>
          <w:sz w:val="30"/>
          <w:szCs w:val="30"/>
          <w:highlight w:val="none"/>
          <w14:textFill>
            <w14:solidFill>
              <w14:schemeClr w14:val="tx1"/>
            </w14:solidFill>
          </w14:textFill>
        </w:rPr>
      </w:pPr>
    </w:p>
    <w:p w14:paraId="1F2F3C8E">
      <w:pPr>
        <w:pStyle w:val="20"/>
        <w:snapToGrid w:val="0"/>
        <w:spacing w:before="120" w:beforeLines="0" w:after="120" w:afterLines="0" w:line="240" w:lineRule="auto"/>
        <w:jc w:val="center"/>
        <w:outlineLvl w:val="9"/>
        <w:rPr>
          <w:rFonts w:hAnsi="宋体" w:cs="宋体"/>
          <w:color w:val="000000" w:themeColor="text1"/>
          <w:sz w:val="20"/>
          <w:szCs w:val="20"/>
          <w:highlight w:val="none"/>
          <w14:textFill>
            <w14:solidFill>
              <w14:schemeClr w14:val="tx1"/>
            </w14:solidFill>
          </w14:textFill>
        </w:rPr>
      </w:pPr>
      <w:bookmarkStart w:id="5" w:name="第一章"/>
    </w:p>
    <w:p w14:paraId="63A71F71">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6" w:name="_Toc14482"/>
      <w:r>
        <w:rPr>
          <w:rFonts w:hAnsi="宋体" w:cs="宋体"/>
          <w:color w:val="000000" w:themeColor="text1"/>
          <w:sz w:val="32"/>
          <w:szCs w:val="32"/>
          <w:highlight w:val="none"/>
          <w14:textFill>
            <w14:solidFill>
              <w14:schemeClr w14:val="tx1"/>
            </w14:solidFill>
          </w14:textFill>
        </w:rPr>
        <w:t xml:space="preserve">第一章 </w:t>
      </w:r>
      <w:r>
        <w:rPr>
          <w:rFonts w:hint="eastAsia" w:hAnsi="宋体" w:cs="宋体"/>
          <w:color w:val="000000" w:themeColor="text1"/>
          <w:sz w:val="32"/>
          <w:szCs w:val="32"/>
          <w:highlight w:val="none"/>
          <w:lang w:val="en-US" w:eastAsia="zh-CN"/>
          <w14:textFill>
            <w14:solidFill>
              <w14:schemeClr w14:val="tx1"/>
            </w14:solidFill>
          </w14:textFill>
        </w:rPr>
        <w:t xml:space="preserve"> </w:t>
      </w:r>
      <w:r>
        <w:rPr>
          <w:rFonts w:hAnsi="宋体" w:cs="宋体"/>
          <w:color w:val="000000" w:themeColor="text1"/>
          <w:sz w:val="32"/>
          <w:szCs w:val="32"/>
          <w:highlight w:val="none"/>
          <w14:textFill>
            <w14:solidFill>
              <w14:schemeClr w14:val="tx1"/>
            </w14:solidFill>
          </w14:textFill>
        </w:rPr>
        <w:t xml:space="preserve"> 公开招标采购公告</w:t>
      </w:r>
      <w:bookmarkEnd w:id="4"/>
      <w:bookmarkEnd w:id="5"/>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r>
        <w:rPr>
          <w:color w:val="000000" w:themeColor="text1"/>
          <w:sz w:val="32"/>
          <w:szCs w:val="32"/>
          <w:highlight w:val="none"/>
          <w14:textFill>
            <w14:solidFill>
              <w14:schemeClr w14:val="tx1"/>
            </w14:solidFill>
          </w14:textFill>
        </w:rPr>
        <w:fldChar w:fldCharType="begin"/>
      </w:r>
      <w:r>
        <w:rPr>
          <w:rFonts w:hAnsi="宋体" w:cs="宋体"/>
          <w:color w:val="000000" w:themeColor="text1"/>
          <w:sz w:val="32"/>
          <w:szCs w:val="32"/>
          <w:highlight w:val="none"/>
          <w14:textFill>
            <w14:solidFill>
              <w14:schemeClr w14:val="tx1"/>
            </w14:solidFill>
          </w14:textFill>
        </w:rPr>
        <w:instrText xml:space="preserve"> XE "第一章  公开招标采购公告" </w:instrText>
      </w:r>
      <w:r>
        <w:rPr>
          <w:rFonts w:hAnsi="宋体" w:cs="宋体"/>
          <w:color w:val="000000" w:themeColor="text1"/>
          <w:sz w:val="32"/>
          <w:szCs w:val="32"/>
          <w:highlight w:val="none"/>
          <w14:textFill>
            <w14:solidFill>
              <w14:schemeClr w14:val="tx1"/>
            </w14:solidFill>
          </w14:textFill>
        </w:rPr>
        <w:fldChar w:fldCharType="end"/>
      </w:r>
      <w:bookmarkEnd w:id="6"/>
    </w:p>
    <w:p w14:paraId="1D600EB5">
      <w:pPr>
        <w:pStyle w:val="103"/>
        <w:widowControl w:val="0"/>
        <w:spacing w:after="0" w:afterLines="0" w:line="360" w:lineRule="auto"/>
        <w:ind w:firstLine="480"/>
        <w:rPr>
          <w:rFonts w:ascii="宋体" w:hAnsi="宋体" w:cs="宋体"/>
          <w:color w:val="000000" w:themeColor="text1"/>
          <w:szCs w:val="24"/>
          <w:highlight w:val="none"/>
          <w14:textFill>
            <w14:solidFill>
              <w14:schemeClr w14:val="tx1"/>
            </w14:solidFill>
          </w14:textFill>
        </w:rPr>
      </w:pPr>
      <w:r>
        <w:rPr>
          <w:rFonts w:hint="eastAsia" w:cs="宋体"/>
          <w:color w:val="auto"/>
          <w:szCs w:val="24"/>
          <w:highlight w:val="none"/>
          <w:lang w:val="en-US"/>
        </w:rPr>
        <w:t>根据《中华人民共和国招标投标法》等有关规定</w:t>
      </w:r>
      <w:r>
        <w:rPr>
          <w:rFonts w:hint="eastAsia" w:ascii="宋体" w:hAnsi="宋体" w:cs="宋体"/>
          <w:color w:val="000000" w:themeColor="text1"/>
          <w:szCs w:val="24"/>
          <w:highlight w:val="none"/>
          <w14:textFill>
            <w14:solidFill>
              <w14:schemeClr w14:val="tx1"/>
            </w14:solidFill>
          </w14:textFill>
        </w:rPr>
        <w:t>，受采购人委托，现就</w:t>
      </w:r>
      <w:r>
        <w:rPr>
          <w:rFonts w:hint="eastAsia" w:ascii="宋体" w:hAnsi="宋体" w:cs="宋体"/>
          <w:color w:val="000000" w:themeColor="text1"/>
          <w:szCs w:val="24"/>
          <w:highlight w:val="none"/>
          <w:u w:val="single"/>
          <w:lang w:eastAsia="zh-CN"/>
          <w14:textFill>
            <w14:solidFill>
              <w14:schemeClr w14:val="tx1"/>
            </w14:solidFill>
          </w14:textFill>
        </w:rPr>
        <w:t xml:space="preserve"> 台州方特熊出没水上休闲游乐度假中心（一期）酒店地毯采购</w:t>
      </w:r>
      <w:r>
        <w:rPr>
          <w:rFonts w:hint="eastAsia" w:ascii="宋体" w:hAnsi="宋体" w:cs="宋体"/>
          <w:color w:val="000000" w:themeColor="text1"/>
          <w:szCs w:val="24"/>
          <w:highlight w:val="none"/>
          <w14:textFill>
            <w14:solidFill>
              <w14:schemeClr w14:val="tx1"/>
            </w14:solidFill>
          </w14:textFill>
        </w:rPr>
        <w:t>进行公开招标采购，欢迎合格供应商前来投标：</w:t>
      </w:r>
    </w:p>
    <w:p w14:paraId="14788626">
      <w:pPr>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采购组织类型：</w:t>
      </w:r>
      <w:r>
        <w:rPr>
          <w:rFonts w:hint="eastAsia" w:ascii="宋体" w:hAnsi="宋体" w:cs="宋体"/>
          <w:color w:val="000000" w:themeColor="text1"/>
          <w:sz w:val="24"/>
          <w:highlight w:val="none"/>
          <w14:textFill>
            <w14:solidFill>
              <w14:schemeClr w14:val="tx1"/>
            </w14:solidFill>
          </w14:textFill>
        </w:rPr>
        <w:t>分散采购委托代理</w:t>
      </w:r>
    </w:p>
    <w:p w14:paraId="57BF7A4D">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二</w:t>
      </w:r>
      <w:r>
        <w:rPr>
          <w:rFonts w:hint="eastAsia" w:ascii="宋体" w:hAnsi="宋体" w:cs="宋体"/>
          <w:b/>
          <w:color w:val="000000" w:themeColor="text1"/>
          <w:sz w:val="24"/>
          <w:highlight w:val="none"/>
          <w14:textFill>
            <w14:solidFill>
              <w14:schemeClr w14:val="tx1"/>
            </w14:solidFill>
          </w14:textFill>
        </w:rPr>
        <w:t>、采购方式：</w:t>
      </w:r>
      <w:r>
        <w:rPr>
          <w:rFonts w:hint="eastAsia" w:ascii="宋体" w:hAnsi="宋体" w:cs="宋体"/>
          <w:color w:val="000000" w:themeColor="text1"/>
          <w:sz w:val="24"/>
          <w:highlight w:val="none"/>
          <w14:textFill>
            <w14:solidFill>
              <w14:schemeClr w14:val="tx1"/>
            </w14:solidFill>
          </w14:textFill>
        </w:rPr>
        <w:t>公开招标</w:t>
      </w:r>
    </w:p>
    <w:p w14:paraId="63A857CB">
      <w:pPr>
        <w:snapToGrid w:val="0"/>
        <w:spacing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三</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bCs/>
          <w:color w:val="000000" w:themeColor="text1"/>
          <w:sz w:val="24"/>
          <w:highlight w:val="none"/>
          <w14:textFill>
            <w14:solidFill>
              <w14:schemeClr w14:val="tx1"/>
            </w14:solidFill>
          </w14:textFill>
        </w:rPr>
        <w:t>采购内容及数量</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64"/>
        <w:gridCol w:w="660"/>
        <w:gridCol w:w="660"/>
        <w:gridCol w:w="1365"/>
        <w:gridCol w:w="2385"/>
        <w:gridCol w:w="2363"/>
      </w:tblGrid>
      <w:tr w14:paraId="70191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3244996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264" w:type="dxa"/>
            <w:tcBorders>
              <w:top w:val="single" w:color="auto" w:sz="4" w:space="0"/>
              <w:left w:val="single" w:color="auto" w:sz="4" w:space="0"/>
              <w:bottom w:val="single" w:color="auto" w:sz="4" w:space="0"/>
              <w:right w:val="single" w:color="auto" w:sz="4" w:space="0"/>
            </w:tcBorders>
            <w:vAlign w:val="center"/>
          </w:tcPr>
          <w:p w14:paraId="63922878">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660" w:type="dxa"/>
            <w:tcBorders>
              <w:top w:val="single" w:color="auto" w:sz="4" w:space="0"/>
              <w:left w:val="single" w:color="auto" w:sz="4" w:space="0"/>
              <w:bottom w:val="single" w:color="auto" w:sz="4" w:space="0"/>
              <w:right w:val="single" w:color="auto" w:sz="4" w:space="0"/>
            </w:tcBorders>
            <w:vAlign w:val="center"/>
          </w:tcPr>
          <w:p w14:paraId="4D8558BD">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660" w:type="dxa"/>
            <w:tcBorders>
              <w:top w:val="single" w:color="auto" w:sz="4" w:space="0"/>
              <w:left w:val="single" w:color="auto" w:sz="4" w:space="0"/>
              <w:bottom w:val="single" w:color="auto" w:sz="4" w:space="0"/>
              <w:right w:val="single" w:color="auto" w:sz="4" w:space="0"/>
            </w:tcBorders>
            <w:vAlign w:val="center"/>
          </w:tcPr>
          <w:p w14:paraId="6FDBAED4">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365" w:type="dxa"/>
            <w:tcBorders>
              <w:top w:val="single" w:color="auto" w:sz="4" w:space="0"/>
              <w:left w:val="single" w:color="auto" w:sz="4" w:space="0"/>
              <w:bottom w:val="single" w:color="auto" w:sz="4" w:space="0"/>
              <w:right w:val="single" w:color="auto" w:sz="4" w:space="0"/>
            </w:tcBorders>
            <w:vAlign w:val="center"/>
          </w:tcPr>
          <w:p w14:paraId="272C6DBA">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2385" w:type="dxa"/>
            <w:tcBorders>
              <w:top w:val="single" w:color="auto" w:sz="4" w:space="0"/>
              <w:left w:val="single" w:color="auto" w:sz="4" w:space="0"/>
              <w:bottom w:val="single" w:color="auto" w:sz="4" w:space="0"/>
              <w:right w:val="single" w:color="auto" w:sz="4" w:space="0"/>
            </w:tcBorders>
            <w:vAlign w:val="center"/>
          </w:tcPr>
          <w:p w14:paraId="450D877F">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2363" w:type="dxa"/>
            <w:tcBorders>
              <w:top w:val="single" w:color="auto" w:sz="4" w:space="0"/>
              <w:left w:val="single" w:color="auto" w:sz="4" w:space="0"/>
              <w:bottom w:val="single" w:color="auto" w:sz="4" w:space="0"/>
              <w:right w:val="single" w:color="auto" w:sz="4" w:space="0"/>
            </w:tcBorders>
            <w:vAlign w:val="center"/>
          </w:tcPr>
          <w:p w14:paraId="096A4815">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1332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01454272">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264" w:type="dxa"/>
            <w:tcBorders>
              <w:top w:val="single" w:color="auto" w:sz="4" w:space="0"/>
              <w:left w:val="single" w:color="auto" w:sz="4" w:space="0"/>
              <w:right w:val="single" w:color="auto" w:sz="4" w:space="0"/>
            </w:tcBorders>
            <w:vAlign w:val="center"/>
          </w:tcPr>
          <w:p w14:paraId="05E0DA9B">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台州方特熊出没水上休闲游乐度假中心（一期）酒店地毯采购</w:t>
            </w:r>
          </w:p>
        </w:tc>
        <w:tc>
          <w:tcPr>
            <w:tcW w:w="660" w:type="dxa"/>
            <w:tcBorders>
              <w:top w:val="single" w:color="auto" w:sz="4" w:space="0"/>
              <w:left w:val="single" w:color="auto" w:sz="4" w:space="0"/>
              <w:right w:val="single" w:color="auto" w:sz="4" w:space="0"/>
            </w:tcBorders>
            <w:vAlign w:val="center"/>
          </w:tcPr>
          <w:p w14:paraId="4CCB4331">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660" w:type="dxa"/>
            <w:tcBorders>
              <w:top w:val="single" w:color="auto" w:sz="4" w:space="0"/>
              <w:left w:val="single" w:color="auto" w:sz="4" w:space="0"/>
              <w:right w:val="single" w:color="auto" w:sz="4" w:space="0"/>
            </w:tcBorders>
            <w:vAlign w:val="center"/>
          </w:tcPr>
          <w:p w14:paraId="622EA837">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365" w:type="dxa"/>
            <w:tcBorders>
              <w:top w:val="single" w:color="auto" w:sz="4" w:space="0"/>
              <w:left w:val="single" w:color="auto" w:sz="4" w:space="0"/>
              <w:right w:val="single" w:color="auto" w:sz="4" w:space="0"/>
            </w:tcBorders>
            <w:vAlign w:val="center"/>
          </w:tcPr>
          <w:p w14:paraId="16A79E62">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1271410元</w:t>
            </w:r>
          </w:p>
        </w:tc>
        <w:tc>
          <w:tcPr>
            <w:tcW w:w="2385" w:type="dxa"/>
            <w:tcBorders>
              <w:top w:val="single" w:color="auto" w:sz="4" w:space="0"/>
              <w:left w:val="single" w:color="auto" w:sz="4" w:space="0"/>
              <w:right w:val="single" w:color="auto" w:sz="4" w:space="0"/>
            </w:tcBorders>
            <w:vAlign w:val="center"/>
          </w:tcPr>
          <w:p w14:paraId="12ECD774">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招标范围为台州方特熊出没水上休闲游乐度假中心（一期）</w:t>
            </w:r>
            <w:r>
              <w:rPr>
                <w:rFonts w:hint="eastAsia" w:ascii="宋体" w:hAnsi="宋体"/>
                <w:color w:val="000000" w:themeColor="text1"/>
                <w:szCs w:val="24"/>
                <w:highlight w:val="none"/>
                <w:lang w:val="en-US" w:eastAsia="zh-CN"/>
                <w14:textFill>
                  <w14:solidFill>
                    <w14:schemeClr w14:val="tx1"/>
                  </w14:solidFill>
                </w14:textFill>
              </w:rPr>
              <w:t>地毯</w:t>
            </w:r>
            <w:r>
              <w:rPr>
                <w:rFonts w:hint="eastAsia" w:ascii="宋体" w:hAnsi="宋体"/>
                <w:color w:val="000000" w:themeColor="text1"/>
                <w:szCs w:val="24"/>
                <w:highlight w:val="none"/>
                <w14:textFill>
                  <w14:solidFill>
                    <w14:schemeClr w14:val="tx1"/>
                  </w14:solidFill>
                </w14:textFill>
              </w:rPr>
              <w:t>采购的供货、安装、验收、保修、售后服务等及其相关的其他服务。</w:t>
            </w:r>
          </w:p>
        </w:tc>
        <w:tc>
          <w:tcPr>
            <w:tcW w:w="2363" w:type="dxa"/>
            <w:tcBorders>
              <w:top w:val="single" w:color="auto" w:sz="4" w:space="0"/>
              <w:left w:val="single" w:color="auto" w:sz="4" w:space="0"/>
              <w:right w:val="single" w:color="auto" w:sz="4" w:space="0"/>
            </w:tcBorders>
            <w:vAlign w:val="center"/>
          </w:tcPr>
          <w:p w14:paraId="14B3987A">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1、合同签订后30日历天内提供样品；</w:t>
            </w:r>
          </w:p>
          <w:p w14:paraId="3D16C01D">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2、招标人确认后60日历天内完成供货及安装。</w:t>
            </w:r>
          </w:p>
        </w:tc>
      </w:tr>
    </w:tbl>
    <w:p w14:paraId="7CAEDB32">
      <w:pPr>
        <w:snapToGrid w:val="0"/>
        <w:spacing w:before="120" w:beforeLines="50" w:line="360" w:lineRule="auto"/>
        <w:ind w:firstLine="482" w:firstLineChars="200"/>
        <w:rPr>
          <w:rFonts w:ascii="宋体" w:hAnsi="宋体" w:cs="宋体"/>
          <w:b/>
          <w:bCs/>
          <w:color w:val="000000" w:themeColor="text1"/>
          <w:sz w:val="24"/>
          <w:szCs w:val="20"/>
          <w:highlight w:val="none"/>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、合</w:t>
      </w:r>
      <w:r>
        <w:rPr>
          <w:rFonts w:hint="eastAsia" w:ascii="宋体" w:hAnsi="宋体" w:cs="宋体"/>
          <w:b/>
          <w:bCs/>
          <w:color w:val="000000" w:themeColor="text1"/>
          <w:sz w:val="24"/>
          <w:highlight w:val="none"/>
          <w14:textFill>
            <w14:solidFill>
              <w14:schemeClr w14:val="tx1"/>
            </w14:solidFill>
          </w14:textFill>
        </w:rPr>
        <w:t>格投标人的资格要求：</w:t>
      </w:r>
    </w:p>
    <w:p w14:paraId="58511E71">
      <w:pPr>
        <w:snapToGrid w:val="0"/>
        <w:spacing w:line="360" w:lineRule="auto"/>
        <w:ind w:firstLine="540" w:firstLineChars="22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（一）具有</w:t>
      </w:r>
      <w:r>
        <w:rPr>
          <w:rFonts w:hint="eastAsia" w:ascii="宋体" w:hAnsi="宋体" w:cs="宋体"/>
          <w:color w:val="000000" w:themeColor="text1"/>
          <w:sz w:val="24"/>
          <w:highlight w:val="none"/>
          <w:lang w:val="en-US" w:eastAsia="zh-CN"/>
          <w14:textFill>
            <w14:solidFill>
              <w14:schemeClr w14:val="tx1"/>
            </w14:solidFill>
          </w14:textFill>
        </w:rPr>
        <w:t>独立法人资格</w:t>
      </w:r>
      <w:r>
        <w:rPr>
          <w:rFonts w:hint="eastAsia" w:ascii="宋体" w:hAnsi="宋体" w:cs="宋体"/>
          <w:color w:val="000000" w:themeColor="text1"/>
          <w:sz w:val="24"/>
          <w:highlight w:val="none"/>
          <w14:textFill>
            <w14:solidFill>
              <w14:schemeClr w14:val="tx1"/>
            </w14:solidFill>
          </w14:textFill>
        </w:rPr>
        <w:t xml:space="preserve">； </w:t>
      </w:r>
    </w:p>
    <w:p w14:paraId="7C644E95">
      <w:pPr>
        <w:snapToGrid w:val="0"/>
        <w:spacing w:line="360" w:lineRule="auto"/>
        <w:ind w:firstLine="540" w:firstLineChars="225"/>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本项目不接受联合体投标。</w:t>
      </w:r>
      <w:r>
        <w:rPr>
          <w:rFonts w:hint="eastAsia" w:ascii="宋体" w:hAnsi="宋体" w:cs="宋体"/>
          <w:color w:val="000000" w:themeColor="text1"/>
          <w:sz w:val="24"/>
          <w:highlight w:val="none"/>
          <w:lang w:val="en-US" w:eastAsia="zh-CN"/>
          <w14:textFill>
            <w14:solidFill>
              <w14:schemeClr w14:val="tx1"/>
            </w14:solidFill>
          </w14:textFill>
        </w:rPr>
        <w:t xml:space="preserve"> </w:t>
      </w:r>
    </w:p>
    <w:p w14:paraId="67663DBF">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五</w:t>
      </w:r>
      <w:r>
        <w:rPr>
          <w:rFonts w:hint="eastAsia" w:ascii="宋体" w:hAnsi="宋体" w:cs="宋体"/>
          <w:b/>
          <w:color w:val="000000" w:themeColor="text1"/>
          <w:kern w:val="0"/>
          <w:sz w:val="24"/>
          <w:highlight w:val="none"/>
          <w14:textFill>
            <w14:solidFill>
              <w14:schemeClr w14:val="tx1"/>
            </w14:solidFill>
          </w14:textFill>
        </w:rPr>
        <w:t>、获取招标文件方式：</w:t>
      </w:r>
    </w:p>
    <w:p w14:paraId="46F9B1D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网上下载-台州湾新区小额工程电子交易平台（</w:t>
      </w:r>
      <w:r>
        <w:rPr>
          <w:rFonts w:ascii="宋体" w:hAnsi="宋体" w:cs="宋体"/>
          <w:b/>
          <w:color w:val="000000" w:themeColor="text1"/>
          <w:kern w:val="0"/>
          <w:sz w:val="24"/>
          <w:highlight w:val="none"/>
          <w14:textFill>
            <w14:solidFill>
              <w14:schemeClr w14:val="tx1"/>
            </w14:solidFill>
          </w14:textFill>
        </w:rPr>
        <w:t>http://www.tzwztb.com/</w:t>
      </w:r>
      <w:r>
        <w:rPr>
          <w:rFonts w:hint="eastAsia" w:ascii="宋体" w:hAnsi="宋体" w:cs="宋体"/>
          <w:b/>
          <w:color w:val="000000" w:themeColor="text1"/>
          <w:kern w:val="0"/>
          <w:sz w:val="24"/>
          <w:highlight w:val="none"/>
          <w14:textFill>
            <w14:solidFill>
              <w14:schemeClr w14:val="tx1"/>
            </w14:solidFill>
          </w14:textFill>
        </w:rPr>
        <w:t>，输入平台注册的账号及密码再下载)</w:t>
      </w:r>
    </w:p>
    <w:p w14:paraId="088BED7E">
      <w:pPr>
        <w:snapToGrid w:val="0"/>
        <w:spacing w:line="360" w:lineRule="auto"/>
        <w:ind w:firstLine="482"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kern w:val="0"/>
          <w:sz w:val="24"/>
          <w:highlight w:val="none"/>
          <w:lang w:val="en-US" w:eastAsia="zh-CN"/>
          <w14:textFill>
            <w14:solidFill>
              <w14:schemeClr w14:val="tx1"/>
            </w14:solidFill>
          </w14:textFill>
        </w:rPr>
        <w:t>六</w:t>
      </w:r>
      <w:r>
        <w:rPr>
          <w:rFonts w:hint="eastAsia" w:ascii="宋体" w:hAnsi="宋体" w:cs="宋体"/>
          <w:b/>
          <w:color w:val="000000" w:themeColor="text1"/>
          <w:kern w:val="0"/>
          <w:sz w:val="24"/>
          <w:highlight w:val="none"/>
          <w14:textFill>
            <w14:solidFill>
              <w14:schemeClr w14:val="tx1"/>
            </w14:solidFill>
          </w14:textFill>
        </w:rPr>
        <w:t>、招标答疑会：</w:t>
      </w:r>
      <w:r>
        <w:rPr>
          <w:rFonts w:hint="eastAsia" w:ascii="宋体" w:hAnsi="宋体" w:cs="宋体"/>
          <w:color w:val="000000" w:themeColor="text1"/>
          <w:sz w:val="24"/>
          <w:highlight w:val="none"/>
          <w14:textFill>
            <w14:solidFill>
              <w14:schemeClr w14:val="tx1"/>
            </w14:solidFill>
          </w14:textFill>
        </w:rPr>
        <w:t>无。</w:t>
      </w:r>
    </w:p>
    <w:p w14:paraId="347BB165">
      <w:pPr>
        <w:snapToGrid w:val="0"/>
        <w:spacing w:line="360" w:lineRule="auto"/>
        <w:ind w:firstLine="482" w:firstLineChars="200"/>
        <w:jc w:val="left"/>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七</w:t>
      </w:r>
      <w:r>
        <w:rPr>
          <w:rFonts w:hint="eastAsia" w:ascii="宋体" w:hAnsi="宋体" w:cs="宋体"/>
          <w:b/>
          <w:bCs/>
          <w:color w:val="000000" w:themeColor="text1"/>
          <w:sz w:val="24"/>
          <w:highlight w:val="none"/>
          <w14:textFill>
            <w14:solidFill>
              <w14:schemeClr w14:val="tx1"/>
            </w14:solidFill>
          </w14:textFill>
        </w:rPr>
        <w:t>、投标截止及时间和地点</w:t>
      </w:r>
      <w:r>
        <w:rPr>
          <w:rFonts w:hint="eastAsia" w:ascii="宋体" w:hAnsi="宋体" w:cs="宋体"/>
          <w:color w:val="000000" w:themeColor="text1"/>
          <w:sz w:val="24"/>
          <w:highlight w:val="none"/>
          <w14:textFill>
            <w14:solidFill>
              <w14:schemeClr w14:val="tx1"/>
            </w14:solidFill>
          </w14:textFill>
        </w:rPr>
        <w:t>：</w:t>
      </w:r>
    </w:p>
    <w:p w14:paraId="629E02DF">
      <w:pPr>
        <w:pStyle w:val="10"/>
        <w:snapToGrid w:val="0"/>
        <w:spacing w:before="0" w:beforeLines="0" w:after="0" w:afterLines="0"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1.投标人应于</w:t>
      </w:r>
      <w:r>
        <w:rPr>
          <w:rFonts w:hint="eastAsia" w:ascii="宋体" w:hAnsi="宋体" w:cs="宋体"/>
          <w:b/>
          <w:color w:val="auto"/>
          <w:sz w:val="24"/>
          <w:szCs w:val="24"/>
          <w:highlight w:val="none"/>
          <w:u w:val="single"/>
        </w:rPr>
        <w:t xml:space="preserve"> 202</w:t>
      </w:r>
      <w:r>
        <w:rPr>
          <w:rFonts w:hint="eastAsia" w:ascii="宋体" w:hAnsi="宋体" w:cs="宋体"/>
          <w:b/>
          <w:color w:val="auto"/>
          <w:sz w:val="24"/>
          <w:szCs w:val="24"/>
          <w:highlight w:val="none"/>
          <w:u w:val="single"/>
          <w:lang w:val="en-US" w:eastAsia="zh-CN"/>
        </w:rPr>
        <w:t>4</w:t>
      </w:r>
      <w:r>
        <w:rPr>
          <w:rFonts w:hint="eastAsia" w:ascii="宋体" w:hAnsi="宋体" w:cs="宋体"/>
          <w:b/>
          <w:color w:val="auto"/>
          <w:sz w:val="24"/>
          <w:szCs w:val="24"/>
          <w:highlight w:val="none"/>
        </w:rPr>
        <w:t>年</w:t>
      </w:r>
      <w:r>
        <w:rPr>
          <w:rFonts w:hint="eastAsia" w:ascii="宋体" w:hAnsi="宋体" w:cs="宋体"/>
          <w:b/>
          <w:color w:val="auto"/>
          <w:sz w:val="24"/>
          <w:szCs w:val="24"/>
          <w:highlight w:val="none"/>
          <w:u w:val="single"/>
          <w:lang w:val="en-US" w:eastAsia="zh-CN"/>
        </w:rPr>
        <w:t xml:space="preserve">  9  </w:t>
      </w:r>
      <w:r>
        <w:rPr>
          <w:rFonts w:hint="eastAsia" w:ascii="宋体" w:hAnsi="宋体" w:cs="宋体"/>
          <w:b/>
          <w:color w:val="auto"/>
          <w:sz w:val="24"/>
          <w:szCs w:val="24"/>
          <w:highlight w:val="none"/>
        </w:rPr>
        <w:t>月</w:t>
      </w:r>
      <w:r>
        <w:rPr>
          <w:rFonts w:hint="eastAsia" w:ascii="宋体" w:hAnsi="宋体" w:cs="宋体"/>
          <w:b/>
          <w:color w:val="auto"/>
          <w:sz w:val="24"/>
          <w:szCs w:val="24"/>
          <w:highlight w:val="none"/>
          <w:u w:val="single"/>
          <w:lang w:val="en-US" w:eastAsia="zh-CN"/>
        </w:rPr>
        <w:t xml:space="preserve">  29 </w:t>
      </w:r>
      <w:r>
        <w:rPr>
          <w:rFonts w:hint="eastAsia" w:ascii="宋体" w:hAnsi="宋体" w:cs="宋体"/>
          <w:b/>
          <w:color w:val="auto"/>
          <w:sz w:val="24"/>
          <w:szCs w:val="24"/>
          <w:highlight w:val="none"/>
        </w:rPr>
        <w:t>日</w:t>
      </w:r>
      <w:r>
        <w:rPr>
          <w:rFonts w:hint="eastAsia" w:ascii="宋体" w:hAnsi="宋体" w:cs="宋体"/>
          <w:b/>
          <w:color w:val="auto"/>
          <w:sz w:val="24"/>
          <w:szCs w:val="24"/>
          <w:highlight w:val="none"/>
          <w:lang w:val="en-US" w:eastAsia="zh-CN"/>
        </w:rPr>
        <w:t>14</w:t>
      </w:r>
      <w:r>
        <w:rPr>
          <w:rFonts w:hint="eastAsia" w:ascii="宋体" w:hAnsi="宋体" w:cs="宋体"/>
          <w:b/>
          <w:color w:val="auto"/>
          <w:sz w:val="24"/>
          <w:szCs w:val="24"/>
          <w:highlight w:val="none"/>
        </w:rPr>
        <w:t>时</w:t>
      </w:r>
      <w:r>
        <w:rPr>
          <w:rFonts w:hint="eastAsia" w:ascii="宋体" w:hAnsi="宋体" w:cs="宋体"/>
          <w:b/>
          <w:color w:val="auto"/>
          <w:sz w:val="24"/>
          <w:szCs w:val="24"/>
          <w:highlight w:val="none"/>
          <w:lang w:val="en-US" w:eastAsia="zh-CN"/>
        </w:rPr>
        <w:t>30</w:t>
      </w:r>
      <w:r>
        <w:rPr>
          <w:rFonts w:hint="eastAsia" w:ascii="宋体" w:hAnsi="宋体" w:cs="宋体"/>
          <w:b/>
          <w:color w:val="auto"/>
          <w:sz w:val="24"/>
          <w:szCs w:val="24"/>
          <w:highlight w:val="none"/>
        </w:rPr>
        <w:t>分</w:t>
      </w:r>
      <w:r>
        <w:rPr>
          <w:rFonts w:hint="eastAsia" w:ascii="宋体" w:hAnsi="宋体" w:cs="宋体"/>
          <w:color w:val="auto"/>
          <w:sz w:val="24"/>
          <w:szCs w:val="24"/>
          <w:highlight w:val="none"/>
        </w:rPr>
        <w:t>（开标时间）之前将投标文件在台州湾新区小额工程电子交易平台（网址：</w:t>
      </w:r>
      <w:r>
        <w:rPr>
          <w:color w:val="auto"/>
          <w:sz w:val="24"/>
          <w:szCs w:val="24"/>
          <w:highlight w:val="none"/>
        </w:rPr>
        <w:fldChar w:fldCharType="begin"/>
      </w:r>
      <w:r>
        <w:rPr>
          <w:color w:val="auto"/>
          <w:sz w:val="24"/>
          <w:szCs w:val="24"/>
          <w:highlight w:val="none"/>
        </w:rPr>
        <w:instrText xml:space="preserve"> HYPERLINK "http://www.tzwztb.com/）进行在线提交；（样品须在投标截止时间前送至台州市椒江区开发大道东梦想园区海虹街道一楼大厅。" </w:instrText>
      </w:r>
      <w:r>
        <w:rPr>
          <w:color w:val="auto"/>
          <w:sz w:val="24"/>
          <w:szCs w:val="24"/>
          <w:highlight w:val="none"/>
        </w:rPr>
        <w:fldChar w:fldCharType="separate"/>
      </w:r>
      <w:r>
        <w:rPr>
          <w:rStyle w:val="43"/>
          <w:color w:val="auto"/>
          <w:sz w:val="24"/>
          <w:szCs w:val="24"/>
          <w:highlight w:val="none"/>
        </w:rPr>
        <w:t>http://www.tzwztb.com/</w:t>
      </w:r>
      <w:r>
        <w:rPr>
          <w:rStyle w:val="43"/>
          <w:rFonts w:hint="eastAsia" w:ascii="宋体" w:hAnsi="宋体" w:cs="宋体"/>
          <w:color w:val="auto"/>
          <w:sz w:val="24"/>
          <w:szCs w:val="24"/>
          <w:highlight w:val="none"/>
        </w:rPr>
        <w:t>）进行在线提交；样品须在投标截止时间前送至台州市椒江区开发大道东梦想园区海虹街道一楼大厅</w:t>
      </w:r>
      <w:r>
        <w:rPr>
          <w:rStyle w:val="43"/>
          <w:rFonts w:hint="eastAsia" w:ascii="宋体" w:hAnsi="宋体" w:cs="宋体"/>
          <w:color w:val="auto"/>
          <w:sz w:val="24"/>
          <w:szCs w:val="24"/>
          <w:highlight w:val="none"/>
          <w:lang w:eastAsia="zh-CN"/>
        </w:rPr>
        <w:t>。</w:t>
      </w:r>
      <w:r>
        <w:rPr>
          <w:color w:val="auto"/>
          <w:sz w:val="24"/>
          <w:szCs w:val="24"/>
          <w:highlight w:val="none"/>
        </w:rPr>
        <w:fldChar w:fldCharType="end"/>
      </w:r>
      <w:r>
        <w:rPr>
          <w:rFonts w:hint="eastAsia"/>
          <w:color w:val="auto"/>
          <w:sz w:val="24"/>
          <w:szCs w:val="24"/>
          <w:highlight w:val="none"/>
          <w:lang w:val="en-US" w:eastAsia="zh-CN"/>
        </w:rPr>
        <w:t>样品递交时间：</w:t>
      </w:r>
      <w:r>
        <w:rPr>
          <w:rFonts w:hint="eastAsia" w:ascii="宋体" w:hAnsi="宋体" w:cs="宋体"/>
          <w:bCs/>
          <w:color w:val="auto"/>
          <w:kern w:val="0"/>
          <w:sz w:val="24"/>
          <w:highlight w:val="none"/>
        </w:rPr>
        <w:t>202</w:t>
      </w:r>
      <w:r>
        <w:rPr>
          <w:rFonts w:hint="eastAsia" w:ascii="宋体" w:hAnsi="宋体" w:cs="宋体"/>
          <w:bCs/>
          <w:color w:val="auto"/>
          <w:kern w:val="0"/>
          <w:sz w:val="24"/>
          <w:highlight w:val="none"/>
          <w:lang w:val="en-US" w:eastAsia="zh-CN"/>
        </w:rPr>
        <w:t>4</w:t>
      </w:r>
      <w:r>
        <w:rPr>
          <w:rFonts w:hint="eastAsia" w:ascii="宋体" w:hAnsi="宋体" w:cs="宋体"/>
          <w:bCs/>
          <w:color w:val="auto"/>
          <w:kern w:val="0"/>
          <w:sz w:val="24"/>
          <w:highlight w:val="none"/>
        </w:rPr>
        <w:t>年</w:t>
      </w:r>
      <w:r>
        <w:rPr>
          <w:rFonts w:hint="eastAsia" w:ascii="宋体" w:hAnsi="宋体" w:cs="宋体"/>
          <w:bCs/>
          <w:color w:val="auto"/>
          <w:kern w:val="0"/>
          <w:sz w:val="24"/>
          <w:highlight w:val="none"/>
          <w:lang w:val="en-US" w:eastAsia="zh-CN"/>
        </w:rPr>
        <w:t xml:space="preserve">  9 </w:t>
      </w:r>
      <w:r>
        <w:rPr>
          <w:rFonts w:hint="eastAsia" w:ascii="宋体" w:hAnsi="宋体" w:cs="宋体"/>
          <w:bCs/>
          <w:color w:val="auto"/>
          <w:kern w:val="0"/>
          <w:sz w:val="24"/>
          <w:highlight w:val="none"/>
        </w:rPr>
        <w:t>月</w:t>
      </w:r>
      <w:r>
        <w:rPr>
          <w:rFonts w:hint="eastAsia" w:ascii="宋体" w:hAnsi="宋体" w:cs="宋体"/>
          <w:bCs/>
          <w:color w:val="auto"/>
          <w:kern w:val="0"/>
          <w:sz w:val="24"/>
          <w:highlight w:val="none"/>
          <w:lang w:val="en-US" w:eastAsia="zh-CN"/>
        </w:rPr>
        <w:t xml:space="preserve"> 29 </w:t>
      </w:r>
      <w:r>
        <w:rPr>
          <w:rFonts w:hint="eastAsia" w:ascii="宋体" w:hAnsi="宋体" w:cs="宋体"/>
          <w:bCs/>
          <w:color w:val="auto"/>
          <w:kern w:val="0"/>
          <w:sz w:val="24"/>
          <w:highlight w:val="none"/>
        </w:rPr>
        <w:t>日</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00</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14</w:t>
      </w:r>
      <w:r>
        <w:rPr>
          <w:rFonts w:hint="eastAsia" w:ascii="宋体" w:hAnsi="宋体" w:cs="宋体"/>
          <w:bCs/>
          <w:color w:val="auto"/>
          <w:kern w:val="0"/>
          <w:sz w:val="24"/>
          <w:highlight w:val="none"/>
        </w:rPr>
        <w:t>：</w:t>
      </w:r>
      <w:r>
        <w:rPr>
          <w:rFonts w:hint="eastAsia" w:ascii="宋体" w:hAnsi="宋体" w:cs="宋体"/>
          <w:bCs/>
          <w:color w:val="auto"/>
          <w:kern w:val="0"/>
          <w:sz w:val="24"/>
          <w:highlight w:val="none"/>
          <w:lang w:val="en-US" w:eastAsia="zh-CN"/>
        </w:rPr>
        <w:t>30</w:t>
      </w:r>
    </w:p>
    <w:p w14:paraId="299F5371">
      <w:pPr>
        <w:pStyle w:val="10"/>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①样品</w:t>
      </w:r>
      <w:r>
        <w:rPr>
          <w:rFonts w:hint="eastAsia" w:ascii="宋体" w:hAnsi="宋体" w:cs="宋体"/>
          <w:color w:val="auto"/>
          <w:sz w:val="24"/>
          <w:szCs w:val="24"/>
          <w:highlight w:val="none"/>
          <w:lang w:val="en-US" w:eastAsia="zh-CN"/>
        </w:rPr>
        <w:t>密封不作要求</w:t>
      </w:r>
      <w:r>
        <w:rPr>
          <w:rFonts w:hint="eastAsia" w:ascii="宋体" w:hAnsi="宋体" w:cs="宋体"/>
          <w:color w:val="auto"/>
          <w:sz w:val="24"/>
          <w:szCs w:val="24"/>
          <w:highlight w:val="none"/>
          <w:lang w:eastAsia="zh-CN"/>
        </w:rPr>
        <w:t>，样品</w:t>
      </w:r>
      <w:r>
        <w:rPr>
          <w:rFonts w:hint="eastAsia" w:ascii="宋体" w:hAnsi="宋体" w:cs="宋体"/>
          <w:color w:val="auto"/>
          <w:sz w:val="24"/>
          <w:szCs w:val="24"/>
          <w:highlight w:val="none"/>
          <w:lang w:val="en-US" w:eastAsia="zh-CN"/>
        </w:rPr>
        <w:t>建议备注</w:t>
      </w:r>
      <w:r>
        <w:rPr>
          <w:rFonts w:hint="eastAsia" w:ascii="宋体" w:hAnsi="宋体" w:cs="宋体"/>
          <w:color w:val="auto"/>
          <w:sz w:val="24"/>
          <w:szCs w:val="24"/>
          <w:highlight w:val="none"/>
          <w:lang w:eastAsia="zh-CN"/>
        </w:rPr>
        <w:t>单位名称、样品名称。由于质量不合格或运输等原因所造成的一切后果均由投标人自行承担。</w:t>
      </w:r>
    </w:p>
    <w:p w14:paraId="2D5B0A43">
      <w:pPr>
        <w:pStyle w:val="10"/>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②投标人未在上述规定时间内递交样品的，其样品将不予接收。</w:t>
      </w:r>
    </w:p>
    <w:p w14:paraId="357A4C4D">
      <w:pPr>
        <w:pStyle w:val="10"/>
        <w:snapToGrid w:val="0"/>
        <w:spacing w:before="0" w:beforeLines="0" w:after="0" w:afterLines="0" w:line="360" w:lineRule="auto"/>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③中标单位样品由采购人封存，供验收参考。未中标的样品由投标人在评标结束当天自行取回。送样品一切费用，由投标方自行承担。</w:t>
      </w:r>
    </w:p>
    <w:p w14:paraId="2E0E4287">
      <w:pPr>
        <w:pStyle w:val="10"/>
        <w:snapToGrid w:val="0"/>
        <w:spacing w:before="0" w:beforeLines="0" w:after="0" w:afterLines="0" w:line="360" w:lineRule="auto"/>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auto"/>
          <w:sz w:val="24"/>
          <w:szCs w:val="24"/>
          <w:highlight w:val="none"/>
          <w:lang w:eastAsia="zh-CN"/>
        </w:rPr>
        <w:t>联系人:蔡永正、</w:t>
      </w:r>
      <w:r>
        <w:rPr>
          <w:rFonts w:hint="eastAsia" w:ascii="宋体" w:hAnsi="宋体" w:cs="宋体"/>
          <w:color w:val="auto"/>
          <w:sz w:val="24"/>
          <w:szCs w:val="24"/>
          <w:highlight w:val="none"/>
          <w:lang w:val="en-US" w:eastAsia="zh-CN"/>
        </w:rPr>
        <w:t>戴萍</w:t>
      </w:r>
      <w:r>
        <w:rPr>
          <w:rFonts w:hint="eastAsia" w:ascii="宋体" w:hAnsi="宋体" w:cs="宋体"/>
          <w:color w:val="auto"/>
          <w:sz w:val="24"/>
          <w:szCs w:val="24"/>
          <w:highlight w:val="none"/>
          <w:lang w:eastAsia="zh-CN"/>
        </w:rPr>
        <w:t>，联系方式:13454667697、0576-</w:t>
      </w:r>
      <w:r>
        <w:rPr>
          <w:rFonts w:hint="eastAsia" w:ascii="宋体" w:hAnsi="宋体" w:cs="宋体"/>
          <w:color w:val="auto"/>
          <w:sz w:val="24"/>
          <w:szCs w:val="24"/>
          <w:highlight w:val="none"/>
          <w:lang w:val="en-US" w:eastAsia="zh-CN"/>
        </w:rPr>
        <w:t>88550073</w:t>
      </w:r>
      <w:r>
        <w:rPr>
          <w:rFonts w:hint="eastAsia" w:ascii="宋体" w:hAnsi="宋体" w:cs="宋体"/>
          <w:color w:val="auto"/>
          <w:sz w:val="24"/>
          <w:szCs w:val="24"/>
          <w:highlight w:val="none"/>
        </w:rPr>
        <w:t>）</w:t>
      </w:r>
    </w:p>
    <w:p w14:paraId="57F3870F">
      <w:pPr>
        <w:spacing w:line="360" w:lineRule="auto"/>
        <w:ind w:firstLine="482" w:firstLineChars="200"/>
        <w:rPr>
          <w:rFonts w:ascii="宋体" w:hAnsi="宋体" w:cs="宋体"/>
          <w:b/>
          <w:color w:val="000000" w:themeColor="text1"/>
          <w:sz w:val="24"/>
          <w:highlight w:val="none"/>
          <w:u w:val="single"/>
          <w14:textFill>
            <w14:solidFill>
              <w14:schemeClr w14:val="tx1"/>
            </w14:solidFill>
          </w14:textFill>
        </w:rPr>
      </w:pPr>
      <w:r>
        <w:rPr>
          <w:rFonts w:hint="eastAsia" w:ascii="宋体" w:hAnsi="宋体" w:cs="宋体"/>
          <w:b/>
          <w:color w:val="000000" w:themeColor="text1"/>
          <w:sz w:val="24"/>
          <w:highlight w:val="none"/>
          <w:u w:val="single"/>
          <w14:textFill>
            <w14:solidFill>
              <w14:schemeClr w14:val="tx1"/>
            </w14:solidFill>
          </w14:textFill>
        </w:rPr>
        <w:t>投标人应在投标截止时间前缴纳保证金（或购买电子保函，电子保函截止时间为开标前一工作日下午16点前）。</w:t>
      </w:r>
    </w:p>
    <w:p w14:paraId="17CCC03B">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八</w:t>
      </w:r>
      <w:r>
        <w:rPr>
          <w:rFonts w:hint="eastAsia" w:ascii="宋体" w:hAnsi="宋体" w:cs="宋体"/>
          <w:b/>
          <w:bCs/>
          <w:color w:val="000000" w:themeColor="text1"/>
          <w:sz w:val="24"/>
          <w:highlight w:val="none"/>
          <w14:textFill>
            <w14:solidFill>
              <w14:schemeClr w14:val="tx1"/>
            </w14:solidFill>
          </w14:textFill>
        </w:rPr>
        <w:t>、开标时间及地点</w:t>
      </w:r>
      <w:r>
        <w:rPr>
          <w:rFonts w:hint="eastAsia" w:ascii="宋体" w:hAnsi="宋体" w:cs="宋体"/>
          <w:color w:val="000000" w:themeColor="text1"/>
          <w:sz w:val="24"/>
          <w:highlight w:val="none"/>
          <w14:textFill>
            <w14:solidFill>
              <w14:schemeClr w14:val="tx1"/>
            </w14:solidFill>
          </w14:textFill>
        </w:rPr>
        <w:t>：</w:t>
      </w:r>
    </w:p>
    <w:p w14:paraId="2AE4A9EB">
      <w:pPr>
        <w:snapToGrid w:val="0"/>
        <w:spacing w:line="360" w:lineRule="auto"/>
        <w:ind w:firstLine="480" w:firstLineChars="200"/>
        <w:rPr>
          <w:rFonts w:ascii="宋体" w:hAnsi="宋体" w:cs="宋体"/>
          <w:bCs/>
          <w:color w:val="000000" w:themeColor="text1"/>
          <w:kern w:val="0"/>
          <w:sz w:val="24"/>
          <w:highlight w:val="none"/>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开标时间与投标截止时间相同。（投标人代表一律不参加现场开标，开标过程中投标人、招标人可通过在线直播参与监督开标过程。直播网络地址：www.tzwztb.com/live/。</w:t>
      </w:r>
    </w:p>
    <w:p w14:paraId="18CD3AF5">
      <w:pPr>
        <w:snapToGrid w:val="0"/>
        <w:spacing w:line="360" w:lineRule="auto"/>
        <w:ind w:firstLine="482"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b/>
          <w:bCs/>
          <w:color w:val="000000" w:themeColor="text1"/>
          <w:sz w:val="24"/>
          <w:highlight w:val="none"/>
          <w:lang w:val="en-US" w:eastAsia="zh-CN"/>
          <w14:textFill>
            <w14:solidFill>
              <w14:schemeClr w14:val="tx1"/>
            </w14:solidFill>
          </w14:textFill>
        </w:rPr>
        <w:t>九</w:t>
      </w:r>
      <w:r>
        <w:rPr>
          <w:rFonts w:hint="eastAsia" w:ascii="宋体" w:hAnsi="宋体" w:cs="宋体"/>
          <w:b/>
          <w:bCs/>
          <w:color w:val="000000" w:themeColor="text1"/>
          <w:sz w:val="24"/>
          <w:highlight w:val="none"/>
          <w14:textFill>
            <w14:solidFill>
              <w14:schemeClr w14:val="tx1"/>
            </w14:solidFill>
          </w14:textFill>
        </w:rPr>
        <w:t>、投标保证金</w:t>
      </w:r>
      <w:r>
        <w:rPr>
          <w:rFonts w:hint="eastAsia" w:ascii="宋体" w:hAnsi="宋体" w:cs="宋体"/>
          <w:color w:val="000000" w:themeColor="text1"/>
          <w:sz w:val="24"/>
          <w:highlight w:val="none"/>
          <w14:textFill>
            <w14:solidFill>
              <w14:schemeClr w14:val="tx1"/>
            </w14:solidFill>
          </w14:textFill>
        </w:rPr>
        <w:t>：</w:t>
      </w:r>
    </w:p>
    <w:p w14:paraId="5B7D5CC0">
      <w:pPr>
        <w:tabs>
          <w:tab w:val="left" w:pos="180"/>
          <w:tab w:val="left" w:pos="360"/>
          <w:tab w:val="left" w:pos="540"/>
          <w:tab w:val="left" w:pos="8280"/>
        </w:tabs>
        <w:autoSpaceDE w:val="0"/>
        <w:autoSpaceDN w:val="0"/>
        <w:adjustRightInd w:val="0"/>
        <w:spacing w:line="360" w:lineRule="auto"/>
        <w:ind w:firstLine="480" w:firstLineChars="200"/>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Cs/>
          <w:color w:val="000000" w:themeColor="text1"/>
          <w:kern w:val="0"/>
          <w:sz w:val="24"/>
          <w:highlight w:val="none"/>
          <w14:textFill>
            <w14:solidFill>
              <w14:schemeClr w14:val="tx1"/>
            </w14:solidFill>
          </w14:textFill>
        </w:rPr>
        <w:t>1.</w:t>
      </w:r>
      <w:r>
        <w:rPr>
          <w:rFonts w:hint="eastAsia" w:ascii="宋体" w:hAnsi="宋体" w:eastAsia="宋体" w:cs="宋体"/>
          <w:b/>
          <w:bCs w:val="0"/>
          <w:color w:val="000000" w:themeColor="text1"/>
          <w:kern w:val="0"/>
          <w:sz w:val="24"/>
          <w:szCs w:val="24"/>
          <w:highlight w:val="none"/>
          <w:lang w:val="en-US" w:eastAsia="zh-CN" w:bidi="ar-SA"/>
          <w14:textFill>
            <w14:solidFill>
              <w14:schemeClr w14:val="tx1"/>
            </w14:solidFill>
          </w14:textFill>
        </w:rPr>
        <w:t>投标保证金金额：</w:t>
      </w:r>
      <w:r>
        <w:rPr>
          <w:rFonts w:hint="eastAsia" w:ascii="宋体" w:hAnsi="宋体" w:cs="宋体"/>
          <w:b/>
          <w:bCs w:val="0"/>
          <w:color w:val="auto"/>
          <w:kern w:val="0"/>
          <w:sz w:val="24"/>
          <w:szCs w:val="24"/>
          <w:highlight w:val="none"/>
          <w:lang w:val="en-US" w:eastAsia="zh-CN" w:bidi="ar-SA"/>
        </w:rPr>
        <w:t>25000</w:t>
      </w:r>
      <w:r>
        <w:rPr>
          <w:rFonts w:hint="eastAsia" w:ascii="宋体" w:hAnsi="宋体" w:eastAsia="宋体" w:cs="宋体"/>
          <w:b/>
          <w:bCs w:val="0"/>
          <w:color w:val="auto"/>
          <w:kern w:val="0"/>
          <w:sz w:val="24"/>
          <w:szCs w:val="24"/>
          <w:highlight w:val="none"/>
          <w:lang w:val="en-US" w:eastAsia="zh-CN" w:bidi="ar-SA"/>
        </w:rPr>
        <w:t>元。</w:t>
      </w:r>
    </w:p>
    <w:p w14:paraId="1BCB30B9">
      <w:pPr>
        <w:pStyle w:val="36"/>
        <w:spacing w:after="0" w:line="360" w:lineRule="auto"/>
        <w:ind w:left="0" w:leftChars="0" w:firstLine="480"/>
        <w:rPr>
          <w:rFonts w:ascii="宋体" w:hAnsi="宋体" w:eastAsia="宋体" w:cs="宋体"/>
          <w:bCs/>
          <w:color w:val="000000" w:themeColor="text1"/>
          <w:kern w:val="0"/>
          <w:sz w:val="24"/>
          <w:highlight w:val="none"/>
          <w14:textFill>
            <w14:solidFill>
              <w14:schemeClr w14:val="tx1"/>
            </w14:solidFill>
          </w14:textFill>
        </w:rPr>
      </w:pPr>
      <w:r>
        <w:rPr>
          <w:rFonts w:hint="eastAsia" w:ascii="宋体" w:hAnsi="宋体" w:eastAsia="宋体" w:cs="宋体"/>
          <w:bCs/>
          <w:color w:val="000000" w:themeColor="text1"/>
          <w:kern w:val="0"/>
          <w:sz w:val="24"/>
          <w:highlight w:val="none"/>
          <w14:textFill>
            <w14:solidFill>
              <w14:schemeClr w14:val="tx1"/>
            </w14:solidFill>
          </w14:textFill>
        </w:rPr>
        <w:t>2.投标保证金缴纳方式（任选一种）：现金转账、银行保函、保险机构保证保险保单、融资担保公司保函。</w:t>
      </w:r>
    </w:p>
    <w:p w14:paraId="728A481B">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kern w:val="0"/>
          <w:sz w:val="24"/>
          <w:highlight w:val="none"/>
        </w:rPr>
      </w:pPr>
      <w:r>
        <w:rPr>
          <w:rFonts w:hint="eastAsia" w:ascii="宋体" w:hAnsi="宋体" w:cs="宋体"/>
          <w:b/>
          <w:kern w:val="0"/>
          <w:sz w:val="24"/>
          <w:highlight w:val="none"/>
        </w:rPr>
        <w:t>（1）现金转账</w:t>
      </w:r>
    </w:p>
    <w:p w14:paraId="5A78F26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① 电汇或银行转账（请不要使用“支付宝”等第三方支付平台），通过“台州湾新区小额工程电子交易平台”取得相应的银行账号后支付，投标保证金收款账号根据不同工程（标段）由系统随机生成，此账号只在本工程（标段）中使用有效，请注意核对。</w:t>
      </w:r>
    </w:p>
    <w:p w14:paraId="4BA6D1E0">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②投标人缴纳的投标保证金必须在投标截止时间前到达上述指定账户，否则导致投标无效等后果由投标人自行承担。另外须注意双休日银行柜台休息对公对公转账的影响。开标结束后，未中标投标单位及时返还;中标人的投标保证金由招标人暂时保管，待履约担保办理完毕并签订施工合同后，招标人返还中标人。</w:t>
      </w:r>
    </w:p>
    <w:p w14:paraId="535E611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（2）银行保函、保险机构保证保险保单、融资担保公司保函（以下合称“工程保函”）</w:t>
      </w:r>
    </w:p>
    <w:p w14:paraId="6331CAFE">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①工程保函的受益人</w:t>
      </w:r>
      <w:r>
        <w:rPr>
          <w:rFonts w:hint="eastAsia" w:ascii="宋体" w:hAnsi="宋体" w:eastAsia="宋体" w:cs="宋体"/>
          <w:bCs/>
          <w:kern w:val="0"/>
          <w:sz w:val="24"/>
          <w:highlight w:val="none"/>
          <w:u w:val="single"/>
        </w:rPr>
        <w:t>：</w:t>
      </w:r>
      <w:r>
        <w:rPr>
          <w:rFonts w:hint="eastAsia" w:ascii="宋体" w:hAnsi="宋体" w:cs="宋体"/>
          <w:bCs/>
          <w:kern w:val="0"/>
          <w:sz w:val="24"/>
          <w:highlight w:val="none"/>
          <w:u w:val="single"/>
          <w:lang w:eastAsia="zh-CN"/>
        </w:rPr>
        <w:t>台州东游文化旅游发展有限公司</w:t>
      </w:r>
      <w:r>
        <w:rPr>
          <w:rFonts w:hint="eastAsia" w:ascii="宋体" w:hAnsi="宋体" w:cs="宋体"/>
          <w:bCs/>
          <w:kern w:val="0"/>
          <w:sz w:val="24"/>
          <w:highlight w:val="none"/>
        </w:rPr>
        <w:t>（招标人名称）；</w:t>
      </w:r>
    </w:p>
    <w:p w14:paraId="23E744C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②工程保函的有效期为1年；</w:t>
      </w:r>
    </w:p>
    <w:p w14:paraId="3CA1A825">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③递交方式：</w:t>
      </w:r>
    </w:p>
    <w:p w14:paraId="0C735971">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递交方式一（电子保函系统）：</w:t>
      </w:r>
    </w:p>
    <w:p w14:paraId="2CB8FC1B">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cs="宋体"/>
          <w:bCs/>
          <w:kern w:val="0"/>
          <w:sz w:val="24"/>
          <w:highlight w:val="none"/>
        </w:rPr>
      </w:pPr>
      <w:r>
        <w:rPr>
          <w:rFonts w:hint="eastAsia" w:ascii="宋体" w:hAnsi="宋体" w:cs="宋体"/>
          <w:bCs/>
          <w:kern w:val="0"/>
          <w:sz w:val="24"/>
          <w:highlight w:val="none"/>
        </w:rPr>
        <w:t>通过台州湾新区小额工程电子交易平台选择“电子保函”递交方式，并按系统流程进行操作、购买电子保函。</w:t>
      </w:r>
    </w:p>
    <w:p w14:paraId="75A482C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u w:val="single"/>
        </w:rPr>
      </w:pPr>
      <w:r>
        <w:rPr>
          <w:rFonts w:hint="eastAsia" w:ascii="宋体" w:hAnsi="宋体" w:cs="宋体"/>
          <w:bCs/>
          <w:kern w:val="0"/>
          <w:sz w:val="24"/>
          <w:highlight w:val="none"/>
        </w:rPr>
        <w:t>注：电子保单生效时间为投保第二天00:00,各投标人须在投标截止时间前一工作日下午16点之前申购电子保函；付款后请确认已收到出单提醒短信，或者在系统中查看保单状态为“已出单”。因未确认保函出单情况导致递交投标保证金失败的，所有后果由投标人自行承担。</w:t>
      </w:r>
    </w:p>
    <w:p w14:paraId="5C4B1655">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递交方式二（非电子保函系统）：</w:t>
      </w:r>
    </w:p>
    <w:p w14:paraId="50FD4B56">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 xml:space="preserve">投标人须在投标截止时间前将工程保函纸质原件、基本账户证明材料复印件（加盖公章）、保费支付的银行回单一并按要求递交。 </w:t>
      </w:r>
    </w:p>
    <w:p w14:paraId="0DC2524E">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递交方式：现场递交。</w:t>
      </w:r>
    </w:p>
    <w:p w14:paraId="329FA6FA">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提交地点：</w:t>
      </w:r>
      <w:r>
        <w:rPr>
          <w:rFonts w:hint="eastAsia" w:ascii="宋体" w:hAnsi="宋体" w:cs="宋体"/>
          <w:bCs/>
          <w:kern w:val="0"/>
          <w:sz w:val="24"/>
          <w:highlight w:val="none"/>
          <w:u w:val="single"/>
        </w:rPr>
        <w:t>台州湾新区海虹街道一楼大厅</w:t>
      </w:r>
    </w:p>
    <w:p w14:paraId="2A0C4970">
      <w:pPr>
        <w:tabs>
          <w:tab w:val="left" w:pos="180"/>
          <w:tab w:val="left" w:pos="360"/>
          <w:tab w:val="left" w:pos="540"/>
          <w:tab w:val="left" w:pos="8280"/>
        </w:tabs>
        <w:autoSpaceDE w:val="0"/>
        <w:autoSpaceDN w:val="0"/>
        <w:adjustRightInd w:val="0"/>
        <w:spacing w:line="360" w:lineRule="auto"/>
        <w:ind w:firstLine="480" w:firstLineChars="200"/>
        <w:jc w:val="left"/>
        <w:rPr>
          <w:rFonts w:hint="default" w:ascii="宋体" w:hAnsi="宋体" w:eastAsia="宋体" w:cs="宋体"/>
          <w:bCs/>
          <w:kern w:val="0"/>
          <w:sz w:val="24"/>
          <w:highlight w:val="none"/>
          <w:lang w:val="en-US" w:eastAsia="zh-CN"/>
        </w:rPr>
      </w:pPr>
      <w:r>
        <w:rPr>
          <w:rFonts w:hint="eastAsia" w:ascii="宋体" w:hAnsi="宋体" w:cs="宋体"/>
          <w:bCs/>
          <w:kern w:val="0"/>
          <w:sz w:val="24"/>
          <w:highlight w:val="none"/>
        </w:rPr>
        <w:t>提交时间：</w:t>
      </w:r>
      <w:r>
        <w:rPr>
          <w:rFonts w:ascii="宋体" w:hAnsi="宋体" w:cs="宋体"/>
          <w:bCs/>
          <w:kern w:val="0"/>
          <w:sz w:val="24"/>
          <w:highlight w:val="none"/>
          <w:u w:val="single"/>
        </w:rPr>
        <w:t>202</w:t>
      </w:r>
      <w:r>
        <w:rPr>
          <w:rFonts w:hint="eastAsia" w:ascii="宋体" w:hAnsi="宋体" w:cs="宋体"/>
          <w:bCs/>
          <w:kern w:val="0"/>
          <w:sz w:val="24"/>
          <w:highlight w:val="none"/>
          <w:u w:val="single"/>
          <w:lang w:val="en-US" w:eastAsia="zh-CN"/>
        </w:rPr>
        <w:t>4</w:t>
      </w:r>
      <w:r>
        <w:rPr>
          <w:rFonts w:ascii="宋体" w:hAnsi="宋体" w:cs="宋体"/>
          <w:bCs/>
          <w:kern w:val="0"/>
          <w:sz w:val="24"/>
          <w:highlight w:val="none"/>
          <w:u w:val="single"/>
        </w:rPr>
        <w:t>年</w:t>
      </w:r>
      <w:r>
        <w:rPr>
          <w:rFonts w:hint="eastAsia" w:ascii="宋体" w:hAnsi="宋体" w:cs="宋体"/>
          <w:bCs/>
          <w:kern w:val="0"/>
          <w:sz w:val="24"/>
          <w:highlight w:val="none"/>
          <w:u w:val="single"/>
          <w:lang w:val="en-US" w:eastAsia="zh-CN"/>
        </w:rPr>
        <w:t xml:space="preserve"> 9 </w:t>
      </w:r>
      <w:r>
        <w:rPr>
          <w:rFonts w:ascii="宋体" w:hAnsi="宋体" w:cs="宋体"/>
          <w:bCs/>
          <w:kern w:val="0"/>
          <w:sz w:val="24"/>
          <w:highlight w:val="none"/>
          <w:u w:val="single"/>
        </w:rPr>
        <w:t>月</w:t>
      </w:r>
      <w:r>
        <w:rPr>
          <w:rFonts w:hint="eastAsia" w:ascii="宋体" w:hAnsi="宋体" w:cs="宋体"/>
          <w:bCs/>
          <w:kern w:val="0"/>
          <w:sz w:val="24"/>
          <w:highlight w:val="none"/>
          <w:u w:val="single"/>
          <w:lang w:val="en-US" w:eastAsia="zh-CN"/>
        </w:rPr>
        <w:t xml:space="preserve"> 29  </w:t>
      </w:r>
      <w:r>
        <w:rPr>
          <w:rFonts w:ascii="宋体" w:hAnsi="宋体" w:cs="宋体"/>
          <w:bCs/>
          <w:kern w:val="0"/>
          <w:sz w:val="24"/>
          <w:highlight w:val="none"/>
          <w:u w:val="single"/>
        </w:rPr>
        <w:t>日</w:t>
      </w:r>
      <w:r>
        <w:rPr>
          <w:rFonts w:hint="eastAsia" w:ascii="宋体" w:hAnsi="宋体" w:cs="宋体"/>
          <w:bCs/>
          <w:kern w:val="0"/>
          <w:sz w:val="24"/>
          <w:highlight w:val="none"/>
          <w:u w:val="single"/>
          <w:lang w:val="en-US" w:eastAsia="zh-CN"/>
        </w:rPr>
        <w:t>14</w:t>
      </w:r>
      <w:r>
        <w:rPr>
          <w:rFonts w:ascii="宋体" w:hAnsi="宋体" w:cs="宋体"/>
          <w:bCs/>
          <w:kern w:val="0"/>
          <w:sz w:val="24"/>
          <w:highlight w:val="none"/>
          <w:u w:val="single"/>
        </w:rPr>
        <w:t>：</w:t>
      </w:r>
      <w:r>
        <w:rPr>
          <w:rFonts w:hint="eastAsia" w:ascii="宋体" w:hAnsi="宋体" w:cs="宋体"/>
          <w:bCs/>
          <w:kern w:val="0"/>
          <w:sz w:val="24"/>
          <w:highlight w:val="none"/>
          <w:u w:val="single"/>
          <w:lang w:val="en-US" w:eastAsia="zh-CN"/>
        </w:rPr>
        <w:t>00</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14</w:t>
      </w:r>
      <w:r>
        <w:rPr>
          <w:rFonts w:hint="eastAsia" w:ascii="宋体" w:hAnsi="宋体" w:cs="宋体"/>
          <w:bCs/>
          <w:kern w:val="0"/>
          <w:sz w:val="24"/>
          <w:highlight w:val="none"/>
          <w:u w:val="single"/>
        </w:rPr>
        <w:t>：</w:t>
      </w:r>
      <w:r>
        <w:rPr>
          <w:rFonts w:hint="eastAsia" w:ascii="宋体" w:hAnsi="宋体" w:cs="宋体"/>
          <w:bCs/>
          <w:kern w:val="0"/>
          <w:sz w:val="24"/>
          <w:highlight w:val="none"/>
          <w:u w:val="single"/>
          <w:lang w:val="en-US" w:eastAsia="zh-CN"/>
        </w:rPr>
        <w:t>30</w:t>
      </w:r>
    </w:p>
    <w:p w14:paraId="5F5B3B14">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w:t>
      </w:r>
      <w:r>
        <w:rPr>
          <w:rFonts w:hint="eastAsia" w:ascii="宋体" w:hAnsi="宋体" w:cs="宋体"/>
          <w:bCs/>
          <w:kern w:val="0"/>
          <w:sz w:val="24"/>
          <w:highlight w:val="none"/>
          <w:u w:val="single"/>
          <w:lang w:eastAsia="zh-CN"/>
        </w:rPr>
        <w:t>建经投资咨询有限公司</w:t>
      </w:r>
      <w:r>
        <w:rPr>
          <w:rFonts w:hint="eastAsia" w:ascii="宋体" w:hAnsi="宋体" w:cs="宋体"/>
          <w:bCs/>
          <w:kern w:val="0"/>
          <w:sz w:val="24"/>
          <w:highlight w:val="none"/>
        </w:rPr>
        <w:t>（代理机构）</w:t>
      </w:r>
    </w:p>
    <w:p w14:paraId="53B25827">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接收人联系方式：</w:t>
      </w:r>
      <w:r>
        <w:rPr>
          <w:rFonts w:hint="eastAsia" w:ascii="宋体" w:hAnsi="宋体" w:cs="宋体"/>
          <w:bCs/>
          <w:kern w:val="0"/>
          <w:sz w:val="24"/>
          <w:highlight w:val="none"/>
          <w:u w:val="single"/>
        </w:rPr>
        <w:t>0576-</w:t>
      </w:r>
      <w:r>
        <w:rPr>
          <w:rFonts w:hint="eastAsia" w:ascii="宋体" w:hAnsi="宋体" w:cs="宋体"/>
          <w:bCs/>
          <w:kern w:val="0"/>
          <w:sz w:val="24"/>
          <w:highlight w:val="none"/>
          <w:u w:val="single"/>
          <w:lang w:val="en-US" w:eastAsia="zh-CN"/>
        </w:rPr>
        <w:t>88550073</w:t>
      </w:r>
      <w:r>
        <w:rPr>
          <w:rFonts w:ascii="宋体" w:hAnsi="宋体" w:cs="宋体"/>
          <w:bCs/>
          <w:kern w:val="0"/>
          <w:sz w:val="24"/>
          <w:highlight w:val="none"/>
          <w:u w:val="single"/>
        </w:rPr>
        <w:t xml:space="preserve"> </w:t>
      </w:r>
      <w:r>
        <w:rPr>
          <w:rFonts w:hint="eastAsia" w:ascii="宋体" w:hAnsi="宋体" w:cs="宋体"/>
          <w:bCs/>
          <w:kern w:val="0"/>
          <w:sz w:val="24"/>
          <w:highlight w:val="none"/>
        </w:rPr>
        <w:t xml:space="preserve"> </w:t>
      </w:r>
    </w:p>
    <w:p w14:paraId="441D43BC">
      <w:pPr>
        <w:tabs>
          <w:tab w:val="left" w:pos="180"/>
          <w:tab w:val="left" w:pos="360"/>
          <w:tab w:val="left" w:pos="540"/>
          <w:tab w:val="left" w:pos="8280"/>
        </w:tabs>
        <w:autoSpaceDE w:val="0"/>
        <w:autoSpaceDN w:val="0"/>
        <w:adjustRightInd w:val="0"/>
        <w:spacing w:line="360" w:lineRule="auto"/>
        <w:ind w:firstLine="480" w:firstLineChars="200"/>
        <w:jc w:val="left"/>
        <w:rPr>
          <w:rFonts w:ascii="宋体" w:hAnsi="宋体" w:cs="宋体"/>
          <w:b/>
          <w:kern w:val="0"/>
          <w:sz w:val="24"/>
          <w:highlight w:val="none"/>
        </w:rPr>
      </w:pPr>
      <w:r>
        <w:rPr>
          <w:rFonts w:hint="eastAsia" w:ascii="宋体" w:hAnsi="宋体" w:cs="宋体"/>
          <w:bCs/>
          <w:kern w:val="0"/>
          <w:sz w:val="24"/>
          <w:highlight w:val="none"/>
        </w:rPr>
        <w:t>注：投标保函文件中必须包含投标企业的信息，包含但不仅限于投标企业名称、保证方式、保证金额、保函获得时间、保证项目名称、保函有效期限、保费标准、费用支付账户（基本账户）等。工程保函的保险（保证）责任必须包括本招标文件“投标人须知三（</w:t>
      </w:r>
      <w:r>
        <w:rPr>
          <w:rFonts w:hint="eastAsia" w:ascii="宋体" w:hAnsi="宋体" w:cs="宋体"/>
          <w:bCs/>
          <w:kern w:val="0"/>
          <w:sz w:val="24"/>
          <w:highlight w:val="none"/>
          <w:lang w:val="en-US" w:eastAsia="zh-CN"/>
        </w:rPr>
        <w:t>五</w:t>
      </w:r>
      <w:r>
        <w:rPr>
          <w:rFonts w:hint="eastAsia" w:ascii="宋体" w:hAnsi="宋体" w:cs="宋体"/>
          <w:bCs/>
          <w:kern w:val="0"/>
          <w:sz w:val="24"/>
          <w:highlight w:val="none"/>
        </w:rPr>
        <w:t>）4”所列条款。</w:t>
      </w:r>
    </w:p>
    <w:p w14:paraId="2C6C6E7C">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Cs/>
          <w:kern w:val="0"/>
          <w:sz w:val="24"/>
          <w:highlight w:val="none"/>
        </w:rPr>
      </w:pPr>
      <w:r>
        <w:rPr>
          <w:rFonts w:hint="eastAsia" w:ascii="宋体" w:hAnsi="宋体" w:eastAsia="宋体" w:cs="宋体"/>
          <w:bCs/>
          <w:kern w:val="0"/>
          <w:sz w:val="24"/>
          <w:highlight w:val="none"/>
        </w:rPr>
        <w:t>3、注意事项</w:t>
      </w:r>
    </w:p>
    <w:p w14:paraId="6365B2E8">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①若招标文件允许联合体投标且投标人以联合体身份投标的，由联合体牵头人提交投标保证金；</w:t>
      </w:r>
    </w:p>
    <w:p w14:paraId="72F4E313">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②以银行转账形式提交的投标保证金应当从投标人基本账户转出，购买工程保函的费用应当从投标人基本账户支付；</w:t>
      </w:r>
    </w:p>
    <w:p w14:paraId="44968D9F">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③若有疑问，请咨询技术服务热线：13454667697</w:t>
      </w:r>
    </w:p>
    <w:p w14:paraId="05E15D77">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bCs w:val="0"/>
          <w:kern w:val="0"/>
          <w:sz w:val="24"/>
          <w:highlight w:val="none"/>
        </w:rPr>
      </w:pPr>
      <w:r>
        <w:rPr>
          <w:rFonts w:hint="eastAsia" w:ascii="宋体" w:hAnsi="宋体" w:eastAsia="宋体" w:cs="宋体"/>
          <w:b/>
          <w:bCs w:val="0"/>
          <w:kern w:val="0"/>
          <w:sz w:val="24"/>
          <w:highlight w:val="none"/>
        </w:rPr>
        <w:t>④以上未按要求提供或提供不清晰的，评标委员会可能做出不利于投标人的评审结果，由此造成的风险由投标人自行承担。</w:t>
      </w:r>
    </w:p>
    <w:p w14:paraId="6B13CEB4">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bCs/>
          <w:color w:val="000000"/>
          <w:kern w:val="0"/>
          <w:sz w:val="24"/>
          <w:highlight w:val="none"/>
        </w:rPr>
      </w:pPr>
      <w:r>
        <w:rPr>
          <w:rFonts w:hint="eastAsia" w:ascii="宋体" w:hAnsi="宋体" w:cs="宋体"/>
          <w:b/>
          <w:kern w:val="0"/>
          <w:sz w:val="24"/>
          <w:highlight w:val="none"/>
        </w:rPr>
        <w:t>4、</w:t>
      </w:r>
      <w:r>
        <w:rPr>
          <w:rFonts w:hint="eastAsia" w:ascii="宋体" w:hAnsi="宋体" w:cs="宋体"/>
          <w:bCs/>
          <w:kern w:val="0"/>
          <w:sz w:val="24"/>
          <w:highlight w:val="none"/>
        </w:rPr>
        <w:t>购买工程电子保函截止时间：</w:t>
      </w:r>
      <w:r>
        <w:rPr>
          <w:rFonts w:hint="eastAsia" w:ascii="宋体" w:hAnsi="宋体" w:cs="宋体"/>
          <w:b/>
          <w:bCs/>
          <w:color w:val="000000"/>
          <w:kern w:val="0"/>
          <w:sz w:val="24"/>
          <w:highlight w:val="none"/>
          <w:u w:val="single"/>
        </w:rPr>
        <w:t xml:space="preserve"> 202</w:t>
      </w:r>
      <w:r>
        <w:rPr>
          <w:rFonts w:hint="eastAsia" w:ascii="宋体" w:hAnsi="宋体" w:cs="宋体"/>
          <w:b/>
          <w:bCs/>
          <w:color w:val="000000"/>
          <w:kern w:val="0"/>
          <w:sz w:val="24"/>
          <w:highlight w:val="none"/>
          <w:u w:val="single"/>
          <w:lang w:val="en-US" w:eastAsia="zh-CN"/>
        </w:rPr>
        <w:t>4</w:t>
      </w:r>
      <w:r>
        <w:rPr>
          <w:rFonts w:hint="eastAsia" w:ascii="宋体" w:hAnsi="宋体" w:cs="宋体"/>
          <w:b/>
          <w:bCs/>
          <w:color w:val="000000"/>
          <w:kern w:val="0"/>
          <w:sz w:val="24"/>
          <w:highlight w:val="none"/>
          <w:u w:val="single"/>
        </w:rPr>
        <w:t xml:space="preserve"> </w:t>
      </w:r>
      <w:r>
        <w:rPr>
          <w:rFonts w:hint="eastAsia" w:ascii="宋体" w:hAnsi="宋体" w:cs="宋体"/>
          <w:b/>
          <w:bCs/>
          <w:color w:val="000000"/>
          <w:kern w:val="0"/>
          <w:sz w:val="24"/>
          <w:highlight w:val="none"/>
        </w:rPr>
        <w:t>年</w:t>
      </w:r>
      <w:r>
        <w:rPr>
          <w:rFonts w:hint="eastAsia" w:ascii="宋体" w:hAnsi="宋体" w:cs="宋体"/>
          <w:b/>
          <w:bCs/>
          <w:color w:val="000000"/>
          <w:kern w:val="0"/>
          <w:sz w:val="24"/>
          <w:highlight w:val="none"/>
          <w:u w:val="single"/>
          <w:lang w:val="en-US" w:eastAsia="zh-CN"/>
        </w:rPr>
        <w:t xml:space="preserve"> 9  </w:t>
      </w:r>
      <w:r>
        <w:rPr>
          <w:rFonts w:hint="eastAsia" w:ascii="宋体" w:hAnsi="宋体" w:cs="宋体"/>
          <w:b/>
          <w:bCs/>
          <w:color w:val="000000"/>
          <w:kern w:val="0"/>
          <w:sz w:val="24"/>
          <w:highlight w:val="none"/>
        </w:rPr>
        <w:t>月</w:t>
      </w:r>
      <w:r>
        <w:rPr>
          <w:rFonts w:hint="eastAsia" w:ascii="宋体" w:hAnsi="宋体" w:cs="宋体"/>
          <w:b/>
          <w:bCs/>
          <w:color w:val="000000"/>
          <w:kern w:val="0"/>
          <w:sz w:val="24"/>
          <w:highlight w:val="none"/>
          <w:u w:val="single"/>
          <w:lang w:val="en-US" w:eastAsia="zh-CN"/>
        </w:rPr>
        <w:t xml:space="preserve">  27  </w:t>
      </w:r>
      <w:r>
        <w:rPr>
          <w:rFonts w:hint="eastAsia" w:ascii="宋体" w:hAnsi="宋体" w:cs="宋体"/>
          <w:b/>
          <w:bCs/>
          <w:color w:val="000000"/>
          <w:kern w:val="0"/>
          <w:sz w:val="24"/>
          <w:highlight w:val="none"/>
        </w:rPr>
        <w:t>下午16点前</w:t>
      </w:r>
    </w:p>
    <w:p w14:paraId="76AD6335">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cs="宋体"/>
          <w:b/>
          <w:kern w:val="0"/>
          <w:sz w:val="24"/>
          <w:highlight w:val="none"/>
        </w:rPr>
      </w:pPr>
      <w:r>
        <w:rPr>
          <w:rFonts w:hint="eastAsia" w:ascii="宋体" w:hAnsi="宋体" w:cs="宋体"/>
          <w:b/>
          <w:kern w:val="0"/>
          <w:sz w:val="24"/>
          <w:highlight w:val="none"/>
        </w:rPr>
        <w:t>十、相关注意事项：</w:t>
      </w:r>
    </w:p>
    <w:p w14:paraId="497AFA2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1、投标人通过在交易场所（发布</w:t>
      </w:r>
      <w:r>
        <w:rPr>
          <w:rFonts w:hint="eastAsia" w:ascii="宋体" w:hAnsi="宋体" w:cs="宋体"/>
          <w:sz w:val="24"/>
          <w:highlight w:val="none"/>
          <w:lang w:val="en-US" w:eastAsia="zh-CN"/>
        </w:rPr>
        <w:t>采购</w:t>
      </w:r>
      <w:r>
        <w:rPr>
          <w:rFonts w:hint="eastAsia" w:ascii="宋体" w:hAnsi="宋体" w:cs="宋体"/>
          <w:sz w:val="24"/>
          <w:highlight w:val="none"/>
        </w:rPr>
        <w:t>公告的媒体上）自行下载的方式获取</w:t>
      </w:r>
      <w:r>
        <w:rPr>
          <w:rFonts w:hint="eastAsia" w:ascii="宋体" w:hAnsi="宋体" w:cs="宋体"/>
          <w:sz w:val="24"/>
          <w:highlight w:val="none"/>
          <w:lang w:val="en-US" w:eastAsia="zh-CN"/>
        </w:rPr>
        <w:t>采购</w:t>
      </w:r>
      <w:r>
        <w:rPr>
          <w:rFonts w:hint="eastAsia" w:ascii="宋体" w:hAnsi="宋体" w:cs="宋体"/>
          <w:sz w:val="24"/>
          <w:highlight w:val="none"/>
        </w:rPr>
        <w:t>文件及相关附件。投标人在获取</w:t>
      </w:r>
      <w:r>
        <w:rPr>
          <w:rFonts w:hint="eastAsia" w:ascii="宋体" w:hAnsi="宋体" w:cs="宋体"/>
          <w:sz w:val="24"/>
          <w:highlight w:val="none"/>
          <w:lang w:val="en-US" w:eastAsia="zh-CN"/>
        </w:rPr>
        <w:t>采购</w:t>
      </w:r>
      <w:r>
        <w:rPr>
          <w:rFonts w:hint="eastAsia" w:ascii="宋体" w:hAnsi="宋体" w:cs="宋体"/>
          <w:sz w:val="24"/>
          <w:highlight w:val="none"/>
        </w:rPr>
        <w:t>文件后，应仔细检查招标文件的所有内容，如有残缺等问题建议自</w:t>
      </w:r>
      <w:r>
        <w:rPr>
          <w:rFonts w:hint="eastAsia" w:ascii="宋体" w:hAnsi="宋体" w:cs="宋体"/>
          <w:sz w:val="24"/>
          <w:highlight w:val="none"/>
          <w:lang w:val="en-US" w:eastAsia="zh-CN"/>
        </w:rPr>
        <w:t>采购</w:t>
      </w:r>
      <w:r>
        <w:rPr>
          <w:rFonts w:hint="eastAsia" w:ascii="宋体" w:hAnsi="宋体" w:cs="宋体"/>
          <w:sz w:val="24"/>
          <w:highlight w:val="none"/>
        </w:rPr>
        <w:t>文件发布在交易场所（发布</w:t>
      </w:r>
      <w:r>
        <w:rPr>
          <w:rFonts w:hint="eastAsia" w:ascii="宋体" w:hAnsi="宋体" w:cs="宋体"/>
          <w:sz w:val="24"/>
          <w:highlight w:val="none"/>
          <w:lang w:val="en-US" w:eastAsia="zh-CN"/>
        </w:rPr>
        <w:t>采购</w:t>
      </w:r>
      <w:r>
        <w:rPr>
          <w:rFonts w:hint="eastAsia" w:ascii="宋体" w:hAnsi="宋体" w:cs="宋体"/>
          <w:sz w:val="24"/>
          <w:highlight w:val="none"/>
        </w:rPr>
        <w:t>公告的媒体上）</w:t>
      </w:r>
      <w:r>
        <w:rPr>
          <w:rFonts w:hint="eastAsia" w:ascii="宋体" w:hAnsi="宋体" w:cs="宋体"/>
          <w:sz w:val="24"/>
          <w:highlight w:val="none"/>
          <w:lang w:val="en-US" w:eastAsia="zh-CN"/>
        </w:rPr>
        <w:t>3</w:t>
      </w:r>
      <w:r>
        <w:rPr>
          <w:rFonts w:hint="eastAsia" w:ascii="宋体" w:hAnsi="宋体" w:cs="宋体"/>
          <w:sz w:val="24"/>
          <w:highlight w:val="none"/>
        </w:rPr>
        <w:t>日内向</w:t>
      </w:r>
      <w:r>
        <w:rPr>
          <w:rFonts w:hint="eastAsia" w:ascii="宋体" w:hAnsi="宋体" w:cs="宋体"/>
          <w:sz w:val="24"/>
          <w:highlight w:val="none"/>
          <w:lang w:eastAsia="zh-CN"/>
        </w:rPr>
        <w:t>招标人</w:t>
      </w:r>
      <w:r>
        <w:rPr>
          <w:rFonts w:hint="eastAsia" w:ascii="宋体" w:hAnsi="宋体" w:cs="宋体"/>
          <w:sz w:val="24"/>
          <w:highlight w:val="none"/>
        </w:rPr>
        <w:t>提出，否则，由此引起的损失由投标人自己承担。</w:t>
      </w:r>
    </w:p>
    <w:p w14:paraId="0DDD6663">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招标人</w:t>
      </w:r>
      <w:r>
        <w:rPr>
          <w:rFonts w:hint="eastAsia" w:ascii="宋体" w:hAnsi="宋体" w:cs="宋体"/>
          <w:sz w:val="24"/>
          <w:highlight w:val="none"/>
        </w:rPr>
        <w:t>及招标代理机构的任何工作人员对投标人所作的任何口头解释、介绍、答复，只能供投标人参考，对</w:t>
      </w:r>
      <w:r>
        <w:rPr>
          <w:rFonts w:hint="eastAsia" w:ascii="宋体" w:hAnsi="宋体" w:cs="宋体"/>
          <w:sz w:val="24"/>
          <w:highlight w:val="none"/>
          <w:lang w:eastAsia="zh-CN"/>
        </w:rPr>
        <w:t>招标人</w:t>
      </w:r>
      <w:r>
        <w:rPr>
          <w:rFonts w:hint="eastAsia" w:ascii="宋体" w:hAnsi="宋体" w:cs="宋体"/>
          <w:sz w:val="24"/>
          <w:highlight w:val="none"/>
        </w:rPr>
        <w:t>无任何约束力。</w:t>
      </w:r>
    </w:p>
    <w:p w14:paraId="67FF648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sz w:val="24"/>
          <w:highlight w:val="none"/>
        </w:rPr>
        <w:t>2、本项目所有公告发布网站：“台州湾新区小额工程电子交易平台</w:t>
      </w:r>
      <w:r>
        <w:rPr>
          <w:rFonts w:ascii="宋体" w:hAnsi="宋体" w:cs="宋体"/>
          <w:sz w:val="24"/>
          <w:highlight w:val="none"/>
        </w:rPr>
        <w:t>”</w:t>
      </w:r>
      <w:r>
        <w:rPr>
          <w:rFonts w:hint="eastAsia" w:ascii="宋体" w:hAnsi="宋体" w:cs="宋体"/>
          <w:sz w:val="24"/>
          <w:highlight w:val="none"/>
        </w:rPr>
        <w:t>（http://www.tzwztb.com）及“浙江省政府采购网”（http:// www.zjzfcg.gov.cn）。</w:t>
      </w:r>
    </w:p>
    <w:p w14:paraId="26BD3069">
      <w:pPr>
        <w:snapToGrid w:val="0"/>
        <w:spacing w:line="360" w:lineRule="auto"/>
        <w:ind w:firstLine="241" w:firstLineChars="100"/>
        <w:rPr>
          <w:rFonts w:ascii="宋体" w:hAnsi="宋体" w:cs="宋体"/>
          <w:b/>
          <w:color w:val="000000" w:themeColor="text1"/>
          <w:sz w:val="24"/>
          <w:szCs w:val="20"/>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十</w:t>
      </w:r>
      <w:r>
        <w:rPr>
          <w:rFonts w:hint="eastAsia" w:ascii="宋体" w:hAnsi="宋体" w:cs="宋体"/>
          <w:b/>
          <w:color w:val="000000" w:themeColor="text1"/>
          <w:sz w:val="24"/>
          <w:highlight w:val="none"/>
          <w:lang w:val="en-US" w:eastAsia="zh-CN"/>
          <w14:textFill>
            <w14:solidFill>
              <w14:schemeClr w14:val="tx1"/>
            </w14:solidFill>
          </w14:textFill>
        </w:rPr>
        <w:t>一</w:t>
      </w:r>
      <w:r>
        <w:rPr>
          <w:rFonts w:hint="eastAsia" w:ascii="宋体" w:hAnsi="宋体" w:cs="宋体"/>
          <w:b/>
          <w:color w:val="000000" w:themeColor="text1"/>
          <w:sz w:val="24"/>
          <w:highlight w:val="none"/>
          <w14:textFill>
            <w14:solidFill>
              <w14:schemeClr w14:val="tx1"/>
            </w14:solidFill>
          </w14:textFill>
        </w:rPr>
        <w:t>、联系方式：</w:t>
      </w:r>
    </w:p>
    <w:p w14:paraId="618D36B1">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（一）采购代理机构</w:t>
      </w:r>
    </w:p>
    <w:p w14:paraId="18546CBD">
      <w:pPr>
        <w:spacing w:line="360" w:lineRule="auto"/>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代理机构名称：</w:t>
      </w:r>
      <w:r>
        <w:rPr>
          <w:rFonts w:hint="eastAsia" w:ascii="宋体" w:hAnsi="宋体" w:cs="宋体"/>
          <w:color w:val="000000" w:themeColor="text1"/>
          <w:sz w:val="24"/>
          <w:highlight w:val="none"/>
          <w:lang w:eastAsia="zh-CN"/>
          <w14:textFill>
            <w14:solidFill>
              <w14:schemeClr w14:val="tx1"/>
            </w14:solidFill>
          </w14:textFill>
        </w:rPr>
        <w:t>建经投资咨询有限公司</w:t>
      </w:r>
    </w:p>
    <w:p w14:paraId="11DB81F4">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项目联系人：</w:t>
      </w:r>
      <w:r>
        <w:rPr>
          <w:rFonts w:hint="eastAsia" w:ascii="宋体" w:hAnsi="宋体" w:cs="宋体"/>
          <w:color w:val="000000" w:themeColor="text1"/>
          <w:sz w:val="24"/>
          <w:highlight w:val="none"/>
          <w:lang w:eastAsia="zh-CN"/>
          <w14:textFill>
            <w14:solidFill>
              <w14:schemeClr w14:val="tx1"/>
            </w14:solidFill>
          </w14:textFill>
        </w:rPr>
        <w:t>戴萍</w:t>
      </w:r>
      <w:r>
        <w:rPr>
          <w:rFonts w:hint="eastAsia" w:ascii="宋体" w:hAnsi="宋体" w:cs="宋体"/>
          <w:color w:val="000000" w:themeColor="text1"/>
          <w:sz w:val="24"/>
          <w:highlight w:val="none"/>
          <w14:textFill>
            <w14:solidFill>
              <w14:schemeClr w14:val="tx1"/>
            </w14:solidFill>
          </w14:textFill>
        </w:rPr>
        <w:t>　</w:t>
      </w:r>
    </w:p>
    <w:p w14:paraId="709858A2">
      <w:pPr>
        <w:spacing w:line="360" w:lineRule="auto"/>
        <w:ind w:firstLine="480" w:firstLineChars="200"/>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r>
        <w:rPr>
          <w:rFonts w:hint="eastAsia" w:ascii="宋体" w:hAnsi="宋体" w:cs="宋体"/>
          <w:color w:val="000000" w:themeColor="text1"/>
          <w:sz w:val="24"/>
          <w:highlight w:val="none"/>
          <w:lang w:eastAsia="zh-CN"/>
          <w14:textFill>
            <w14:solidFill>
              <w14:schemeClr w14:val="tx1"/>
            </w14:solidFill>
          </w14:textFill>
        </w:rPr>
        <w:t>0576-88550073</w:t>
      </w:r>
    </w:p>
    <w:p w14:paraId="2BA60385">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地址：台州市椒江区爱华·新台州大厦16A</w:t>
      </w:r>
    </w:p>
    <w:p w14:paraId="6605228C">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（二）采购人</w:t>
      </w:r>
    </w:p>
    <w:p w14:paraId="58706B2F">
      <w:pPr>
        <w:spacing w:line="360" w:lineRule="auto"/>
        <w:ind w:firstLine="480" w:firstLineChars="200"/>
        <w:rPr>
          <w:rFonts w:hint="eastAsia" w:ascii="宋体" w:hAnsi="宋体" w:eastAsia="宋体" w:cs="宋体"/>
          <w:b w:val="0"/>
          <w:bCs w:val="0"/>
          <w:color w:val="000000" w:themeColor="text1"/>
          <w:sz w:val="24"/>
          <w:highlight w:val="none"/>
          <w:lang w:eastAsia="zh-CN"/>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采购人名称：</w:t>
      </w:r>
      <w:r>
        <w:rPr>
          <w:rFonts w:hint="eastAsia" w:ascii="宋体" w:hAnsi="宋体" w:cs="宋体"/>
          <w:b w:val="0"/>
          <w:bCs w:val="0"/>
          <w:color w:val="000000" w:themeColor="text1"/>
          <w:sz w:val="24"/>
          <w:highlight w:val="none"/>
          <w:lang w:eastAsia="zh-CN"/>
          <w14:textFill>
            <w14:solidFill>
              <w14:schemeClr w14:val="tx1"/>
            </w14:solidFill>
          </w14:textFill>
        </w:rPr>
        <w:t>台州东游文化旅游发展有限公司</w:t>
      </w:r>
    </w:p>
    <w:p w14:paraId="5C133D1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联系人：</w:t>
      </w:r>
      <w:r>
        <w:rPr>
          <w:rFonts w:hint="eastAsia" w:ascii="宋体" w:hAnsi="宋体" w:eastAsia="宋体" w:cs="宋体"/>
          <w:b w:val="0"/>
          <w:bCs w:val="0"/>
          <w:color w:val="000000" w:themeColor="text1"/>
          <w:kern w:val="0"/>
          <w:sz w:val="24"/>
          <w:highlight w:val="none"/>
          <w:lang w:val="en-US" w:eastAsia="zh-CN"/>
          <w14:textFill>
            <w14:solidFill>
              <w14:schemeClr w14:val="tx1"/>
            </w14:solidFill>
          </w14:textFill>
        </w:rPr>
        <w:t>张女士</w:t>
      </w:r>
      <w:r>
        <w:rPr>
          <w:rFonts w:hint="eastAsia" w:ascii="宋体" w:hAnsi="宋体" w:eastAsia="宋体" w:cs="宋体"/>
          <w:b w:val="0"/>
          <w:bCs w:val="0"/>
          <w:color w:val="000000" w:themeColor="text1"/>
          <w:kern w:val="0"/>
          <w:sz w:val="24"/>
          <w:highlight w:val="none"/>
          <w14:textFill>
            <w14:solidFill>
              <w14:schemeClr w14:val="tx1"/>
            </w14:solidFill>
          </w14:textFill>
        </w:rPr>
        <w:t xml:space="preserve">  </w:t>
      </w:r>
    </w:p>
    <w:p w14:paraId="5B276AB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联系电话：</w:t>
      </w:r>
      <w:r>
        <w:rPr>
          <w:rFonts w:hint="eastAsia" w:ascii="宋体" w:hAnsi="宋体" w:eastAsia="宋体" w:cs="宋体"/>
          <w:b w:val="0"/>
          <w:bCs w:val="0"/>
          <w:color w:val="000000" w:themeColor="text1"/>
          <w:kern w:val="0"/>
          <w:sz w:val="24"/>
          <w:highlight w:val="none"/>
          <w:lang w:eastAsia="zh-CN"/>
          <w14:textFill>
            <w14:solidFill>
              <w14:schemeClr w14:val="tx1"/>
            </w14:solidFill>
          </w14:textFill>
        </w:rPr>
        <w:t>0576-88909028</w:t>
      </w:r>
    </w:p>
    <w:p w14:paraId="7FC32BC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val="0"/>
          <w:color w:val="000000" w:themeColor="text1"/>
          <w:kern w:val="0"/>
          <w:sz w:val="24"/>
          <w:highlight w:val="none"/>
          <w14:textFill>
            <w14:solidFill>
              <w14:schemeClr w14:val="tx1"/>
            </w14:solidFill>
          </w14:textFill>
        </w:rPr>
      </w:pPr>
      <w:r>
        <w:rPr>
          <w:rFonts w:hint="eastAsia" w:ascii="宋体" w:hAnsi="宋体" w:eastAsia="宋体" w:cs="宋体"/>
          <w:b w:val="0"/>
          <w:bCs w:val="0"/>
          <w:color w:val="000000" w:themeColor="text1"/>
          <w:kern w:val="0"/>
          <w:sz w:val="24"/>
          <w:highlight w:val="none"/>
          <w14:textFill>
            <w14:solidFill>
              <w14:schemeClr w14:val="tx1"/>
            </w14:solidFill>
          </w14:textFill>
        </w:rPr>
        <w:t>采购人地址：台州湾新区甲南大道东段9号</w:t>
      </w:r>
    </w:p>
    <w:p w14:paraId="77465956">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（三）同级政府采购监管机构</w:t>
      </w:r>
    </w:p>
    <w:p w14:paraId="7FA8296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名 称：台州湾新区行政审批与投资服务局</w:t>
      </w:r>
    </w:p>
    <w:p w14:paraId="6C77E1B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地 址：台州市甲南大道东段9号</w:t>
      </w:r>
    </w:p>
    <w:p w14:paraId="49C451F4">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联系人：徐先生            </w:t>
      </w:r>
    </w:p>
    <w:p w14:paraId="1CB8D0F0">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电  话：0576-88538849</w:t>
      </w:r>
    </w:p>
    <w:p w14:paraId="2A8E2E9C">
      <w:pPr>
        <w:tabs>
          <w:tab w:val="left" w:pos="180"/>
          <w:tab w:val="left" w:pos="360"/>
          <w:tab w:val="left" w:pos="540"/>
          <w:tab w:val="left" w:pos="8280"/>
        </w:tabs>
        <w:autoSpaceDE w:val="0"/>
        <w:autoSpaceDN w:val="0"/>
        <w:adjustRightInd w:val="0"/>
        <w:spacing w:line="360" w:lineRule="auto"/>
        <w:ind w:firstLine="482" w:firstLineChars="20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（四）台州湾新区小额工程电子交易平台</w:t>
      </w:r>
    </w:p>
    <w:p w14:paraId="359D7E52">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联系人：蔡永正、王明月</w:t>
      </w:r>
    </w:p>
    <w:p w14:paraId="40EC6E0D">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b w:val="0"/>
          <w:bCs/>
          <w:color w:val="000000" w:themeColor="text1"/>
          <w:kern w:val="0"/>
          <w:sz w:val="24"/>
          <w:highlight w:val="none"/>
          <w14:textFill>
            <w14:solidFill>
              <w14:schemeClr w14:val="tx1"/>
            </w14:solidFill>
          </w14:textFill>
        </w:rPr>
      </w:pPr>
      <w:r>
        <w:rPr>
          <w:rFonts w:hint="eastAsia" w:ascii="宋体" w:hAnsi="宋体" w:eastAsia="宋体" w:cs="宋体"/>
          <w:b w:val="0"/>
          <w:bCs/>
          <w:color w:val="000000" w:themeColor="text1"/>
          <w:kern w:val="0"/>
          <w:sz w:val="24"/>
          <w:highlight w:val="none"/>
          <w14:textFill>
            <w14:solidFill>
              <w14:schemeClr w14:val="tx1"/>
            </w14:solidFill>
          </w14:textFill>
        </w:rPr>
        <w:t>联系电话：13454667697、13757680207</w:t>
      </w:r>
    </w:p>
    <w:p w14:paraId="1DF98C66">
      <w:pPr>
        <w:spacing w:line="360" w:lineRule="auto"/>
        <w:ind w:firstLine="480" w:firstLineChars="200"/>
        <w:jc w:val="right"/>
        <w:rPr>
          <w:rFonts w:ascii="宋体" w:hAnsi="宋体" w:cs="宋体"/>
          <w:color w:val="000000" w:themeColor="text1"/>
          <w:sz w:val="24"/>
          <w:highlight w:val="none"/>
          <w14:textFill>
            <w14:solidFill>
              <w14:schemeClr w14:val="tx1"/>
            </w14:solidFill>
          </w14:textFill>
        </w:rPr>
      </w:pPr>
    </w:p>
    <w:p w14:paraId="799F54D4">
      <w:pPr>
        <w:snapToGrid w:val="0"/>
        <w:spacing w:line="360" w:lineRule="auto"/>
        <w:jc w:val="center"/>
        <w:rPr>
          <w:rFonts w:hint="eastAsia" w:ascii="宋体" w:hAnsi="宋体" w:eastAsia="宋体" w:cs="宋体"/>
          <w:color w:val="000000" w:themeColor="text1"/>
          <w:sz w:val="24"/>
          <w:szCs w:val="20"/>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eastAsia="zh-CN"/>
          <w14:textFill>
            <w14:solidFill>
              <w14:schemeClr w14:val="tx1"/>
            </w14:solidFill>
          </w14:textFill>
        </w:rPr>
        <w:t>建经投资咨询有限公司</w:t>
      </w:r>
    </w:p>
    <w:p w14:paraId="3895B8FD">
      <w:pPr>
        <w:snapToGrid w:val="0"/>
        <w:spacing w:line="360" w:lineRule="auto"/>
        <w:ind w:left="238" w:firstLine="4980" w:firstLineChars="2075"/>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202</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lang w:val="en-US" w:eastAsia="zh-CN"/>
          <w14:textFill>
            <w14:solidFill>
              <w14:schemeClr w14:val="tx1"/>
            </w14:solidFill>
          </w14:textFill>
        </w:rPr>
        <w:t>09</w:t>
      </w:r>
      <w:r>
        <w:rPr>
          <w:rFonts w:hint="eastAsia" w:ascii="宋体" w:hAnsi="宋体" w:cs="宋体"/>
          <w:color w:val="000000" w:themeColor="text1"/>
          <w:sz w:val="24"/>
          <w:highlight w:val="none"/>
          <w14:textFill>
            <w14:solidFill>
              <w14:schemeClr w14:val="tx1"/>
            </w14:solidFill>
          </w14:textFill>
        </w:rPr>
        <w:t>月</w:t>
      </w:r>
    </w:p>
    <w:p w14:paraId="649AEE9E">
      <w:pPr>
        <w:pStyle w:val="20"/>
        <w:tabs>
          <w:tab w:val="left" w:pos="1620"/>
        </w:tabs>
        <w:snapToGrid w:val="0"/>
        <w:spacing w:before="120" w:beforeLines="0" w:after="120" w:afterLines="0"/>
        <w:jc w:val="center"/>
        <w:rPr>
          <w:rFonts w:hint="default" w:hAnsi="宋体" w:cs="宋体"/>
          <w:color w:val="000000" w:themeColor="text1"/>
          <w:sz w:val="36"/>
          <w:szCs w:val="36"/>
          <w:highlight w:val="none"/>
          <w14:textFill>
            <w14:solidFill>
              <w14:schemeClr w14:val="tx1"/>
            </w14:solidFill>
          </w14:textFill>
        </w:rPr>
        <w:sectPr>
          <w:footerReference r:id="rId5" w:type="default"/>
          <w:pgSz w:w="11906" w:h="16838"/>
          <w:pgMar w:top="1134" w:right="1587" w:bottom="1134" w:left="1587" w:header="851" w:footer="850" w:gutter="0"/>
          <w:pgBorders>
            <w:top w:val="none" w:sz="0" w:space="0"/>
            <w:left w:val="none" w:sz="0" w:space="0"/>
            <w:bottom w:val="none" w:sz="0" w:space="0"/>
            <w:right w:val="none" w:sz="0" w:space="0"/>
          </w:pgBorders>
          <w:pgNumType w:fmt="decimal" w:start="1"/>
          <w:cols w:space="0" w:num="1"/>
          <w:rtlGutter w:val="0"/>
          <w:docGrid w:linePitch="312" w:charSpace="0"/>
        </w:sectPr>
      </w:pPr>
    </w:p>
    <w:p w14:paraId="3F7BBF15">
      <w:pPr>
        <w:pStyle w:val="20"/>
        <w:snapToGrid w:val="0"/>
        <w:spacing w:before="120" w:beforeLines="0" w:after="120" w:afterLines="0" w:line="240" w:lineRule="auto"/>
        <w:jc w:val="center"/>
        <w:outlineLvl w:val="0"/>
        <w:rPr>
          <w:rFonts w:hint="default" w:hAnsi="宋体" w:cs="宋体"/>
          <w:color w:val="000000" w:themeColor="text1"/>
          <w:sz w:val="32"/>
          <w:szCs w:val="32"/>
          <w:highlight w:val="none"/>
          <w14:textFill>
            <w14:solidFill>
              <w14:schemeClr w14:val="tx1"/>
            </w14:solidFill>
          </w14:textFill>
        </w:rPr>
      </w:pPr>
      <w:bookmarkStart w:id="7" w:name="_Toc1257"/>
      <w:bookmarkStart w:id="8" w:name="_Toc28376_WPSOffice_Level1"/>
      <w:bookmarkStart w:id="9" w:name="第三章"/>
      <w:r>
        <w:rPr>
          <w:rFonts w:hAnsi="宋体" w:cs="宋体"/>
          <w:color w:val="000000" w:themeColor="text1"/>
          <w:sz w:val="32"/>
          <w:szCs w:val="32"/>
          <w:highlight w:val="none"/>
          <w14:textFill>
            <w14:solidFill>
              <w14:schemeClr w14:val="tx1"/>
            </w14:solidFill>
          </w14:textFill>
        </w:rPr>
        <w:t xml:space="preserve">第二章  </w:t>
      </w:r>
      <w:bookmarkStart w:id="10" w:name="_Toc373154496"/>
      <w:r>
        <w:rPr>
          <w:rFonts w:hint="eastAsia" w:hAnsi="宋体" w:cs="宋体"/>
          <w:color w:val="000000" w:themeColor="text1"/>
          <w:sz w:val="32"/>
          <w:szCs w:val="32"/>
          <w:highlight w:val="none"/>
          <w:lang w:val="en-US" w:eastAsia="zh-CN"/>
          <w14:textFill>
            <w14:solidFill>
              <w14:schemeClr w14:val="tx1"/>
            </w14:solidFill>
          </w14:textFill>
        </w:rPr>
        <w:t>招标</w:t>
      </w:r>
      <w:r>
        <w:rPr>
          <w:rFonts w:hAnsi="宋体" w:cs="宋体"/>
          <w:color w:val="000000" w:themeColor="text1"/>
          <w:sz w:val="32"/>
          <w:szCs w:val="32"/>
          <w:highlight w:val="none"/>
          <w14:textFill>
            <w14:solidFill>
              <w14:schemeClr w14:val="tx1"/>
            </w14:solidFill>
          </w14:textFill>
        </w:rPr>
        <w:t>需求</w:t>
      </w:r>
      <w:bookmarkEnd w:id="7"/>
    </w:p>
    <w:bookmarkEnd w:id="10"/>
    <w:p w14:paraId="78A0E231">
      <w:pPr>
        <w:keepNext w:val="0"/>
        <w:keepLines w:val="0"/>
        <w:pageBreakBefore w:val="0"/>
        <w:tabs>
          <w:tab w:val="left" w:pos="8280"/>
        </w:tabs>
        <w:kinsoku/>
        <w:wordWrap/>
        <w:overflowPunct/>
        <w:topLinePunct w:val="0"/>
        <w:autoSpaceDE w:val="0"/>
        <w:autoSpaceDN w:val="0"/>
        <w:bidi w:val="0"/>
        <w:adjustRightInd w:val="0"/>
        <w:spacing w:line="288" w:lineRule="auto"/>
        <w:ind w:right="25"/>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一、招标项目一览表</w:t>
      </w:r>
    </w:p>
    <w:p w14:paraId="37AE6D53">
      <w:pPr>
        <w:keepNext w:val="0"/>
        <w:keepLines w:val="0"/>
        <w:pageBreakBefore w:val="0"/>
        <w:tabs>
          <w:tab w:val="left" w:pos="8280"/>
        </w:tabs>
        <w:kinsoku/>
        <w:wordWrap/>
        <w:overflowPunct/>
        <w:topLinePunct w:val="0"/>
        <w:autoSpaceDE w:val="0"/>
        <w:autoSpaceDN w:val="0"/>
        <w:bidi w:val="0"/>
        <w:adjustRightInd w:val="0"/>
        <w:spacing w:line="288" w:lineRule="auto"/>
        <w:ind w:right="25" w:firstLine="2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本次招标共</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个标段，具体内容如下表：</w:t>
      </w:r>
    </w:p>
    <w:tbl>
      <w:tblPr>
        <w:tblStyle w:val="37"/>
        <w:tblW w:w="10389" w:type="dxa"/>
        <w:tblInd w:w="-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2264"/>
        <w:gridCol w:w="660"/>
        <w:gridCol w:w="660"/>
        <w:gridCol w:w="1365"/>
        <w:gridCol w:w="2385"/>
        <w:gridCol w:w="2363"/>
      </w:tblGrid>
      <w:tr w14:paraId="05A7B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dxa"/>
            <w:tcBorders>
              <w:top w:val="single" w:color="auto" w:sz="4" w:space="0"/>
              <w:left w:val="single" w:color="auto" w:sz="4" w:space="0"/>
              <w:bottom w:val="single" w:color="auto" w:sz="4" w:space="0"/>
              <w:right w:val="single" w:color="auto" w:sz="4" w:space="0"/>
            </w:tcBorders>
            <w:vAlign w:val="center"/>
          </w:tcPr>
          <w:p w14:paraId="2F5C9048">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序号</w:t>
            </w:r>
          </w:p>
        </w:tc>
        <w:tc>
          <w:tcPr>
            <w:tcW w:w="2264" w:type="dxa"/>
            <w:tcBorders>
              <w:top w:val="single" w:color="auto" w:sz="4" w:space="0"/>
              <w:left w:val="single" w:color="auto" w:sz="4" w:space="0"/>
              <w:bottom w:val="single" w:color="auto" w:sz="4" w:space="0"/>
              <w:right w:val="single" w:color="auto" w:sz="4" w:space="0"/>
            </w:tcBorders>
            <w:vAlign w:val="center"/>
          </w:tcPr>
          <w:p w14:paraId="7D6717E3">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项目名称</w:t>
            </w:r>
          </w:p>
        </w:tc>
        <w:tc>
          <w:tcPr>
            <w:tcW w:w="660" w:type="dxa"/>
            <w:tcBorders>
              <w:top w:val="single" w:color="auto" w:sz="4" w:space="0"/>
              <w:left w:val="single" w:color="auto" w:sz="4" w:space="0"/>
              <w:bottom w:val="single" w:color="auto" w:sz="4" w:space="0"/>
              <w:right w:val="single" w:color="auto" w:sz="4" w:space="0"/>
            </w:tcBorders>
            <w:vAlign w:val="center"/>
          </w:tcPr>
          <w:p w14:paraId="51B52759">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数量</w:t>
            </w:r>
          </w:p>
        </w:tc>
        <w:tc>
          <w:tcPr>
            <w:tcW w:w="660" w:type="dxa"/>
            <w:tcBorders>
              <w:top w:val="single" w:color="auto" w:sz="4" w:space="0"/>
              <w:left w:val="single" w:color="auto" w:sz="4" w:space="0"/>
              <w:bottom w:val="single" w:color="auto" w:sz="4" w:space="0"/>
              <w:right w:val="single" w:color="auto" w:sz="4" w:space="0"/>
            </w:tcBorders>
            <w:vAlign w:val="center"/>
          </w:tcPr>
          <w:p w14:paraId="2A036C12">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单位</w:t>
            </w:r>
          </w:p>
        </w:tc>
        <w:tc>
          <w:tcPr>
            <w:tcW w:w="1365" w:type="dxa"/>
            <w:tcBorders>
              <w:top w:val="single" w:color="auto" w:sz="4" w:space="0"/>
              <w:left w:val="single" w:color="auto" w:sz="4" w:space="0"/>
              <w:bottom w:val="single" w:color="auto" w:sz="4" w:space="0"/>
              <w:right w:val="single" w:color="auto" w:sz="4" w:space="0"/>
            </w:tcBorders>
            <w:vAlign w:val="center"/>
          </w:tcPr>
          <w:p w14:paraId="4B434C69">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上限价</w:t>
            </w:r>
          </w:p>
        </w:tc>
        <w:tc>
          <w:tcPr>
            <w:tcW w:w="2385" w:type="dxa"/>
            <w:tcBorders>
              <w:top w:val="single" w:color="auto" w:sz="4" w:space="0"/>
              <w:left w:val="single" w:color="auto" w:sz="4" w:space="0"/>
              <w:bottom w:val="single" w:color="auto" w:sz="4" w:space="0"/>
              <w:right w:val="single" w:color="auto" w:sz="4" w:space="0"/>
            </w:tcBorders>
            <w:vAlign w:val="center"/>
          </w:tcPr>
          <w:p w14:paraId="24348E94">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简要规格描述</w:t>
            </w:r>
          </w:p>
        </w:tc>
        <w:tc>
          <w:tcPr>
            <w:tcW w:w="2363" w:type="dxa"/>
            <w:tcBorders>
              <w:top w:val="single" w:color="auto" w:sz="4" w:space="0"/>
              <w:left w:val="single" w:color="auto" w:sz="4" w:space="0"/>
              <w:bottom w:val="single" w:color="auto" w:sz="4" w:space="0"/>
              <w:right w:val="single" w:color="auto" w:sz="4" w:space="0"/>
            </w:tcBorders>
            <w:vAlign w:val="center"/>
          </w:tcPr>
          <w:p w14:paraId="0BAD4817">
            <w:pPr>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cs="宋体"/>
                <w:bCs/>
                <w:color w:val="auto"/>
                <w:sz w:val="24"/>
                <w:highlight w:val="none"/>
              </w:rPr>
              <w:t>交货期</w:t>
            </w:r>
          </w:p>
        </w:tc>
      </w:tr>
      <w:tr w14:paraId="06F50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92" w:type="dxa"/>
            <w:tcBorders>
              <w:top w:val="single" w:color="auto" w:sz="4" w:space="0"/>
              <w:left w:val="single" w:color="auto" w:sz="4" w:space="0"/>
              <w:bottom w:val="single" w:color="auto" w:sz="4" w:space="0"/>
              <w:right w:val="single" w:color="auto" w:sz="4" w:space="0"/>
            </w:tcBorders>
            <w:vAlign w:val="center"/>
          </w:tcPr>
          <w:p w14:paraId="3778F505">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2264" w:type="dxa"/>
            <w:tcBorders>
              <w:top w:val="single" w:color="auto" w:sz="4" w:space="0"/>
              <w:left w:val="single" w:color="auto" w:sz="4" w:space="0"/>
              <w:right w:val="single" w:color="auto" w:sz="4" w:space="0"/>
            </w:tcBorders>
            <w:vAlign w:val="center"/>
          </w:tcPr>
          <w:p w14:paraId="45839490">
            <w:pPr>
              <w:pStyle w:val="103"/>
              <w:widowControl w:val="0"/>
              <w:spacing w:after="0" w:afterLines="0"/>
              <w:ind w:firstLine="0" w:firstLineChars="0"/>
              <w:jc w:val="center"/>
              <w:rPr>
                <w:rFonts w:hint="eastAsia" w:ascii="宋体" w:hAnsi="宋体" w:eastAsia="宋体"/>
                <w:color w:val="000000" w:themeColor="text1"/>
                <w:szCs w:val="24"/>
                <w:highlight w:val="none"/>
                <w:lang w:eastAsia="zh-CN"/>
                <w14:textFill>
                  <w14:solidFill>
                    <w14:schemeClr w14:val="tx1"/>
                  </w14:solidFill>
                </w14:textFill>
              </w:rPr>
            </w:pPr>
            <w:r>
              <w:rPr>
                <w:rFonts w:hint="eastAsia" w:ascii="宋体" w:hAnsi="宋体"/>
                <w:color w:val="000000" w:themeColor="text1"/>
                <w:szCs w:val="24"/>
                <w:highlight w:val="none"/>
                <w:lang w:eastAsia="zh-CN"/>
                <w14:textFill>
                  <w14:solidFill>
                    <w14:schemeClr w14:val="tx1"/>
                  </w14:solidFill>
                </w14:textFill>
              </w:rPr>
              <w:t xml:space="preserve"> 台州方特熊出没水上休闲游乐度假中心（一期）酒店地毯采购</w:t>
            </w:r>
          </w:p>
        </w:tc>
        <w:tc>
          <w:tcPr>
            <w:tcW w:w="660" w:type="dxa"/>
            <w:tcBorders>
              <w:top w:val="single" w:color="auto" w:sz="4" w:space="0"/>
              <w:left w:val="single" w:color="auto" w:sz="4" w:space="0"/>
              <w:right w:val="single" w:color="auto" w:sz="4" w:space="0"/>
            </w:tcBorders>
            <w:vAlign w:val="center"/>
          </w:tcPr>
          <w:p w14:paraId="50D587D7">
            <w:pPr>
              <w:pStyle w:val="103"/>
              <w:widowControl w:val="0"/>
              <w:spacing w:after="0" w:afterLines="0"/>
              <w:ind w:firstLine="0" w:firstLineChars="0"/>
              <w:jc w:val="center"/>
              <w:rPr>
                <w:rFonts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1</w:t>
            </w:r>
          </w:p>
        </w:tc>
        <w:tc>
          <w:tcPr>
            <w:tcW w:w="660" w:type="dxa"/>
            <w:tcBorders>
              <w:top w:val="single" w:color="auto" w:sz="4" w:space="0"/>
              <w:left w:val="single" w:color="auto" w:sz="4" w:space="0"/>
              <w:right w:val="single" w:color="auto" w:sz="4" w:space="0"/>
            </w:tcBorders>
            <w:vAlign w:val="center"/>
          </w:tcPr>
          <w:p w14:paraId="606D22B5">
            <w:pPr>
              <w:pStyle w:val="103"/>
              <w:widowControl w:val="0"/>
              <w:spacing w:after="0" w:afterLines="0"/>
              <w:ind w:firstLine="0" w:firstLineChars="0"/>
              <w:jc w:val="center"/>
              <w:rPr>
                <w:rFonts w:hint="eastAsia" w:ascii="宋体" w:hAnsi="宋体" w:eastAsia="宋体" w:cs="Times New Roman"/>
                <w:color w:val="000000" w:themeColor="text1"/>
                <w:kern w:val="0"/>
                <w:sz w:val="24"/>
                <w:szCs w:val="24"/>
                <w:highlight w:val="none"/>
                <w:lang w:val="en-US" w:eastAsia="zh-CN" w:bidi="ar-SA"/>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批</w:t>
            </w:r>
          </w:p>
        </w:tc>
        <w:tc>
          <w:tcPr>
            <w:tcW w:w="1365" w:type="dxa"/>
            <w:tcBorders>
              <w:top w:val="single" w:color="auto" w:sz="4" w:space="0"/>
              <w:left w:val="single" w:color="auto" w:sz="4" w:space="0"/>
              <w:right w:val="single" w:color="auto" w:sz="4" w:space="0"/>
            </w:tcBorders>
            <w:vAlign w:val="center"/>
          </w:tcPr>
          <w:p w14:paraId="27FFD803">
            <w:pPr>
              <w:pStyle w:val="103"/>
              <w:widowControl w:val="0"/>
              <w:spacing w:after="0" w:afterLines="0"/>
              <w:ind w:firstLine="0" w:firstLineChars="0"/>
              <w:jc w:val="center"/>
              <w:rPr>
                <w:rFonts w:hint="default" w:ascii="宋体" w:hAnsi="宋体" w:eastAsia="宋体"/>
                <w:color w:val="000000" w:themeColor="text1"/>
                <w:szCs w:val="24"/>
                <w:highlight w:val="none"/>
                <w:lang w:val="en-US" w:eastAsia="zh-CN"/>
                <w14:textFill>
                  <w14:solidFill>
                    <w14:schemeClr w14:val="tx1"/>
                  </w14:solidFill>
                </w14:textFill>
              </w:rPr>
            </w:pPr>
            <w:r>
              <w:rPr>
                <w:rFonts w:hint="eastAsia" w:ascii="宋体" w:hAnsi="宋体"/>
                <w:color w:val="000000" w:themeColor="text1"/>
                <w:szCs w:val="24"/>
                <w:highlight w:val="none"/>
                <w:lang w:val="en-US" w:eastAsia="zh-CN"/>
                <w14:textFill>
                  <w14:solidFill>
                    <w14:schemeClr w14:val="tx1"/>
                  </w14:solidFill>
                </w14:textFill>
              </w:rPr>
              <w:t>1271410元</w:t>
            </w:r>
          </w:p>
        </w:tc>
        <w:tc>
          <w:tcPr>
            <w:tcW w:w="2385" w:type="dxa"/>
            <w:tcBorders>
              <w:top w:val="single" w:color="auto" w:sz="4" w:space="0"/>
              <w:left w:val="single" w:color="auto" w:sz="4" w:space="0"/>
              <w:right w:val="single" w:color="auto" w:sz="4" w:space="0"/>
            </w:tcBorders>
            <w:vAlign w:val="center"/>
          </w:tcPr>
          <w:p w14:paraId="5240302F">
            <w:pPr>
              <w:pStyle w:val="103"/>
              <w:widowControl w:val="0"/>
              <w:spacing w:after="0" w:afterLines="0"/>
              <w:ind w:firstLine="0" w:firstLineChars="0"/>
              <w:jc w:val="center"/>
              <w:rPr>
                <w:rFonts w:hint="eastAsia" w:ascii="宋体" w:hAnsi="宋体"/>
                <w:color w:val="000000" w:themeColor="text1"/>
                <w:szCs w:val="24"/>
                <w:highlight w:val="none"/>
                <w14:textFill>
                  <w14:solidFill>
                    <w14:schemeClr w14:val="tx1"/>
                  </w14:solidFill>
                </w14:textFill>
              </w:rPr>
            </w:pPr>
            <w:r>
              <w:rPr>
                <w:rFonts w:hint="eastAsia" w:ascii="宋体" w:hAnsi="宋体"/>
                <w:color w:val="000000" w:themeColor="text1"/>
                <w:szCs w:val="24"/>
                <w:highlight w:val="none"/>
                <w14:textFill>
                  <w14:solidFill>
                    <w14:schemeClr w14:val="tx1"/>
                  </w14:solidFill>
                </w14:textFill>
              </w:rPr>
              <w:t>招标范围为台州方特熊出没水上休闲游乐度假中心（一期）</w:t>
            </w:r>
            <w:r>
              <w:rPr>
                <w:rFonts w:hint="eastAsia" w:ascii="宋体" w:hAnsi="宋体"/>
                <w:color w:val="000000" w:themeColor="text1"/>
                <w:szCs w:val="24"/>
                <w:highlight w:val="none"/>
                <w:lang w:val="en-US" w:eastAsia="zh-CN"/>
                <w14:textFill>
                  <w14:solidFill>
                    <w14:schemeClr w14:val="tx1"/>
                  </w14:solidFill>
                </w14:textFill>
              </w:rPr>
              <w:t>地毯</w:t>
            </w:r>
            <w:r>
              <w:rPr>
                <w:rFonts w:hint="eastAsia" w:ascii="宋体" w:hAnsi="宋体"/>
                <w:color w:val="000000" w:themeColor="text1"/>
                <w:szCs w:val="24"/>
                <w:highlight w:val="none"/>
                <w14:textFill>
                  <w14:solidFill>
                    <w14:schemeClr w14:val="tx1"/>
                  </w14:solidFill>
                </w14:textFill>
              </w:rPr>
              <w:t>采购的供货、安装、验收、保修、售后服务等及其相关的其他服务。</w:t>
            </w:r>
          </w:p>
        </w:tc>
        <w:tc>
          <w:tcPr>
            <w:tcW w:w="2363" w:type="dxa"/>
            <w:tcBorders>
              <w:top w:val="single" w:color="auto" w:sz="4" w:space="0"/>
              <w:left w:val="single" w:color="auto" w:sz="4" w:space="0"/>
              <w:right w:val="single" w:color="auto" w:sz="4" w:space="0"/>
            </w:tcBorders>
            <w:vAlign w:val="center"/>
          </w:tcPr>
          <w:p w14:paraId="60B27D3B">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1、合同签订后30日历天内提供样品；</w:t>
            </w:r>
          </w:p>
          <w:p w14:paraId="014D832B">
            <w:pPr>
              <w:numPr>
                <w:ilvl w:val="0"/>
                <w:numId w:val="0"/>
              </w:numPr>
              <w:spacing w:line="440" w:lineRule="exac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2、招标人确认后60日历天内完成供货及安装。</w:t>
            </w:r>
          </w:p>
        </w:tc>
      </w:tr>
    </w:tbl>
    <w:p w14:paraId="347CA7B3">
      <w:pPr>
        <w:keepNext w:val="0"/>
        <w:keepLines w:val="0"/>
        <w:pageBreakBefore w:val="0"/>
        <w:kinsoku/>
        <w:wordWrap/>
        <w:overflowPunct/>
        <w:topLinePunct w:val="0"/>
        <w:bidi w:val="0"/>
        <w:spacing w:line="288" w:lineRule="auto"/>
        <w:textAlignment w:val="auto"/>
        <w:rPr>
          <w:rFonts w:hint="eastAsia" w:ascii="宋体" w:hAnsi="宋体" w:eastAsia="宋体" w:cs="宋体"/>
          <w:color w:val="auto"/>
          <w:sz w:val="24"/>
          <w:szCs w:val="24"/>
          <w:highlight w:val="none"/>
        </w:rPr>
      </w:pPr>
    </w:p>
    <w:p w14:paraId="77C62643">
      <w:pPr>
        <w:keepNext w:val="0"/>
        <w:keepLines w:val="0"/>
        <w:pageBreakBefore w:val="0"/>
        <w:numPr>
          <w:ilvl w:val="0"/>
          <w:numId w:val="4"/>
        </w:numPr>
        <w:tabs>
          <w:tab w:val="left" w:pos="8280"/>
        </w:tabs>
        <w:kinsoku/>
        <w:wordWrap/>
        <w:overflowPunct/>
        <w:topLinePunct w:val="0"/>
        <w:autoSpaceDE w:val="0"/>
        <w:autoSpaceDN w:val="0"/>
        <w:bidi w:val="0"/>
        <w:adjustRightInd w:val="0"/>
        <w:spacing w:line="288" w:lineRule="auto"/>
        <w:ind w:right="2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技术需求</w:t>
      </w:r>
    </w:p>
    <w:tbl>
      <w:tblPr>
        <w:tblStyle w:val="38"/>
        <w:tblW w:w="11100" w:type="dxa"/>
        <w:tblInd w:w="-8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50"/>
        <w:gridCol w:w="1080"/>
        <w:gridCol w:w="2475"/>
        <w:gridCol w:w="4545"/>
        <w:gridCol w:w="705"/>
        <w:gridCol w:w="855"/>
      </w:tblGrid>
      <w:tr w14:paraId="5B1D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0" w:type="dxa"/>
            <w:vAlign w:val="center"/>
          </w:tcPr>
          <w:p w14:paraId="4342ED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750" w:type="dxa"/>
            <w:vAlign w:val="center"/>
          </w:tcPr>
          <w:p w14:paraId="7935C6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位置</w:t>
            </w:r>
          </w:p>
        </w:tc>
        <w:tc>
          <w:tcPr>
            <w:tcW w:w="1080" w:type="dxa"/>
            <w:vAlign w:val="center"/>
          </w:tcPr>
          <w:p w14:paraId="65201C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品名</w:t>
            </w:r>
          </w:p>
        </w:tc>
        <w:tc>
          <w:tcPr>
            <w:tcW w:w="2475" w:type="dxa"/>
            <w:vAlign w:val="center"/>
          </w:tcPr>
          <w:p w14:paraId="40D870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产品图片</w:t>
            </w:r>
          </w:p>
        </w:tc>
        <w:tc>
          <w:tcPr>
            <w:tcW w:w="4545" w:type="dxa"/>
            <w:vAlign w:val="center"/>
          </w:tcPr>
          <w:p w14:paraId="7930F5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材质说明</w:t>
            </w:r>
          </w:p>
        </w:tc>
        <w:tc>
          <w:tcPr>
            <w:tcW w:w="705" w:type="dxa"/>
            <w:vAlign w:val="center"/>
          </w:tcPr>
          <w:p w14:paraId="33DE42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855" w:type="dxa"/>
            <w:vAlign w:val="center"/>
          </w:tcPr>
          <w:p w14:paraId="1519AE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b/>
                <w:bCs/>
                <w:i w:val="0"/>
                <w:iCs w:val="0"/>
                <w:color w:val="000000"/>
                <w:kern w:val="0"/>
                <w:sz w:val="21"/>
                <w:szCs w:val="21"/>
                <w:highlight w:val="none"/>
                <w:u w:val="none"/>
                <w:lang w:val="en-US" w:eastAsia="zh-CN" w:bidi="ar"/>
              </w:rPr>
              <w:t>数量</w:t>
            </w:r>
          </w:p>
        </w:tc>
      </w:tr>
      <w:tr w14:paraId="1B450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10AD1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w:t>
            </w:r>
          </w:p>
        </w:tc>
        <w:tc>
          <w:tcPr>
            <w:tcW w:w="750" w:type="dxa"/>
            <w:vAlign w:val="center"/>
          </w:tcPr>
          <w:p w14:paraId="2DC1724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客房</w:t>
            </w:r>
          </w:p>
        </w:tc>
        <w:tc>
          <w:tcPr>
            <w:tcW w:w="1080" w:type="dxa"/>
            <w:vAlign w:val="center"/>
          </w:tcPr>
          <w:p w14:paraId="5E885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阿克明斯特地毯CP-01</w:t>
            </w:r>
          </w:p>
        </w:tc>
        <w:tc>
          <w:tcPr>
            <w:tcW w:w="2475" w:type="dxa"/>
            <w:vAlign w:val="center"/>
          </w:tcPr>
          <w:p w14:paraId="355319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-55880</wp:posOffset>
                  </wp:positionH>
                  <wp:positionV relativeFrom="paragraph">
                    <wp:posOffset>361950</wp:posOffset>
                  </wp:positionV>
                  <wp:extent cx="1554480" cy="791845"/>
                  <wp:effectExtent l="0" t="0" r="7620" b="8255"/>
                  <wp:wrapNone/>
                  <wp:docPr id="53" name="图片_1"/>
                  <wp:cNvGraphicFramePr/>
                  <a:graphic xmlns:a="http://schemas.openxmlformats.org/drawingml/2006/main">
                    <a:graphicData uri="http://schemas.openxmlformats.org/drawingml/2006/picture">
                      <pic:pic xmlns:pic="http://schemas.openxmlformats.org/drawingml/2006/picture">
                        <pic:nvPicPr>
                          <pic:cNvPr id="53" name="图片_1"/>
                          <pic:cNvPicPr/>
                        </pic:nvPicPr>
                        <pic:blipFill>
                          <a:blip r:embed="rId14"/>
                          <a:stretch>
                            <a:fillRect/>
                          </a:stretch>
                        </pic:blipFill>
                        <pic:spPr>
                          <a:xfrm>
                            <a:off x="0" y="0"/>
                            <a:ext cx="1554480" cy="791845"/>
                          </a:xfrm>
                          <a:prstGeom prst="rect">
                            <a:avLst/>
                          </a:prstGeom>
                          <a:noFill/>
                          <a:ln>
                            <a:noFill/>
                          </a:ln>
                        </pic:spPr>
                      </pic:pic>
                    </a:graphicData>
                  </a:graphic>
                </wp:anchor>
              </w:drawing>
            </w:r>
          </w:p>
        </w:tc>
        <w:tc>
          <w:tcPr>
            <w:tcW w:w="4545" w:type="dxa"/>
            <w:vAlign w:val="center"/>
          </w:tcPr>
          <w:p w14:paraId="7B104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7、绒重：1550克/平方米；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46595B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04F22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450.00 </w:t>
            </w:r>
          </w:p>
        </w:tc>
      </w:tr>
      <w:tr w14:paraId="5769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30E7E2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2</w:t>
            </w:r>
          </w:p>
        </w:tc>
        <w:tc>
          <w:tcPr>
            <w:tcW w:w="750" w:type="dxa"/>
            <w:vAlign w:val="center"/>
          </w:tcPr>
          <w:p w14:paraId="7281C4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客房</w:t>
            </w:r>
          </w:p>
        </w:tc>
        <w:tc>
          <w:tcPr>
            <w:tcW w:w="1080" w:type="dxa"/>
            <w:vAlign w:val="center"/>
          </w:tcPr>
          <w:p w14:paraId="55EB04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阿克明斯特地毯CP-02</w:t>
            </w:r>
          </w:p>
        </w:tc>
        <w:tc>
          <w:tcPr>
            <w:tcW w:w="2475" w:type="dxa"/>
            <w:vAlign w:val="center"/>
          </w:tcPr>
          <w:p w14:paraId="585271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-9525</wp:posOffset>
                  </wp:positionH>
                  <wp:positionV relativeFrom="paragraph">
                    <wp:posOffset>701040</wp:posOffset>
                  </wp:positionV>
                  <wp:extent cx="1476375" cy="584835"/>
                  <wp:effectExtent l="0" t="0" r="9525" b="5715"/>
                  <wp:wrapNone/>
                  <wp:docPr id="54" name="图片_1_SpCnt_1"/>
                  <wp:cNvGraphicFramePr/>
                  <a:graphic xmlns:a="http://schemas.openxmlformats.org/drawingml/2006/main">
                    <a:graphicData uri="http://schemas.openxmlformats.org/drawingml/2006/picture">
                      <pic:pic xmlns:pic="http://schemas.openxmlformats.org/drawingml/2006/picture">
                        <pic:nvPicPr>
                          <pic:cNvPr id="54" name="图片_1_SpCnt_1"/>
                          <pic:cNvPicPr/>
                        </pic:nvPicPr>
                        <pic:blipFill>
                          <a:blip r:embed="rId15"/>
                          <a:stretch>
                            <a:fillRect/>
                          </a:stretch>
                        </pic:blipFill>
                        <pic:spPr>
                          <a:xfrm>
                            <a:off x="0" y="0"/>
                            <a:ext cx="1476375" cy="584835"/>
                          </a:xfrm>
                          <a:prstGeom prst="rect">
                            <a:avLst/>
                          </a:prstGeom>
                          <a:noFill/>
                          <a:ln>
                            <a:noFill/>
                          </a:ln>
                        </pic:spPr>
                      </pic:pic>
                    </a:graphicData>
                  </a:graphic>
                </wp:anchor>
              </w:drawing>
            </w:r>
          </w:p>
        </w:tc>
        <w:tc>
          <w:tcPr>
            <w:tcW w:w="4545" w:type="dxa"/>
            <w:vAlign w:val="center"/>
          </w:tcPr>
          <w:p w14:paraId="636262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7、绒重：1550克/平方米；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152CB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2257697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800.00 </w:t>
            </w:r>
          </w:p>
        </w:tc>
      </w:tr>
      <w:tr w14:paraId="7B4E6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51275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3</w:t>
            </w:r>
          </w:p>
        </w:tc>
        <w:tc>
          <w:tcPr>
            <w:tcW w:w="750" w:type="dxa"/>
            <w:vAlign w:val="center"/>
          </w:tcPr>
          <w:p w14:paraId="2B9894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客房</w:t>
            </w:r>
          </w:p>
        </w:tc>
        <w:tc>
          <w:tcPr>
            <w:tcW w:w="1080" w:type="dxa"/>
            <w:vAlign w:val="center"/>
          </w:tcPr>
          <w:p w14:paraId="68C950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阿克明斯特地毯CP-03</w:t>
            </w:r>
          </w:p>
        </w:tc>
        <w:tc>
          <w:tcPr>
            <w:tcW w:w="2475" w:type="dxa"/>
            <w:vAlign w:val="center"/>
          </w:tcPr>
          <w:p w14:paraId="6F1221C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-39370</wp:posOffset>
                  </wp:positionH>
                  <wp:positionV relativeFrom="paragraph">
                    <wp:posOffset>70485</wp:posOffset>
                  </wp:positionV>
                  <wp:extent cx="1583690" cy="782320"/>
                  <wp:effectExtent l="0" t="0" r="16510" b="17780"/>
                  <wp:wrapNone/>
                  <wp:docPr id="55" name="图片_1_SpCnt_2"/>
                  <wp:cNvGraphicFramePr/>
                  <a:graphic xmlns:a="http://schemas.openxmlformats.org/drawingml/2006/main">
                    <a:graphicData uri="http://schemas.openxmlformats.org/drawingml/2006/picture">
                      <pic:pic xmlns:pic="http://schemas.openxmlformats.org/drawingml/2006/picture">
                        <pic:nvPicPr>
                          <pic:cNvPr id="55" name="图片_1_SpCnt_2"/>
                          <pic:cNvPicPr/>
                        </pic:nvPicPr>
                        <pic:blipFill>
                          <a:blip r:embed="rId16"/>
                          <a:stretch>
                            <a:fillRect/>
                          </a:stretch>
                        </pic:blipFill>
                        <pic:spPr>
                          <a:xfrm>
                            <a:off x="0" y="0"/>
                            <a:ext cx="1583690" cy="782320"/>
                          </a:xfrm>
                          <a:prstGeom prst="rect">
                            <a:avLst/>
                          </a:prstGeom>
                          <a:noFill/>
                          <a:ln>
                            <a:noFill/>
                          </a:ln>
                        </pic:spPr>
                      </pic:pic>
                    </a:graphicData>
                  </a:graphic>
                </wp:anchor>
              </w:drawing>
            </w:r>
          </w:p>
        </w:tc>
        <w:tc>
          <w:tcPr>
            <w:tcW w:w="4545" w:type="dxa"/>
            <w:vAlign w:val="center"/>
          </w:tcPr>
          <w:p w14:paraId="391978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7、绒重：1550克/平方米；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7003B5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404E1E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670.00 </w:t>
            </w:r>
          </w:p>
        </w:tc>
      </w:tr>
      <w:tr w14:paraId="02E1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2ED54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4</w:t>
            </w:r>
          </w:p>
        </w:tc>
        <w:tc>
          <w:tcPr>
            <w:tcW w:w="750" w:type="dxa"/>
            <w:vAlign w:val="center"/>
          </w:tcPr>
          <w:p w14:paraId="19631D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客房</w:t>
            </w:r>
          </w:p>
        </w:tc>
        <w:tc>
          <w:tcPr>
            <w:tcW w:w="1080" w:type="dxa"/>
            <w:vAlign w:val="center"/>
          </w:tcPr>
          <w:p w14:paraId="6380E9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阿克明斯特地毯CP-04</w:t>
            </w:r>
          </w:p>
        </w:tc>
        <w:tc>
          <w:tcPr>
            <w:tcW w:w="2475" w:type="dxa"/>
            <w:vAlign w:val="center"/>
          </w:tcPr>
          <w:p w14:paraId="08AF51D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34925</wp:posOffset>
                  </wp:positionH>
                  <wp:positionV relativeFrom="paragraph">
                    <wp:posOffset>473710</wp:posOffset>
                  </wp:positionV>
                  <wp:extent cx="1258570" cy="922020"/>
                  <wp:effectExtent l="0" t="0" r="17780" b="11430"/>
                  <wp:wrapNone/>
                  <wp:docPr id="56" name="图片_1_SpCnt_3"/>
                  <wp:cNvGraphicFramePr/>
                  <a:graphic xmlns:a="http://schemas.openxmlformats.org/drawingml/2006/main">
                    <a:graphicData uri="http://schemas.openxmlformats.org/drawingml/2006/picture">
                      <pic:pic xmlns:pic="http://schemas.openxmlformats.org/drawingml/2006/picture">
                        <pic:nvPicPr>
                          <pic:cNvPr id="56" name="图片_1_SpCnt_3"/>
                          <pic:cNvPicPr/>
                        </pic:nvPicPr>
                        <pic:blipFill>
                          <a:blip r:embed="rId17"/>
                          <a:stretch>
                            <a:fillRect/>
                          </a:stretch>
                        </pic:blipFill>
                        <pic:spPr>
                          <a:xfrm>
                            <a:off x="0" y="0"/>
                            <a:ext cx="1258570" cy="922020"/>
                          </a:xfrm>
                          <a:prstGeom prst="rect">
                            <a:avLst/>
                          </a:prstGeom>
                          <a:noFill/>
                          <a:ln>
                            <a:noFill/>
                          </a:ln>
                        </pic:spPr>
                      </pic:pic>
                    </a:graphicData>
                  </a:graphic>
                </wp:anchor>
              </w:drawing>
            </w:r>
          </w:p>
        </w:tc>
        <w:tc>
          <w:tcPr>
            <w:tcW w:w="4545" w:type="dxa"/>
            <w:vAlign w:val="center"/>
          </w:tcPr>
          <w:p w14:paraId="205DBD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7、绒重：1550克/平方米；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0F6A17D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755801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9.00 </w:t>
            </w:r>
          </w:p>
        </w:tc>
      </w:tr>
      <w:tr w14:paraId="1B76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0A6B6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5</w:t>
            </w:r>
          </w:p>
        </w:tc>
        <w:tc>
          <w:tcPr>
            <w:tcW w:w="750" w:type="dxa"/>
            <w:vAlign w:val="center"/>
          </w:tcPr>
          <w:p w14:paraId="72896D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客房</w:t>
            </w:r>
          </w:p>
        </w:tc>
        <w:tc>
          <w:tcPr>
            <w:tcW w:w="1080" w:type="dxa"/>
            <w:vAlign w:val="center"/>
          </w:tcPr>
          <w:p w14:paraId="61C043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613410</wp:posOffset>
                  </wp:positionH>
                  <wp:positionV relativeFrom="paragraph">
                    <wp:posOffset>-171450</wp:posOffset>
                  </wp:positionV>
                  <wp:extent cx="1576070" cy="833120"/>
                  <wp:effectExtent l="0" t="0" r="5080" b="5080"/>
                  <wp:wrapNone/>
                  <wp:docPr id="57" name="图片_1_SpCnt_4"/>
                  <wp:cNvGraphicFramePr/>
                  <a:graphic xmlns:a="http://schemas.openxmlformats.org/drawingml/2006/main">
                    <a:graphicData uri="http://schemas.openxmlformats.org/drawingml/2006/picture">
                      <pic:pic xmlns:pic="http://schemas.openxmlformats.org/drawingml/2006/picture">
                        <pic:nvPicPr>
                          <pic:cNvPr id="57" name="图片_1_SpCnt_4"/>
                          <pic:cNvPicPr/>
                        </pic:nvPicPr>
                        <pic:blipFill>
                          <a:blip r:embed="rId18"/>
                          <a:stretch>
                            <a:fillRect/>
                          </a:stretch>
                        </pic:blipFill>
                        <pic:spPr>
                          <a:xfrm>
                            <a:off x="0" y="0"/>
                            <a:ext cx="1576070" cy="8331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阿克明斯特地毯CP-05</w:t>
            </w:r>
          </w:p>
        </w:tc>
        <w:tc>
          <w:tcPr>
            <w:tcW w:w="2475" w:type="dxa"/>
            <w:vAlign w:val="center"/>
          </w:tcPr>
          <w:p w14:paraId="0CCFD1B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p>
        </w:tc>
        <w:tc>
          <w:tcPr>
            <w:tcW w:w="4545" w:type="dxa"/>
            <w:vAlign w:val="center"/>
          </w:tcPr>
          <w:p w14:paraId="394F616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7、绒重：1550克/平方米；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670C6D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0609CA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14.00 </w:t>
            </w:r>
          </w:p>
        </w:tc>
      </w:tr>
      <w:tr w14:paraId="0EE60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3E0EC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6</w:t>
            </w:r>
          </w:p>
        </w:tc>
        <w:tc>
          <w:tcPr>
            <w:tcW w:w="750" w:type="dxa"/>
            <w:vAlign w:val="center"/>
          </w:tcPr>
          <w:p w14:paraId="7DFE56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客房走廊</w:t>
            </w:r>
          </w:p>
        </w:tc>
        <w:tc>
          <w:tcPr>
            <w:tcW w:w="1080" w:type="dxa"/>
            <w:vAlign w:val="center"/>
          </w:tcPr>
          <w:p w14:paraId="6350D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阿克明斯特地毯CP-06</w:t>
            </w:r>
          </w:p>
        </w:tc>
        <w:tc>
          <w:tcPr>
            <w:tcW w:w="2475" w:type="dxa"/>
            <w:vAlign w:val="center"/>
          </w:tcPr>
          <w:p w14:paraId="5296FF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-57785</wp:posOffset>
                  </wp:positionH>
                  <wp:positionV relativeFrom="paragraph">
                    <wp:posOffset>444500</wp:posOffset>
                  </wp:positionV>
                  <wp:extent cx="1438275" cy="949325"/>
                  <wp:effectExtent l="0" t="0" r="9525" b="3175"/>
                  <wp:wrapNone/>
                  <wp:docPr id="58" name="图片_1_SpCnt_5"/>
                  <wp:cNvGraphicFramePr/>
                  <a:graphic xmlns:a="http://schemas.openxmlformats.org/drawingml/2006/main">
                    <a:graphicData uri="http://schemas.openxmlformats.org/drawingml/2006/picture">
                      <pic:pic xmlns:pic="http://schemas.openxmlformats.org/drawingml/2006/picture">
                        <pic:nvPicPr>
                          <pic:cNvPr id="58" name="图片_1_SpCnt_5"/>
                          <pic:cNvPicPr/>
                        </pic:nvPicPr>
                        <pic:blipFill>
                          <a:blip r:embed="rId19"/>
                          <a:stretch>
                            <a:fillRect/>
                          </a:stretch>
                        </pic:blipFill>
                        <pic:spPr>
                          <a:xfrm>
                            <a:off x="0" y="0"/>
                            <a:ext cx="1438275" cy="949325"/>
                          </a:xfrm>
                          <a:prstGeom prst="rect">
                            <a:avLst/>
                          </a:prstGeom>
                          <a:noFill/>
                          <a:ln>
                            <a:noFill/>
                          </a:ln>
                        </pic:spPr>
                      </pic:pic>
                    </a:graphicData>
                  </a:graphic>
                </wp:anchor>
              </w:drawing>
            </w:r>
          </w:p>
        </w:tc>
        <w:tc>
          <w:tcPr>
            <w:tcW w:w="4545" w:type="dxa"/>
            <w:vAlign w:val="center"/>
          </w:tcPr>
          <w:p w14:paraId="5E0CDF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7、绒重：1550克/平方米；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9、具体形状样式详见台州方特熊出没水上休闲游乐度假中心（一期设计）图纸、主材白皮书、内装方案，采购前需由建设单位确认，需满足设计要求。</w:t>
            </w:r>
          </w:p>
        </w:tc>
        <w:tc>
          <w:tcPr>
            <w:tcW w:w="705" w:type="dxa"/>
            <w:vAlign w:val="center"/>
          </w:tcPr>
          <w:p w14:paraId="250DA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4062E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1850.00 </w:t>
            </w:r>
          </w:p>
        </w:tc>
      </w:tr>
      <w:tr w14:paraId="05D6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1745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7</w:t>
            </w:r>
          </w:p>
        </w:tc>
        <w:tc>
          <w:tcPr>
            <w:tcW w:w="750" w:type="dxa"/>
            <w:vAlign w:val="center"/>
          </w:tcPr>
          <w:p w14:paraId="432B14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708FAE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阿克明斯特地毯（活动地毯）CP-101</w:t>
            </w:r>
          </w:p>
        </w:tc>
        <w:tc>
          <w:tcPr>
            <w:tcW w:w="2475" w:type="dxa"/>
            <w:vAlign w:val="center"/>
          </w:tcPr>
          <w:p w14:paraId="558222C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-6985</wp:posOffset>
                  </wp:positionH>
                  <wp:positionV relativeFrom="paragraph">
                    <wp:posOffset>430530</wp:posOffset>
                  </wp:positionV>
                  <wp:extent cx="1496695" cy="803275"/>
                  <wp:effectExtent l="0" t="0" r="8255" b="15875"/>
                  <wp:wrapNone/>
                  <wp:docPr id="59" name="图片_1_SpCnt_6"/>
                  <wp:cNvGraphicFramePr/>
                  <a:graphic xmlns:a="http://schemas.openxmlformats.org/drawingml/2006/main">
                    <a:graphicData uri="http://schemas.openxmlformats.org/drawingml/2006/picture">
                      <pic:pic xmlns:pic="http://schemas.openxmlformats.org/drawingml/2006/picture">
                        <pic:nvPicPr>
                          <pic:cNvPr id="59" name="图片_1_SpCnt_6"/>
                          <pic:cNvPicPr/>
                        </pic:nvPicPr>
                        <pic:blipFill>
                          <a:blip r:embed="rId20"/>
                          <a:stretch>
                            <a:fillRect/>
                          </a:stretch>
                        </pic:blipFill>
                        <pic:spPr>
                          <a:xfrm>
                            <a:off x="0" y="0"/>
                            <a:ext cx="1496695" cy="803275"/>
                          </a:xfrm>
                          <a:prstGeom prst="rect">
                            <a:avLst/>
                          </a:prstGeom>
                          <a:noFill/>
                          <a:ln>
                            <a:noFill/>
                          </a:ln>
                        </pic:spPr>
                      </pic:pic>
                    </a:graphicData>
                  </a:graphic>
                </wp:anchor>
              </w:drawing>
            </w:r>
          </w:p>
        </w:tc>
        <w:tc>
          <w:tcPr>
            <w:tcW w:w="4545" w:type="dxa"/>
            <w:vAlign w:val="center"/>
          </w:tcPr>
          <w:p w14:paraId="22C749A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269F45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6111B8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121.00 </w:t>
            </w:r>
          </w:p>
        </w:tc>
      </w:tr>
      <w:tr w14:paraId="6B90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03F3CF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8</w:t>
            </w:r>
          </w:p>
        </w:tc>
        <w:tc>
          <w:tcPr>
            <w:tcW w:w="750" w:type="dxa"/>
            <w:vAlign w:val="center"/>
          </w:tcPr>
          <w:p w14:paraId="3C881B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71BC87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阿克明斯特地毯CP-102</w:t>
            </w:r>
          </w:p>
        </w:tc>
        <w:tc>
          <w:tcPr>
            <w:tcW w:w="2475" w:type="dxa"/>
            <w:vAlign w:val="center"/>
          </w:tcPr>
          <w:p w14:paraId="73E6961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13335</wp:posOffset>
                  </wp:positionH>
                  <wp:positionV relativeFrom="paragraph">
                    <wp:posOffset>808355</wp:posOffset>
                  </wp:positionV>
                  <wp:extent cx="1323975" cy="868680"/>
                  <wp:effectExtent l="0" t="0" r="9525" b="7620"/>
                  <wp:wrapNone/>
                  <wp:docPr id="60" name="图片_1_SpCnt_7"/>
                  <wp:cNvGraphicFramePr/>
                  <a:graphic xmlns:a="http://schemas.openxmlformats.org/drawingml/2006/main">
                    <a:graphicData uri="http://schemas.openxmlformats.org/drawingml/2006/picture">
                      <pic:pic xmlns:pic="http://schemas.openxmlformats.org/drawingml/2006/picture">
                        <pic:nvPicPr>
                          <pic:cNvPr id="60" name="图片_1_SpCnt_7"/>
                          <pic:cNvPicPr/>
                        </pic:nvPicPr>
                        <pic:blipFill>
                          <a:blip r:embed="rId21"/>
                          <a:stretch>
                            <a:fillRect/>
                          </a:stretch>
                        </pic:blipFill>
                        <pic:spPr>
                          <a:xfrm>
                            <a:off x="0" y="0"/>
                            <a:ext cx="1323975" cy="868680"/>
                          </a:xfrm>
                          <a:prstGeom prst="rect">
                            <a:avLst/>
                          </a:prstGeom>
                          <a:noFill/>
                          <a:ln>
                            <a:noFill/>
                          </a:ln>
                        </pic:spPr>
                      </pic:pic>
                    </a:graphicData>
                  </a:graphic>
                </wp:anchor>
              </w:drawing>
            </w:r>
          </w:p>
        </w:tc>
        <w:tc>
          <w:tcPr>
            <w:tcW w:w="4545" w:type="dxa"/>
            <w:vAlign w:val="center"/>
          </w:tcPr>
          <w:p w14:paraId="067190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0B3D45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4EB474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40.00 </w:t>
            </w:r>
          </w:p>
        </w:tc>
      </w:tr>
      <w:tr w14:paraId="09868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2C4B02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9</w:t>
            </w:r>
          </w:p>
        </w:tc>
        <w:tc>
          <w:tcPr>
            <w:tcW w:w="750" w:type="dxa"/>
            <w:vAlign w:val="center"/>
          </w:tcPr>
          <w:p w14:paraId="761D1B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1030DD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阿克明斯特地毯CP-103</w:t>
            </w:r>
          </w:p>
        </w:tc>
        <w:tc>
          <w:tcPr>
            <w:tcW w:w="2475" w:type="dxa"/>
            <w:vAlign w:val="center"/>
          </w:tcPr>
          <w:p w14:paraId="69BFFDC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-22860</wp:posOffset>
                  </wp:positionH>
                  <wp:positionV relativeFrom="paragraph">
                    <wp:posOffset>808990</wp:posOffset>
                  </wp:positionV>
                  <wp:extent cx="1494155" cy="784225"/>
                  <wp:effectExtent l="0" t="0" r="10795" b="15875"/>
                  <wp:wrapNone/>
                  <wp:docPr id="61" name="图片_1_SpCnt_8"/>
                  <wp:cNvGraphicFramePr/>
                  <a:graphic xmlns:a="http://schemas.openxmlformats.org/drawingml/2006/main">
                    <a:graphicData uri="http://schemas.openxmlformats.org/drawingml/2006/picture">
                      <pic:pic xmlns:pic="http://schemas.openxmlformats.org/drawingml/2006/picture">
                        <pic:nvPicPr>
                          <pic:cNvPr id="61" name="图片_1_SpCnt_8"/>
                          <pic:cNvPicPr/>
                        </pic:nvPicPr>
                        <pic:blipFill>
                          <a:blip r:embed="rId22"/>
                          <a:stretch>
                            <a:fillRect/>
                          </a:stretch>
                        </pic:blipFill>
                        <pic:spPr>
                          <a:xfrm>
                            <a:off x="0" y="0"/>
                            <a:ext cx="1494155" cy="784225"/>
                          </a:xfrm>
                          <a:prstGeom prst="rect">
                            <a:avLst/>
                          </a:prstGeom>
                          <a:noFill/>
                          <a:ln>
                            <a:noFill/>
                          </a:ln>
                        </pic:spPr>
                      </pic:pic>
                    </a:graphicData>
                  </a:graphic>
                </wp:anchor>
              </w:drawing>
            </w:r>
          </w:p>
        </w:tc>
        <w:tc>
          <w:tcPr>
            <w:tcW w:w="4545" w:type="dxa"/>
            <w:vAlign w:val="center"/>
          </w:tcPr>
          <w:p w14:paraId="4C7375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2A4C5B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207062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840.00 </w:t>
            </w:r>
          </w:p>
        </w:tc>
      </w:tr>
      <w:tr w14:paraId="55C1A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352BC8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10</w:t>
            </w:r>
          </w:p>
        </w:tc>
        <w:tc>
          <w:tcPr>
            <w:tcW w:w="750" w:type="dxa"/>
            <w:vAlign w:val="center"/>
          </w:tcPr>
          <w:p w14:paraId="67BDC00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4CABE5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阿克明斯特地毯（活动地毯）CP-104</w:t>
            </w:r>
          </w:p>
        </w:tc>
        <w:tc>
          <w:tcPr>
            <w:tcW w:w="2475" w:type="dxa"/>
            <w:vAlign w:val="center"/>
          </w:tcPr>
          <w:p w14:paraId="787E99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-27940</wp:posOffset>
                  </wp:positionH>
                  <wp:positionV relativeFrom="paragraph">
                    <wp:posOffset>767080</wp:posOffset>
                  </wp:positionV>
                  <wp:extent cx="1437640" cy="937895"/>
                  <wp:effectExtent l="0" t="0" r="10160" b="14605"/>
                  <wp:wrapNone/>
                  <wp:docPr id="62" name="图片_1_SpCnt_9"/>
                  <wp:cNvGraphicFramePr/>
                  <a:graphic xmlns:a="http://schemas.openxmlformats.org/drawingml/2006/main">
                    <a:graphicData uri="http://schemas.openxmlformats.org/drawingml/2006/picture">
                      <pic:pic xmlns:pic="http://schemas.openxmlformats.org/drawingml/2006/picture">
                        <pic:nvPicPr>
                          <pic:cNvPr id="62" name="图片_1_SpCnt_9"/>
                          <pic:cNvPicPr/>
                        </pic:nvPicPr>
                        <pic:blipFill>
                          <a:blip r:embed="rId23"/>
                          <a:stretch>
                            <a:fillRect/>
                          </a:stretch>
                        </pic:blipFill>
                        <pic:spPr>
                          <a:xfrm>
                            <a:off x="0" y="0"/>
                            <a:ext cx="1437640" cy="937895"/>
                          </a:xfrm>
                          <a:prstGeom prst="rect">
                            <a:avLst/>
                          </a:prstGeom>
                          <a:noFill/>
                          <a:ln>
                            <a:noFill/>
                          </a:ln>
                        </pic:spPr>
                      </pic:pic>
                    </a:graphicData>
                  </a:graphic>
                </wp:anchor>
              </w:drawing>
            </w:r>
          </w:p>
        </w:tc>
        <w:tc>
          <w:tcPr>
            <w:tcW w:w="4545" w:type="dxa"/>
            <w:vAlign w:val="center"/>
          </w:tcPr>
          <w:p w14:paraId="718D30D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0DFE93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050286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39.00 </w:t>
            </w:r>
          </w:p>
        </w:tc>
      </w:tr>
      <w:tr w14:paraId="65663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06C3F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11</w:t>
            </w:r>
          </w:p>
        </w:tc>
        <w:tc>
          <w:tcPr>
            <w:tcW w:w="750" w:type="dxa"/>
            <w:vAlign w:val="center"/>
          </w:tcPr>
          <w:p w14:paraId="41BC07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201859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阿克明斯特地毯CP-105</w:t>
            </w:r>
          </w:p>
        </w:tc>
        <w:tc>
          <w:tcPr>
            <w:tcW w:w="2475" w:type="dxa"/>
            <w:vAlign w:val="center"/>
          </w:tcPr>
          <w:p w14:paraId="6751357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-19685</wp:posOffset>
                  </wp:positionH>
                  <wp:positionV relativeFrom="paragraph">
                    <wp:posOffset>721360</wp:posOffset>
                  </wp:positionV>
                  <wp:extent cx="1515110" cy="805815"/>
                  <wp:effectExtent l="0" t="0" r="8890" b="13335"/>
                  <wp:wrapNone/>
                  <wp:docPr id="63" name="图片_1_SpCnt_10"/>
                  <wp:cNvGraphicFramePr/>
                  <a:graphic xmlns:a="http://schemas.openxmlformats.org/drawingml/2006/main">
                    <a:graphicData uri="http://schemas.openxmlformats.org/drawingml/2006/picture">
                      <pic:pic xmlns:pic="http://schemas.openxmlformats.org/drawingml/2006/picture">
                        <pic:nvPicPr>
                          <pic:cNvPr id="63" name="图片_1_SpCnt_10"/>
                          <pic:cNvPicPr/>
                        </pic:nvPicPr>
                        <pic:blipFill>
                          <a:blip r:embed="rId24"/>
                          <a:stretch>
                            <a:fillRect/>
                          </a:stretch>
                        </pic:blipFill>
                        <pic:spPr>
                          <a:xfrm>
                            <a:off x="0" y="0"/>
                            <a:ext cx="1515110" cy="805815"/>
                          </a:xfrm>
                          <a:prstGeom prst="rect">
                            <a:avLst/>
                          </a:prstGeom>
                          <a:noFill/>
                          <a:ln>
                            <a:noFill/>
                          </a:ln>
                        </pic:spPr>
                      </pic:pic>
                    </a:graphicData>
                  </a:graphic>
                </wp:anchor>
              </w:drawing>
            </w:r>
          </w:p>
        </w:tc>
        <w:tc>
          <w:tcPr>
            <w:tcW w:w="4545" w:type="dxa"/>
            <w:vAlign w:val="center"/>
          </w:tcPr>
          <w:p w14:paraId="3867E3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3F588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47F56B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77.00 </w:t>
            </w:r>
          </w:p>
        </w:tc>
      </w:tr>
      <w:tr w14:paraId="70FE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00546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12</w:t>
            </w:r>
          </w:p>
        </w:tc>
        <w:tc>
          <w:tcPr>
            <w:tcW w:w="750" w:type="dxa"/>
            <w:vAlign w:val="center"/>
          </w:tcPr>
          <w:p w14:paraId="4EB01F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51A1A8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阿克明斯特地毯CP-106</w:t>
            </w:r>
          </w:p>
        </w:tc>
        <w:tc>
          <w:tcPr>
            <w:tcW w:w="2475" w:type="dxa"/>
            <w:vAlign w:val="center"/>
          </w:tcPr>
          <w:p w14:paraId="1098562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-38735</wp:posOffset>
                  </wp:positionH>
                  <wp:positionV relativeFrom="paragraph">
                    <wp:posOffset>600075</wp:posOffset>
                  </wp:positionV>
                  <wp:extent cx="1562100" cy="830580"/>
                  <wp:effectExtent l="0" t="0" r="0" b="7620"/>
                  <wp:wrapNone/>
                  <wp:docPr id="64" name="图片_1_SpCnt_11"/>
                  <wp:cNvGraphicFramePr/>
                  <a:graphic xmlns:a="http://schemas.openxmlformats.org/drawingml/2006/main">
                    <a:graphicData uri="http://schemas.openxmlformats.org/drawingml/2006/picture">
                      <pic:pic xmlns:pic="http://schemas.openxmlformats.org/drawingml/2006/picture">
                        <pic:nvPicPr>
                          <pic:cNvPr id="64" name="图片_1_SpCnt_11"/>
                          <pic:cNvPicPr/>
                        </pic:nvPicPr>
                        <pic:blipFill>
                          <a:blip r:embed="rId25"/>
                          <a:stretch>
                            <a:fillRect/>
                          </a:stretch>
                        </pic:blipFill>
                        <pic:spPr>
                          <a:xfrm>
                            <a:off x="0" y="0"/>
                            <a:ext cx="1562100" cy="830580"/>
                          </a:xfrm>
                          <a:prstGeom prst="rect">
                            <a:avLst/>
                          </a:prstGeom>
                          <a:noFill/>
                          <a:ln>
                            <a:noFill/>
                          </a:ln>
                        </pic:spPr>
                      </pic:pic>
                    </a:graphicData>
                  </a:graphic>
                </wp:anchor>
              </w:drawing>
            </w:r>
          </w:p>
        </w:tc>
        <w:tc>
          <w:tcPr>
            <w:tcW w:w="4545" w:type="dxa"/>
            <w:vAlign w:val="center"/>
          </w:tcPr>
          <w:p w14:paraId="3A929F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1CC23C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03C9B4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41.00 </w:t>
            </w:r>
          </w:p>
        </w:tc>
      </w:tr>
      <w:tr w14:paraId="6B5B6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41D62B4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13</w:t>
            </w:r>
          </w:p>
        </w:tc>
        <w:tc>
          <w:tcPr>
            <w:tcW w:w="750" w:type="dxa"/>
            <w:vAlign w:val="center"/>
          </w:tcPr>
          <w:p w14:paraId="2AC955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23DDCA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阿克明斯特地毯CP-107</w:t>
            </w:r>
          </w:p>
        </w:tc>
        <w:tc>
          <w:tcPr>
            <w:tcW w:w="2475" w:type="dxa"/>
            <w:vAlign w:val="center"/>
          </w:tcPr>
          <w:p w14:paraId="559EA01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-48895</wp:posOffset>
                  </wp:positionH>
                  <wp:positionV relativeFrom="paragraph">
                    <wp:posOffset>816610</wp:posOffset>
                  </wp:positionV>
                  <wp:extent cx="1543685" cy="926465"/>
                  <wp:effectExtent l="0" t="0" r="18415" b="6985"/>
                  <wp:wrapNone/>
                  <wp:docPr id="65" name="图片_1_SpCnt_12"/>
                  <wp:cNvGraphicFramePr/>
                  <a:graphic xmlns:a="http://schemas.openxmlformats.org/drawingml/2006/main">
                    <a:graphicData uri="http://schemas.openxmlformats.org/drawingml/2006/picture">
                      <pic:pic xmlns:pic="http://schemas.openxmlformats.org/drawingml/2006/picture">
                        <pic:nvPicPr>
                          <pic:cNvPr id="65" name="图片_1_SpCnt_12"/>
                          <pic:cNvPicPr/>
                        </pic:nvPicPr>
                        <pic:blipFill>
                          <a:blip r:embed="rId26"/>
                          <a:stretch>
                            <a:fillRect/>
                          </a:stretch>
                        </pic:blipFill>
                        <pic:spPr>
                          <a:xfrm>
                            <a:off x="0" y="0"/>
                            <a:ext cx="1543685" cy="926465"/>
                          </a:xfrm>
                          <a:prstGeom prst="rect">
                            <a:avLst/>
                          </a:prstGeom>
                          <a:noFill/>
                          <a:ln>
                            <a:noFill/>
                          </a:ln>
                        </pic:spPr>
                      </pic:pic>
                    </a:graphicData>
                  </a:graphic>
                </wp:anchor>
              </w:drawing>
            </w:r>
          </w:p>
        </w:tc>
        <w:tc>
          <w:tcPr>
            <w:tcW w:w="4545" w:type="dxa"/>
            <w:vAlign w:val="center"/>
          </w:tcPr>
          <w:p w14:paraId="5413B04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609C45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6566A2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50.00 </w:t>
            </w:r>
          </w:p>
        </w:tc>
      </w:tr>
      <w:tr w14:paraId="494CC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7A3F78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14</w:t>
            </w:r>
          </w:p>
        </w:tc>
        <w:tc>
          <w:tcPr>
            <w:tcW w:w="750" w:type="dxa"/>
            <w:vAlign w:val="center"/>
          </w:tcPr>
          <w:p w14:paraId="5FFA53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6079D2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阿克明斯特地毯CP-108</w:t>
            </w:r>
          </w:p>
        </w:tc>
        <w:tc>
          <w:tcPr>
            <w:tcW w:w="2475" w:type="dxa"/>
            <w:vAlign w:val="center"/>
          </w:tcPr>
          <w:p w14:paraId="1C11D5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-33655</wp:posOffset>
                  </wp:positionH>
                  <wp:positionV relativeFrom="paragraph">
                    <wp:posOffset>314960</wp:posOffset>
                  </wp:positionV>
                  <wp:extent cx="1524635" cy="815340"/>
                  <wp:effectExtent l="0" t="0" r="18415" b="3810"/>
                  <wp:wrapNone/>
                  <wp:docPr id="66" name="图片_1_SpCnt_13"/>
                  <wp:cNvGraphicFramePr/>
                  <a:graphic xmlns:a="http://schemas.openxmlformats.org/drawingml/2006/main">
                    <a:graphicData uri="http://schemas.openxmlformats.org/drawingml/2006/picture">
                      <pic:pic xmlns:pic="http://schemas.openxmlformats.org/drawingml/2006/picture">
                        <pic:nvPicPr>
                          <pic:cNvPr id="66" name="图片_1_SpCnt_13"/>
                          <pic:cNvPicPr/>
                        </pic:nvPicPr>
                        <pic:blipFill>
                          <a:blip r:embed="rId27"/>
                          <a:stretch>
                            <a:fillRect/>
                          </a:stretch>
                        </pic:blipFill>
                        <pic:spPr>
                          <a:xfrm>
                            <a:off x="0" y="0"/>
                            <a:ext cx="1524635" cy="815340"/>
                          </a:xfrm>
                          <a:prstGeom prst="rect">
                            <a:avLst/>
                          </a:prstGeom>
                          <a:noFill/>
                          <a:ln>
                            <a:noFill/>
                          </a:ln>
                        </pic:spPr>
                      </pic:pic>
                    </a:graphicData>
                  </a:graphic>
                </wp:anchor>
              </w:drawing>
            </w:r>
          </w:p>
        </w:tc>
        <w:tc>
          <w:tcPr>
            <w:tcW w:w="4545" w:type="dxa"/>
            <w:vAlign w:val="center"/>
          </w:tcPr>
          <w:p w14:paraId="5140B2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79B6D1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190795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120.00 </w:t>
            </w:r>
          </w:p>
        </w:tc>
      </w:tr>
      <w:tr w14:paraId="7EAB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1006AC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15</w:t>
            </w:r>
          </w:p>
        </w:tc>
        <w:tc>
          <w:tcPr>
            <w:tcW w:w="750" w:type="dxa"/>
            <w:vAlign w:val="center"/>
          </w:tcPr>
          <w:p w14:paraId="757924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6F5BB6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阿克明斯特地毯CP-109</w:t>
            </w:r>
          </w:p>
        </w:tc>
        <w:tc>
          <w:tcPr>
            <w:tcW w:w="2475" w:type="dxa"/>
            <w:vAlign w:val="center"/>
          </w:tcPr>
          <w:p w14:paraId="1445F71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16510</wp:posOffset>
                  </wp:positionH>
                  <wp:positionV relativeFrom="paragraph">
                    <wp:posOffset>673100</wp:posOffset>
                  </wp:positionV>
                  <wp:extent cx="1420495" cy="856615"/>
                  <wp:effectExtent l="0" t="0" r="8255" b="635"/>
                  <wp:wrapNone/>
                  <wp:docPr id="67" name="图片_1_SpCnt_14"/>
                  <wp:cNvGraphicFramePr/>
                  <a:graphic xmlns:a="http://schemas.openxmlformats.org/drawingml/2006/main">
                    <a:graphicData uri="http://schemas.openxmlformats.org/drawingml/2006/picture">
                      <pic:pic xmlns:pic="http://schemas.openxmlformats.org/drawingml/2006/picture">
                        <pic:nvPicPr>
                          <pic:cNvPr id="67" name="图片_1_SpCnt_14"/>
                          <pic:cNvPicPr/>
                        </pic:nvPicPr>
                        <pic:blipFill>
                          <a:blip r:embed="rId28"/>
                          <a:stretch>
                            <a:fillRect/>
                          </a:stretch>
                        </pic:blipFill>
                        <pic:spPr>
                          <a:xfrm>
                            <a:off x="0" y="0"/>
                            <a:ext cx="1420495" cy="856615"/>
                          </a:xfrm>
                          <a:prstGeom prst="rect">
                            <a:avLst/>
                          </a:prstGeom>
                          <a:noFill/>
                          <a:ln>
                            <a:noFill/>
                          </a:ln>
                        </pic:spPr>
                      </pic:pic>
                    </a:graphicData>
                  </a:graphic>
                </wp:anchor>
              </w:drawing>
            </w:r>
          </w:p>
        </w:tc>
        <w:tc>
          <w:tcPr>
            <w:tcW w:w="4545" w:type="dxa"/>
            <w:vAlign w:val="center"/>
          </w:tcPr>
          <w:p w14:paraId="76B4A53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7D8445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6988CF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25.00 </w:t>
            </w:r>
          </w:p>
        </w:tc>
      </w:tr>
      <w:tr w14:paraId="08A8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14:paraId="605C488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16</w:t>
            </w:r>
          </w:p>
        </w:tc>
        <w:tc>
          <w:tcPr>
            <w:tcW w:w="750" w:type="dxa"/>
            <w:vAlign w:val="center"/>
          </w:tcPr>
          <w:p w14:paraId="53B7667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公区</w:t>
            </w:r>
          </w:p>
        </w:tc>
        <w:tc>
          <w:tcPr>
            <w:tcW w:w="1080" w:type="dxa"/>
            <w:vAlign w:val="center"/>
          </w:tcPr>
          <w:p w14:paraId="4EF143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阿克明斯特地毯CP-110</w:t>
            </w:r>
          </w:p>
        </w:tc>
        <w:tc>
          <w:tcPr>
            <w:tcW w:w="2475" w:type="dxa"/>
            <w:vAlign w:val="center"/>
          </w:tcPr>
          <w:p w14:paraId="2F2A6E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180975</wp:posOffset>
                  </wp:positionH>
                  <wp:positionV relativeFrom="paragraph">
                    <wp:posOffset>819150</wp:posOffset>
                  </wp:positionV>
                  <wp:extent cx="934085" cy="911860"/>
                  <wp:effectExtent l="0" t="0" r="18415" b="2540"/>
                  <wp:wrapNone/>
                  <wp:docPr id="68" name="图片_1_SpCnt_15"/>
                  <wp:cNvGraphicFramePr/>
                  <a:graphic xmlns:a="http://schemas.openxmlformats.org/drawingml/2006/main">
                    <a:graphicData uri="http://schemas.openxmlformats.org/drawingml/2006/picture">
                      <pic:pic xmlns:pic="http://schemas.openxmlformats.org/drawingml/2006/picture">
                        <pic:nvPicPr>
                          <pic:cNvPr id="68" name="图片_1_SpCnt_15"/>
                          <pic:cNvPicPr/>
                        </pic:nvPicPr>
                        <pic:blipFill>
                          <a:blip r:embed="rId29"/>
                          <a:stretch>
                            <a:fillRect/>
                          </a:stretch>
                        </pic:blipFill>
                        <pic:spPr>
                          <a:xfrm>
                            <a:off x="0" y="0"/>
                            <a:ext cx="934085" cy="911860"/>
                          </a:xfrm>
                          <a:prstGeom prst="rect">
                            <a:avLst/>
                          </a:prstGeom>
                          <a:noFill/>
                          <a:ln>
                            <a:noFill/>
                          </a:ln>
                        </pic:spPr>
                      </pic:pic>
                    </a:graphicData>
                  </a:graphic>
                </wp:anchor>
              </w:drawing>
            </w:r>
          </w:p>
        </w:tc>
        <w:tc>
          <w:tcPr>
            <w:tcW w:w="4545" w:type="dxa"/>
            <w:vAlign w:val="center"/>
          </w:tcPr>
          <w:p w14:paraId="730973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1、品种：阿克明斯特地毯；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2、结构：机织阿克明斯特；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3、成分构成：80%进口羊毛、20%进口尼龙；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4、底背: 高防腐涤纶经线与优质PP丝纬纱；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5、密度：7*9（根/英寸）；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6、绒高：8mm；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7、绒重：1300克/平方米；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8、染色方式：纱染；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9、阻燃测试等级：B1级；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10、耐摩擦色牢度：干、湿摩擦牢度≥5级；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12、具体形状样式详见台州方特熊出没水上休闲游乐度假中心（一期设计）图纸、主材白皮书、内装方案，采购前需由建设单位确认，需满足设计要求。</w:t>
            </w:r>
          </w:p>
        </w:tc>
        <w:tc>
          <w:tcPr>
            <w:tcW w:w="705" w:type="dxa"/>
            <w:vAlign w:val="center"/>
          </w:tcPr>
          <w:p w14:paraId="014487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m2</w:t>
            </w:r>
          </w:p>
        </w:tc>
        <w:tc>
          <w:tcPr>
            <w:tcW w:w="855" w:type="dxa"/>
            <w:vAlign w:val="center"/>
          </w:tcPr>
          <w:p w14:paraId="739755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color w:val="auto"/>
                <w:sz w:val="21"/>
                <w:szCs w:val="21"/>
                <w:highlight w:val="none"/>
                <w:vertAlign w:val="baseline"/>
              </w:rPr>
            </w:pPr>
            <w:r>
              <w:rPr>
                <w:rFonts w:hint="eastAsia" w:ascii="宋体" w:hAnsi="宋体" w:eastAsia="宋体" w:cs="宋体"/>
                <w:i w:val="0"/>
                <w:iCs w:val="0"/>
                <w:color w:val="000000"/>
                <w:kern w:val="0"/>
                <w:sz w:val="21"/>
                <w:szCs w:val="21"/>
                <w:u w:val="none"/>
                <w:lang w:val="en-US" w:eastAsia="zh-CN" w:bidi="ar"/>
              </w:rPr>
              <w:t xml:space="preserve">156.00 </w:t>
            </w:r>
          </w:p>
        </w:tc>
      </w:tr>
    </w:tbl>
    <w:p w14:paraId="289725B7">
      <w:pPr>
        <w:pStyle w:val="20"/>
        <w:keepNext w:val="0"/>
        <w:keepLines w:val="0"/>
        <w:pageBreakBefore w:val="0"/>
        <w:kinsoku/>
        <w:wordWrap/>
        <w:overflowPunct/>
        <w:topLinePunct w:val="0"/>
        <w:bidi w:val="0"/>
        <w:snapToGrid w:val="0"/>
        <w:spacing w:before="0" w:beforeLines="0" w:after="0" w:afterLines="0" w:line="288"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注：1、实际供货数量以采购人发出的定单为准；</w:t>
      </w:r>
    </w:p>
    <w:p w14:paraId="288B03F7">
      <w:pPr>
        <w:pStyle w:val="20"/>
        <w:keepNext w:val="0"/>
        <w:keepLines w:val="0"/>
        <w:pageBreakBefore w:val="0"/>
        <w:numPr>
          <w:ilvl w:val="0"/>
          <w:numId w:val="5"/>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本工程涉及的产品颜色、样式施工前需深化，由</w:t>
      </w:r>
      <w:r>
        <w:rPr>
          <w:rFonts w:hint="eastAsia" w:hAnsi="宋体" w:cs="宋体"/>
          <w:b w:val="0"/>
          <w:bCs w:val="0"/>
          <w:color w:val="auto"/>
          <w:sz w:val="24"/>
          <w:szCs w:val="24"/>
          <w:highlight w:val="none"/>
          <w:lang w:val="en-US" w:eastAsia="zh-CN"/>
        </w:rPr>
        <w:t>招标人</w:t>
      </w:r>
      <w:r>
        <w:rPr>
          <w:rFonts w:hint="eastAsia" w:ascii="宋体" w:hAnsi="宋体" w:eastAsia="宋体" w:cs="宋体"/>
          <w:b w:val="0"/>
          <w:bCs w:val="0"/>
          <w:color w:val="auto"/>
          <w:sz w:val="24"/>
          <w:szCs w:val="24"/>
          <w:highlight w:val="none"/>
        </w:rPr>
        <w:t>确认。</w:t>
      </w:r>
    </w:p>
    <w:p w14:paraId="4BACDD15">
      <w:pPr>
        <w:pStyle w:val="20"/>
        <w:keepNext w:val="0"/>
        <w:keepLines w:val="0"/>
        <w:pageBreakBefore w:val="0"/>
        <w:numPr>
          <w:ilvl w:val="0"/>
          <w:numId w:val="5"/>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▲工程量清单数量按照招标文件提供的数量报价，不得增减。</w:t>
      </w:r>
    </w:p>
    <w:p w14:paraId="60B73969">
      <w:pPr>
        <w:pStyle w:val="20"/>
        <w:keepNext w:val="0"/>
        <w:keepLines w:val="0"/>
        <w:pageBreakBefore w:val="0"/>
        <w:numPr>
          <w:ilvl w:val="0"/>
          <w:numId w:val="5"/>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供货前，需根据投标承诺及招标文件技术要求提供货物供</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选样校对，</w:t>
      </w:r>
      <w:r>
        <w:rPr>
          <w:rFonts w:hint="eastAsia" w:ascii="宋体" w:hAnsi="宋体" w:eastAsia="宋体" w:cs="宋体"/>
          <w:b w:val="0"/>
          <w:bCs w:val="0"/>
          <w:color w:val="auto"/>
          <w:sz w:val="24"/>
          <w:szCs w:val="24"/>
          <w:highlight w:val="none"/>
          <w:lang w:val="en-US" w:eastAsia="zh-CN"/>
        </w:rPr>
        <w:t>采购人</w:t>
      </w:r>
      <w:r>
        <w:rPr>
          <w:rFonts w:hint="eastAsia" w:ascii="宋体" w:hAnsi="宋体" w:eastAsia="宋体" w:cs="宋体"/>
          <w:b w:val="0"/>
          <w:bCs w:val="0"/>
          <w:color w:val="auto"/>
          <w:sz w:val="24"/>
          <w:szCs w:val="24"/>
          <w:highlight w:val="none"/>
        </w:rPr>
        <w:t>选样校对完成后，</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可正常供货；若</w:t>
      </w:r>
      <w:r>
        <w:rPr>
          <w:rFonts w:hint="eastAsia" w:ascii="宋体" w:hAnsi="宋体" w:eastAsia="宋体" w:cs="宋体"/>
          <w:b w:val="0"/>
          <w:bCs w:val="0"/>
          <w:color w:val="auto"/>
          <w:sz w:val="24"/>
          <w:szCs w:val="24"/>
          <w:highlight w:val="none"/>
          <w:lang w:val="en-US" w:eastAsia="zh-CN"/>
        </w:rPr>
        <w:t>中标供应商</w:t>
      </w:r>
      <w:r>
        <w:rPr>
          <w:rFonts w:hint="eastAsia" w:ascii="宋体" w:hAnsi="宋体" w:eastAsia="宋体" w:cs="宋体"/>
          <w:b w:val="0"/>
          <w:bCs w:val="0"/>
          <w:color w:val="auto"/>
          <w:sz w:val="24"/>
          <w:szCs w:val="24"/>
          <w:highlight w:val="none"/>
        </w:rPr>
        <w:t>未按投标承诺及招标文件技术要求提供货物的，须无条件进行更换。</w:t>
      </w:r>
    </w:p>
    <w:p w14:paraId="21A0E021">
      <w:pPr>
        <w:pStyle w:val="20"/>
        <w:keepNext w:val="0"/>
        <w:keepLines w:val="0"/>
        <w:pageBreakBefore w:val="0"/>
        <w:numPr>
          <w:ilvl w:val="0"/>
          <w:numId w:val="5"/>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样品情况：</w:t>
      </w:r>
    </w:p>
    <w:p w14:paraId="297F8984">
      <w:pPr>
        <w:pStyle w:val="20"/>
        <w:keepNext w:val="0"/>
        <w:keepLines w:val="0"/>
        <w:pageBreakBefore w:val="0"/>
        <w:numPr>
          <w:ilvl w:val="0"/>
          <w:numId w:val="6"/>
        </w:numPr>
        <w:kinsoku/>
        <w:wordWrap/>
        <w:overflowPunct/>
        <w:topLinePunct w:val="0"/>
        <w:bidi w:val="0"/>
        <w:snapToGrid w:val="0"/>
        <w:spacing w:before="0" w:beforeLines="0" w:after="0" w:afterLines="0" w:line="288"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按照采购清单标注提供以下样品：</w:t>
      </w:r>
    </w:p>
    <w:tbl>
      <w:tblPr>
        <w:tblStyle w:val="38"/>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3945"/>
        <w:gridCol w:w="3639"/>
      </w:tblGrid>
      <w:tr w14:paraId="231FC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54" w:type="dxa"/>
            <w:noWrap w:val="0"/>
            <w:vAlign w:val="center"/>
          </w:tcPr>
          <w:p w14:paraId="1621C192">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序号</w:t>
            </w:r>
          </w:p>
        </w:tc>
        <w:tc>
          <w:tcPr>
            <w:tcW w:w="3945" w:type="dxa"/>
            <w:noWrap w:val="0"/>
            <w:vAlign w:val="center"/>
          </w:tcPr>
          <w:p w14:paraId="1E76307D">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产品类型</w:t>
            </w:r>
          </w:p>
        </w:tc>
        <w:tc>
          <w:tcPr>
            <w:tcW w:w="3639" w:type="dxa"/>
            <w:noWrap w:val="0"/>
            <w:vAlign w:val="center"/>
          </w:tcPr>
          <w:p w14:paraId="3CA41205">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成品样品大小要求</w:t>
            </w:r>
          </w:p>
        </w:tc>
      </w:tr>
      <w:tr w14:paraId="35AF1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954" w:type="dxa"/>
            <w:noWrap w:val="0"/>
            <w:vAlign w:val="center"/>
          </w:tcPr>
          <w:p w14:paraId="143ADA9D">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p>
        </w:tc>
        <w:tc>
          <w:tcPr>
            <w:tcW w:w="3945" w:type="dxa"/>
            <w:noWrap w:val="0"/>
            <w:vAlign w:val="center"/>
          </w:tcPr>
          <w:p w14:paraId="22777F69">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阿克明斯特地毯（公区）</w:t>
            </w:r>
          </w:p>
        </w:tc>
        <w:tc>
          <w:tcPr>
            <w:tcW w:w="3639" w:type="dxa"/>
            <w:noWrap w:val="0"/>
            <w:vAlign w:val="center"/>
          </w:tcPr>
          <w:p w14:paraId="420D4E89">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≥50cm*50cm 一块</w:t>
            </w:r>
          </w:p>
        </w:tc>
      </w:tr>
      <w:tr w14:paraId="77F9F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54" w:type="dxa"/>
            <w:noWrap w:val="0"/>
            <w:vAlign w:val="center"/>
          </w:tcPr>
          <w:p w14:paraId="0546B6D1">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c>
          <w:tcPr>
            <w:tcW w:w="3945" w:type="dxa"/>
            <w:noWrap w:val="0"/>
            <w:vAlign w:val="center"/>
          </w:tcPr>
          <w:p w14:paraId="72008284">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阿克明斯特地毯（客房）</w:t>
            </w:r>
          </w:p>
        </w:tc>
        <w:tc>
          <w:tcPr>
            <w:tcW w:w="3639" w:type="dxa"/>
            <w:noWrap w:val="0"/>
            <w:vAlign w:val="center"/>
          </w:tcPr>
          <w:p w14:paraId="3F685FC8">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≥50cm*50cm 一块</w:t>
            </w:r>
          </w:p>
        </w:tc>
      </w:tr>
    </w:tbl>
    <w:p w14:paraId="3A018B88">
      <w:pPr>
        <w:pStyle w:val="20"/>
        <w:keepNext w:val="0"/>
        <w:keepLines w:val="0"/>
        <w:pageBreakBefore w:val="0"/>
        <w:kinsoku/>
        <w:wordWrap/>
        <w:overflowPunct/>
        <w:topLinePunct w:val="0"/>
        <w:bidi w:val="0"/>
        <w:snapToGrid w:val="0"/>
        <w:spacing w:before="0" w:beforeLines="0" w:after="0" w:afterLines="0" w:line="288" w:lineRule="auto"/>
        <w:ind w:firstLine="482"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）投标人请在投标文件递交截止时间前将样品送到达台州湾矛盾纠纷调解中心1楼，投标文件递交截止时间后将不再接收样品。</w:t>
      </w:r>
    </w:p>
    <w:p w14:paraId="4569A94B">
      <w:pPr>
        <w:pStyle w:val="20"/>
        <w:keepNext w:val="0"/>
        <w:keepLines w:val="0"/>
        <w:pageBreakBefore w:val="0"/>
        <w:kinsoku/>
        <w:wordWrap/>
        <w:overflowPunct/>
        <w:topLinePunct w:val="0"/>
        <w:bidi w:val="0"/>
        <w:snapToGrid w:val="0"/>
        <w:spacing w:before="0" w:beforeLines="0" w:after="0" w:afterLines="0" w:line="288"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）中标人的样品将封存，作为供货验收时参照，未中标人的样品当场退还。</w:t>
      </w:r>
    </w:p>
    <w:p w14:paraId="45DBE96D">
      <w:pPr>
        <w:keepNext w:val="0"/>
        <w:keepLines w:val="0"/>
        <w:pageBreakBefore w:val="0"/>
        <w:kinsoku/>
        <w:wordWrap/>
        <w:overflowPunct/>
        <w:topLinePunct w:val="0"/>
        <w:autoSpaceDE w:val="0"/>
        <w:autoSpaceDN w:val="0"/>
        <w:bidi w:val="0"/>
        <w:adjustRightInd w:val="0"/>
        <w:spacing w:line="288"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三、工作范围：</w:t>
      </w:r>
    </w:p>
    <w:p w14:paraId="4B9F034D">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根据招标文件要求，投标人须按国家有关标准及规范完成下列工作：</w:t>
      </w:r>
    </w:p>
    <w:p w14:paraId="0B295256">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（一）材料及相关附件的提供、运输、安装、检验、通过验收，供应商须按国家有关规定及标准完成本次招标设备的提供、运输、安装、检验、通过有关部门验收。</w:t>
      </w:r>
    </w:p>
    <w:p w14:paraId="3F038C78">
      <w:pPr>
        <w:keepNext w:val="0"/>
        <w:keepLines w:val="0"/>
        <w:pageBreakBefore w:val="0"/>
        <w:kinsoku/>
        <w:wordWrap/>
        <w:overflowPunct/>
        <w:topLinePunct w:val="0"/>
        <w:autoSpaceDE w:val="0"/>
        <w:autoSpaceDN w:val="0"/>
        <w:bidi w:val="0"/>
        <w:adjustRightInd w:val="0"/>
        <w:spacing w:line="288"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（二）售后服务的措施及承诺，</w:t>
      </w:r>
      <w:r>
        <w:rPr>
          <w:rFonts w:hint="eastAsia" w:ascii="宋体" w:hAnsi="宋体" w:eastAsia="宋体" w:cs="宋体"/>
          <w:color w:val="auto"/>
          <w:sz w:val="24"/>
          <w:szCs w:val="24"/>
          <w:highlight w:val="none"/>
          <w:lang w:eastAsia="zh-CN"/>
        </w:rPr>
        <w:t>质保期</w:t>
      </w:r>
      <w:r>
        <w:rPr>
          <w:rFonts w:hint="eastAsia" w:ascii="宋体" w:hAnsi="宋体" w:eastAsia="宋体" w:cs="宋体"/>
          <w:color w:val="auto"/>
          <w:sz w:val="24"/>
          <w:szCs w:val="24"/>
          <w:highlight w:val="none"/>
        </w:rPr>
        <w:t>上门服务、</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终身维修等各项工作，并保证</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使用的安全性能与检测结果的可靠性。</w:t>
      </w:r>
    </w:p>
    <w:p w14:paraId="4B9EA9CC">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kern w:val="0"/>
          <w:sz w:val="24"/>
          <w:szCs w:val="24"/>
          <w:highlight w:val="none"/>
          <w:lang w:bidi="ar"/>
        </w:rPr>
      </w:pPr>
      <w:r>
        <w:rPr>
          <w:rFonts w:hint="eastAsia" w:ascii="宋体" w:hAnsi="宋体" w:eastAsia="宋体" w:cs="宋体"/>
          <w:b/>
          <w:color w:val="auto"/>
          <w:kern w:val="0"/>
          <w:sz w:val="24"/>
          <w:szCs w:val="24"/>
          <w:highlight w:val="none"/>
          <w:lang w:bidi="ar"/>
        </w:rPr>
        <w:t>四、质量保证</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p w14:paraId="5BB0D7BA">
      <w:pPr>
        <w:keepNext w:val="0"/>
        <w:keepLines w:val="0"/>
        <w:pageBreakBefore w:val="0"/>
        <w:kinsoku/>
        <w:wordWrap/>
        <w:overflowPunct/>
        <w:topLinePunct w:val="0"/>
        <w:bidi w:val="0"/>
        <w:spacing w:line="288"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bidi="ar"/>
        </w:rPr>
        <w:t>1、中标单位须按国家有关规定及标准完成本次采购</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的供货、运输、安装、检验、通过有关部门验收、培训、质保期上门服务、</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终身维修等各项工作，并保证</w:t>
      </w:r>
      <w:r>
        <w:rPr>
          <w:rFonts w:hint="eastAsia" w:ascii="宋体" w:hAnsi="宋体" w:eastAsia="宋体" w:cs="宋体"/>
          <w:color w:val="auto"/>
          <w:kern w:val="0"/>
          <w:sz w:val="24"/>
          <w:szCs w:val="24"/>
          <w:highlight w:val="none"/>
          <w:lang w:eastAsia="zh-CN" w:bidi="ar"/>
        </w:rPr>
        <w:t>货物</w:t>
      </w:r>
      <w:r>
        <w:rPr>
          <w:rFonts w:hint="eastAsia" w:ascii="宋体" w:hAnsi="宋体" w:eastAsia="宋体" w:cs="宋体"/>
          <w:color w:val="auto"/>
          <w:kern w:val="0"/>
          <w:sz w:val="24"/>
          <w:szCs w:val="24"/>
          <w:highlight w:val="none"/>
          <w:lang w:bidi="ar"/>
        </w:rPr>
        <w:t>使用的安全性能与检测结果的可靠性。</w:t>
      </w:r>
      <w:r>
        <w:rPr>
          <w:rFonts w:hint="eastAsia" w:ascii="宋体" w:hAnsi="宋体" w:eastAsia="宋体" w:cs="宋体"/>
          <w:color w:val="auto"/>
          <w:kern w:val="0"/>
          <w:sz w:val="24"/>
          <w:szCs w:val="24"/>
          <w:highlight w:val="none"/>
          <w:lang w:val="en-US" w:eastAsia="zh-CN" w:bidi="ar"/>
        </w:rPr>
        <w:t>货物</w:t>
      </w:r>
      <w:r>
        <w:rPr>
          <w:rFonts w:hint="eastAsia" w:ascii="宋体" w:hAnsi="宋体" w:eastAsia="宋体" w:cs="宋体"/>
          <w:color w:val="auto"/>
          <w:kern w:val="0"/>
          <w:sz w:val="24"/>
          <w:szCs w:val="24"/>
          <w:highlight w:val="none"/>
          <w:lang w:bidi="ar"/>
        </w:rPr>
        <w:t>验收过程中，由于质量不合格或运输等原因所造成的一切费用均由中标单位负责。</w:t>
      </w:r>
    </w:p>
    <w:p w14:paraId="1C7A697F">
      <w:pPr>
        <w:keepNext w:val="0"/>
        <w:keepLines w:val="0"/>
        <w:pageBreakBefore w:val="0"/>
        <w:kinsoku/>
        <w:wordWrap/>
        <w:overflowPunct/>
        <w:topLinePunct w:val="0"/>
        <w:bidi w:val="0"/>
        <w:spacing w:line="288" w:lineRule="auto"/>
        <w:textAlignment w:val="auto"/>
        <w:rPr>
          <w:rFonts w:hint="eastAsia" w:ascii="宋体" w:hAnsi="宋体" w:eastAsia="宋体" w:cs="宋体"/>
          <w:b/>
          <w:color w:val="auto"/>
          <w:kern w:val="0"/>
          <w:sz w:val="24"/>
          <w:szCs w:val="24"/>
          <w:highlight w:val="none"/>
        </w:rPr>
      </w:pPr>
      <w:bookmarkStart w:id="11" w:name="_Toc525049748"/>
      <w:r>
        <w:rPr>
          <w:rFonts w:hint="eastAsia" w:ascii="宋体" w:hAnsi="宋体" w:eastAsia="宋体" w:cs="宋体"/>
          <w:b/>
          <w:color w:val="auto"/>
          <w:kern w:val="0"/>
          <w:sz w:val="24"/>
          <w:szCs w:val="24"/>
          <w:highlight w:val="none"/>
          <w:lang w:val="en-US" w:eastAsia="zh-CN" w:bidi="ar"/>
        </w:rPr>
        <w:t>五</w:t>
      </w:r>
      <w:r>
        <w:rPr>
          <w:rFonts w:hint="eastAsia" w:ascii="宋体" w:hAnsi="宋体" w:eastAsia="宋体" w:cs="宋体"/>
          <w:b/>
          <w:color w:val="auto"/>
          <w:kern w:val="0"/>
          <w:sz w:val="24"/>
          <w:szCs w:val="24"/>
          <w:highlight w:val="none"/>
          <w:lang w:bidi="ar"/>
        </w:rPr>
        <w:t>、项目质保与售后服务要求</w:t>
      </w:r>
      <w:bookmarkEnd w:id="11"/>
      <w:r>
        <w:rPr>
          <w:rFonts w:hint="eastAsia" w:ascii="宋体" w:hAnsi="宋体" w:eastAsia="宋体" w:cs="宋体"/>
          <w:b/>
          <w:bCs/>
          <w:color w:val="auto"/>
          <w:sz w:val="24"/>
          <w:szCs w:val="24"/>
          <w:highlight w:val="none"/>
          <w:lang w:eastAsia="zh-CN"/>
        </w:rPr>
        <w:t>：</w:t>
      </w:r>
    </w:p>
    <w:p w14:paraId="38D400D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1、免费质保期：自验收合格之日起</w:t>
      </w:r>
      <w:r>
        <w:rPr>
          <w:rFonts w:hint="eastAsia" w:ascii="宋体" w:hAnsi="宋体" w:eastAsia="宋体" w:cs="宋体"/>
          <w:b/>
          <w:bCs/>
          <w:color w:val="auto"/>
          <w:sz w:val="24"/>
          <w:szCs w:val="24"/>
          <w:highlight w:val="none"/>
          <w:u w:val="single"/>
        </w:rPr>
        <w:t>不少于</w:t>
      </w:r>
      <w:r>
        <w:rPr>
          <w:rFonts w:hint="eastAsia" w:ascii="宋体" w:hAnsi="宋体" w:eastAsia="宋体" w:cs="宋体"/>
          <w:b/>
          <w:bCs/>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年</w:t>
      </w:r>
      <w:r>
        <w:rPr>
          <w:rFonts w:hint="eastAsia" w:ascii="宋体" w:hAnsi="宋体" w:eastAsia="宋体" w:cs="宋体"/>
          <w:color w:val="auto"/>
          <w:sz w:val="24"/>
          <w:szCs w:val="24"/>
          <w:highlight w:val="none"/>
        </w:rPr>
        <w:t>，质保期内免费维修、免费更换缺陷部件，投标人不得对此提出异议。</w:t>
      </w:r>
    </w:p>
    <w:p w14:paraId="46F2C07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所有尺寸根据实际情况合理优化。所有颜色、</w:t>
      </w:r>
      <w:r>
        <w:rPr>
          <w:rFonts w:hint="eastAsia" w:ascii="宋体" w:hAnsi="宋体" w:eastAsia="宋体" w:cs="宋体"/>
          <w:color w:val="auto"/>
          <w:sz w:val="24"/>
          <w:szCs w:val="24"/>
          <w:highlight w:val="none"/>
        </w:rPr>
        <w:t>样式</w:t>
      </w:r>
      <w:r>
        <w:rPr>
          <w:rFonts w:hint="eastAsia" w:ascii="宋体" w:hAnsi="宋体" w:eastAsia="宋体" w:cs="宋体"/>
          <w:color w:val="auto"/>
          <w:sz w:val="24"/>
          <w:szCs w:val="24"/>
          <w:highlight w:val="none"/>
          <w:lang w:val="zh-CN"/>
        </w:rPr>
        <w:t>由采购人在供货前予以确认。</w:t>
      </w:r>
    </w:p>
    <w:p w14:paraId="06D923A0">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、本项目预算考虑的产品数量为暂估量，结算应结合合同约定条款根据实际数量按实结算；</w:t>
      </w:r>
    </w:p>
    <w:p w14:paraId="5995235A">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、履约保</w:t>
      </w:r>
      <w:r>
        <w:rPr>
          <w:rFonts w:hint="eastAsia" w:ascii="宋体" w:hAnsi="宋体" w:eastAsia="宋体" w:cs="宋体"/>
          <w:color w:val="auto"/>
          <w:sz w:val="24"/>
          <w:szCs w:val="24"/>
          <w:highlight w:val="none"/>
        </w:rPr>
        <w:t>证金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中标价的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%，在中标通知书发出7日内以现金的形式缴纳至甲方指定账户或者以见索即付保函的形式提交至甲方。合同履行完毕（验收合格）后5日内无息退还。</w:t>
      </w:r>
    </w:p>
    <w:p w14:paraId="31DAFD42">
      <w:pPr>
        <w:keepNext w:val="0"/>
        <w:keepLines w:val="0"/>
        <w:pageBreakBefore w:val="0"/>
        <w:kinsoku/>
        <w:wordWrap/>
        <w:overflowPunct/>
        <w:topLinePunct w:val="0"/>
        <w:bidi w:val="0"/>
        <w:adjustRightInd w:val="0"/>
        <w:snapToGrid w:val="0"/>
        <w:spacing w:line="288" w:lineRule="auto"/>
        <w:ind w:firstLine="559" w:firstLineChars="233"/>
        <w:textAlignment w:val="auto"/>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、供应商在接到招标人通知后，响应时间少于1小时，并在2小时内赶到现场，6小时内排除故障。如6小时内无法排除故障，则免费质保期内免费更换产品。</w:t>
      </w:r>
      <w:r>
        <w:rPr>
          <w:rFonts w:hint="eastAsia" w:ascii="宋体" w:hAnsi="宋体" w:cs="宋体"/>
          <w:color w:val="auto"/>
          <w:sz w:val="24"/>
          <w:highlight w:val="none"/>
        </w:rPr>
        <w:br w:type="page"/>
      </w:r>
    </w:p>
    <w:p w14:paraId="46CC5D3F">
      <w:pPr>
        <w:snapToGrid w:val="0"/>
        <w:spacing w:before="120" w:beforeLines="50" w:after="120" w:afterLines="50"/>
        <w:jc w:val="center"/>
        <w:outlineLvl w:val="0"/>
        <w:rPr>
          <w:rFonts w:ascii="宋体" w:hAnsi="宋体"/>
          <w:b/>
          <w:bCs/>
          <w:color w:val="000000" w:themeColor="text1"/>
          <w:sz w:val="36"/>
          <w:szCs w:val="36"/>
          <w:highlight w:val="none"/>
          <w14:textFill>
            <w14:solidFill>
              <w14:schemeClr w14:val="tx1"/>
            </w14:solidFill>
          </w14:textFill>
        </w:rPr>
      </w:pPr>
      <w:bookmarkStart w:id="12" w:name="_Toc25734"/>
      <w:r>
        <w:rPr>
          <w:rFonts w:ascii="宋体" w:hAnsi="宋体"/>
          <w:b/>
          <w:bCs/>
          <w:color w:val="000000" w:themeColor="text1"/>
          <w:sz w:val="36"/>
          <w:szCs w:val="36"/>
          <w:highlight w:val="none"/>
          <w14:textFill>
            <w14:solidFill>
              <w14:schemeClr w14:val="tx1"/>
            </w14:solidFill>
          </w14:textFill>
        </w:rPr>
        <w:t xml:space="preserve">第三章  </w:t>
      </w:r>
      <w:r>
        <w:rPr>
          <w:rFonts w:hint="eastAsia" w:ascii="宋体" w:hAnsi="宋体"/>
          <w:b/>
          <w:bCs/>
          <w:color w:val="000000" w:themeColor="text1"/>
          <w:sz w:val="36"/>
          <w:szCs w:val="36"/>
          <w:highlight w:val="none"/>
          <w:lang w:val="en-US" w:eastAsia="zh-CN"/>
          <w14:textFill>
            <w14:solidFill>
              <w14:schemeClr w14:val="tx1"/>
            </w14:solidFill>
          </w14:textFill>
        </w:rPr>
        <w:t xml:space="preserve">  </w:t>
      </w:r>
      <w:r>
        <w:rPr>
          <w:rFonts w:ascii="宋体" w:hAnsi="宋体"/>
          <w:b/>
          <w:bCs/>
          <w:color w:val="000000" w:themeColor="text1"/>
          <w:sz w:val="36"/>
          <w:szCs w:val="36"/>
          <w:highlight w:val="none"/>
          <w14:textFill>
            <w14:solidFill>
              <w14:schemeClr w14:val="tx1"/>
            </w14:solidFill>
          </w14:textFill>
        </w:rPr>
        <w:t>投标人须知</w:t>
      </w:r>
      <w:bookmarkEnd w:id="8"/>
      <w:bookmarkEnd w:id="12"/>
    </w:p>
    <w:bookmarkEnd w:id="9"/>
    <w:p w14:paraId="55A868C1">
      <w:pPr>
        <w:snapToGrid w:val="0"/>
        <w:spacing w:before="120" w:beforeLines="50" w:after="120" w:afterLines="50"/>
        <w:ind w:left="238"/>
        <w:jc w:val="center"/>
        <w:outlineLvl w:val="1"/>
        <w:rPr>
          <w:rFonts w:ascii="宋体" w:hAnsi="宋体"/>
          <w:b/>
          <w:color w:val="000000" w:themeColor="text1"/>
          <w:szCs w:val="28"/>
          <w:highlight w:val="none"/>
          <w14:textFill>
            <w14:solidFill>
              <w14:schemeClr w14:val="tx1"/>
            </w14:solidFill>
          </w14:textFill>
        </w:rPr>
      </w:pPr>
      <w:r>
        <w:rPr>
          <w:rFonts w:hint="eastAsia" w:ascii="宋体" w:hAnsi="宋体"/>
          <w:b/>
          <w:color w:val="000000" w:themeColor="text1"/>
          <w:szCs w:val="28"/>
          <w:highlight w:val="none"/>
          <w14:textFill>
            <w14:solidFill>
              <w14:schemeClr w14:val="tx1"/>
            </w14:solidFill>
          </w14:textFill>
        </w:rPr>
        <w:t>前 附 表</w:t>
      </w:r>
    </w:p>
    <w:tbl>
      <w:tblPr>
        <w:tblStyle w:val="37"/>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8"/>
        <w:gridCol w:w="8661"/>
      </w:tblGrid>
      <w:tr w14:paraId="55FE0D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2F69BAA">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8661" w:type="dxa"/>
            <w:tcBorders>
              <w:top w:val="single" w:color="auto" w:sz="4" w:space="0"/>
              <w:left w:val="single" w:color="auto" w:sz="4" w:space="0"/>
              <w:bottom w:val="single" w:color="auto" w:sz="4" w:space="0"/>
              <w:right w:val="single" w:color="auto" w:sz="4" w:space="0"/>
            </w:tcBorders>
            <w:vAlign w:val="center"/>
          </w:tcPr>
          <w:p w14:paraId="798A2F0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内容、要求</w:t>
            </w:r>
          </w:p>
        </w:tc>
      </w:tr>
      <w:tr w14:paraId="6E8DF9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53DB2B2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8661" w:type="dxa"/>
            <w:tcBorders>
              <w:top w:val="single" w:color="auto" w:sz="4" w:space="0"/>
              <w:left w:val="single" w:color="auto" w:sz="4" w:space="0"/>
              <w:bottom w:val="single" w:color="auto" w:sz="4" w:space="0"/>
              <w:right w:val="single" w:color="auto" w:sz="4" w:space="0"/>
            </w:tcBorders>
            <w:vAlign w:val="center"/>
          </w:tcPr>
          <w:p w14:paraId="107910C1">
            <w:pPr>
              <w:keepNext w:val="0"/>
              <w:keepLines w:val="0"/>
              <w:pageBreakBefore w:val="0"/>
              <w:kinsoku/>
              <w:wordWrap/>
              <w:overflowPunct/>
              <w:topLinePunct w:val="0"/>
              <w:bidi w:val="0"/>
              <w:adjustRightInd/>
              <w:snapToGrid w:val="0"/>
              <w:spacing w:line="264" w:lineRule="auto"/>
              <w:ind w:left="1200" w:hanging="1200" w:hangingChars="5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cs="宋体"/>
                <w:color w:val="000000" w:themeColor="text1"/>
                <w:sz w:val="24"/>
                <w:szCs w:val="24"/>
                <w:highlight w:val="none"/>
                <w:lang w:eastAsia="zh-CN"/>
                <w14:textFill>
                  <w14:solidFill>
                    <w14:schemeClr w14:val="tx1"/>
                  </w14:solidFill>
                </w14:textFill>
              </w:rPr>
              <w:t>台州方特熊出没水上休闲游乐度假中心（一期）酒店地毯采购</w:t>
            </w:r>
          </w:p>
        </w:tc>
      </w:tr>
      <w:tr w14:paraId="20B0E7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50B8C89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8661" w:type="dxa"/>
            <w:tcBorders>
              <w:top w:val="single" w:color="auto" w:sz="4" w:space="0"/>
              <w:left w:val="single" w:color="auto" w:sz="4" w:space="0"/>
              <w:bottom w:val="single" w:color="auto" w:sz="4" w:space="0"/>
              <w:right w:val="single" w:color="auto" w:sz="4" w:space="0"/>
            </w:tcBorders>
            <w:vAlign w:val="center"/>
          </w:tcPr>
          <w:p w14:paraId="4F6D5161">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采购内容及数量：详见第二章“招标需求”</w:t>
            </w:r>
          </w:p>
        </w:tc>
      </w:tr>
      <w:tr w14:paraId="7F417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5"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CFB6DA9">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3</w:t>
            </w:r>
          </w:p>
        </w:tc>
        <w:tc>
          <w:tcPr>
            <w:tcW w:w="8661" w:type="dxa"/>
            <w:tcBorders>
              <w:top w:val="single" w:color="auto" w:sz="4" w:space="0"/>
              <w:left w:val="single" w:color="auto" w:sz="4" w:space="0"/>
              <w:bottom w:val="single" w:color="auto" w:sz="4" w:space="0"/>
              <w:right w:val="single" w:color="auto" w:sz="4" w:space="0"/>
            </w:tcBorders>
            <w:vAlign w:val="center"/>
          </w:tcPr>
          <w:p w14:paraId="6D8DF151">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2"/>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kern w:val="2"/>
                <w:sz w:val="24"/>
                <w:szCs w:val="24"/>
                <w:highlight w:val="none"/>
                <w14:textFill>
                  <w14:solidFill>
                    <w14:schemeClr w14:val="tx1"/>
                  </w14:solidFill>
                </w14:textFill>
              </w:rPr>
              <w:t>交货期：</w:t>
            </w:r>
          </w:p>
          <w:p w14:paraId="3897A546">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1、合同签订后30日历天内提供样品；</w:t>
            </w:r>
          </w:p>
          <w:p w14:paraId="07BD29EA">
            <w:pPr>
              <w:pStyle w:val="34"/>
              <w:keepNext w:val="0"/>
              <w:keepLines w:val="0"/>
              <w:pageBreakBefore w:val="0"/>
              <w:kinsoku/>
              <w:wordWrap/>
              <w:overflowPunct/>
              <w:topLinePunct w:val="0"/>
              <w:bidi w:val="0"/>
              <w:adjustRightInd/>
              <w:spacing w:before="0" w:beforeAutospacing="0" w:after="0" w:afterAutospacing="0" w:line="264" w:lineRule="auto"/>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2、招标人确认后60日历天内完成供货及安装。</w:t>
            </w:r>
          </w:p>
        </w:tc>
      </w:tr>
      <w:tr w14:paraId="1E8DA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FE0B950">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8661" w:type="dxa"/>
            <w:tcBorders>
              <w:top w:val="single" w:color="auto" w:sz="4" w:space="0"/>
              <w:left w:val="single" w:color="auto" w:sz="4" w:space="0"/>
              <w:bottom w:val="single" w:color="auto" w:sz="4" w:space="0"/>
              <w:right w:val="single" w:color="auto" w:sz="4" w:space="0"/>
            </w:tcBorders>
            <w:vAlign w:val="center"/>
          </w:tcPr>
          <w:p w14:paraId="5097F243">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投标报价及费用：</w:t>
            </w:r>
          </w:p>
          <w:p w14:paraId="72ADD0D3">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1、本项目投标应以人民币报价；</w:t>
            </w:r>
          </w:p>
          <w:p w14:paraId="27234560">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2、不论投标结果如何，投标人均应自行承担所有与投标有关的全部费用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65CA4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7FB430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8661" w:type="dxa"/>
            <w:tcBorders>
              <w:top w:val="single" w:color="auto" w:sz="4" w:space="0"/>
              <w:left w:val="single" w:color="auto" w:sz="4" w:space="0"/>
              <w:bottom w:val="single" w:color="auto" w:sz="4" w:space="0"/>
              <w:right w:val="single" w:color="auto" w:sz="4" w:space="0"/>
            </w:tcBorders>
            <w:vAlign w:val="center"/>
          </w:tcPr>
          <w:p w14:paraId="6EB954AA">
            <w:pPr>
              <w:keepNext w:val="0"/>
              <w:keepLines w:val="0"/>
              <w:pageBreakBefore w:val="0"/>
              <w:kinsoku/>
              <w:wordWrap/>
              <w:overflowPunct/>
              <w:topLinePunct w:val="0"/>
              <w:bidi w:val="0"/>
              <w:adjustRightInd/>
              <w:spacing w:line="264" w:lineRule="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投标保证金：</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详见招标公告</w:t>
            </w:r>
          </w:p>
        </w:tc>
      </w:tr>
      <w:tr w14:paraId="4707FB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0874300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8661" w:type="dxa"/>
            <w:tcBorders>
              <w:top w:val="single" w:color="auto" w:sz="4" w:space="0"/>
              <w:left w:val="single" w:color="auto" w:sz="4" w:space="0"/>
              <w:bottom w:val="single" w:color="auto" w:sz="4" w:space="0"/>
              <w:right w:val="single" w:color="auto" w:sz="4" w:space="0"/>
            </w:tcBorders>
            <w:vAlign w:val="center"/>
          </w:tcPr>
          <w:p w14:paraId="7E899C9C">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现场踏勘：</w:t>
            </w:r>
            <w:r>
              <w:rPr>
                <w:rFonts w:hint="eastAsia" w:ascii="宋体" w:hAnsi="宋体" w:eastAsia="宋体" w:cs="宋体"/>
                <w:sz w:val="24"/>
                <w:szCs w:val="24"/>
                <w:highlight w:val="none"/>
              </w:rPr>
              <w:t>本项目不设置现场踏勘</w:t>
            </w:r>
            <w:r>
              <w:rPr>
                <w:rFonts w:hint="eastAsia" w:ascii="宋体" w:hAnsi="宋体" w:eastAsia="宋体" w:cs="宋体"/>
                <w:color w:val="000000" w:themeColor="text1"/>
                <w:sz w:val="24"/>
                <w:szCs w:val="24"/>
                <w:highlight w:val="none"/>
                <w14:textFill>
                  <w14:solidFill>
                    <w14:schemeClr w14:val="tx1"/>
                  </w14:solidFill>
                </w14:textFill>
              </w:rPr>
              <w:t>。</w:t>
            </w:r>
          </w:p>
        </w:tc>
      </w:tr>
      <w:tr w14:paraId="2D0E80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4F8E1C50">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8661" w:type="dxa"/>
            <w:tcBorders>
              <w:top w:val="single" w:color="auto" w:sz="4" w:space="0"/>
              <w:left w:val="single" w:color="auto" w:sz="4" w:space="0"/>
              <w:bottom w:val="single" w:color="auto" w:sz="4" w:space="0"/>
              <w:right w:val="single" w:color="auto" w:sz="4" w:space="0"/>
            </w:tcBorders>
            <w:vAlign w:val="center"/>
          </w:tcPr>
          <w:p w14:paraId="48A1CB68">
            <w:pPr>
              <w:keepNext w:val="0"/>
              <w:keepLines w:val="0"/>
              <w:pageBreakBefore w:val="0"/>
              <w:kinsoku/>
              <w:wordWrap/>
              <w:overflowPunct/>
              <w:topLinePunct w:val="0"/>
              <w:bidi w:val="0"/>
              <w:adjustRightInd/>
              <w:snapToGrid w:val="0"/>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bidi="ar"/>
                <w14:textFill>
                  <w14:solidFill>
                    <w14:schemeClr w14:val="tx1"/>
                  </w14:solidFill>
                </w14:textFill>
              </w:rPr>
              <w:t>招标文件的澄清：投标人获取招标文件后，若有问题需要澄清，应自招标文件发布在交易场所（发布招标公告的媒体上）3日内，通过台州湾新区小额工程电子交易平台（</w:t>
            </w:r>
            <w:r>
              <w:rPr>
                <w:rFonts w:hint="eastAsia" w:ascii="宋体" w:hAnsi="宋体" w:eastAsia="宋体" w:cs="宋体"/>
                <w:color w:val="000000" w:themeColor="text1"/>
                <w:sz w:val="24"/>
                <w:szCs w:val="24"/>
                <w:highlight w:val="none"/>
                <w14:textFill>
                  <w14:solidFill>
                    <w14:schemeClr w14:val="tx1"/>
                  </w14:solidFill>
                </w14:textFill>
              </w:rPr>
              <w:t>http://www.tzwztb.com</w:t>
            </w:r>
            <w:r>
              <w:rPr>
                <w:rFonts w:hint="eastAsia" w:ascii="宋体" w:hAnsi="宋体" w:eastAsia="宋体" w:cs="宋体"/>
                <w:bCs/>
                <w:color w:val="000000" w:themeColor="text1"/>
                <w:sz w:val="24"/>
                <w:szCs w:val="24"/>
                <w:highlight w:val="none"/>
                <w:lang w:bidi="ar"/>
                <w14:textFill>
                  <w14:solidFill>
                    <w14:schemeClr w14:val="tx1"/>
                  </w14:solidFill>
                </w14:textFill>
              </w:rPr>
              <w:t>)向招标人（招标代理）提出。</w:t>
            </w:r>
          </w:p>
        </w:tc>
      </w:tr>
      <w:tr w14:paraId="23E90E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5302F90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8661" w:type="dxa"/>
            <w:tcBorders>
              <w:top w:val="single" w:color="auto" w:sz="4" w:space="0"/>
              <w:left w:val="single" w:color="auto" w:sz="4" w:space="0"/>
              <w:bottom w:val="single" w:color="auto" w:sz="4" w:space="0"/>
              <w:right w:val="single" w:color="auto" w:sz="4" w:space="0"/>
            </w:tcBorders>
            <w:vAlign w:val="center"/>
          </w:tcPr>
          <w:p w14:paraId="3DA8D1F3">
            <w:pPr>
              <w:keepNext w:val="0"/>
              <w:keepLines w:val="0"/>
              <w:pageBreakBefore w:val="0"/>
              <w:kinsoku/>
              <w:wordWrap/>
              <w:overflowPunct/>
              <w:topLinePunct w:val="0"/>
              <w:bidi w:val="0"/>
              <w:adjustRightInd/>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投标截止时间及地点：</w:t>
            </w:r>
            <w:r>
              <w:rPr>
                <w:rFonts w:hint="eastAsia" w:ascii="宋体" w:hAnsi="宋体" w:eastAsia="宋体" w:cs="宋体"/>
                <w:color w:val="000000" w:themeColor="text1"/>
                <w:sz w:val="24"/>
                <w:szCs w:val="24"/>
                <w:highlight w:val="none"/>
                <w:u w:val="single"/>
                <w14:textFill>
                  <w14:solidFill>
                    <w14:schemeClr w14:val="tx1"/>
                  </w14:solidFill>
                </w14:textFill>
              </w:rPr>
              <w:t>见招标公告；</w:t>
            </w:r>
          </w:p>
        </w:tc>
      </w:tr>
      <w:tr w14:paraId="1F658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2A9609A2">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8661" w:type="dxa"/>
            <w:tcBorders>
              <w:top w:val="single" w:color="auto" w:sz="4" w:space="0"/>
              <w:left w:val="single" w:color="auto" w:sz="4" w:space="0"/>
              <w:bottom w:val="single" w:color="auto" w:sz="4" w:space="0"/>
              <w:right w:val="single" w:color="auto" w:sz="4" w:space="0"/>
            </w:tcBorders>
            <w:vAlign w:val="center"/>
          </w:tcPr>
          <w:p w14:paraId="55425CE7">
            <w:pPr>
              <w:keepNext w:val="0"/>
              <w:keepLines w:val="0"/>
              <w:pageBreakBefore w:val="0"/>
              <w:kinsoku/>
              <w:wordWrap/>
              <w:overflowPunct/>
              <w:topLinePunct w:val="0"/>
              <w:bidi w:val="0"/>
              <w:adjustRightInd/>
              <w:snapToGrid w:val="0"/>
              <w:spacing w:line="264"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开标时间及地点：</w:t>
            </w:r>
            <w:r>
              <w:rPr>
                <w:rFonts w:hint="eastAsia" w:ascii="宋体" w:hAnsi="宋体" w:eastAsia="宋体" w:cs="宋体"/>
                <w:color w:val="000000" w:themeColor="text1"/>
                <w:sz w:val="24"/>
                <w:szCs w:val="24"/>
                <w:highlight w:val="none"/>
                <w:u w:val="single"/>
                <w14:textFill>
                  <w14:solidFill>
                    <w14:schemeClr w14:val="tx1"/>
                  </w14:solidFill>
                </w14:textFill>
              </w:rPr>
              <w:t>见招标公告；</w:t>
            </w:r>
            <w:r>
              <w:rPr>
                <w:rFonts w:hint="eastAsia" w:ascii="宋体" w:hAnsi="宋体" w:eastAsia="宋体" w:cs="宋体"/>
                <w:color w:val="000000" w:themeColor="text1"/>
                <w:sz w:val="24"/>
                <w:szCs w:val="24"/>
                <w:highlight w:val="none"/>
                <w14:textFill>
                  <w14:solidFill>
                    <w14:schemeClr w14:val="tx1"/>
                  </w14:solidFill>
                </w14:textFill>
              </w:rPr>
              <w:t xml:space="preserve"> </w:t>
            </w:r>
          </w:p>
        </w:tc>
      </w:tr>
      <w:tr w14:paraId="51995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239BD6AF">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8661" w:type="dxa"/>
            <w:tcBorders>
              <w:top w:val="single" w:color="auto" w:sz="4" w:space="0"/>
              <w:left w:val="single" w:color="auto" w:sz="4" w:space="0"/>
              <w:bottom w:val="single" w:color="auto" w:sz="4" w:space="0"/>
              <w:right w:val="single" w:color="auto" w:sz="4" w:space="0"/>
            </w:tcBorders>
            <w:vAlign w:val="center"/>
          </w:tcPr>
          <w:p w14:paraId="7C2AB636">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评标办法及评分标准：详见本招标文件第四章《评标办法及评分标准》</w:t>
            </w:r>
          </w:p>
        </w:tc>
      </w:tr>
      <w:tr w14:paraId="788508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6AEEA09B">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8661" w:type="dxa"/>
            <w:tcBorders>
              <w:top w:val="single" w:color="auto" w:sz="4" w:space="0"/>
              <w:left w:val="single" w:color="auto" w:sz="4" w:space="0"/>
              <w:bottom w:val="single" w:color="auto" w:sz="4" w:space="0"/>
              <w:right w:val="single" w:color="auto" w:sz="4" w:space="0"/>
            </w:tcBorders>
            <w:vAlign w:val="center"/>
          </w:tcPr>
          <w:p w14:paraId="2C888287">
            <w:pPr>
              <w:keepNext w:val="0"/>
              <w:keepLines w:val="0"/>
              <w:pageBreakBefore w:val="0"/>
              <w:kinsoku/>
              <w:wordWrap/>
              <w:overflowPunct/>
              <w:topLinePunct w:val="0"/>
              <w:bidi w:val="0"/>
              <w:adjustRightInd/>
              <w:spacing w:line="264"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▲投标有效期：自投标截止日起 90 天投标文件应保持有效</w:t>
            </w:r>
            <w:r>
              <w:rPr>
                <w:rFonts w:hint="eastAsia" w:ascii="宋体" w:hAnsi="宋体" w:eastAsia="宋体" w:cs="宋体"/>
                <w:color w:val="000000" w:themeColor="text1"/>
                <w:sz w:val="24"/>
                <w:szCs w:val="24"/>
                <w:highlight w:val="none"/>
                <w14:textFill>
                  <w14:solidFill>
                    <w14:schemeClr w14:val="tx1"/>
                  </w14:solidFill>
                </w14:textFill>
              </w:rPr>
              <w:tab/>
            </w:r>
          </w:p>
        </w:tc>
      </w:tr>
      <w:tr w14:paraId="5E89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6DCE54E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bidi="ar"/>
                <w14:textFill>
                  <w14:solidFill>
                    <w14:schemeClr w14:val="tx1"/>
                  </w14:solidFill>
                </w14:textFill>
              </w:rPr>
              <w:t>12</w:t>
            </w:r>
          </w:p>
        </w:tc>
        <w:tc>
          <w:tcPr>
            <w:tcW w:w="8661" w:type="dxa"/>
            <w:tcBorders>
              <w:top w:val="single" w:color="auto" w:sz="4" w:space="0"/>
              <w:left w:val="single" w:color="auto" w:sz="4" w:space="0"/>
              <w:bottom w:val="single" w:color="auto" w:sz="4" w:space="0"/>
              <w:right w:val="single" w:color="auto" w:sz="4" w:space="0"/>
            </w:tcBorders>
            <w:vAlign w:val="center"/>
          </w:tcPr>
          <w:p w14:paraId="0F209250">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实质性条款：带▲是实质性条款，投标人不得负偏离，否则为无效标。</w:t>
            </w:r>
          </w:p>
        </w:tc>
      </w:tr>
      <w:tr w14:paraId="0B94C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5718EAB">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8661" w:type="dxa"/>
            <w:tcBorders>
              <w:top w:val="single" w:color="auto" w:sz="4" w:space="0"/>
              <w:left w:val="single" w:color="auto" w:sz="4" w:space="0"/>
              <w:bottom w:val="single" w:color="auto" w:sz="4" w:space="0"/>
              <w:right w:val="single" w:color="auto" w:sz="4" w:space="0"/>
            </w:tcBorders>
            <w:vAlign w:val="center"/>
          </w:tcPr>
          <w:p w14:paraId="177F53A1">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签订合同时间：中标通知书发出后30日内。</w:t>
            </w:r>
          </w:p>
        </w:tc>
      </w:tr>
      <w:tr w14:paraId="1CF9BF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29B32A4A">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8661" w:type="dxa"/>
            <w:tcBorders>
              <w:top w:val="single" w:color="auto" w:sz="4" w:space="0"/>
              <w:left w:val="single" w:color="auto" w:sz="4" w:space="0"/>
              <w:bottom w:val="single" w:color="auto" w:sz="4" w:space="0"/>
              <w:right w:val="single" w:color="auto" w:sz="4" w:space="0"/>
            </w:tcBorders>
            <w:vAlign w:val="center"/>
          </w:tcPr>
          <w:p w14:paraId="0ED5A55C">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履约担保金额为中标合同金额的2%，如不能办理工程保函采用现金的，中标人必须通过其基本账户转出，以转帐、电汇或银行汇票方式存入招标人指定帐户。</w:t>
            </w:r>
          </w:p>
        </w:tc>
      </w:tr>
      <w:tr w14:paraId="4F6BBB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75"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40BF0B3C">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8661" w:type="dxa"/>
            <w:tcBorders>
              <w:top w:val="single" w:color="auto" w:sz="4" w:space="0"/>
              <w:left w:val="single" w:color="auto" w:sz="4" w:space="0"/>
              <w:bottom w:val="single" w:color="auto" w:sz="4" w:space="0"/>
              <w:right w:val="single" w:color="auto" w:sz="4" w:space="0"/>
            </w:tcBorders>
            <w:vAlign w:val="center"/>
          </w:tcPr>
          <w:p w14:paraId="0BD68807">
            <w:pPr>
              <w:pStyle w:val="10"/>
              <w:keepNext w:val="0"/>
              <w:keepLines w:val="0"/>
              <w:pageBreakBefore w:val="0"/>
              <w:kinsoku/>
              <w:wordWrap/>
              <w:overflowPunct/>
              <w:topLinePunct w:val="0"/>
              <w:bidi w:val="0"/>
              <w:adjustRightInd/>
              <w:snapToGrid w:val="0"/>
              <w:spacing w:line="264" w:lineRule="auto"/>
              <w:ind w:firstLine="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投标文件递交要求：</w:t>
            </w:r>
          </w:p>
          <w:p w14:paraId="0F754224">
            <w:pPr>
              <w:pStyle w:val="10"/>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1、投标人无需到开标现场，电子投标文件上传至台州湾新区小额工程电子交易平台。如遇有问题的请联系蔡先生，13454667697；王女士，13757680207。</w:t>
            </w:r>
          </w:p>
          <w:p w14:paraId="6EBA9E59">
            <w:pPr>
              <w:pStyle w:val="10"/>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2、电子投标文件上传步骤：</w:t>
            </w:r>
          </w:p>
          <w:p w14:paraId="3E3A86B7">
            <w:pPr>
              <w:pStyle w:val="10"/>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 台州湾新区小额工程电子交易平台（网址：http://www.tzwztb.com/）；</w:t>
            </w:r>
          </w:p>
          <w:p w14:paraId="6ECCB192">
            <w:pPr>
              <w:pStyle w:val="10"/>
              <w:keepNext w:val="0"/>
              <w:keepLines w:val="0"/>
              <w:pageBreakBefore w:val="0"/>
              <w:kinsoku/>
              <w:wordWrap/>
              <w:overflowPunct/>
              <w:topLinePunct w:val="0"/>
              <w:bidi w:val="0"/>
              <w:adjustRightInd/>
              <w:snapToGrid w:val="0"/>
              <w:spacing w:line="264"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 投标人应提前办好ca锁（办理网址：http://www.tseal.cn/tcloud/common.xhtml?projId=295），绑定平台账户。</w:t>
            </w:r>
          </w:p>
          <w:p w14:paraId="7F6B4D60">
            <w:pPr>
              <w:pStyle w:val="10"/>
              <w:keepNext w:val="0"/>
              <w:keepLines w:val="0"/>
              <w:pageBreakBefore w:val="0"/>
              <w:kinsoku/>
              <w:wordWrap/>
              <w:overflowPunct/>
              <w:topLinePunct w:val="0"/>
              <w:bidi w:val="0"/>
              <w:adjustRightInd/>
              <w:snapToGrid w:val="0"/>
              <w:spacing w:line="264" w:lineRule="auto"/>
              <w:ind w:firstLine="480" w:firstLineChars="200"/>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3)缴纳保证金（或购买、上传电子保函）后，点击“电子投标文件制作工具”，进入制作页面，签章并加密上传电子投标文件。</w:t>
            </w:r>
          </w:p>
        </w:tc>
      </w:tr>
      <w:tr w14:paraId="69CFB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728C48DD">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8661" w:type="dxa"/>
            <w:tcBorders>
              <w:top w:val="single" w:color="auto" w:sz="4" w:space="0"/>
              <w:left w:val="single" w:color="auto" w:sz="4" w:space="0"/>
              <w:bottom w:val="single" w:color="auto" w:sz="4" w:space="0"/>
              <w:right w:val="single" w:color="auto" w:sz="4" w:space="0"/>
            </w:tcBorders>
            <w:vAlign w:val="center"/>
          </w:tcPr>
          <w:p w14:paraId="4F77EAE6">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kern w:val="2"/>
                <w:sz w:val="24"/>
                <w:szCs w:val="24"/>
                <w:highlight w:val="none"/>
                <w:lang w:val="en-US" w:eastAsia="zh-CN" w:bidi="ar-SA"/>
              </w:rPr>
            </w:pPr>
            <w:r>
              <w:rPr>
                <w:rFonts w:hint="eastAsia" w:ascii="宋体" w:hAnsi="宋体" w:eastAsia="宋体" w:cs="宋体"/>
                <w:b/>
                <w:sz w:val="24"/>
                <w:szCs w:val="24"/>
                <w:highlight w:val="none"/>
              </w:rPr>
              <w:t>本工程为电子招投标，电子投标文件格式中注明盖章的，均应按要求使用CA锁加盖公章和法定代表人章。</w:t>
            </w:r>
          </w:p>
        </w:tc>
      </w:tr>
      <w:tr w14:paraId="14BEB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2" w:hRule="exact"/>
          <w:jc w:val="center"/>
        </w:trPr>
        <w:tc>
          <w:tcPr>
            <w:tcW w:w="898" w:type="dxa"/>
            <w:tcBorders>
              <w:top w:val="single" w:color="auto" w:sz="4" w:space="0"/>
              <w:left w:val="single" w:color="auto" w:sz="4" w:space="0"/>
              <w:bottom w:val="single" w:color="auto" w:sz="4" w:space="0"/>
              <w:right w:val="single" w:color="auto" w:sz="4" w:space="0"/>
            </w:tcBorders>
            <w:vAlign w:val="center"/>
          </w:tcPr>
          <w:p w14:paraId="339B5F9E">
            <w:pPr>
              <w:keepNext w:val="0"/>
              <w:keepLines w:val="0"/>
              <w:pageBreakBefore w:val="0"/>
              <w:kinsoku/>
              <w:wordWrap/>
              <w:overflowPunct/>
              <w:topLinePunct w:val="0"/>
              <w:bidi w:val="0"/>
              <w:adjustRightInd/>
              <w:snapToGrid w:val="0"/>
              <w:spacing w:line="264"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8661" w:type="dxa"/>
            <w:tcBorders>
              <w:top w:val="single" w:color="auto" w:sz="4" w:space="0"/>
              <w:left w:val="single" w:color="auto" w:sz="4" w:space="0"/>
              <w:bottom w:val="single" w:color="auto" w:sz="4" w:space="0"/>
              <w:right w:val="single" w:color="auto" w:sz="4" w:space="0"/>
            </w:tcBorders>
            <w:vAlign w:val="center"/>
          </w:tcPr>
          <w:p w14:paraId="74D16BAF">
            <w:pPr>
              <w:keepNext w:val="0"/>
              <w:keepLines w:val="0"/>
              <w:pageBreakBefore w:val="0"/>
              <w:kinsoku/>
              <w:wordWrap/>
              <w:overflowPunct/>
              <w:topLinePunct w:val="0"/>
              <w:autoSpaceDE w:val="0"/>
              <w:autoSpaceDN w:val="0"/>
              <w:bidi w:val="0"/>
              <w:adjustRightInd/>
              <w:snapToGrid w:val="0"/>
              <w:spacing w:line="264" w:lineRule="auto"/>
              <w:textAlignment w:val="bottom"/>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解释：本招标文件的解释权属于招标采购单位。</w:t>
            </w:r>
          </w:p>
        </w:tc>
      </w:tr>
    </w:tbl>
    <w:p w14:paraId="0075CF18">
      <w:pPr>
        <w:keepNext w:val="0"/>
        <w:keepLines w:val="0"/>
        <w:pageBreakBefore w:val="0"/>
        <w:kinsoku/>
        <w:wordWrap/>
        <w:overflowPunct/>
        <w:topLinePunct w:val="0"/>
        <w:bidi w:val="0"/>
        <w:snapToGrid w:val="0"/>
        <w:spacing w:line="312" w:lineRule="auto"/>
        <w:ind w:firstLine="60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int="eastAsia" w:ascii="宋体" w:hAnsi="宋体" w:eastAsia="宋体" w:cs="宋体"/>
          <w:b/>
          <w:bCs w:val="0"/>
          <w:color w:val="000000" w:themeColor="text1"/>
          <w:sz w:val="24"/>
          <w:szCs w:val="24"/>
          <w:highlight w:val="none"/>
          <w14:textFill>
            <w14:solidFill>
              <w14:schemeClr w14:val="tx1"/>
            </w14:solidFill>
          </w14:textFill>
        </w:rPr>
        <w:t>一、总  则</w:t>
      </w:r>
    </w:p>
    <w:p w14:paraId="21EAA1CD">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 适用范围</w:t>
      </w:r>
    </w:p>
    <w:p w14:paraId="378CD61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本招标文件适用于本项目的招标、投标、评标、定标、验收、合同履约、付款等行为（法律、法规另有规定的，从其规定）。</w:t>
      </w:r>
    </w:p>
    <w:p w14:paraId="18F021B7">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（二）定义</w:t>
      </w:r>
    </w:p>
    <w:p w14:paraId="5332C3B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1.招标采购单位系指组织本次招标的代理机构（“招标人”）和采购人。</w:t>
      </w:r>
    </w:p>
    <w:p w14:paraId="212C0DF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2.“投标人”系指向招标方提交投标文件的单位或个人。</w:t>
      </w:r>
    </w:p>
    <w:p w14:paraId="2AC0E60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3.“产品”系指供方按招标文件规定，须向采购人提供的一切设备、保险、税金、备品备件、工具、手册及其它有关技术资料和材料。</w:t>
      </w:r>
    </w:p>
    <w:p w14:paraId="702955C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4.“服务”系指招标文件规定投标人须承担的安装、调试、技术协助、校准、培训、技术指导以及其他类似的义务。</w:t>
      </w:r>
    </w:p>
    <w:p w14:paraId="349E525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5.“项目”系指投标人按招标文件规定向采购人提供的产品和服务。</w:t>
      </w:r>
    </w:p>
    <w:p w14:paraId="6B3510A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6.“书面形式”包括信函、传真、电报等。</w:t>
      </w:r>
    </w:p>
    <w:p w14:paraId="4E42CBA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7.“▲”系指实质性要求条款。</w:t>
      </w:r>
    </w:p>
    <w:p w14:paraId="44DA2B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（三）招标方式</w:t>
      </w:r>
    </w:p>
    <w:p w14:paraId="22B59B7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本次招标采用公开招标方式进行。</w:t>
      </w:r>
    </w:p>
    <w:p w14:paraId="1020A61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（四）投标委托</w:t>
      </w:r>
    </w:p>
    <w:p w14:paraId="5426710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投标人代表须提供有效身份证件。如投标人代表不是法定代表人，须有法定代表人出具的授权委托书。</w:t>
      </w:r>
    </w:p>
    <w:p w14:paraId="4762AA0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（五）投标费用及结算</w:t>
      </w:r>
    </w:p>
    <w:p w14:paraId="00E7E5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1）不论投标结果如何，投标人均应自行承担所有与投标有关的全部费用。</w:t>
      </w:r>
    </w:p>
    <w:p w14:paraId="254D4DE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2）投标时工程量按照招标文件中提供的工程量进行投标报价，结算时数量按实结算。</w:t>
      </w:r>
    </w:p>
    <w:p w14:paraId="106212A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（六）联合体投标</w:t>
      </w:r>
    </w:p>
    <w:p w14:paraId="047659B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本项目不接受联合体投标。</w:t>
      </w:r>
    </w:p>
    <w:p w14:paraId="4DF16BE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（七）转包与分包</w:t>
      </w:r>
    </w:p>
    <w:p w14:paraId="19723B4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1.本项目不允许转包。</w:t>
      </w:r>
    </w:p>
    <w:p w14:paraId="2524C9C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（八）特别说明：</w:t>
      </w:r>
    </w:p>
    <w:p w14:paraId="2F1990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非单一产品采购项目，采购人应当根据采购项目技术构成、产品价格比重等合理确定核心产品，并在招标文件中载明，多家投标人提供的核心产品品牌相同的，按一家投标人认定。评审时，取其综合得分最高的一家为有效投标人；综合得分相同时，按抽签确定，多家投标供应商提供的核心产品品牌相同的，按前两款规定处理。本项目无核心产品。</w:t>
      </w:r>
    </w:p>
    <w:p w14:paraId="2BEBB72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2、投标人投标所使用的资格、信誉、荣誉、业绩与企业认证必须为本法人所拥有。投标人投标所使用的采购项目实施人员必须为本法人员工（或必须为本法人或控股公司正式员工）。</w:t>
      </w:r>
    </w:p>
    <w:p w14:paraId="4023BB1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3、投标人应仔细阅读招标文件的所有内容，按照招标文件的要求提交投标文件，并对所提供的全部资料的真实性承担法律责任。</w:t>
      </w:r>
    </w:p>
    <w:p w14:paraId="78F8FDE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人在投标活动中提供任何虚假材料,其投标无效，并报监管部门查处；中标后发现的,根据《中华人民共和国招标投标法》，有违法所得的，并处没收违法所得，情节严重的，由工商行政管理机关吊销营业执照；构成犯罪的，依法追究刑事责任。</w:t>
      </w:r>
    </w:p>
    <w:p w14:paraId="02FEE83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（九）质疑和投诉</w:t>
      </w:r>
    </w:p>
    <w:p w14:paraId="14C5477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1.投标人认为招标文件、招标过程或中标结果使自己的合法权益受到损害的，应当在知道或者应知其权益受到损害之日起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val="0"/>
          <w:bCs/>
          <w:color w:val="000000" w:themeColor="text1"/>
          <w:sz w:val="24"/>
          <w:szCs w:val="24"/>
          <w:highlight w:val="none"/>
          <w14:textFill>
            <w14:solidFill>
              <w14:schemeClr w14:val="tx1"/>
            </w14:solidFill>
          </w14:textFill>
        </w:rPr>
        <w:t>个工作日内，以书面形式向采购人、采购代理机构提出质疑。</w:t>
      </w:r>
    </w:p>
    <w:p w14:paraId="26411C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2.质疑应当采用书面形式，质疑书应明确阐述招标文件、招标过程或中标结果中使自己合法权益受到损害的实质性内容，提供相关事实、依据和证据及其来源或线索，便于有关单位调查、答复和处理。</w:t>
      </w:r>
    </w:p>
    <w:p w14:paraId="25ECFD8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二、招标文件</w:t>
      </w:r>
    </w:p>
    <w:p w14:paraId="3035DAB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（一）招标文件的构成。本招标文件由以下部份组成：</w:t>
      </w:r>
    </w:p>
    <w:p w14:paraId="5B22314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1.招标公告</w:t>
      </w:r>
    </w:p>
    <w:p w14:paraId="5970B1F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2.招标需求</w:t>
      </w:r>
    </w:p>
    <w:p w14:paraId="028FAE5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3.投标人须知</w:t>
      </w:r>
    </w:p>
    <w:p w14:paraId="120083F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4.评标办法及标准</w:t>
      </w:r>
    </w:p>
    <w:p w14:paraId="6880D9B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5合同主要条款</w:t>
      </w:r>
    </w:p>
    <w:p w14:paraId="4F6AA00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6.投标文件格式</w:t>
      </w:r>
    </w:p>
    <w:p w14:paraId="2899BE0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7.本项目招标文件的澄清、答复、修改、补充的内容</w:t>
      </w:r>
    </w:p>
    <w:p w14:paraId="22AFA625">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（二）投标人的风险</w:t>
      </w:r>
    </w:p>
    <w:p w14:paraId="7BF679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投标人没有按照招标文件要求提供全部资料，或者投标人没有对招标文件在各方面作出实质性响应是投标人的风险，并可能导致其投标被拒绝。</w:t>
      </w:r>
    </w:p>
    <w:p w14:paraId="6FBD9D04">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 xml:space="preserve">（三）招标文件的澄清与修改 </w:t>
      </w:r>
    </w:p>
    <w:p w14:paraId="07E3A46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投标人获取招标文件后</w:t>
      </w:r>
      <w:bookmarkStart w:id="44" w:name="_GoBack"/>
      <w:bookmarkEnd w:id="44"/>
      <w:r>
        <w:rPr>
          <w:rFonts w:hint="eastAsia" w:ascii="宋体" w:hAnsi="宋体" w:eastAsia="宋体" w:cs="宋体"/>
          <w:b w:val="0"/>
          <w:bCs/>
          <w:color w:val="000000" w:themeColor="text1"/>
          <w:sz w:val="24"/>
          <w:szCs w:val="24"/>
          <w:highlight w:val="none"/>
          <w14:textFill>
            <w14:solidFill>
              <w14:schemeClr w14:val="tx1"/>
            </w14:solidFill>
          </w14:textFill>
        </w:rPr>
        <w:t>，若有问题需要澄清，应自招标文件发布在交易场所（发布招标公告的媒体上）、浙江省政府采购网”（http:// www.zjzfcg.gov.cn）3日内，通过台州湾新区小额工程电子交易平台（http://www.tzwztb.com/)向招标人（招标代理）提出。招标人的答复将发布在台州湾新区小额工程电子交易平台（http://www.tzwztb.com/)、浙江省政府采购网”（http:// www.zjzfcg.gov.cn）。如在该时间后提出问题需要澄清的，招标人不作答复。招标人及招标代理机构的任何工作人员对投标人所作的任何口头解释、介绍、答复，只能供投标人参考，对招标人无任何约束力。投标人应认真阅读本招标文件，发现其中有误或有不合理要求的，投标人必须在前附表规定的时间内以书面形式要求招标采购单位澄清。采购代理机构对已发出的招标文件进行必要澄清、答复、修改或补充的，应当在招标文件要求提交投标文件截止时间</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日前，发布更正公告，并以书面形式通知所有招标文件收受人。</w:t>
      </w:r>
    </w:p>
    <w:p w14:paraId="74325F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2.采购代理机构必须以书面形式答复投标人要求澄清的问题，并将不包含问题来源的答复书面通知所有购买招标文件的投标人；除书面答复以外的其他澄清方式及澄清内容均无效。</w:t>
      </w:r>
    </w:p>
    <w:p w14:paraId="3B7E2F1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66E92F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4.招标文件的澄清、答复、修改或补充都应该通过本代理机构以法定形式发布，采购人非通过本机构，不得擅自澄清、答复、修改或补充招标文件。</w:t>
      </w:r>
    </w:p>
    <w:p w14:paraId="20784E8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三、投标文件的编制</w:t>
      </w:r>
    </w:p>
    <w:p w14:paraId="5745E11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3" w:name="_Toc8633"/>
      <w:r>
        <w:rPr>
          <w:rFonts w:hint="eastAsia" w:ascii="宋体" w:hAnsi="宋体" w:eastAsia="宋体" w:cs="宋体"/>
          <w:b/>
          <w:bCs w:val="0"/>
          <w:color w:val="000000" w:themeColor="text1"/>
          <w:sz w:val="24"/>
          <w:szCs w:val="24"/>
          <w:highlight w:val="none"/>
          <w14:textFill>
            <w14:solidFill>
              <w14:schemeClr w14:val="tx1"/>
            </w14:solidFill>
          </w14:textFill>
        </w:rPr>
        <w:t>（一）投标文件的组成</w:t>
      </w:r>
      <w:bookmarkEnd w:id="13"/>
    </w:p>
    <w:p w14:paraId="7B2D0A8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w:t>
      </w:r>
    </w:p>
    <w:p w14:paraId="53E6DDD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（1）法定代表人身份</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证明</w:t>
      </w:r>
      <w:r>
        <w:rPr>
          <w:rFonts w:hint="eastAsia" w:ascii="宋体" w:hAnsi="宋体" w:eastAsia="宋体" w:cs="宋体"/>
          <w:b w:val="0"/>
          <w:bCs/>
          <w:color w:val="000000" w:themeColor="text1"/>
          <w:sz w:val="24"/>
          <w:szCs w:val="24"/>
          <w:highlight w:val="none"/>
          <w14:textFill>
            <w14:solidFill>
              <w14:schemeClr w14:val="tx1"/>
            </w14:solidFill>
          </w14:textFill>
        </w:rPr>
        <w:t>或法定代表人授权委托书（格式见附件）；</w:t>
      </w:r>
    </w:p>
    <w:p w14:paraId="246D9E1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（2）投标人诚信投标承诺书（格式见附件）； </w:t>
      </w:r>
    </w:p>
    <w:p w14:paraId="345C13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（3）营业执照</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p>
    <w:p w14:paraId="614FCF6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投标声明书</w:t>
      </w:r>
      <w:r>
        <w:rPr>
          <w:rFonts w:hint="eastAsia" w:ascii="宋体" w:hAnsi="宋体" w:eastAsia="宋体" w:cs="宋体"/>
          <w:b w:val="0"/>
          <w:bCs/>
          <w:color w:val="000000" w:themeColor="text1"/>
          <w:sz w:val="24"/>
          <w:szCs w:val="24"/>
          <w:highlight w:val="none"/>
          <w14:textFill>
            <w14:solidFill>
              <w14:schemeClr w14:val="tx1"/>
            </w14:solidFill>
          </w14:textFill>
        </w:rPr>
        <w:t>（格式见附件）；</w:t>
      </w:r>
    </w:p>
    <w:p w14:paraId="5F76DE4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技术标</w:t>
      </w:r>
    </w:p>
    <w:p w14:paraId="48E6F7D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14:textFill>
            <w14:solidFill>
              <w14:schemeClr w14:val="tx1"/>
            </w14:solidFill>
          </w14:textFill>
        </w:rPr>
        <w:t>）业绩一览表（格式见附件，如有）；</w:t>
      </w:r>
    </w:p>
    <w:p w14:paraId="54C7FD7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）质保期承诺表（</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格式详见附件</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6EBB8AB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）投标人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根据评标办法编制技术标</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359A4DA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（4）样品（如有）；</w:t>
      </w:r>
    </w:p>
    <w:tbl>
      <w:tblPr>
        <w:tblStyle w:val="38"/>
        <w:tblW w:w="85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4"/>
        <w:gridCol w:w="3945"/>
        <w:gridCol w:w="3639"/>
      </w:tblGrid>
      <w:tr w14:paraId="423B5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954" w:type="dxa"/>
            <w:noWrap w:val="0"/>
            <w:vAlign w:val="center"/>
          </w:tcPr>
          <w:p w14:paraId="6BD7AE88">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bookmarkStart w:id="14" w:name="_Toc6190"/>
            <w:r>
              <w:rPr>
                <w:rFonts w:hint="eastAsia" w:ascii="宋体" w:hAnsi="宋体" w:eastAsia="宋体" w:cs="宋体"/>
                <w:b w:val="0"/>
                <w:bCs w:val="0"/>
                <w:color w:val="auto"/>
                <w:sz w:val="24"/>
                <w:szCs w:val="24"/>
                <w:highlight w:val="none"/>
                <w:lang w:eastAsia="zh-CN"/>
              </w:rPr>
              <w:t>序号</w:t>
            </w:r>
          </w:p>
        </w:tc>
        <w:tc>
          <w:tcPr>
            <w:tcW w:w="3945" w:type="dxa"/>
            <w:noWrap w:val="0"/>
            <w:vAlign w:val="center"/>
          </w:tcPr>
          <w:p w14:paraId="7AF0F5C5">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产品类型</w:t>
            </w:r>
          </w:p>
        </w:tc>
        <w:tc>
          <w:tcPr>
            <w:tcW w:w="3639" w:type="dxa"/>
            <w:noWrap w:val="0"/>
            <w:vAlign w:val="center"/>
          </w:tcPr>
          <w:p w14:paraId="2C98D2D9">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成品样品大小要求</w:t>
            </w:r>
          </w:p>
        </w:tc>
      </w:tr>
      <w:tr w14:paraId="7B89F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954" w:type="dxa"/>
            <w:noWrap w:val="0"/>
            <w:vAlign w:val="center"/>
          </w:tcPr>
          <w:p w14:paraId="12375320">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p>
        </w:tc>
        <w:tc>
          <w:tcPr>
            <w:tcW w:w="3945" w:type="dxa"/>
            <w:noWrap w:val="0"/>
            <w:vAlign w:val="center"/>
          </w:tcPr>
          <w:p w14:paraId="1345E82F">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阿克明斯特地毯（公区）</w:t>
            </w:r>
          </w:p>
        </w:tc>
        <w:tc>
          <w:tcPr>
            <w:tcW w:w="3639" w:type="dxa"/>
            <w:noWrap w:val="0"/>
            <w:vAlign w:val="center"/>
          </w:tcPr>
          <w:p w14:paraId="4BDE2569">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≥50cm*50cm 一块</w:t>
            </w:r>
          </w:p>
        </w:tc>
      </w:tr>
      <w:tr w14:paraId="47C63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 w:hRule="atLeast"/>
          <w:jc w:val="center"/>
        </w:trPr>
        <w:tc>
          <w:tcPr>
            <w:tcW w:w="954" w:type="dxa"/>
            <w:noWrap w:val="0"/>
            <w:vAlign w:val="center"/>
          </w:tcPr>
          <w:p w14:paraId="498EB29B">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p>
        </w:tc>
        <w:tc>
          <w:tcPr>
            <w:tcW w:w="3945" w:type="dxa"/>
            <w:noWrap w:val="0"/>
            <w:vAlign w:val="center"/>
          </w:tcPr>
          <w:p w14:paraId="2A52664D">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阿克明斯特地毯（客房）</w:t>
            </w:r>
          </w:p>
        </w:tc>
        <w:tc>
          <w:tcPr>
            <w:tcW w:w="3639" w:type="dxa"/>
            <w:noWrap w:val="0"/>
            <w:vAlign w:val="center"/>
          </w:tcPr>
          <w:p w14:paraId="3315C184">
            <w:pPr>
              <w:pStyle w:val="20"/>
              <w:keepNext w:val="0"/>
              <w:keepLines w:val="0"/>
              <w:pageBreakBefore w:val="0"/>
              <w:kinsoku/>
              <w:wordWrap/>
              <w:overflowPunct/>
              <w:topLinePunct w:val="0"/>
              <w:bidi w:val="0"/>
              <w:snapToGrid w:val="0"/>
              <w:spacing w:before="0" w:beforeLines="0" w:after="0" w:afterLines="0" w:line="288" w:lineRule="auto"/>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≥50cm*50cm 一块</w:t>
            </w:r>
          </w:p>
        </w:tc>
      </w:tr>
    </w:tbl>
    <w:p w14:paraId="2C3E6CD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商务标</w:t>
      </w:r>
      <w:bookmarkEnd w:id="14"/>
    </w:p>
    <w:p w14:paraId="3742765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（1）开标一览表（格式见附件）；</w:t>
      </w:r>
    </w:p>
    <w:p w14:paraId="03F3ED5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）投标报价明细清单（格式见附件）；</w:t>
      </w:r>
    </w:p>
    <w:p w14:paraId="161F45A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val="0"/>
          <w:color w:val="000000" w:themeColor="text1"/>
          <w:sz w:val="24"/>
          <w:szCs w:val="24"/>
          <w:highlight w:val="none"/>
          <w14:textFill>
            <w14:solidFill>
              <w14:schemeClr w14:val="tx1"/>
            </w14:solidFill>
          </w14:textFill>
        </w:rPr>
        <w:t>）投标文件的语言及计量</w:t>
      </w:r>
    </w:p>
    <w:p w14:paraId="4EAA80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1、投标文件以及投标人与招标人就有关投标事宜的所有来往函电，均应以中文汉语书写。除签名、盖章、专用名称等特殊情形外，以中文汉语以外的文字表述的投标文件视同未提供。</w:t>
      </w:r>
    </w:p>
    <w:p w14:paraId="6D34591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2、投标计量单位，招标文件已有明确规定的，使用招标文件规定的计量单位；招标文件没有规定的，应采用中华人民共和国法定计量单位（货币单位：人民币元），否则视同未响应。</w:t>
      </w:r>
    </w:p>
    <w:p w14:paraId="229C96A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val="0"/>
          <w:color w:val="000000" w:themeColor="text1"/>
          <w:sz w:val="24"/>
          <w:szCs w:val="24"/>
          <w:highlight w:val="none"/>
          <w14:textFill>
            <w14:solidFill>
              <w14:schemeClr w14:val="tx1"/>
            </w14:solidFill>
          </w14:textFill>
        </w:rPr>
        <w:t>）投标报价</w:t>
      </w:r>
    </w:p>
    <w:p w14:paraId="0CCD3D1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1.投标报价应按招标文件中相关附表格式填写。</w:t>
      </w:r>
    </w:p>
    <w:p w14:paraId="140ACD6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▲2.投标报价是履行合同的最终价格，</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该费用</w:t>
      </w:r>
      <w:r>
        <w:rPr>
          <w:rFonts w:hint="eastAsia" w:ascii="宋体" w:hAnsi="宋体" w:eastAsia="宋体" w:cs="宋体"/>
          <w:b w:val="0"/>
          <w:bCs/>
          <w:color w:val="000000" w:themeColor="text1"/>
          <w:sz w:val="24"/>
          <w:szCs w:val="24"/>
          <w:highlight w:val="none"/>
          <w14:textFill>
            <w14:solidFill>
              <w14:schemeClr w14:val="tx1"/>
            </w14:solidFill>
          </w14:textFill>
        </w:rPr>
        <w:t>已包含本项目货物设计、原材料、成品制作、材料费、人工费、服务费、运输费、装卸、安装前的清洗费、保管费、安装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p w14:paraId="69CAFA1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▲3.投标文件只允许有一个报价，有选择的或有条件的报价将不予接受。</w:t>
      </w:r>
    </w:p>
    <w:p w14:paraId="0B512DF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val="0"/>
          <w:color w:val="000000" w:themeColor="text1"/>
          <w:sz w:val="24"/>
          <w:szCs w:val="24"/>
          <w:highlight w:val="none"/>
          <w14:textFill>
            <w14:solidFill>
              <w14:schemeClr w14:val="tx1"/>
            </w14:solidFill>
          </w14:textFill>
        </w:rPr>
        <w:t>）投标文件的有效期</w:t>
      </w:r>
    </w:p>
    <w:p w14:paraId="17B889A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▲1.自投标截止日起 90天投标文件应保持有效。中标人投标文件有效期延长至合同有效期。有效期不足的投标文件将被拒绝。</w:t>
      </w:r>
    </w:p>
    <w:p w14:paraId="647257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2.在特殊情况下，招标人可与投标人协商延长投标书的有效期，这种要求和答复均以书面形式进行。</w:t>
      </w:r>
    </w:p>
    <w:p w14:paraId="74E9D33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3.投标人可拒绝接受延期要求而不会导致投标保证金不被退回。同意延长有效期的投标人需要相应延长投标保证金的有效期，但不能修改投标文件内容。 </w:t>
      </w:r>
    </w:p>
    <w:p w14:paraId="27D6770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4.中标人的投标文件自开标之日起至合同履行完毕止均应保持有效。</w:t>
      </w:r>
    </w:p>
    <w:p w14:paraId="0262DB84">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val="0"/>
          <w:color w:val="000000" w:themeColor="text1"/>
          <w:sz w:val="24"/>
          <w:szCs w:val="24"/>
          <w:highlight w:val="none"/>
          <w14:textFill>
            <w14:solidFill>
              <w14:schemeClr w14:val="tx1"/>
            </w14:solidFill>
          </w14:textFill>
        </w:rPr>
        <w:t>）投标保证金</w:t>
      </w:r>
    </w:p>
    <w:p w14:paraId="04CAA58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1.投标人须按规定提交投标保证金。否则，其投标将被拒绝。</w:t>
      </w:r>
    </w:p>
    <w:p w14:paraId="67F5B10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2.保证金形式：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详见公告</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702249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3.保证金不计息。</w:t>
      </w:r>
    </w:p>
    <w:p w14:paraId="01E2706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4.投标人有下列情形之一的，投标保证金将不予退还：</w:t>
      </w:r>
    </w:p>
    <w:p w14:paraId="7703C02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（1）投标人在投标有效期内撤回投标文件的；</w:t>
      </w:r>
    </w:p>
    <w:p w14:paraId="6438FFE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（2）未按规定提交履约保证金的；</w:t>
      </w:r>
    </w:p>
    <w:p w14:paraId="1219FF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（3）投标人在投标过程中弄虚作假，提供虚假材料的；</w:t>
      </w:r>
    </w:p>
    <w:p w14:paraId="050DF3A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（4）中标人无正当理由不与采购单位签订合同的；</w:t>
      </w:r>
    </w:p>
    <w:p w14:paraId="08C1BA4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（5）将中标项目转让给他人或者在投标文件中未说明且未经招标人同意，将中标项目分包给他人的；</w:t>
      </w:r>
    </w:p>
    <w:p w14:paraId="6019660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（6）拒绝履行合同义务的；</w:t>
      </w:r>
    </w:p>
    <w:p w14:paraId="1B48F69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（7）有《关于印发&lt;台州市工程建设投标保函管理规定&gt;的通知》（台公管办〔2022〕2号）第十一条规定情形的。</w:t>
      </w:r>
    </w:p>
    <w:p w14:paraId="79E875B2">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5" w:name="_Toc9233"/>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val="0"/>
          <w:color w:val="000000" w:themeColor="text1"/>
          <w:sz w:val="24"/>
          <w:szCs w:val="24"/>
          <w:highlight w:val="none"/>
          <w14:textFill>
            <w14:solidFill>
              <w14:schemeClr w14:val="tx1"/>
            </w14:solidFill>
          </w14:textFill>
        </w:rPr>
        <w:t>）投标文件的签署和份数</w:t>
      </w:r>
      <w:bookmarkEnd w:id="15"/>
    </w:p>
    <w:p w14:paraId="44D41CE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1.投标人按本招标文件规定的要求使用电子投标文件，投标文件内容不完整、编排混乱导致投标文件被误读、漏读或者查找不到相关内容的，是投标人的责任。</w:t>
      </w:r>
    </w:p>
    <w:p w14:paraId="792C5AA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2.投标文件须由投标人在规定位置盖章并由法定代表人或法定代表人的授权委托人签署或盖章，投标人应写全称。</w:t>
      </w:r>
    </w:p>
    <w:p w14:paraId="06E322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3.投标文件不得涂改，若有修改错漏处，须加盖单位公章或者法定代表人或授权委托人签字或盖章。投标文件因字迹潦草或表达不清所引起的后果由投标人负责。</w:t>
      </w:r>
    </w:p>
    <w:p w14:paraId="42ABBDB5">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bookmarkStart w:id="16" w:name="_Toc1620"/>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val="0"/>
          <w:color w:val="000000" w:themeColor="text1"/>
          <w:sz w:val="24"/>
          <w:szCs w:val="24"/>
          <w:highlight w:val="none"/>
          <w14:textFill>
            <w14:solidFill>
              <w14:schemeClr w14:val="tx1"/>
            </w14:solidFill>
          </w14:textFill>
        </w:rPr>
        <w:t>）投标文件的包装、递交、修改和撤回</w:t>
      </w:r>
      <w:bookmarkEnd w:id="16"/>
    </w:p>
    <w:p w14:paraId="3E359AF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1.本工程采用电子投标，无需纸质投标文件；</w:t>
      </w:r>
    </w:p>
    <w:p w14:paraId="2F0D785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2.投标人应在投标截止时间前上传投标文件。逾期上传的或者未上传指定系统的，视为投标文件未送达。</w:t>
      </w:r>
    </w:p>
    <w:p w14:paraId="0E1BAE2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3.在规定的投标截止时间前，投标人可以修改或撤回已递交的电子投标文件；修改好后重新上传加密电子投标文件。</w:t>
      </w:r>
    </w:p>
    <w:p w14:paraId="6B4A8E7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4.在投标截止时间至投标有效期满之前，投标人不得撤回其投标文件，否则其投标担保将被没收。投标人已现场签到但未解密的，等同于撤回。</w:t>
      </w:r>
    </w:p>
    <w:p w14:paraId="5168ACC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val="0"/>
          <w:color w:val="000000" w:themeColor="text1"/>
          <w:sz w:val="24"/>
          <w:szCs w:val="24"/>
          <w:highlight w:val="none"/>
          <w14:textFill>
            <w14:solidFill>
              <w14:schemeClr w14:val="tx1"/>
            </w14:solidFill>
          </w14:textFill>
        </w:rPr>
        <w:t>）投标无效的情形</w:t>
      </w:r>
    </w:p>
    <w:p w14:paraId="63437C8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4B925B5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1.在符合性审查和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w:t>
      </w:r>
      <w:r>
        <w:rPr>
          <w:rFonts w:hint="eastAsia" w:ascii="宋体" w:hAnsi="宋体" w:eastAsia="宋体" w:cs="宋体"/>
          <w:b w:val="0"/>
          <w:bCs/>
          <w:color w:val="000000" w:themeColor="text1"/>
          <w:sz w:val="24"/>
          <w:szCs w:val="24"/>
          <w:highlight w:val="none"/>
          <w14:textFill>
            <w14:solidFill>
              <w14:schemeClr w14:val="tx1"/>
            </w14:solidFill>
          </w14:textFill>
        </w:rPr>
        <w:t>技术评审时，如发现下列情形之一的，投标文件将被视为无效：</w:t>
      </w:r>
    </w:p>
    <w:p w14:paraId="3216A4E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（1）资格证明文件不全的，或者不符合招标文件标明的资格要求的；</w:t>
      </w:r>
    </w:p>
    <w:p w14:paraId="6B050F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（2）投标文件在指定页面无法定代表人或授权委托人盖章或签字、未在指定页面盖公章；</w:t>
      </w:r>
    </w:p>
    <w:p w14:paraId="48E5154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（3）投标代表人未能出具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法人</w:t>
      </w:r>
      <w:r>
        <w:rPr>
          <w:rFonts w:hint="eastAsia" w:ascii="宋体" w:hAnsi="宋体" w:eastAsia="宋体" w:cs="宋体"/>
          <w:b w:val="0"/>
          <w:bCs/>
          <w:color w:val="000000" w:themeColor="text1"/>
          <w:sz w:val="24"/>
          <w:szCs w:val="24"/>
          <w:highlight w:val="none"/>
          <w14:textFill>
            <w14:solidFill>
              <w14:schemeClr w14:val="tx1"/>
            </w14:solidFill>
          </w14:textFill>
        </w:rPr>
        <w:t>身份证明或与法定代表人授权委托</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书</w:t>
      </w:r>
      <w:r>
        <w:rPr>
          <w:rFonts w:hint="eastAsia" w:ascii="宋体" w:hAnsi="宋体" w:eastAsia="宋体" w:cs="宋体"/>
          <w:b w:val="0"/>
          <w:bCs/>
          <w:color w:val="000000" w:themeColor="text1"/>
          <w:sz w:val="24"/>
          <w:szCs w:val="24"/>
          <w:highlight w:val="none"/>
          <w14:textFill>
            <w14:solidFill>
              <w14:schemeClr w14:val="tx1"/>
            </w14:solidFill>
          </w14:textFill>
        </w:rPr>
        <w:t xml:space="preserve">的； </w:t>
      </w:r>
    </w:p>
    <w:p w14:paraId="46B3029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（4）投标文件的实质性内容未使用中文表述、意思表述不明确、前后矛盾或者使用计量单位不符合招标文件要求的（经评标委员会认定并允许其当场更正的笔误除外）</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68E9726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（5）投标有效期、服务时间等条款不能满足招标文件要求的；</w:t>
      </w:r>
    </w:p>
    <w:p w14:paraId="4E7EABE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（6）未实质性响应招标文件要求或者投标文件有采购人不能接受的附加条件的；</w:t>
      </w:r>
    </w:p>
    <w:p w14:paraId="500A80C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（7）两家或两家以上投标单位上传投标文件的ip地址（或工程清单锁地址）相同</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b w:val="0"/>
          <w:bCs/>
          <w:color w:val="000000" w:themeColor="text1"/>
          <w:sz w:val="24"/>
          <w:szCs w:val="24"/>
          <w:highlight w:val="none"/>
          <w14:textFill>
            <w14:solidFill>
              <w14:schemeClr w14:val="tx1"/>
            </w14:solidFill>
          </w14:textFill>
        </w:rPr>
        <w:t>，视为串标行为，取消评标资格。</w:t>
      </w:r>
    </w:p>
    <w:p w14:paraId="24F0926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（8）投标文件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组成或格式</w:t>
      </w:r>
      <w:r>
        <w:rPr>
          <w:rFonts w:hint="eastAsia" w:ascii="宋体" w:hAnsi="宋体" w:eastAsia="宋体" w:cs="宋体"/>
          <w:b w:val="0"/>
          <w:bCs/>
          <w:color w:val="000000" w:themeColor="text1"/>
          <w:sz w:val="24"/>
          <w:szCs w:val="24"/>
          <w:highlight w:val="none"/>
          <w14:textFill>
            <w14:solidFill>
              <w14:schemeClr w14:val="tx1"/>
            </w14:solidFill>
          </w14:textFill>
        </w:rPr>
        <w:t>不符合招标文件要求的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4FD6B2A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（9）法律法规或规章规定属无效标情形的。</w:t>
      </w:r>
    </w:p>
    <w:p w14:paraId="37C33C0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2.在</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商务标</w:t>
      </w:r>
      <w:r>
        <w:rPr>
          <w:rFonts w:hint="eastAsia" w:ascii="宋体" w:hAnsi="宋体" w:eastAsia="宋体" w:cs="宋体"/>
          <w:b w:val="0"/>
          <w:bCs/>
          <w:color w:val="000000" w:themeColor="text1"/>
          <w:sz w:val="24"/>
          <w:szCs w:val="24"/>
          <w:highlight w:val="none"/>
          <w14:textFill>
            <w14:solidFill>
              <w14:schemeClr w14:val="tx1"/>
            </w14:solidFill>
          </w14:textFill>
        </w:rPr>
        <w:t>评审时，如发现下列情形之一的，投标文件将被视为无效：</w:t>
      </w:r>
    </w:p>
    <w:p w14:paraId="242893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（1）未采用人民币报价或者未按照招标文件标明的币种报价的；</w:t>
      </w:r>
    </w:p>
    <w:p w14:paraId="0066A8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（2）投标报价具有选择性，或者开标价格与投标文件承诺的优惠（折扣）价格不一致的；</w:t>
      </w:r>
    </w:p>
    <w:p w14:paraId="30670B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（3）投标文件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组成或格式</w:t>
      </w:r>
      <w:r>
        <w:rPr>
          <w:rFonts w:hint="eastAsia" w:ascii="宋体" w:hAnsi="宋体" w:eastAsia="宋体" w:cs="宋体"/>
          <w:b w:val="0"/>
          <w:bCs/>
          <w:color w:val="000000" w:themeColor="text1"/>
          <w:sz w:val="24"/>
          <w:szCs w:val="24"/>
          <w:highlight w:val="none"/>
          <w14:textFill>
            <w14:solidFill>
              <w14:schemeClr w14:val="tx1"/>
            </w14:solidFill>
          </w14:textFill>
        </w:rPr>
        <w:t>不符合招标文件要求的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24C5B6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投标报价高于最高投标限价的。</w:t>
      </w:r>
    </w:p>
    <w:p w14:paraId="6F40390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3.被拒绝的投标文件为无效。</w:t>
      </w:r>
    </w:p>
    <w:p w14:paraId="27FCC24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四、开标</w:t>
      </w:r>
    </w:p>
    <w:p w14:paraId="445FFE3E">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（一）开标</w:t>
      </w:r>
    </w:p>
    <w:p w14:paraId="0D3A647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投标人代表一律不参加现场开标，通过在线直播参与监督开标过程。直播网络地址：</w:t>
      </w:r>
      <w:r>
        <w:rPr>
          <w:rFonts w:hint="eastAsia" w:ascii="宋体" w:hAnsi="宋体" w:eastAsia="宋体" w:cs="宋体"/>
          <w:b w:val="0"/>
          <w:bCs/>
          <w:color w:val="000000" w:themeColor="text1"/>
          <w:sz w:val="24"/>
          <w:szCs w:val="24"/>
          <w:highlight w:val="none"/>
          <w14:textFill>
            <w14:solidFill>
              <w14:schemeClr w14:val="tx1"/>
            </w14:solidFill>
          </w14:textFill>
        </w:rPr>
        <w:fldChar w:fldCharType="begin"/>
      </w:r>
      <w:r>
        <w:rPr>
          <w:rFonts w:hint="eastAsia" w:ascii="宋体" w:hAnsi="宋体" w:eastAsia="宋体" w:cs="宋体"/>
          <w:b w:val="0"/>
          <w:bCs/>
          <w:color w:val="000000" w:themeColor="text1"/>
          <w:sz w:val="24"/>
          <w:szCs w:val="24"/>
          <w:highlight w:val="none"/>
          <w14:textFill>
            <w14:solidFill>
              <w14:schemeClr w14:val="tx1"/>
            </w14:solidFill>
          </w14:textFill>
        </w:rPr>
        <w:instrText xml:space="preserve"> HYPERLINK "http://www.tzwztb.com/live/" </w:instrText>
      </w:r>
      <w:r>
        <w:rPr>
          <w:rFonts w:hint="eastAsia" w:ascii="宋体" w:hAnsi="宋体" w:eastAsia="宋体" w:cs="宋体"/>
          <w:b w:val="0"/>
          <w:bCs/>
          <w:color w:val="000000" w:themeColor="text1"/>
          <w:sz w:val="24"/>
          <w:szCs w:val="24"/>
          <w:highlight w:val="none"/>
          <w14:textFill>
            <w14:solidFill>
              <w14:schemeClr w14:val="tx1"/>
            </w14:solidFill>
          </w14:textFill>
        </w:rPr>
        <w:fldChar w:fldCharType="separate"/>
      </w:r>
      <w:r>
        <w:rPr>
          <w:rFonts w:hint="eastAsia" w:ascii="宋体" w:hAnsi="宋体" w:eastAsia="宋体" w:cs="宋体"/>
          <w:b w:val="0"/>
          <w:bCs/>
          <w:color w:val="000000" w:themeColor="text1"/>
          <w:sz w:val="24"/>
          <w:szCs w:val="24"/>
          <w:highlight w:val="none"/>
          <w14:textFill>
            <w14:solidFill>
              <w14:schemeClr w14:val="tx1"/>
            </w14:solidFill>
          </w14:textFill>
        </w:rPr>
        <w:t>http://www.tzwztb.com/live/</w:t>
      </w:r>
      <w:r>
        <w:rPr>
          <w:rFonts w:hint="eastAsia" w:ascii="宋体" w:hAnsi="宋体" w:eastAsia="宋体" w:cs="宋体"/>
          <w:b w:val="0"/>
          <w:bCs/>
          <w:color w:val="000000" w:themeColor="text1"/>
          <w:sz w:val="24"/>
          <w:szCs w:val="24"/>
          <w:highlight w:val="none"/>
          <w14:textFill>
            <w14:solidFill>
              <w14:schemeClr w14:val="tx1"/>
            </w14:solidFill>
          </w14:textFill>
        </w:rPr>
        <w:fldChar w:fldCharType="end"/>
      </w:r>
      <w:r>
        <w:rPr>
          <w:rFonts w:hint="eastAsia" w:ascii="宋体" w:hAnsi="宋体" w:eastAsia="宋体" w:cs="宋体"/>
          <w:b w:val="0"/>
          <w:bCs/>
          <w:color w:val="000000" w:themeColor="text1"/>
          <w:sz w:val="24"/>
          <w:szCs w:val="24"/>
          <w:highlight w:val="none"/>
          <w14:textFill>
            <w14:solidFill>
              <w14:schemeClr w14:val="tx1"/>
            </w14:solidFill>
          </w14:textFill>
        </w:rPr>
        <w:t xml:space="preserve"> 。</w:t>
      </w:r>
    </w:p>
    <w:p w14:paraId="2BAD4E2F">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 开标程序：</w:t>
      </w:r>
    </w:p>
    <w:p w14:paraId="35502B6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1、开标由采购代理机构工作人员主持。</w:t>
      </w:r>
    </w:p>
    <w:p w14:paraId="68C4F4E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2、投标人可进行在线沟通。</w:t>
      </w:r>
    </w:p>
    <w:p w14:paraId="4DC2B35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3、评标委员会对投标文件符合性审查。</w:t>
      </w:r>
    </w:p>
    <w:p w14:paraId="6619B32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4、符合性审查完成后，评标委员会对</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进行评审，主持人宣告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评审无效投标人名称及理由，公布经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资格标、技术标</w:t>
      </w:r>
      <w:r>
        <w:rPr>
          <w:rFonts w:hint="eastAsia" w:ascii="宋体" w:hAnsi="宋体" w:eastAsia="宋体" w:cs="宋体"/>
          <w:b w:val="0"/>
          <w:bCs/>
          <w:color w:val="000000" w:themeColor="text1"/>
          <w:sz w:val="24"/>
          <w:szCs w:val="24"/>
          <w:highlight w:val="none"/>
          <w14:textFill>
            <w14:solidFill>
              <w14:schemeClr w14:val="tx1"/>
            </w14:solidFill>
          </w14:textFill>
        </w:rPr>
        <w:t>评审符合采购需求的投标人名单以及</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w:t>
      </w:r>
      <w:r>
        <w:rPr>
          <w:rFonts w:hint="eastAsia" w:ascii="宋体" w:hAnsi="宋体" w:eastAsia="宋体" w:cs="宋体"/>
          <w:b w:val="0"/>
          <w:bCs/>
          <w:color w:val="000000" w:themeColor="text1"/>
          <w:sz w:val="24"/>
          <w:szCs w:val="24"/>
          <w:highlight w:val="none"/>
          <w14:textFill>
            <w14:solidFill>
              <w14:schemeClr w14:val="tx1"/>
            </w14:solidFill>
          </w14:textFill>
        </w:rPr>
        <w:t>得分情况。</w:t>
      </w:r>
    </w:p>
    <w:p w14:paraId="4CE6D3C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5、开启各投标人商务标。</w:t>
      </w:r>
    </w:p>
    <w:p w14:paraId="39DD907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6、当场制作并打印开标记录表，由唱标人、记录人、监督人当场签字确认。唱标结束后，由评标委员会对报价的合理性、准确性等进行审查核实。</w:t>
      </w:r>
    </w:p>
    <w:p w14:paraId="1C2DEF5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7、评标结束后，主持人公布投标商务标得分、综合得分以及推荐中标候选人排序名单。</w:t>
      </w:r>
    </w:p>
    <w:p w14:paraId="6A5DA68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8、开标会议结束。</w:t>
      </w:r>
    </w:p>
    <w:p w14:paraId="3145A13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9、其他注意事项：</w:t>
      </w:r>
    </w:p>
    <w:p w14:paraId="551C58D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1）、投标开标当日，投标人不必抵达开标现场，通过台州湾新区小额工程电子交易平台不见面开标大厅参加开标会议，并根据需要使用开标系统与现场招标人进行互动交流、澄清、质疑等活动。未能在开标会议区内全程参与交互的，视为放弃交互和放弃对开评标全过程提疑的权利。 </w:t>
      </w:r>
    </w:p>
    <w:p w14:paraId="1ECF37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因投标人网络与电源不稳定、未按操作手册要求配置软硬件等自身原因，导致投标文件未在规定时间内上传，视为投标人放弃投标；因招标人原因或网上招投标平台发生故障等，导致无法按时完成投标文件解密或开、评标工作无法进行的，可根据实际情况相应延迟解密时间或调整开、评标时间。</w:t>
      </w:r>
    </w:p>
    <w:p w14:paraId="5A32E85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开评标全过程中，各投标人参与远程交互的授权委托人或法人代表应始终为同一个人，中途不得更换，在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CFBE2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重要事项说明：</w:t>
      </w:r>
    </w:p>
    <w:p w14:paraId="540F340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（1）开标项目的时间均以国家授时中心发布的时间为准。</w:t>
      </w:r>
    </w:p>
    <w:p w14:paraId="7834A1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（2）若投标人已申请多把CA锁，请注意使用差别。因ca锁使用错误引发的问题，由投标人自己负责。</w:t>
      </w:r>
    </w:p>
    <w:p w14:paraId="2A53C6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（3）如有疑问，请咨询平台技术服务电话：蔡先生，13454667697；王女士，</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13757680207</w:t>
      </w:r>
      <w:r>
        <w:rPr>
          <w:rFonts w:hint="eastAsia" w:ascii="宋体" w:hAnsi="宋体" w:eastAsia="宋体" w:cs="宋体"/>
          <w:b w:val="0"/>
          <w:bCs/>
          <w:color w:val="000000" w:themeColor="text1"/>
          <w:sz w:val="24"/>
          <w:szCs w:val="24"/>
          <w:highlight w:val="none"/>
          <w14:textFill>
            <w14:solidFill>
              <w14:schemeClr w14:val="tx1"/>
            </w14:solidFill>
          </w14:textFill>
        </w:rPr>
        <w:t>。QQ “台州湾新区小额工程交易平台交流”（群号：435057190），进行业务咨询。此群也作为不见面开标的备用远程交互群。</w:t>
      </w:r>
    </w:p>
    <w:p w14:paraId="2FBCF4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 异常情况处理：</w:t>
      </w:r>
    </w:p>
    <w:p w14:paraId="58232CF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39ADE88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1、电子交易平台发生故障而无法登录访问的；</w:t>
      </w:r>
    </w:p>
    <w:p w14:paraId="6F76828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2、电子交易平台应用或数据库出现错误，不能进行正常操作的；</w:t>
      </w:r>
    </w:p>
    <w:p w14:paraId="01D2342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3、电子交易平台发现严重安全漏洞，有潜在泄密危险的；</w:t>
      </w:r>
    </w:p>
    <w:p w14:paraId="44855E6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4、病毒发作导致不能进行正常操作的；</w:t>
      </w:r>
    </w:p>
    <w:p w14:paraId="65FC6D9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5、其他无法保证电子交易的公平、公正和安全的情况。</w:t>
      </w:r>
    </w:p>
    <w:p w14:paraId="35A922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出现前款规定情形，不影响采购公平、公正性的，采购组织机构可以待上述情形消除后继续组织电子交易活动。</w:t>
      </w:r>
    </w:p>
    <w:p w14:paraId="1724255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五、评标</w:t>
      </w:r>
    </w:p>
    <w:p w14:paraId="55888F47">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（一）组建评标委员会</w:t>
      </w:r>
    </w:p>
    <w:p w14:paraId="58437AD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评标由招标人依法组建的评标委员会负责。</w:t>
      </w:r>
    </w:p>
    <w:p w14:paraId="37E866E1">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（二）评标的方式</w:t>
      </w:r>
    </w:p>
    <w:p w14:paraId="725028F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本项目采用不公开方式评标，评标的依据为招标文件和投标文件。</w:t>
      </w:r>
    </w:p>
    <w:p w14:paraId="60EF569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（三）评标程序</w:t>
      </w:r>
    </w:p>
    <w:p w14:paraId="0F8F11D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1.形式审查</w:t>
      </w:r>
    </w:p>
    <w:p w14:paraId="79780F0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采购人代表和代理机构工作人员协助评标委员会对投标人的资格和投标文件的完整性、合法性等进行审查。</w:t>
      </w:r>
    </w:p>
    <w:p w14:paraId="6384894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2.实质审查与比较</w:t>
      </w:r>
    </w:p>
    <w:p w14:paraId="0ECE413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（1）评标委员会审查投标文件的实质性内容是否符合招标文件的实质性要求。</w:t>
      </w:r>
    </w:p>
    <w:p w14:paraId="42A9C4F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委员会将根据投标人的投标文件进行审查、核对,如有疑问,将对投标人进行询标,投标人要向评标委员会澄清有关问题,并最终以书面形式进行答复。投标人代表未到场或者拒绝澄清或者澄清的内容改变了投标文件的实质性内容的，评标委员会有权对该投标文件作出不利于投标人的评判。</w:t>
      </w:r>
    </w:p>
    <w:p w14:paraId="78B80F5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（3）代理机构工作人员协助评标委员会根据本项目的评分标准计算各投标人的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技术标、</w:t>
      </w:r>
      <w:r>
        <w:rPr>
          <w:rFonts w:hint="eastAsia" w:ascii="宋体" w:hAnsi="宋体" w:eastAsia="宋体" w:cs="宋体"/>
          <w:b w:val="0"/>
          <w:bCs/>
          <w:color w:val="000000" w:themeColor="text1"/>
          <w:sz w:val="24"/>
          <w:szCs w:val="24"/>
          <w:highlight w:val="none"/>
          <w14:textFill>
            <w14:solidFill>
              <w14:schemeClr w14:val="tx1"/>
            </w14:solidFill>
          </w14:textFill>
        </w:rPr>
        <w:t>商务报价得分。</w:t>
      </w:r>
    </w:p>
    <w:p w14:paraId="76BB4FE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（4）评标委员会完成评标后,评委对各部分得分汇总,计算出本项目最终得分。评标委员会按评标原则推荐中标候选人同时起草评标报告。</w:t>
      </w:r>
    </w:p>
    <w:p w14:paraId="71D22620">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（四）澄清问题的形式</w:t>
      </w:r>
    </w:p>
    <w:p w14:paraId="4619643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14:paraId="6C314F7F">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（五）错误修正</w:t>
      </w:r>
    </w:p>
    <w:p w14:paraId="18E48B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投标文件报价出现前后不一致的，除招标文件另有规定外，按照下列规定修正：</w:t>
      </w:r>
    </w:p>
    <w:p w14:paraId="22576FC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1、台州湾新区小额工程电子交易平台”上开启的投标报价与电子投标文件中开标一览表内容不一致的，以电子投标文件中开标一览表为准；</w:t>
      </w:r>
    </w:p>
    <w:p w14:paraId="0F3D116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2、投标文件中开标一览表内容与投标文件中相应内容不一致的，以开标一览表为准；</w:t>
      </w:r>
    </w:p>
    <w:p w14:paraId="09E1069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3、大写金额和小写金额不一致的，以大写金额为准；</w:t>
      </w:r>
    </w:p>
    <w:p w14:paraId="06DBC20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4、单价金额小数点或者百分比有明显错位的，以开标一览表的总价为准，并修改单价；</w:t>
      </w:r>
    </w:p>
    <w:p w14:paraId="383CCC4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5、总价金额与按单价汇总金额不一致的，以单价金额计算结果为准。</w:t>
      </w:r>
    </w:p>
    <w:p w14:paraId="06AB47A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同时出现两种以上不一致的，按照前款规定的顺序修正。修正应当采用书面形式，并加盖公章或者由法定代表人或其授权的代表签字确认。修正后的报价经投标人确认后产生约束力，投标人不确认的，其投标无效。</w:t>
      </w:r>
    </w:p>
    <w:p w14:paraId="628AE8E8">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（六）有下列情况之一的，本次招标作为废标处理，除采购任务取消外，由采购人重新组织招标：</w:t>
      </w:r>
    </w:p>
    <w:p w14:paraId="54CA2DC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1、符合专业条件的供应商或者对招标文件作实质响应的供应商不足三家，评标委员会认定投标明显缺乏竞争的；</w:t>
      </w:r>
    </w:p>
    <w:p w14:paraId="23389EB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2、出现影响采购公正的违法、违规行为的；</w:t>
      </w:r>
    </w:p>
    <w:p w14:paraId="6CA50C6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3、投标人的报价均超过了采购预算，采购人不能支付的；</w:t>
      </w:r>
    </w:p>
    <w:p w14:paraId="13221AA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4、因重大变故，采购任务取消的。</w:t>
      </w:r>
    </w:p>
    <w:p w14:paraId="6786EFE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（七）评标原则和评标办法</w:t>
      </w:r>
    </w:p>
    <w:p w14:paraId="48D5D6D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694B05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2、评标办法。具体评标内容及评分标准等详见《第四章：评标办法及评分标准》。</w:t>
      </w:r>
    </w:p>
    <w:p w14:paraId="2327F27B">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（八）评标过程的监控</w:t>
      </w:r>
    </w:p>
    <w:p w14:paraId="15D9612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本项目评标过程实行全程录音、录像监控，投标人在评标过程中所进行的试图影响评标结果的不公正活动，可能导致其投标被拒绝。</w:t>
      </w:r>
    </w:p>
    <w:p w14:paraId="33027D2C">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六、定标</w:t>
      </w:r>
    </w:p>
    <w:p w14:paraId="79FBE723">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一</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中标候选人公示</w:t>
      </w:r>
    </w:p>
    <w:p w14:paraId="657DD05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应当将评标委员会推荐的中标候选人在交易场所（发布招标公告的媒体上）进行公示，公示期不得少于3日（最后一日为工作日）。</w:t>
      </w:r>
    </w:p>
    <w:p w14:paraId="552C692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属于《中华人民共和国招标投标法实施条例》第二十二条、第四十四条、第五十四条规定事项投诉的，应当向</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（招标代理机构）提出（附相关有效证明材料），</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（招标代理机构）应给予答复。投标人对答复不服或认为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（招标代理机构）有违反有关规定及其他弄虚作假情形的，可在接到答复之日起3日内向相关机构书面申请核查，并提交相关材料。</w:t>
      </w:r>
    </w:p>
    <w:p w14:paraId="79B9498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涉及中标候选人投标资格等情形的，</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（招标代理机构）可以书面形式要求其进行澄清或说明。中标候选人应自收到书面通知之日起3日内进行澄清或说明。</w:t>
      </w:r>
    </w:p>
    <w:p w14:paraId="3A9EA3D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中标候选人有以下情形之一的，其资格无效：</w:t>
      </w:r>
    </w:p>
    <w:p w14:paraId="2F4691B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（1）投标资格不符合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招标公告第四条</w:t>
      </w:r>
      <w:r>
        <w:rPr>
          <w:rFonts w:hint="eastAsia" w:ascii="宋体" w:hAnsi="宋体" w:eastAsia="宋体" w:cs="宋体"/>
          <w:b w:val="0"/>
          <w:bCs/>
          <w:color w:val="000000" w:themeColor="text1"/>
          <w:sz w:val="24"/>
          <w:szCs w:val="24"/>
          <w:highlight w:val="none"/>
          <w14:textFill>
            <w14:solidFill>
              <w14:schemeClr w14:val="tx1"/>
            </w14:solidFill>
          </w14:textFill>
        </w:rPr>
        <w:t>规定的；</w:t>
      </w:r>
    </w:p>
    <w:p w14:paraId="43386E5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（2）投标人提供虚假材料骗取投标资格的；</w:t>
      </w:r>
    </w:p>
    <w:p w14:paraId="3F29394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招标文件</w:t>
      </w:r>
      <w:r>
        <w:rPr>
          <w:rFonts w:hint="eastAsia" w:ascii="宋体" w:hAnsi="宋体" w:eastAsia="宋体" w:cs="宋体"/>
          <w:b w:val="0"/>
          <w:bCs/>
          <w:color w:val="000000" w:themeColor="text1"/>
          <w:sz w:val="24"/>
          <w:szCs w:val="24"/>
          <w:highlight w:val="none"/>
          <w14:textFill>
            <w14:solidFill>
              <w14:schemeClr w14:val="tx1"/>
            </w14:solidFill>
          </w14:textFill>
        </w:rPr>
        <w:t>规定应作无效标处理的；</w:t>
      </w:r>
    </w:p>
    <w:p w14:paraId="323A34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（4）拒绝按本章第</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val="0"/>
          <w:bCs/>
          <w:color w:val="000000" w:themeColor="text1"/>
          <w:sz w:val="24"/>
          <w:szCs w:val="24"/>
          <w:highlight w:val="none"/>
          <w14:textFill>
            <w14:solidFill>
              <w14:schemeClr w14:val="tx1"/>
            </w14:solidFill>
          </w14:textFill>
        </w:rPr>
        <w:t>款</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3条</w:t>
      </w:r>
      <w:r>
        <w:rPr>
          <w:rFonts w:hint="eastAsia" w:ascii="宋体" w:hAnsi="宋体" w:eastAsia="宋体" w:cs="宋体"/>
          <w:b w:val="0"/>
          <w:bCs/>
          <w:color w:val="000000" w:themeColor="text1"/>
          <w:sz w:val="24"/>
          <w:szCs w:val="24"/>
          <w:highlight w:val="none"/>
          <w14:textFill>
            <w14:solidFill>
              <w14:schemeClr w14:val="tx1"/>
            </w14:solidFill>
          </w14:textFill>
        </w:rPr>
        <w:t>规定进行说明或不能合理说明理由的；</w:t>
      </w:r>
    </w:p>
    <w:p w14:paraId="6BBD37B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（5）法律法规规定作无效标处理的其它情形。</w:t>
      </w:r>
    </w:p>
    <w:p w14:paraId="4A3B287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bCs w:val="0"/>
          <w:color w:val="000000" w:themeColor="text1"/>
          <w:sz w:val="24"/>
          <w:szCs w:val="24"/>
          <w:highlight w:val="none"/>
          <w14:textFill>
            <w14:solidFill>
              <w14:schemeClr w14:val="tx1"/>
            </w14:solidFill>
          </w14:textFill>
        </w:rPr>
        <w:t>中标通知书</w:t>
      </w:r>
    </w:p>
    <w:p w14:paraId="3B4870E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1、招标人应当确定中标候选人为中标人。如涉及其他投标人资格无效的，评标结果不作调整。</w:t>
      </w:r>
    </w:p>
    <w:p w14:paraId="29609E8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中标候选人放弃中标，或者因不可抗力提出不能履行合同，或者因违反本章第7.1.4项规定造成其资格无效的，本次招标失败，重新组织招标。</w:t>
      </w:r>
    </w:p>
    <w:p w14:paraId="0C9F14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中标人确定后，</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应当向中标人发出《中标通知书》。</w:t>
      </w:r>
    </w:p>
    <w:p w14:paraId="3AF6773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在发出《中标通知书》的同时，应当将中标结果以书面形式通知所有未中标的投标人。</w:t>
      </w:r>
    </w:p>
    <w:p w14:paraId="427CC862">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4、《中标通知书》对</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招标人</w:t>
      </w:r>
      <w:r>
        <w:rPr>
          <w:rFonts w:hint="eastAsia" w:ascii="宋体" w:hAnsi="宋体" w:eastAsia="宋体" w:cs="宋体"/>
          <w:b w:val="0"/>
          <w:bCs/>
          <w:color w:val="000000" w:themeColor="text1"/>
          <w:sz w:val="24"/>
          <w:szCs w:val="24"/>
          <w:highlight w:val="none"/>
          <w14:textFill>
            <w14:solidFill>
              <w14:schemeClr w14:val="tx1"/>
            </w14:solidFill>
          </w14:textFill>
        </w:rPr>
        <w:t>和中标人具有法律约束力。《中标通知书》发出后，如中标人因违反法律法规规定而中标无效的，应承担相应的法律责任，本次招标失败，应重新组织招标。</w:t>
      </w:r>
    </w:p>
    <w:p w14:paraId="627CFBF6">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七、合同授予</w:t>
      </w:r>
    </w:p>
    <w:p w14:paraId="731FE639">
      <w:pPr>
        <w:keepNext w:val="0"/>
        <w:keepLines w:val="0"/>
        <w:pageBreakBefore w:val="0"/>
        <w:kinsoku/>
        <w:wordWrap/>
        <w:overflowPunct/>
        <w:topLinePunct w:val="0"/>
        <w:bidi w:val="0"/>
        <w:snapToGrid w:val="0"/>
        <w:spacing w:line="312" w:lineRule="auto"/>
        <w:ind w:firstLine="482" w:firstLineChars="200"/>
        <w:textAlignment w:val="auto"/>
        <w:outlineLvl w:val="1"/>
        <w:rPr>
          <w:rFonts w:hint="eastAsia" w:ascii="宋体" w:hAnsi="宋体" w:eastAsia="宋体" w:cs="宋体"/>
          <w:b/>
          <w:bCs w:val="0"/>
          <w:color w:val="000000" w:themeColor="text1"/>
          <w:sz w:val="24"/>
          <w:szCs w:val="24"/>
          <w:highlight w:val="none"/>
          <w14:textFill>
            <w14:solidFill>
              <w14:schemeClr w14:val="tx1"/>
            </w14:solidFill>
          </w14:textFill>
        </w:rPr>
      </w:pPr>
      <w:r>
        <w:rPr>
          <w:rFonts w:hint="eastAsia" w:ascii="宋体" w:hAnsi="宋体" w:eastAsia="宋体" w:cs="宋体"/>
          <w:b/>
          <w:bCs w:val="0"/>
          <w:color w:val="000000" w:themeColor="text1"/>
          <w:sz w:val="24"/>
          <w:szCs w:val="24"/>
          <w:highlight w:val="none"/>
          <w14:textFill>
            <w14:solidFill>
              <w14:schemeClr w14:val="tx1"/>
            </w14:solidFill>
          </w14:textFill>
        </w:rPr>
        <w:t>（一）签订合同</w:t>
      </w:r>
    </w:p>
    <w:p w14:paraId="4ABCD467">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1、采购人应当自中标通知书发出之日起30日内，按照招标文件和中标人投标文件的规定，与中标人签订书面合同。所签订的合同不得对招标文件确定的事项和中标人投标文件作实质性修改。</w:t>
      </w:r>
    </w:p>
    <w:p w14:paraId="152982D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2、采购人不得向中标人提出任何不合理的要求作为签订合同的条件。</w:t>
      </w:r>
    </w:p>
    <w:p w14:paraId="52BD649C">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3、中标供应商无故拖延、拒签合同的,投标保证金将不予退回并取消中标资格。</w:t>
      </w:r>
    </w:p>
    <w:p w14:paraId="6544B7F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中标供应商拒绝与采购人签订合同的，采购人可以按照评审报告推荐的中标候选人名单排序，确定下一候选人为中标供应商，也可以重新开展采购活动。同时，拒绝与采购人签订合同的供应商，由同级监管部门依法作出处理。</w:t>
      </w:r>
    </w:p>
    <w:p w14:paraId="0361637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5、询问或者质疑事项可能影响中标结果的，采购人应当暂停签订合同，已经签订合同的，应当中止履行合同（中标结果的质疑期为中标结果公告期限届满之日起七个工作日）。</w:t>
      </w:r>
    </w:p>
    <w:p w14:paraId="64747E40">
      <w:pPr>
        <w:pStyle w:val="20"/>
        <w:snapToGrid w:val="0"/>
        <w:spacing w:before="120" w:after="120" w:line="240" w:lineRule="auto"/>
        <w:ind w:firstLine="600" w:firstLineChars="200"/>
        <w:jc w:val="center"/>
        <w:outlineLvl w:val="0"/>
        <w:rPr>
          <w:rFonts w:hint="default" w:hAnsi="宋体"/>
          <w:color w:val="000000" w:themeColor="text1"/>
          <w:highlight w:val="none"/>
          <w14:textFill>
            <w14:solidFill>
              <w14:schemeClr w14:val="tx1"/>
            </w14:solidFill>
          </w14:textFill>
        </w:rPr>
      </w:pPr>
      <w:r>
        <w:rPr>
          <w:rFonts w:hAnsi="宋体"/>
          <w:b w:val="0"/>
          <w:color w:val="000000" w:themeColor="text1"/>
          <w:sz w:val="30"/>
          <w:szCs w:val="30"/>
          <w:highlight w:val="none"/>
          <w14:textFill>
            <w14:solidFill>
              <w14:schemeClr w14:val="tx1"/>
            </w14:solidFill>
          </w14:textFill>
        </w:rPr>
        <w:br w:type="page"/>
      </w:r>
      <w:r>
        <w:rPr>
          <w:rFonts w:hAnsi="宋体"/>
          <w:color w:val="000000" w:themeColor="text1"/>
          <w:sz w:val="30"/>
          <w:szCs w:val="30"/>
          <w:highlight w:val="none"/>
          <w14:textFill>
            <w14:solidFill>
              <w14:schemeClr w14:val="tx1"/>
            </w14:solidFill>
          </w14:textFill>
        </w:rPr>
        <w:t xml:space="preserve"> </w:t>
      </w:r>
      <w:bookmarkStart w:id="17" w:name="_Toc4790"/>
      <w:r>
        <w:rPr>
          <w:rFonts w:hAnsi="宋体"/>
          <w:color w:val="000000" w:themeColor="text1"/>
          <w:sz w:val="30"/>
          <w:szCs w:val="30"/>
          <w:highlight w:val="none"/>
          <w14:textFill>
            <w14:solidFill>
              <w14:schemeClr w14:val="tx1"/>
            </w14:solidFill>
          </w14:textFill>
        </w:rPr>
        <w:t>第四章  评标办法及评分标准</w:t>
      </w:r>
      <w:bookmarkEnd w:id="17"/>
    </w:p>
    <w:p w14:paraId="3BDF3BC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一、总则</w:t>
      </w:r>
    </w:p>
    <w:p w14:paraId="4E491F6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评标工作应遵循公开、公平、公正、科学、择优原则，科学、严谨的态度，认真进行评标，推进技术进步，确保工程质量、</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供货</w:t>
      </w:r>
      <w:r>
        <w:rPr>
          <w:rFonts w:hint="eastAsia" w:ascii="宋体" w:hAnsi="宋体" w:eastAsia="宋体" w:cs="宋体"/>
          <w:b w:val="0"/>
          <w:bCs/>
          <w:color w:val="000000" w:themeColor="text1"/>
          <w:sz w:val="24"/>
          <w:szCs w:val="24"/>
          <w:highlight w:val="none"/>
          <w14:textFill>
            <w14:solidFill>
              <w14:schemeClr w14:val="tx1"/>
            </w14:solidFill>
          </w14:textFill>
        </w:rPr>
        <w:t>期，节约投资，最大限度地保护当事人权益。严格按照招标文件的商务、技术要求，对投标文件进行评定，编写评标报告。对落标单位，评委会不作任何落标解释。投标供应商不得以任何方式干扰招投标工作的进行，一经发现其投标文件将被拒绝。</w:t>
      </w:r>
    </w:p>
    <w:p w14:paraId="5DDFB32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二、评标内容及标准</w:t>
      </w:r>
    </w:p>
    <w:p w14:paraId="390BA93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（一）资格审查：</w:t>
      </w:r>
    </w:p>
    <w:p w14:paraId="4C0937A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评标委员会按照招标文件载明的资格后审条款，对投标人的企业资质、投标文件组成等进行审查，凡不符合资格后审要求的，以无效标处理，不再进入下一阶段评审。</w:t>
      </w:r>
    </w:p>
    <w:p w14:paraId="5DAAD9F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技术标评审（</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14:textFill>
            <w14:solidFill>
              <w14:schemeClr w14:val="tx1"/>
            </w14:solidFill>
          </w14:textFill>
        </w:rPr>
        <w:t>0分）</w:t>
      </w:r>
    </w:p>
    <w:p w14:paraId="34F96AC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（1）评审步骤</w:t>
      </w:r>
    </w:p>
    <w:p w14:paraId="78838C39">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在所有经评审的有效投标文件（S家）中，评标委员会成员针对投标人的技术标进行独立评审。具体评分步骤如下：</w:t>
      </w:r>
    </w:p>
    <w:p w14:paraId="6D3A7D5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1、评标委员会成员视其科学性、针对性、可行性、先进性、完善程度对投标人的技术标给出评审意见。</w:t>
      </w:r>
    </w:p>
    <w:p w14:paraId="46B899A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2、评标委员会成员按技术评分标准，经评标委员会讨论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统一</w:t>
      </w:r>
      <w:r>
        <w:rPr>
          <w:rFonts w:hint="eastAsia" w:ascii="宋体" w:hAnsi="宋体" w:eastAsia="宋体" w:cs="宋体"/>
          <w:b w:val="0"/>
          <w:bCs/>
          <w:color w:val="000000" w:themeColor="text1"/>
          <w:sz w:val="24"/>
          <w:szCs w:val="24"/>
          <w:highlight w:val="none"/>
          <w14:textFill>
            <w14:solidFill>
              <w14:schemeClr w14:val="tx1"/>
            </w14:solidFill>
          </w14:textFill>
        </w:rPr>
        <w:t>类别后，然后在该类别的分值范围内由评标委员会成员分别打分（小数点后保留1位），评标委员会成员对应的合计得分的平均值作为投标人技术标的得分（小数点后保留2位，第3位四舍五入）。如对某项类别划档意见分歧较大的，可以记名投票方式确定。</w:t>
      </w:r>
    </w:p>
    <w:p w14:paraId="2FC1E8FE">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评标委员会按投标人技术标得分从高到低进行排名。如此时3≤S≤6时，所有经评审有效投标人的技术标均予以通过，其投标文件进入下一阶段评审；如此时S＞6时，取排名前六的投标人进入下一阶段评审（若有投标人得分与第六名并列时，则一并进入下一阶段评审），剩余投标人予以淘汰，其投标文件不再进入下一阶段评审，投标文件作无效标处理。</w:t>
      </w:r>
    </w:p>
    <w:tbl>
      <w:tblPr>
        <w:tblStyle w:val="37"/>
        <w:tblW w:w="51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188"/>
        <w:gridCol w:w="833"/>
        <w:gridCol w:w="6926"/>
      </w:tblGrid>
      <w:tr w14:paraId="24F9B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5763B8E6">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技术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标</w:t>
            </w:r>
            <w:r>
              <w:rPr>
                <w:rFonts w:hint="eastAsia" w:ascii="宋体" w:hAnsi="宋体" w:eastAsia="宋体" w:cs="宋体"/>
                <w:b w:val="0"/>
                <w:bCs/>
                <w:color w:val="000000" w:themeColor="text1"/>
                <w:sz w:val="24"/>
                <w:szCs w:val="24"/>
                <w:highlight w:val="none"/>
                <w14:textFill>
                  <w14:solidFill>
                    <w14:schemeClr w14:val="tx1"/>
                  </w14:solidFill>
                </w14:textFill>
              </w:rPr>
              <w:t>评审</w:t>
            </w:r>
          </w:p>
        </w:tc>
      </w:tr>
      <w:tr w14:paraId="2C71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7AAA57B5">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序号</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1605851">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评分内容</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394213B7">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分值</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316D35C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  分  标  准</w:t>
            </w:r>
          </w:p>
        </w:tc>
      </w:tr>
      <w:tr w14:paraId="6BD4A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0" w:type="pct"/>
            <w:tcBorders>
              <w:top w:val="single" w:color="auto" w:sz="4" w:space="0"/>
              <w:left w:val="single" w:color="auto" w:sz="4" w:space="0"/>
              <w:right w:val="single" w:color="auto" w:sz="4" w:space="0"/>
            </w:tcBorders>
            <w:noWrap w:val="0"/>
            <w:vAlign w:val="center"/>
          </w:tcPr>
          <w:p w14:paraId="2F91C7FA">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w:t>
            </w:r>
          </w:p>
        </w:tc>
        <w:tc>
          <w:tcPr>
            <w:tcW w:w="615" w:type="pct"/>
            <w:tcBorders>
              <w:top w:val="single" w:color="auto" w:sz="4" w:space="0"/>
              <w:left w:val="single" w:color="auto" w:sz="4" w:space="0"/>
              <w:right w:val="single" w:color="auto" w:sz="4" w:space="0"/>
            </w:tcBorders>
            <w:noWrap w:val="0"/>
            <w:vAlign w:val="center"/>
          </w:tcPr>
          <w:p w14:paraId="76EBD809">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产品相关认证及检测</w:t>
            </w:r>
          </w:p>
        </w:tc>
        <w:tc>
          <w:tcPr>
            <w:tcW w:w="431" w:type="pct"/>
            <w:tcBorders>
              <w:top w:val="single" w:color="auto" w:sz="4" w:space="0"/>
              <w:left w:val="single" w:color="auto" w:sz="4" w:space="0"/>
              <w:right w:val="single" w:color="auto" w:sz="4" w:space="0"/>
            </w:tcBorders>
            <w:noWrap w:val="0"/>
            <w:vAlign w:val="center"/>
          </w:tcPr>
          <w:p w14:paraId="5D07546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1467D516">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提供</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所投</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产品厂家</w:t>
            </w:r>
            <w:r>
              <w:rPr>
                <w:rFonts w:hint="eastAsia" w:ascii="宋体" w:hAnsi="宋体" w:eastAsia="宋体" w:cs="宋体"/>
                <w:b w:val="0"/>
                <w:bCs/>
                <w:color w:val="000000" w:themeColor="text1"/>
                <w:sz w:val="24"/>
                <w:szCs w:val="24"/>
                <w:highlight w:val="none"/>
                <w14:textFill>
                  <w14:solidFill>
                    <w14:schemeClr w14:val="tx1"/>
                  </w14:solidFill>
                </w14:textFill>
              </w:rPr>
              <w:t>有效的环境管理体系认证证书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质量保证体系认证证书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职业健康安全管理体系认证证书（需提供证书</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扫描件并加盖公章</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每提供1项得1分，该项满分为3分。</w:t>
            </w:r>
          </w:p>
        </w:tc>
      </w:tr>
      <w:tr w14:paraId="51AA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jc w:val="center"/>
        </w:trPr>
        <w:tc>
          <w:tcPr>
            <w:tcW w:w="370" w:type="pct"/>
            <w:tcBorders>
              <w:top w:val="single" w:color="auto" w:sz="4" w:space="0"/>
              <w:left w:val="single" w:color="auto" w:sz="4" w:space="0"/>
              <w:right w:val="single" w:color="auto" w:sz="4" w:space="0"/>
            </w:tcBorders>
            <w:noWrap w:val="0"/>
            <w:vAlign w:val="center"/>
          </w:tcPr>
          <w:p w14:paraId="28B277F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p>
        </w:tc>
        <w:tc>
          <w:tcPr>
            <w:tcW w:w="615" w:type="pct"/>
            <w:tcBorders>
              <w:top w:val="single" w:color="auto" w:sz="4" w:space="0"/>
              <w:left w:val="single" w:color="auto" w:sz="4" w:space="0"/>
              <w:right w:val="single" w:color="auto" w:sz="4" w:space="0"/>
            </w:tcBorders>
            <w:noWrap w:val="0"/>
            <w:vAlign w:val="center"/>
          </w:tcPr>
          <w:p w14:paraId="40A2B662">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类似项目业绩</w:t>
            </w:r>
          </w:p>
        </w:tc>
        <w:tc>
          <w:tcPr>
            <w:tcW w:w="431" w:type="pct"/>
            <w:tcBorders>
              <w:top w:val="single" w:color="auto" w:sz="4" w:space="0"/>
              <w:left w:val="single" w:color="auto" w:sz="4" w:space="0"/>
              <w:right w:val="single" w:color="auto" w:sz="4" w:space="0"/>
            </w:tcBorders>
            <w:noWrap w:val="0"/>
            <w:vAlign w:val="center"/>
          </w:tcPr>
          <w:p w14:paraId="03E6B403">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6</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538B8FE2">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提供投标人自2021年1月1日(以合同签订时间为准)以来承接过单个项目金额在</w:t>
            </w:r>
            <w:r>
              <w:rPr>
                <w:rFonts w:hint="eastAsia" w:ascii="宋体" w:hAnsi="宋体" w:cs="宋体"/>
                <w:b w:val="0"/>
                <w:bCs/>
                <w:color w:val="000000" w:themeColor="text1"/>
                <w:sz w:val="24"/>
                <w:szCs w:val="24"/>
                <w:highlight w:val="none"/>
                <w:lang w:val="en-US" w:eastAsia="zh-CN"/>
                <w14:textFill>
                  <w14:solidFill>
                    <w14:schemeClr w14:val="tx1"/>
                  </w14:solidFill>
                </w14:textFill>
              </w:rPr>
              <w:t>60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万元及以上的类似本项目采购内容的供货业绩。每提供1个业绩得2分，该项满分为6分。</w:t>
            </w:r>
          </w:p>
          <w:p w14:paraId="7422C08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业绩评分要求说明：</w:t>
            </w:r>
          </w:p>
          <w:p w14:paraId="58163F9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1.提供供货合同业绩材料清晰扫描件，否则该业绩不予认可；</w:t>
            </w:r>
          </w:p>
          <w:p w14:paraId="6625405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2.以合同签订时间为准，未能体现签订时间该业绩不予认可；</w:t>
            </w:r>
          </w:p>
          <w:p w14:paraId="57C158E4">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3.金额以签约合同价为准，未能体现签约合同价的该业绩不予认可；</w:t>
            </w:r>
          </w:p>
          <w:p w14:paraId="0F309CEE">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业绩材料中供货方的单位名称必须与投标人名称一致[投标人法人机构发生合法变更或重组或法人名称变更时，应提供相关部门的合法批件或其他相关证明材料的扫描件，证明其所附业绩的继承性]，否则该业绩不予认可；</w:t>
            </w:r>
          </w:p>
          <w:p w14:paraId="07C51DFA">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5.提供该合同任意一次对应的发票及该发票对应的银行出具的凭证（如银行回单、银行承兑汇票等），否则该业绩不予认可。</w:t>
            </w:r>
          </w:p>
        </w:tc>
      </w:tr>
      <w:tr w14:paraId="5E483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370" w:type="pct"/>
            <w:tcBorders>
              <w:left w:val="single" w:color="auto" w:sz="4" w:space="0"/>
              <w:right w:val="single" w:color="auto" w:sz="4" w:space="0"/>
            </w:tcBorders>
            <w:noWrap w:val="0"/>
            <w:vAlign w:val="center"/>
          </w:tcPr>
          <w:p w14:paraId="790A257E">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615" w:type="pct"/>
            <w:tcBorders>
              <w:left w:val="single" w:color="auto" w:sz="4" w:space="0"/>
              <w:right w:val="single" w:color="auto" w:sz="4" w:space="0"/>
            </w:tcBorders>
            <w:noWrap w:val="0"/>
            <w:vAlign w:val="center"/>
          </w:tcPr>
          <w:p w14:paraId="4F295821">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综合实力</w:t>
            </w:r>
          </w:p>
        </w:tc>
        <w:tc>
          <w:tcPr>
            <w:tcW w:w="431" w:type="pct"/>
            <w:tcBorders>
              <w:top w:val="single" w:color="auto" w:sz="4" w:space="0"/>
              <w:left w:val="single" w:color="auto" w:sz="4" w:space="0"/>
              <w:right w:val="single" w:color="auto" w:sz="4" w:space="0"/>
            </w:tcBorders>
            <w:noWrap w:val="0"/>
            <w:vAlign w:val="center"/>
          </w:tcPr>
          <w:p w14:paraId="127DE736">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00C83385">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根据所投产品厂家的综合实力进行横向评定。</w:t>
            </w:r>
          </w:p>
          <w:p w14:paraId="7DC7AC82">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一类：5.0～4.0；二类：3.9～3.0；三类：2.9～1.0。</w:t>
            </w:r>
          </w:p>
        </w:tc>
      </w:tr>
      <w:tr w14:paraId="28B65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7BCD775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4</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C5DAA2A">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生产加工及</w:t>
            </w:r>
            <w:r>
              <w:rPr>
                <w:rFonts w:hint="eastAsia" w:ascii="宋体" w:hAnsi="宋体" w:eastAsia="宋体" w:cs="宋体"/>
                <w:b w:val="0"/>
                <w:bCs/>
                <w:color w:val="000000" w:themeColor="text1"/>
                <w:sz w:val="24"/>
                <w:szCs w:val="24"/>
                <w:highlight w:val="none"/>
                <w14:textFill>
                  <w14:solidFill>
                    <w14:schemeClr w14:val="tx1"/>
                  </w14:solidFill>
                </w14:textFill>
              </w:rPr>
              <w:t>供货方案</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78D4E47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644A6FF4">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投标人根据本项实际情况，从生产、加工、制造工艺控制、质量控制、运输保障及供货时间等方面编写方案，专家根据实际情况横向评定。</w:t>
            </w:r>
          </w:p>
          <w:p w14:paraId="41FB57DB">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一类：5.0～4.0；二类：3.9～3.0；三类：2.9～1.0。</w:t>
            </w:r>
          </w:p>
        </w:tc>
      </w:tr>
      <w:tr w14:paraId="303E3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0" w:type="pct"/>
            <w:tcBorders>
              <w:top w:val="single" w:color="auto" w:sz="4" w:space="0"/>
              <w:left w:val="single" w:color="auto" w:sz="4" w:space="0"/>
              <w:bottom w:val="single" w:color="auto" w:sz="4" w:space="0"/>
              <w:right w:val="single" w:color="auto" w:sz="4" w:space="0"/>
            </w:tcBorders>
            <w:noWrap w:val="0"/>
            <w:vAlign w:val="center"/>
          </w:tcPr>
          <w:p w14:paraId="019D28B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5</w:t>
            </w:r>
          </w:p>
        </w:tc>
        <w:tc>
          <w:tcPr>
            <w:tcW w:w="615" w:type="pct"/>
            <w:tcBorders>
              <w:top w:val="single" w:color="auto" w:sz="4" w:space="0"/>
              <w:left w:val="single" w:color="auto" w:sz="4" w:space="0"/>
              <w:bottom w:val="single" w:color="auto" w:sz="4" w:space="0"/>
              <w:right w:val="single" w:color="auto" w:sz="4" w:space="0"/>
            </w:tcBorders>
            <w:noWrap w:val="0"/>
            <w:vAlign w:val="center"/>
          </w:tcPr>
          <w:p w14:paraId="3F85A867">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质保</w:t>
            </w:r>
          </w:p>
        </w:tc>
        <w:tc>
          <w:tcPr>
            <w:tcW w:w="431" w:type="pct"/>
            <w:tcBorders>
              <w:top w:val="single" w:color="auto" w:sz="4" w:space="0"/>
              <w:left w:val="single" w:color="auto" w:sz="4" w:space="0"/>
              <w:bottom w:val="single" w:color="auto" w:sz="4" w:space="0"/>
              <w:right w:val="single" w:color="auto" w:sz="4" w:space="0"/>
            </w:tcBorders>
            <w:noWrap w:val="0"/>
            <w:vAlign w:val="center"/>
          </w:tcPr>
          <w:p w14:paraId="6996C098">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w:t>
            </w:r>
          </w:p>
        </w:tc>
        <w:tc>
          <w:tcPr>
            <w:tcW w:w="3582" w:type="pct"/>
            <w:tcBorders>
              <w:top w:val="single" w:color="auto" w:sz="4" w:space="0"/>
              <w:left w:val="single" w:color="auto" w:sz="4" w:space="0"/>
              <w:bottom w:val="single" w:color="auto" w:sz="4" w:space="0"/>
              <w:right w:val="single" w:color="auto" w:sz="4" w:space="0"/>
            </w:tcBorders>
            <w:noWrap w:val="0"/>
            <w:vAlign w:val="center"/>
          </w:tcPr>
          <w:p w14:paraId="6CDDDF19">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本项目质量保证期最低为2年，每增加1年得1分，最高得3分。</w:t>
            </w:r>
          </w:p>
          <w:p w14:paraId="62D5805A">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注：技术标中未承诺或承诺时间少于2年的，均按2年计。</w:t>
            </w:r>
          </w:p>
        </w:tc>
      </w:tr>
      <w:tr w14:paraId="1F11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370"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DB66D5D">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6</w:t>
            </w:r>
          </w:p>
        </w:tc>
        <w:tc>
          <w:tcPr>
            <w:tcW w:w="615"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128A2C1B">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样品工艺、质量</w:t>
            </w:r>
          </w:p>
        </w:tc>
        <w:tc>
          <w:tcPr>
            <w:tcW w:w="431"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8A5B55C">
            <w:pPr>
              <w:keepNext w:val="0"/>
              <w:keepLines w:val="0"/>
              <w:pageBreakBefore w:val="0"/>
              <w:kinsoku/>
              <w:wordWrap/>
              <w:overflowPunct/>
              <w:topLinePunct w:val="0"/>
              <w:bidi w:val="0"/>
              <w:snapToGrid w:val="0"/>
              <w:spacing w:line="312" w:lineRule="auto"/>
              <w:jc w:val="center"/>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8</w:t>
            </w:r>
          </w:p>
        </w:tc>
        <w:tc>
          <w:tcPr>
            <w:tcW w:w="3582" w:type="pct"/>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2B6E89B1">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根据投标人提供样品的色泽、样式纹路、制作工艺、材料重量等：</w:t>
            </w:r>
          </w:p>
          <w:p w14:paraId="0CCFA60C">
            <w:pPr>
              <w:keepNext w:val="0"/>
              <w:keepLines w:val="0"/>
              <w:pageBreakBefore w:val="0"/>
              <w:kinsoku/>
              <w:wordWrap/>
              <w:overflowPunct/>
              <w:topLinePunct w:val="0"/>
              <w:bidi w:val="0"/>
              <w:snapToGrid w:val="0"/>
              <w:spacing w:line="312" w:lineRule="auto"/>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地毯</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：根据面料的手感舒适度、面料编织平整均匀度（如面料平整度、触感、抗皱性、遮光效果）等横向比较打分</w:t>
            </w:r>
            <w:r>
              <w:rPr>
                <w:rFonts w:hint="eastAsia" w:ascii="宋体" w:hAnsi="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一类：</w:t>
            </w:r>
            <w:r>
              <w:rPr>
                <w:rFonts w:hint="eastAsia" w:ascii="宋体" w:hAnsi="宋体" w:cs="宋体"/>
                <w:b w:val="0"/>
                <w:bCs/>
                <w:color w:val="000000" w:themeColor="text1"/>
                <w:sz w:val="24"/>
                <w:szCs w:val="24"/>
                <w:highlight w:val="none"/>
                <w:lang w:val="en-US" w:eastAsia="zh-CN"/>
                <w14:textFill>
                  <w14:solidFill>
                    <w14:schemeClr w14:val="tx1"/>
                  </w14:solidFill>
                </w14:textFill>
              </w:rPr>
              <w:t>8.0</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cs="宋体"/>
                <w:b w:val="0"/>
                <w:bCs/>
                <w:color w:val="000000" w:themeColor="text1"/>
                <w:sz w:val="24"/>
                <w:szCs w:val="24"/>
                <w:highlight w:val="none"/>
                <w:lang w:val="en-US" w:eastAsia="zh-CN"/>
                <w14:textFill>
                  <w14:solidFill>
                    <w14:schemeClr w14:val="tx1"/>
                  </w14:solidFill>
                </w14:textFill>
              </w:rPr>
              <w:t>5.5</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；二类：</w:t>
            </w:r>
            <w:r>
              <w:rPr>
                <w:rFonts w:hint="eastAsia" w:ascii="宋体" w:hAnsi="宋体" w:cs="宋体"/>
                <w:b w:val="0"/>
                <w:bCs/>
                <w:color w:val="000000" w:themeColor="text1"/>
                <w:sz w:val="24"/>
                <w:szCs w:val="24"/>
                <w:highlight w:val="none"/>
                <w:lang w:val="en-US" w:eastAsia="zh-CN"/>
                <w14:textFill>
                  <w14:solidFill>
                    <w14:schemeClr w14:val="tx1"/>
                  </w14:solidFill>
                </w14:textFill>
              </w:rPr>
              <w:t>5.4</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～3.0；三类：2.9～1.0。</w:t>
            </w:r>
          </w:p>
        </w:tc>
      </w:tr>
    </w:tbl>
    <w:p w14:paraId="3FB37884">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（三）商务标评定分值为</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0分。（以下除注明外，计算结果小数点后保留2位，第3位四舍五入）。</w:t>
      </w:r>
    </w:p>
    <w:p w14:paraId="0F753FBF">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1）取所有有效报价的平均价作为评标基准价（通过商务标符合性审查的投标报价=3家，按所有有效投标报价的算术平均值作为评标基准价；通过商务标符合性审查的投标报价=4家，去掉有效投标报价中的最高的一个报价后，取剩余有效投标报价的的算术平均值作为评标基准价；通过商务标符合性审查的投标报价≥5家，去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一家</w:t>
      </w:r>
      <w:r>
        <w:rPr>
          <w:rFonts w:hint="eastAsia" w:ascii="宋体" w:hAnsi="宋体" w:eastAsia="宋体" w:cs="宋体"/>
          <w:b w:val="0"/>
          <w:bCs/>
          <w:color w:val="000000" w:themeColor="text1"/>
          <w:sz w:val="24"/>
          <w:szCs w:val="24"/>
          <w:highlight w:val="none"/>
          <w14:textFill>
            <w14:solidFill>
              <w14:schemeClr w14:val="tx1"/>
            </w14:solidFill>
          </w14:textFill>
        </w:rPr>
        <w:t>最高</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和一家</w:t>
      </w:r>
      <w:r>
        <w:rPr>
          <w:rFonts w:hint="eastAsia" w:ascii="宋体" w:hAnsi="宋体" w:eastAsia="宋体" w:cs="宋体"/>
          <w:b w:val="0"/>
          <w:bCs/>
          <w:color w:val="000000" w:themeColor="text1"/>
          <w:sz w:val="24"/>
          <w:szCs w:val="24"/>
          <w:highlight w:val="none"/>
          <w14:textFill>
            <w14:solidFill>
              <w14:schemeClr w14:val="tx1"/>
            </w14:solidFill>
          </w14:textFill>
        </w:rPr>
        <w:t>最</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低的有效投标报价</w:t>
      </w:r>
      <w:r>
        <w:rPr>
          <w:rFonts w:hint="eastAsia" w:ascii="宋体" w:hAnsi="宋体" w:eastAsia="宋体" w:cs="宋体"/>
          <w:b w:val="0"/>
          <w:bCs/>
          <w:color w:val="000000" w:themeColor="text1"/>
          <w:sz w:val="24"/>
          <w:szCs w:val="24"/>
          <w:highlight w:val="none"/>
          <w14:textFill>
            <w14:solidFill>
              <w14:schemeClr w14:val="tx1"/>
            </w14:solidFill>
          </w14:textFill>
        </w:rPr>
        <w:t>后，取剩余有效投标报价的算术平均值作为评标基准价）投标人的投标报价得分按下列方式计算：</w:t>
      </w:r>
    </w:p>
    <w:p w14:paraId="02B69B4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①投标评标价等于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时，得</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14:paraId="0E06B070">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②投标评标价每低于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1个百分点，扣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0.5</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14:textFill>
            <w14:solidFill>
              <w14:schemeClr w14:val="tx1"/>
            </w14:solidFill>
          </w14:textFill>
        </w:rPr>
        <w:t>即报价分=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color w:val="000000" w:themeColor="text1"/>
          <w:sz w:val="24"/>
          <w:szCs w:val="24"/>
          <w:highlight w:val="none"/>
          <w14:textFill>
            <w14:solidFill>
              <w14:schemeClr w14:val="tx1"/>
            </w14:solidFill>
          </w14:textFill>
        </w:rPr>
        <w:t>0-│（投标报价-评标基准价）│/评标基准价×100×0.5（报价得分计算结果小数点后保留2位，小数点后第3位四舍五入）</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w:t>
      </w:r>
    </w:p>
    <w:p w14:paraId="64C176C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③投标评标价每高于</w:t>
      </w:r>
      <w:r>
        <w:rPr>
          <w:rFonts w:hint="eastAsia" w:ascii="宋体" w:hAnsi="宋体" w:eastAsia="宋体" w:cs="宋体"/>
          <w:b w:val="0"/>
          <w:bCs/>
          <w:color w:val="000000" w:themeColor="text1"/>
          <w:sz w:val="24"/>
          <w:szCs w:val="24"/>
          <w:highlight w:val="none"/>
          <w14:textFill>
            <w14:solidFill>
              <w14:schemeClr w14:val="tx1"/>
            </w14:solidFill>
          </w14:textFill>
        </w:rPr>
        <w:t>评标基准价</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1个百分点，扣</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分，</w:t>
      </w:r>
      <w:r>
        <w:rPr>
          <w:rFonts w:hint="eastAsia" w:ascii="宋体" w:hAnsi="宋体" w:eastAsia="宋体" w:cs="宋体"/>
          <w:b w:val="0"/>
          <w:bCs/>
          <w:color w:val="000000" w:themeColor="text1"/>
          <w:sz w:val="24"/>
          <w:szCs w:val="24"/>
          <w:highlight w:val="none"/>
          <w14:textFill>
            <w14:solidFill>
              <w14:schemeClr w14:val="tx1"/>
            </w14:solidFill>
          </w14:textFill>
        </w:rPr>
        <w:t>即报价分=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70</w:t>
      </w:r>
      <w:r>
        <w:rPr>
          <w:rFonts w:hint="eastAsia" w:ascii="宋体" w:hAnsi="宋体" w:eastAsia="宋体" w:cs="宋体"/>
          <w:b w:val="0"/>
          <w:bCs/>
          <w:color w:val="000000" w:themeColor="text1"/>
          <w:sz w:val="24"/>
          <w:szCs w:val="24"/>
          <w:highlight w:val="none"/>
          <w14:textFill>
            <w14:solidFill>
              <w14:schemeClr w14:val="tx1"/>
            </w14:solidFill>
          </w14:textFill>
        </w:rPr>
        <w:t>-│（投标报价-评标基准价）│/评标基准价×100×1（报价得分计算结果小数点后保留2位，小数点后第3位四舍五入）</w:t>
      </w:r>
      <w:r>
        <w:rPr>
          <w:rFonts w:hint="eastAsia" w:ascii="宋体" w:hAnsi="宋体" w:eastAsia="宋体" w:cs="宋体"/>
          <w:b w:val="0"/>
          <w:bCs/>
          <w:color w:val="000000" w:themeColor="text1"/>
          <w:sz w:val="24"/>
          <w:szCs w:val="24"/>
          <w:highlight w:val="none"/>
          <w:lang w:val="zh-CN"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 xml:space="preserve"> </w:t>
      </w:r>
    </w:p>
    <w:p w14:paraId="6316FF6A">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2）▲本项目采购最高限价：</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1271410</w:t>
      </w:r>
      <w:r>
        <w:rPr>
          <w:rFonts w:hint="eastAsia" w:ascii="宋体" w:hAnsi="宋体" w:eastAsia="宋体" w:cs="宋体"/>
          <w:b w:val="0"/>
          <w:bCs/>
          <w:color w:val="000000" w:themeColor="text1"/>
          <w:sz w:val="24"/>
          <w:szCs w:val="24"/>
          <w:highlight w:val="none"/>
          <w14:textFill>
            <w14:solidFill>
              <w14:schemeClr w14:val="tx1"/>
            </w14:solidFill>
          </w14:textFill>
        </w:rPr>
        <w:t>元，如投标人报价超过采购最高限价，其投标文件作无效标处理。</w:t>
      </w:r>
    </w:p>
    <w:p w14:paraId="6C1CFD7B">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3）评标委员会认为投标人的报价明显低于其他通过符合性审查投标人的报价，有可能影响产品质量或者不能诚信履约的，应当要求其在评标程序中给予的合理的时间内提供书面说明，必要时提交相关证明材料；投标人不能证明其报价合理性的，评标委员会应当将其作为无效投标处理。</w:t>
      </w:r>
    </w:p>
    <w:p w14:paraId="3C112431">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4）所有投标人商务报价均超采购最高限价，本次招标失败，重新组织招标。</w:t>
      </w:r>
    </w:p>
    <w:p w14:paraId="2FECC03D">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（四）总得分的统计及</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的确定。</w:t>
      </w:r>
    </w:p>
    <w:p w14:paraId="4406C5E3">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评标总得分的确定：</w:t>
      </w:r>
    </w:p>
    <w:p w14:paraId="68188A45">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投标人的总得分＝技术</w:t>
      </w:r>
      <w:r>
        <w:rPr>
          <w:rFonts w:hint="eastAsia" w:ascii="宋体" w:hAnsi="宋体" w:cs="宋体"/>
          <w:b w:val="0"/>
          <w:bCs/>
          <w:color w:val="000000" w:themeColor="text1"/>
          <w:sz w:val="24"/>
          <w:szCs w:val="24"/>
          <w:highlight w:val="none"/>
          <w:lang w:val="en-US" w:eastAsia="zh-CN"/>
          <w14:textFill>
            <w14:solidFill>
              <w14:schemeClr w14:val="tx1"/>
            </w14:solidFill>
          </w14:textFill>
        </w:rPr>
        <w:t>标</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得分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商务标得分。</w:t>
      </w:r>
    </w:p>
    <w:p w14:paraId="40F1DF46">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的确定：</w:t>
      </w:r>
    </w:p>
    <w:p w14:paraId="38381948">
      <w:pPr>
        <w:keepNext w:val="0"/>
        <w:keepLines w:val="0"/>
        <w:pageBreakBefore w:val="0"/>
        <w:kinsoku/>
        <w:wordWrap/>
        <w:overflowPunct/>
        <w:topLinePunct w:val="0"/>
        <w:bidi w:val="0"/>
        <w:snapToGrid w:val="0"/>
        <w:spacing w:line="312"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中标人</w:t>
      </w:r>
      <w:r>
        <w:rPr>
          <w:rFonts w:hint="eastAsia" w:ascii="宋体" w:hAnsi="宋体" w:eastAsia="宋体" w:cs="宋体"/>
          <w:b w:val="0"/>
          <w:bCs/>
          <w:color w:val="000000" w:themeColor="text1"/>
          <w:sz w:val="24"/>
          <w:szCs w:val="24"/>
          <w:highlight w:val="none"/>
          <w14:textFill>
            <w14:solidFill>
              <w14:schemeClr w14:val="tx1"/>
            </w14:solidFill>
          </w14:textFill>
        </w:rPr>
        <w:t>的排名次序按投标人总得分从高到低顺序排列，即总得分最高者为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中标</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候选</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人</w:t>
      </w:r>
      <w:r>
        <w:rPr>
          <w:rFonts w:hint="eastAsia" w:ascii="宋体" w:hAnsi="宋体" w:eastAsia="宋体" w:cs="宋体"/>
          <w:b w:val="0"/>
          <w:bCs/>
          <w:color w:val="000000" w:themeColor="text1"/>
          <w:sz w:val="24"/>
          <w:szCs w:val="24"/>
          <w:highlight w:val="none"/>
          <w14:textFill>
            <w14:solidFill>
              <w14:schemeClr w14:val="tx1"/>
            </w14:solidFill>
          </w14:textFill>
        </w:rPr>
        <w:t>。若出现总得分相同时，按技术标得分由高到低顺序排列；若以上均相同的，则抽签确定。</w:t>
      </w:r>
    </w:p>
    <w:p w14:paraId="35E4CD2C">
      <w:pPr>
        <w:keepNext w:val="0"/>
        <w:keepLines w:val="0"/>
        <w:pageBreakBefore w:val="0"/>
        <w:kinsoku/>
        <w:wordWrap/>
        <w:overflowPunct/>
        <w:topLinePunct w:val="0"/>
        <w:autoSpaceDE/>
        <w:autoSpaceDN/>
        <w:bidi w:val="0"/>
        <w:adjustRightInd w:val="0"/>
        <w:spacing w:line="240" w:lineRule="auto"/>
        <w:ind w:firstLine="720" w:firstLineChars="3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p>
    <w:p w14:paraId="63307CBB">
      <w:pPr>
        <w:adjustRightInd w:val="0"/>
        <w:spacing w:line="360" w:lineRule="auto"/>
        <w:jc w:val="center"/>
        <w:outlineLvl w:val="0"/>
        <w:rPr>
          <w:rFonts w:ascii="宋体" w:hAnsi="宋体" w:cs="宋体"/>
          <w:b/>
          <w:bCs/>
          <w:color w:val="000000" w:themeColor="text1"/>
          <w:sz w:val="30"/>
          <w:szCs w:val="30"/>
          <w:highlight w:val="none"/>
          <w14:textFill>
            <w14:solidFill>
              <w14:schemeClr w14:val="tx1"/>
            </w14:solidFill>
          </w14:textFill>
        </w:rPr>
      </w:pPr>
      <w:bookmarkStart w:id="18" w:name="_Toc17728"/>
      <w:r>
        <w:rPr>
          <w:rFonts w:hint="eastAsia" w:ascii="宋体" w:hAnsi="宋体" w:cs="宋体"/>
          <w:b/>
          <w:bCs/>
          <w:color w:val="000000" w:themeColor="text1"/>
          <w:sz w:val="30"/>
          <w:szCs w:val="30"/>
          <w:highlight w:val="none"/>
          <w14:textFill>
            <w14:solidFill>
              <w14:schemeClr w14:val="tx1"/>
            </w14:solidFill>
          </w14:textFill>
        </w:rPr>
        <w:t>第五章 合同主要条款</w:t>
      </w:r>
      <w:bookmarkEnd w:id="18"/>
    </w:p>
    <w:p w14:paraId="6B19C20E">
      <w:pPr>
        <w:pStyle w:val="34"/>
        <w:widowControl w:val="0"/>
        <w:snapToGrid w:val="0"/>
        <w:spacing w:before="120" w:beforeLines="50" w:beforeAutospacing="0" w:after="0" w:afterAutospacing="0"/>
        <w:jc w:val="both"/>
        <w:rPr>
          <w:color w:val="auto"/>
          <w:highlight w:val="none"/>
          <w:lang w:bidi="ar"/>
        </w:rPr>
      </w:pPr>
    </w:p>
    <w:p w14:paraId="1533584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bookmarkStart w:id="19" w:name="_Toc223873446"/>
      <w:bookmarkStart w:id="20" w:name="_Toc8932"/>
      <w:bookmarkStart w:id="21" w:name="_Toc188339091"/>
      <w:bookmarkStart w:id="22" w:name="_Toc447625172"/>
      <w:r>
        <w:rPr>
          <w:rFonts w:hint="eastAsia" w:ascii="宋体" w:hAnsi="宋体" w:eastAsia="宋体" w:cs="宋体"/>
          <w:b w:val="0"/>
          <w:bCs/>
          <w:color w:val="000000" w:themeColor="text1"/>
          <w:sz w:val="24"/>
          <w:szCs w:val="24"/>
          <w:highlight w:val="none"/>
          <w14:textFill>
            <w14:solidFill>
              <w14:schemeClr w14:val="tx1"/>
            </w14:solidFill>
          </w14:textFill>
        </w:rPr>
        <w:t xml:space="preserve">项目名称：                                </w:t>
      </w:r>
    </w:p>
    <w:p w14:paraId="0448BDB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甲方：（买方）                              乙方：（卖方）</w:t>
      </w:r>
    </w:p>
    <w:p w14:paraId="0FAADF2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p>
    <w:p w14:paraId="5146FBE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甲、乙双方根据《中华人民共和国民法典》和_______________________项目招标文件的相关规定，双方达成一致签署本合同。</w:t>
      </w:r>
    </w:p>
    <w:p w14:paraId="3051144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一、货物内容</w:t>
      </w:r>
    </w:p>
    <w:p w14:paraId="648257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 货物名称：</w:t>
      </w:r>
    </w:p>
    <w:p w14:paraId="430BF9B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 型号规格：</w:t>
      </w:r>
    </w:p>
    <w:p w14:paraId="505C12A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 技术参数：</w:t>
      </w:r>
    </w:p>
    <w:p w14:paraId="72E32AF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 数量（单位）：</w:t>
      </w:r>
    </w:p>
    <w:p w14:paraId="0AC70A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二、合同金额</w:t>
      </w:r>
    </w:p>
    <w:p w14:paraId="76D1C62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color w:val="000000" w:themeColor="text1"/>
          <w:sz w:val="24"/>
          <w:szCs w:val="24"/>
          <w:highlight w:val="none"/>
          <w14:textFill>
            <w14:solidFill>
              <w14:schemeClr w14:val="tx1"/>
            </w14:solidFill>
          </w14:textFill>
        </w:rPr>
        <w:t>本合同金额为（大写）：_________________元（¥</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元</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（其中，本合同不含税金额¥</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元，增值税额¥</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元，税率</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）人民币</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具体详见《投标报价明细清单》</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52B27A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2.2乙方投标承诺货物的全费用综合单价一次性包干，数量按实计量。该单价已包含本项目货物设计、原材料、成品制作、材料费、人工费、服务费、运输费、装卸、安装前的清洗费、保管费、安装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p w14:paraId="7FF43B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2.3甲方有权增加或减少采购的货物数量，乙方应无条件按投标承诺综合单价供货，不得拒绝。</w:t>
      </w:r>
    </w:p>
    <w:p w14:paraId="1055F7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2.4为保证货物正常运行，所需的所有辅助材料，投标人在报价时综合考虑，结算时不予调整。</w:t>
      </w:r>
    </w:p>
    <w:p w14:paraId="781A9B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2.5供货前，提供小样报甲方和设计院确认。</w:t>
      </w:r>
    </w:p>
    <w:p w14:paraId="630358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三、技术资料</w:t>
      </w:r>
    </w:p>
    <w:p w14:paraId="5F5834D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3.1乙方应按招标文件规定的时间向甲方提供使用货物的有关技术资料。</w:t>
      </w:r>
    </w:p>
    <w:p w14:paraId="2E69003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BF9B5F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3.3双方在协议书中约定本合同材料设备所执行的技术标准名称及质量要求，必要的技术方案、设计图纸、样板等共同成为生产及交货、安装验收货品的依据。</w:t>
      </w:r>
    </w:p>
    <w:p w14:paraId="331B1EC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3.4.乙方在供货中提出的合理化建议涉及到对材料/设备要求的更改及对材料/设备的换用，须经甲方同意。甲方同意采用乙方的合理化建议，所发生的费用和获得的收益，甲方乙方另行约定分担或分享。</w:t>
      </w:r>
    </w:p>
    <w:p w14:paraId="6328D0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四、知识产权</w:t>
      </w:r>
    </w:p>
    <w:p w14:paraId="46503B6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4.1 乙方应保证所提供的货物或其任何一部分均不会侵犯任何第三方的知识产权。本合同项下乙方供的货物发生任何的知识产权争议均由乙方负责处理，若由此给甲方造成损失的，由乙方按实赔偿。</w:t>
      </w:r>
    </w:p>
    <w:p w14:paraId="357195B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五、产权担保</w:t>
      </w:r>
    </w:p>
    <w:p w14:paraId="0379A48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5.1 乙方保证所交付的货物的所有权完全属于乙方且无任何抵押、查封等产权瑕疵。因乙方原因导致供给甲方的货物发生产权纠纷的，由乙方负责处理，若由此给甲方造成损失的，由乙方按实赔偿。</w:t>
      </w:r>
    </w:p>
    <w:p w14:paraId="73A7C3D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六、履约保证金</w:t>
      </w:r>
    </w:p>
    <w:p w14:paraId="7F4EE67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6.1 乙方交纳人民币</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元（中标价的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）作为本合同的履约保证金，在中标通知书发出7日内以现金转账的形式缴纳至甲方指定账户，或者以见索即付保函的形式提交至甲方。合同履行完毕（验收合格）后5日内无息退还。</w:t>
      </w:r>
    </w:p>
    <w:p w14:paraId="58C3A07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七、转包或分包</w:t>
      </w:r>
    </w:p>
    <w:p w14:paraId="0C0034F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7.1本合同范围的货物，应由乙方直接供应，不得转让他人供应；</w:t>
      </w:r>
    </w:p>
    <w:p w14:paraId="55DD8E8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7.2 除非得到甲方的书面同意，乙方不得部分分包给他人供应。</w:t>
      </w:r>
    </w:p>
    <w:p w14:paraId="5661ED2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7.3如有转让和未经甲方同意的分包行为，甲方有权给予终止合同。</w:t>
      </w:r>
    </w:p>
    <w:p w14:paraId="393754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八、质保期和质保金</w:t>
      </w:r>
    </w:p>
    <w:p w14:paraId="651628E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8.1 质保期</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年。（该项目货物验收合格并办理项目移交次日起计）</w:t>
      </w:r>
    </w:p>
    <w:p w14:paraId="0D7EC84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8.2 质保金：结算价的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D9884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九、交货期、交货方式及交货地点</w:t>
      </w:r>
    </w:p>
    <w:p w14:paraId="041EA5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9.1 交货期：</w:t>
      </w:r>
    </w:p>
    <w:p w14:paraId="1300B01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9.2 交货方式：乙方负责送货上门，并负责将货物按照甲方或使用人要求安装。</w:t>
      </w:r>
    </w:p>
    <w:p w14:paraId="485D655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9.3 交货地点：</w:t>
      </w:r>
    </w:p>
    <w:p w14:paraId="5160B87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十、货款支付</w:t>
      </w:r>
    </w:p>
    <w:p w14:paraId="2A04B8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10.1 付款方式：</w:t>
      </w:r>
    </w:p>
    <w:p w14:paraId="23DB3C6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付款方式：</w:t>
      </w:r>
    </w:p>
    <w:p w14:paraId="63EB66E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1、</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合同签订后支付签约合同价的10%作为预付款；</w:t>
      </w:r>
    </w:p>
    <w:p w14:paraId="1AA47EA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color w:val="000000" w:themeColor="text1"/>
          <w:sz w:val="24"/>
          <w:szCs w:val="24"/>
          <w:highlight w:val="none"/>
          <w14:textFill>
            <w14:solidFill>
              <w14:schemeClr w14:val="tx1"/>
            </w14:solidFill>
          </w14:textFill>
        </w:rPr>
        <w:t>货到现场全部安装完成并验收后付至</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已完成工程量的70</w:t>
      </w:r>
      <w:r>
        <w:rPr>
          <w:rFonts w:hint="eastAsia" w:ascii="宋体" w:hAnsi="宋体" w:eastAsia="宋体" w:cs="宋体"/>
          <w:b w:val="0"/>
          <w:bCs/>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含预付款</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p>
    <w:p w14:paraId="15D3FA1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结算完成后付至结算价的98.5%；</w:t>
      </w:r>
    </w:p>
    <w:p w14:paraId="5756087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color w:val="000000" w:themeColor="text1"/>
          <w:sz w:val="24"/>
          <w:szCs w:val="24"/>
          <w:highlight w:val="none"/>
          <w14:textFill>
            <w14:solidFill>
              <w14:schemeClr w14:val="tx1"/>
            </w14:solidFill>
          </w14:textFill>
        </w:rPr>
        <w:t>剩余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%作为质量保证金。</w:t>
      </w:r>
    </w:p>
    <w:p w14:paraId="223EE4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cs="宋体"/>
          <w:b w:val="0"/>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color w:val="000000" w:themeColor="text1"/>
          <w:sz w:val="24"/>
          <w:szCs w:val="24"/>
          <w:highlight w:val="none"/>
          <w14:textFill>
            <w14:solidFill>
              <w14:schemeClr w14:val="tx1"/>
            </w14:solidFill>
          </w14:textFill>
        </w:rPr>
        <w:t>质保金：余下结算价的</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b w:val="0"/>
          <w:bCs/>
          <w:color w:val="000000" w:themeColor="text1"/>
          <w:sz w:val="24"/>
          <w:szCs w:val="24"/>
          <w:highlight w:val="none"/>
          <w14:textFill>
            <w14:solidFill>
              <w14:schemeClr w14:val="tx1"/>
            </w14:solidFill>
          </w14:textFill>
        </w:rPr>
        <w:t>%作为质保金待质保期满后无息退还。</w:t>
      </w:r>
    </w:p>
    <w:p w14:paraId="493B1E3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10.2合同款项支付：</w:t>
      </w:r>
    </w:p>
    <w:p w14:paraId="3443B48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10.2.1</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付款时需提供的材料：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按甲方要求提供</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1E51131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10.2.2</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质量保修金退还需提供的材料：</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按甲方要求提供</w:t>
      </w:r>
      <w:r>
        <w:rPr>
          <w:rFonts w:hint="eastAsia" w:ascii="宋体" w:hAnsi="宋体" w:eastAsia="宋体" w:cs="宋体"/>
          <w:b w:val="0"/>
          <w:bCs/>
          <w:color w:val="000000" w:themeColor="text1"/>
          <w:sz w:val="24"/>
          <w:szCs w:val="24"/>
          <w:highlight w:val="none"/>
          <w14:textFill>
            <w14:solidFill>
              <w14:schemeClr w14:val="tx1"/>
            </w14:solidFill>
          </w14:textFill>
        </w:rPr>
        <w:t>。</w:t>
      </w:r>
    </w:p>
    <w:p w14:paraId="535852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10.2.3</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因乙方无法及时提供正确有效的付款证明文件而导致的付款延误，由乙方负责。质量、交货期达不到合同要求的，在处理完成之前，乙方无权要求甲方支付任何款项。</w:t>
      </w:r>
    </w:p>
    <w:p w14:paraId="34DD5CD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10.2.4</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甲方根据乙方申请，在以上文件齐备后，审核当期进度款。自甲方审定之日起20个日历天内向乙方支付进度款，因付款文件不全不正确不及时引起的付款延误，由乙方承担责任，并不得影响任何工程进展及货品质量。</w:t>
      </w:r>
    </w:p>
    <w:p w14:paraId="2E513D3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十一、税费</w:t>
      </w:r>
    </w:p>
    <w:p w14:paraId="4CC897A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11.1本合同执行中相关的一切税费均由乙方负担。</w:t>
      </w:r>
    </w:p>
    <w:p w14:paraId="42993B8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十二、质量保证及售后服务</w:t>
      </w:r>
    </w:p>
    <w:p w14:paraId="159CDEC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12.1 乙方应按招标文件规定的货物性能、技术要求、质量标准向甲方提供未经使用的全新产品。</w:t>
      </w:r>
    </w:p>
    <w:p w14:paraId="270F64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12.2 乙方提供的货物在质量保证期内因货物本身的质量问题发生故障，乙方应负责免费更换。对达不到技术要求者，根据实际情况，经双方协商，可按以下办法处理：</w:t>
      </w:r>
    </w:p>
    <w:p w14:paraId="16F3C6F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⑴更换：由乙方承担所发生的全部费用。</w:t>
      </w:r>
    </w:p>
    <w:p w14:paraId="5F1E45E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⑵贬值处理：由甲乙双方合议定价。</w:t>
      </w:r>
    </w:p>
    <w:p w14:paraId="261F4C0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⑶退货处理：乙方应退还甲方支付的合同款，同时应承担该货物的直接费用（运输、保险、检验、货款利息及银行手续费等）。</w:t>
      </w:r>
    </w:p>
    <w:p w14:paraId="1715C2B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12.3如在使用过程中发生质量问题，</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在接到招标人通知后，响应时间少于1小时，并在2小时内赶到现场，6小时内排除故障。如6小时内无法排除故障，则免费质保期内免费更换产品。</w:t>
      </w:r>
    </w:p>
    <w:p w14:paraId="7F82434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12.4在质保期内，乙方应对货物出现的质量及安全问题负责处理解决并承担一切费用；若乙方接甲方通知后8小时内不派人处理的，甲方可自行处理或委托第三方处理，处理费用由甲方从乙方预留的质量保证金中相应扣除。</w:t>
      </w:r>
    </w:p>
    <w:p w14:paraId="0282C98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12.5由于乙方无法联系或维修到场不及时、材料配备不及时，视为乙方同意由甲方处理，甲方将委派他方处理，处理结果由使用方、甲方签字认可后即生效，不再经由乙方确认（甲方将处理情况知会乙方），因此所发生的一切费用并加15％违约金从乙方质保金中扣除。但不解除乙方的任何应负的责任。</w:t>
      </w:r>
    </w:p>
    <w:p w14:paraId="5FDA4C9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12.6如乙方不能维修或未能在甲方指定的合理期限内维修完好或维修过程中乙方维修质量无法达到甲方及使用方要求的，甲方有权自行另请他人代为维修并确定价格。所有修复费用及甲方损失赔偿费用加上相应违约金(修复及赔偿费的15％)可以从甲方支付乙方的任何款项（包括质保金）中扣除，但不解除乙方的任何应负的责任。</w:t>
      </w:r>
    </w:p>
    <w:p w14:paraId="517A4C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12.7保修期限内出现的质量问题，应当保证从修复验收合格之日起一年内在相同部位不出现类似问题。否则，即使货物已超出保修期，乙方也均应予保修，相应部分保修款待维修完成延长保修满六个月后支付。</w:t>
      </w:r>
    </w:p>
    <w:p w14:paraId="637CE2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12.8上述的货物免费保修期为</w:t>
      </w:r>
      <w:r>
        <w:rPr>
          <w:rFonts w:hint="eastAsia" w:ascii="宋体" w:hAnsi="宋体" w:eastAsia="宋体" w:cs="宋体"/>
          <w:b w:val="0"/>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年，因人为因素出现的故障不在免费保修范围内。</w:t>
      </w:r>
    </w:p>
    <w:p w14:paraId="34CDB1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供货和验收</w:t>
      </w:r>
    </w:p>
    <w:p w14:paraId="0801523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13.1供货、安装</w:t>
      </w:r>
    </w:p>
    <w:p w14:paraId="6710F94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13.1.1本合同约定的供货方式为乙方送货上门，除不可抗力因素外，乙方必须按合同规定的地点、时间安排供货、卸货及搬运。</w:t>
      </w:r>
    </w:p>
    <w:p w14:paraId="70367EA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13.1.2乙方不能按时完成供货、运输、安装的，应当于不迟于协议书约定的开始供货日期前15天，以书面形式向甲方提出延期开始供货的理由和要求。甲方同意后供货工期相应顺延。甲方不同意延期要求或乙方未在规定时间内提出延期开始供货要求的，供货工期不予顺延。乙方未经甲方同意而未按时供货的，甲方有权解除合同，并向乙方索赔因此造成的所有损失，甲方亦可不解除合同，而要求乙方根据协议书约定支付违约金。</w:t>
      </w:r>
    </w:p>
    <w:p w14:paraId="67FE30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13.1.3</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乙方送货前24小时通知甲方相关部门。待货物全部到场且按照甲方或使用方要求安装完成后，乙方应无条件配合甲方完成验收工作。</w:t>
      </w:r>
    </w:p>
    <w:p w14:paraId="0A96631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13.1.4</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乙方应无条件接受甲方对供货期调整、暂停供货、恢复供货的要求，具体方式为：甲方提前15天发出有甲方代表签发的书面通知，乙方代表进行书面确认后即可执行。</w:t>
      </w:r>
    </w:p>
    <w:p w14:paraId="409D43B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13.2.验收</w:t>
      </w:r>
    </w:p>
    <w:p w14:paraId="43BD870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13.2.1</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乙方将货物按照甲方或使用人要求安装完成，向甲方提交验收申请后，由甲方组织验收，</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交货产品</w:t>
      </w:r>
      <w:r>
        <w:rPr>
          <w:rFonts w:hint="eastAsia" w:ascii="宋体" w:hAnsi="宋体" w:eastAsia="宋体" w:cs="宋体"/>
          <w:b w:val="0"/>
          <w:bCs/>
          <w:color w:val="000000" w:themeColor="text1"/>
          <w:sz w:val="24"/>
          <w:szCs w:val="24"/>
          <w:highlight w:val="none"/>
          <w14:textFill>
            <w14:solidFill>
              <w14:schemeClr w14:val="tx1"/>
            </w14:solidFill>
          </w14:textFill>
        </w:rPr>
        <w:t>（包括零部件）必须符合国家质量检测标准、符合</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合同标的物</w:t>
      </w:r>
      <w:r>
        <w:rPr>
          <w:rFonts w:hint="eastAsia" w:ascii="宋体" w:hAnsi="宋体" w:eastAsia="宋体" w:cs="宋体"/>
          <w:b w:val="0"/>
          <w:bCs/>
          <w:color w:val="000000" w:themeColor="text1"/>
          <w:sz w:val="24"/>
          <w:szCs w:val="24"/>
          <w:highlight w:val="none"/>
          <w14:textFill>
            <w14:solidFill>
              <w14:schemeClr w14:val="tx1"/>
            </w14:solidFill>
          </w14:textFill>
        </w:rPr>
        <w:t>中的规格、材质等要求</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同时需提供交货产品的合格证书给甲方用于验收，</w:t>
      </w:r>
      <w:r>
        <w:rPr>
          <w:rFonts w:hint="eastAsia" w:ascii="宋体" w:hAnsi="宋体" w:eastAsia="宋体" w:cs="宋体"/>
          <w:b w:val="0"/>
          <w:bCs/>
          <w:color w:val="000000" w:themeColor="text1"/>
          <w:sz w:val="24"/>
          <w:szCs w:val="24"/>
          <w:highlight w:val="none"/>
          <w14:textFill>
            <w14:solidFill>
              <w14:schemeClr w14:val="tx1"/>
            </w14:solidFill>
          </w14:textFill>
        </w:rPr>
        <w:t>参与验收人员根据国家相应的验收标准、本合同约定的计量方式、技术标准、质量要求及封样进行交货计量和验收，验收合格且经各方签字后即表示交货验收完成，但并不免除任何乙方对交货产品存在质量、制造、设计、性能方面的缺陷和不合格的责任、违约责任和对甲方造成损失的赔偿。</w:t>
      </w:r>
    </w:p>
    <w:p w14:paraId="23E6479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13.2.2</w:t>
      </w:r>
      <w:r>
        <w:rPr>
          <w:rFonts w:hint="eastAsia" w:ascii="宋体" w:hAnsi="宋体" w:eastAsia="宋体" w:cs="宋体"/>
          <w:b w:val="0"/>
          <w:bCs/>
          <w:color w:val="000000" w:themeColor="text1"/>
          <w:sz w:val="24"/>
          <w:szCs w:val="24"/>
          <w:highlight w:val="none"/>
          <w14:textFill>
            <w14:solidFill>
              <w14:schemeClr w14:val="tx1"/>
            </w14:solidFill>
          </w14:textFill>
        </w:rPr>
        <w:tab/>
      </w:r>
      <w:r>
        <w:rPr>
          <w:rFonts w:hint="eastAsia" w:ascii="宋体" w:hAnsi="宋体" w:eastAsia="宋体" w:cs="宋体"/>
          <w:b w:val="0"/>
          <w:bCs/>
          <w:color w:val="000000" w:themeColor="text1"/>
          <w:sz w:val="24"/>
          <w:szCs w:val="24"/>
          <w:highlight w:val="none"/>
          <w14:textFill>
            <w14:solidFill>
              <w14:schemeClr w14:val="tx1"/>
            </w14:solidFill>
          </w14:textFill>
        </w:rPr>
        <w:t>不符合验收标准的货物，甲方有权拒收、部分拒收、退货、部分退货、解除合同，并向乙方索赔因此造成的甲方损失。验收不合格的货物，甲方不予计量和支付任何货款。</w:t>
      </w:r>
    </w:p>
    <w:p w14:paraId="1AADF18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13.2.3 乙方交货前应对产品做出全面检查和对验收文件进行整理，并列出清单，作为甲方收货验收和使用的技术条件依据，检验的结果应随货物交甲方。</w:t>
      </w:r>
    </w:p>
    <w:p w14:paraId="63131F9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13.2.4 对技术复杂的货物，甲方应请国家认可的专业检测机构参与初步验收及最终验收，并由其出具质量检测报告。</w:t>
      </w:r>
    </w:p>
    <w:p w14:paraId="72C8666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13.2.5 验收时乙方必须在现场，验收完毕后作出验收结果报告；验收费用已包含在合同内。</w:t>
      </w:r>
    </w:p>
    <w:p w14:paraId="3E4105B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十四、货物包装、发运、运输及安装</w:t>
      </w:r>
    </w:p>
    <w:p w14:paraId="68EDF9B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14.1 乙方应在货物发运前对其进行满足运输距离、防潮、防震、防锈和防破损装卸等要求包装，以保证货物安全运达甲方指定地点。</w:t>
      </w:r>
    </w:p>
    <w:p w14:paraId="7C27EF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14.2 使用说明书、质量检验证明书、随配附件和工具以及清单一并附于货物内。</w:t>
      </w:r>
    </w:p>
    <w:p w14:paraId="2998001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14.3 乙方在货物发运手续办理完毕后24小时内或货到甲方的48小时前通知甲方，以准备接货。待货物全部到场后且按照甲方或使用方要求安装完成后，乙方应无条件配合甲方于5个日历天内完成验收工作。</w:t>
      </w:r>
    </w:p>
    <w:p w14:paraId="343EB5A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14.4 货物在未经验收合格并交付甲方使用前，货物的成品与半成品的保管及保护均由乙方负责，保管及保护费用由乙方在投标报价中综合考虑，结算时不再计取。</w:t>
      </w:r>
    </w:p>
    <w:p w14:paraId="550AA43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14.5 货物在规定的交付期限内由乙方送达甲方指定的地点，同时需通知甲方对货物数量、外观尺寸进行核对。</w:t>
      </w:r>
    </w:p>
    <w:p w14:paraId="6913D69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14.6 货到现场，乙方须在规定的时间内完成搬运、装配、强弱电布线、开孔等安装工作，如甲方需调整货物位置，乙方须无条件配合保证货物能准确安装到位。</w:t>
      </w:r>
    </w:p>
    <w:p w14:paraId="559937D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十五、违约责任</w:t>
      </w:r>
    </w:p>
    <w:p w14:paraId="4C42CE0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15.1 乙方逾期完成供货、运输、安装、施工工作的，乙方应按每延误一日以人民币1000元的标准向甲方支付违约金，由甲方从待付货款中扣除。逾期超过约定日期10个日历天不能完成供货、运输、安装、施工工作的，甲方可解除本合同。乙方因逾期交货或因其他违约行为导致甲方解除合同的，甲方可没收乙方的履约保证</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金</w:t>
      </w:r>
      <w:r>
        <w:rPr>
          <w:rFonts w:hint="eastAsia" w:ascii="宋体" w:hAnsi="宋体" w:eastAsia="宋体" w:cs="宋体"/>
          <w:b w:val="0"/>
          <w:bCs/>
          <w:color w:val="000000" w:themeColor="text1"/>
          <w:sz w:val="24"/>
          <w:szCs w:val="24"/>
          <w:highlight w:val="none"/>
          <w14:textFill>
            <w14:solidFill>
              <w14:schemeClr w14:val="tx1"/>
            </w14:solidFill>
          </w14:textFill>
        </w:rPr>
        <w:t xml:space="preserve">作为违约金，如造成甲方损失超过违约金的，超出部分由乙方继续承担赔偿责任。 </w:t>
      </w:r>
    </w:p>
    <w:p w14:paraId="46B53A2D">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15.2 乙方安装完成所交的货物品种、型号、规格、技术参数、质量不符合合同规定及招标文件规定标准的，甲方有权拒收该货物，乙方愿意更换货物但逾期交货的，按乙方逾期交货处理。乙方拒绝更换货物的，甲方可单方面解除合同。由于乙方拒绝造成的损失，甲方有权没收乙方履约保证金。造成损失高于履约保证金，需由乙方负责相应损失。</w:t>
      </w:r>
    </w:p>
    <w:p w14:paraId="6D9E43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15.3本合同中所有乙方应支付的违约金，甲方有权在给乙方的任何款项中扣除。</w:t>
      </w:r>
    </w:p>
    <w:p w14:paraId="4594F46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15.4如乙方在本项目有违反廉政规定并被纪检部门或司法机关查处的，则乙方向甲方支付合同价10%的违约金。</w:t>
      </w:r>
    </w:p>
    <w:p w14:paraId="7867DC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十六、不可抗力事件处理</w:t>
      </w:r>
    </w:p>
    <w:p w14:paraId="0377735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16.1 在合同有效期内，任何一方因不可抗力事件导致不能履行合同，则合同履行期可延长，其延长期与不可抗力影响期相同。</w:t>
      </w:r>
    </w:p>
    <w:p w14:paraId="0E31B79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16.2 不可抗力事件发生后，应立即通知对方，并寄送有关权威机构出具的证明。</w:t>
      </w:r>
    </w:p>
    <w:p w14:paraId="513DFCB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16.3 不可抗力事件延续120天以上，双方应通过友好协商，确定是否继续履行合同。</w:t>
      </w:r>
    </w:p>
    <w:p w14:paraId="6F0F85D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十七、诉讼</w:t>
      </w:r>
    </w:p>
    <w:p w14:paraId="70E9BDE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17.1 双方在执行合同中所发生的一切争议，应通过协商解决。如协商不成，可向</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工程所在地人民</w:t>
      </w:r>
      <w:r>
        <w:rPr>
          <w:rFonts w:hint="eastAsia" w:ascii="宋体" w:hAnsi="宋体" w:eastAsia="宋体" w:cs="宋体"/>
          <w:b w:val="0"/>
          <w:bCs/>
          <w:color w:val="000000" w:themeColor="text1"/>
          <w:sz w:val="24"/>
          <w:szCs w:val="24"/>
          <w:highlight w:val="none"/>
          <w14:textFill>
            <w14:solidFill>
              <w14:schemeClr w14:val="tx1"/>
            </w14:solidFill>
          </w14:textFill>
        </w:rPr>
        <w:t>法院起诉。</w:t>
      </w:r>
    </w:p>
    <w:p w14:paraId="423A538C">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十八、合同生效及其它</w:t>
      </w:r>
    </w:p>
    <w:p w14:paraId="1C3C53C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18.1 合同经双方法定代表人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或授权委托代理人</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签字</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b w:val="0"/>
          <w:bCs/>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并加盖单位公章后生效。</w:t>
      </w:r>
    </w:p>
    <w:p w14:paraId="68BAE4B7">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18.2本合同未尽事宜，遵照《民法典》有关条文执行。</w:t>
      </w:r>
    </w:p>
    <w:p w14:paraId="06A432A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18.3本合同一式</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份。甲乙双方各执</w:t>
      </w:r>
      <w:r>
        <w:rPr>
          <w:rFonts w:hint="eastAsia" w:ascii="宋体" w:hAnsi="宋体" w:eastAsia="宋体" w:cs="宋体"/>
          <w:b w:val="0"/>
          <w:bCs/>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4"/>
          <w:szCs w:val="24"/>
          <w:highlight w:val="none"/>
          <w14:textFill>
            <w14:solidFill>
              <w14:schemeClr w14:val="tx1"/>
            </w14:solidFill>
          </w14:textFill>
        </w:rPr>
        <w:t>份，具有同等法律效力。</w:t>
      </w:r>
    </w:p>
    <w:p w14:paraId="5129EAB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p>
    <w:p w14:paraId="01A0332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甲方：                                   乙方： </w:t>
      </w:r>
    </w:p>
    <w:p w14:paraId="48494D7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 xml:space="preserve">地址：                                   地址： </w:t>
      </w:r>
    </w:p>
    <w:p w14:paraId="57D6F1C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法定（授权）代表人：                     法定（授权）代表人：</w:t>
      </w:r>
    </w:p>
    <w:p w14:paraId="6E54D66F">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pPr>
      <w:r>
        <w:rPr>
          <w:rFonts w:hint="eastAsia" w:ascii="宋体" w:hAnsi="宋体" w:eastAsia="宋体" w:cs="宋体"/>
          <w:b w:val="0"/>
          <w:bCs/>
          <w:color w:val="000000" w:themeColor="text1"/>
          <w:sz w:val="24"/>
          <w:szCs w:val="24"/>
          <w:highlight w:val="none"/>
          <w14:textFill>
            <w14:solidFill>
              <w14:schemeClr w14:val="tx1"/>
            </w14:solidFill>
          </w14:textFill>
        </w:rPr>
        <w:t>签订日期：     年　  月　 日            签订日期：     年　  月　 日</w:t>
      </w:r>
    </w:p>
    <w:p w14:paraId="7E4C7DD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1"/>
        <w:rPr>
          <w:rFonts w:hint="eastAsia" w:ascii="宋体" w:hAnsi="宋体" w:eastAsia="宋体" w:cs="宋体"/>
          <w:b w:val="0"/>
          <w:bCs/>
          <w:color w:val="000000" w:themeColor="text1"/>
          <w:sz w:val="24"/>
          <w:szCs w:val="24"/>
          <w:highlight w:val="none"/>
          <w14:textFill>
            <w14:solidFill>
              <w14:schemeClr w14:val="tx1"/>
            </w14:solidFill>
          </w14:textFill>
        </w:rPr>
        <w:sectPr>
          <w:footerReference r:id="rId6" w:type="default"/>
          <w:pgSz w:w="11907" w:h="16840"/>
          <w:pgMar w:top="1247" w:right="1361" w:bottom="1247" w:left="1361" w:header="720" w:footer="720" w:gutter="0"/>
          <w:pgNumType w:fmt="decimal"/>
          <w:cols w:space="720" w:num="1"/>
          <w:docGrid w:type="lines" w:linePitch="435" w:charSpace="0"/>
        </w:sectPr>
      </w:pPr>
    </w:p>
    <w:bookmarkEnd w:id="19"/>
    <w:bookmarkEnd w:id="20"/>
    <w:bookmarkEnd w:id="21"/>
    <w:bookmarkEnd w:id="22"/>
    <w:p w14:paraId="16DF0DB6">
      <w:pPr>
        <w:jc w:val="center"/>
        <w:rPr>
          <w:rFonts w:hAnsi="宋体"/>
          <w:b/>
          <w:color w:val="000000" w:themeColor="text1"/>
          <w:sz w:val="30"/>
          <w:szCs w:val="30"/>
          <w:highlight w:val="none"/>
          <w14:textFill>
            <w14:solidFill>
              <w14:schemeClr w14:val="tx1"/>
            </w14:solidFill>
          </w14:textFill>
        </w:rPr>
      </w:pPr>
      <w:bookmarkStart w:id="23" w:name="_Toc4865"/>
      <w:r>
        <w:rPr>
          <w:rFonts w:hAnsi="宋体"/>
          <w:b/>
          <w:color w:val="000000" w:themeColor="text1"/>
          <w:sz w:val="30"/>
          <w:szCs w:val="30"/>
          <w:highlight w:val="none"/>
          <w14:textFill>
            <w14:solidFill>
              <w14:schemeClr w14:val="tx1"/>
            </w14:solidFill>
          </w14:textFill>
        </w:rPr>
        <w:t>第六章　投标文件格式</w:t>
      </w:r>
      <w:bookmarkEnd w:id="23"/>
    </w:p>
    <w:p w14:paraId="1564B668">
      <w:pPr>
        <w:spacing w:line="500" w:lineRule="exact"/>
        <w:jc w:val="left"/>
        <w:outlineLvl w:val="9"/>
        <w:rPr>
          <w:rFonts w:ascii="宋体" w:hAnsi="宋体"/>
          <w:color w:val="000000" w:themeColor="text1"/>
          <w:sz w:val="24"/>
          <w:highlight w:val="none"/>
          <w14:textFill>
            <w14:solidFill>
              <w14:schemeClr w14:val="tx1"/>
            </w14:solidFill>
          </w14:textFill>
        </w:rPr>
      </w:pPr>
    </w:p>
    <w:p w14:paraId="1CE8776E">
      <w:pPr>
        <w:spacing w:line="500" w:lineRule="exact"/>
        <w:jc w:val="left"/>
        <w:outlineLvl w:val="9"/>
        <w:rPr>
          <w:rFonts w:ascii="宋体" w:hAnsi="宋体"/>
          <w:color w:val="000000" w:themeColor="text1"/>
          <w:sz w:val="24"/>
          <w:highlight w:val="none"/>
          <w14:textFill>
            <w14:solidFill>
              <w14:schemeClr w14:val="tx1"/>
            </w14:solidFill>
          </w14:textFill>
        </w:rPr>
      </w:pPr>
    </w:p>
    <w:p w14:paraId="3A06587F">
      <w:pPr>
        <w:spacing w:line="500" w:lineRule="exact"/>
        <w:jc w:val="left"/>
        <w:outlineLvl w:val="9"/>
        <w:rPr>
          <w:rFonts w:ascii="宋体" w:hAnsi="宋体"/>
          <w:color w:val="000000" w:themeColor="text1"/>
          <w:sz w:val="24"/>
          <w:highlight w:val="none"/>
          <w14:textFill>
            <w14:solidFill>
              <w14:schemeClr w14:val="tx1"/>
            </w14:solidFill>
          </w14:textFill>
        </w:rPr>
      </w:pPr>
    </w:p>
    <w:p w14:paraId="3093B7DB">
      <w:pPr>
        <w:spacing w:line="500" w:lineRule="exact"/>
        <w:jc w:val="left"/>
        <w:outlineLvl w:val="9"/>
        <w:rPr>
          <w:rFonts w:ascii="宋体" w:hAnsi="宋体"/>
          <w:color w:val="000000" w:themeColor="text1"/>
          <w:sz w:val="24"/>
          <w:highlight w:val="none"/>
          <w14:textFill>
            <w14:solidFill>
              <w14:schemeClr w14:val="tx1"/>
            </w14:solidFill>
          </w14:textFill>
        </w:rPr>
      </w:pPr>
    </w:p>
    <w:p w14:paraId="34187698">
      <w:pPr>
        <w:spacing w:line="500" w:lineRule="exact"/>
        <w:jc w:val="left"/>
        <w:outlineLvl w:val="9"/>
        <w:rPr>
          <w:rFonts w:ascii="宋体" w:hAnsi="宋体"/>
          <w:color w:val="000000" w:themeColor="text1"/>
          <w:sz w:val="24"/>
          <w:highlight w:val="none"/>
          <w14:textFill>
            <w14:solidFill>
              <w14:schemeClr w14:val="tx1"/>
            </w14:solidFill>
          </w14:textFill>
        </w:rPr>
      </w:pPr>
    </w:p>
    <w:p w14:paraId="31BE2EEB">
      <w:pPr>
        <w:spacing w:line="500" w:lineRule="exact"/>
        <w:jc w:val="left"/>
        <w:outlineLvl w:val="9"/>
        <w:rPr>
          <w:rFonts w:ascii="宋体" w:hAnsi="宋体"/>
          <w:color w:val="000000" w:themeColor="text1"/>
          <w:sz w:val="24"/>
          <w:highlight w:val="none"/>
          <w14:textFill>
            <w14:solidFill>
              <w14:schemeClr w14:val="tx1"/>
            </w14:solidFill>
          </w14:textFill>
        </w:rPr>
      </w:pPr>
    </w:p>
    <w:p w14:paraId="22DAF350">
      <w:pPr>
        <w:spacing w:line="500" w:lineRule="exact"/>
        <w:jc w:val="left"/>
        <w:outlineLvl w:val="9"/>
        <w:rPr>
          <w:rFonts w:ascii="宋体" w:hAnsi="宋体"/>
          <w:color w:val="000000" w:themeColor="text1"/>
          <w:sz w:val="24"/>
          <w:highlight w:val="none"/>
          <w14:textFill>
            <w14:solidFill>
              <w14:schemeClr w14:val="tx1"/>
            </w14:solidFill>
          </w14:textFill>
        </w:rPr>
      </w:pPr>
    </w:p>
    <w:p w14:paraId="283B9AAF">
      <w:pPr>
        <w:spacing w:line="500" w:lineRule="exact"/>
        <w:jc w:val="left"/>
        <w:outlineLvl w:val="9"/>
        <w:rPr>
          <w:rFonts w:ascii="宋体" w:hAnsi="宋体"/>
          <w:color w:val="000000" w:themeColor="text1"/>
          <w:sz w:val="24"/>
          <w:highlight w:val="none"/>
          <w14:textFill>
            <w14:solidFill>
              <w14:schemeClr w14:val="tx1"/>
            </w14:solidFill>
          </w14:textFill>
        </w:rPr>
      </w:pPr>
    </w:p>
    <w:p w14:paraId="2DA70E90">
      <w:pPr>
        <w:spacing w:line="500" w:lineRule="exact"/>
        <w:jc w:val="left"/>
        <w:outlineLvl w:val="9"/>
        <w:rPr>
          <w:rFonts w:ascii="宋体" w:hAnsi="宋体"/>
          <w:color w:val="000000" w:themeColor="text1"/>
          <w:sz w:val="24"/>
          <w:highlight w:val="none"/>
          <w14:textFill>
            <w14:solidFill>
              <w14:schemeClr w14:val="tx1"/>
            </w14:solidFill>
          </w14:textFill>
        </w:rPr>
      </w:pPr>
    </w:p>
    <w:p w14:paraId="6A22B6D4">
      <w:pPr>
        <w:spacing w:line="500" w:lineRule="exact"/>
        <w:jc w:val="left"/>
        <w:outlineLvl w:val="9"/>
        <w:rPr>
          <w:rFonts w:ascii="宋体" w:hAnsi="宋体"/>
          <w:color w:val="000000" w:themeColor="text1"/>
          <w:sz w:val="24"/>
          <w:highlight w:val="none"/>
          <w14:textFill>
            <w14:solidFill>
              <w14:schemeClr w14:val="tx1"/>
            </w14:solidFill>
          </w14:textFill>
        </w:rPr>
      </w:pPr>
    </w:p>
    <w:p w14:paraId="0B5EF419">
      <w:pPr>
        <w:spacing w:line="500" w:lineRule="exact"/>
        <w:jc w:val="left"/>
        <w:outlineLvl w:val="9"/>
        <w:rPr>
          <w:rFonts w:ascii="宋体" w:hAnsi="宋体"/>
          <w:color w:val="000000" w:themeColor="text1"/>
          <w:sz w:val="24"/>
          <w:highlight w:val="none"/>
          <w14:textFill>
            <w14:solidFill>
              <w14:schemeClr w14:val="tx1"/>
            </w14:solidFill>
          </w14:textFill>
        </w:rPr>
      </w:pPr>
    </w:p>
    <w:p w14:paraId="141A7802">
      <w:pPr>
        <w:spacing w:line="500" w:lineRule="exact"/>
        <w:jc w:val="left"/>
        <w:outlineLvl w:val="9"/>
        <w:rPr>
          <w:rFonts w:ascii="宋体" w:hAnsi="宋体"/>
          <w:color w:val="000000" w:themeColor="text1"/>
          <w:sz w:val="24"/>
          <w:highlight w:val="none"/>
          <w14:textFill>
            <w14:solidFill>
              <w14:schemeClr w14:val="tx1"/>
            </w14:solidFill>
          </w14:textFill>
        </w:rPr>
      </w:pPr>
    </w:p>
    <w:p w14:paraId="582E64A8">
      <w:pPr>
        <w:spacing w:line="500" w:lineRule="exact"/>
        <w:jc w:val="left"/>
        <w:outlineLvl w:val="9"/>
        <w:rPr>
          <w:rFonts w:ascii="宋体" w:hAnsi="宋体"/>
          <w:color w:val="000000" w:themeColor="text1"/>
          <w:sz w:val="24"/>
          <w:highlight w:val="none"/>
          <w14:textFill>
            <w14:solidFill>
              <w14:schemeClr w14:val="tx1"/>
            </w14:solidFill>
          </w14:textFill>
        </w:rPr>
      </w:pPr>
    </w:p>
    <w:p w14:paraId="52F98FF7">
      <w:pPr>
        <w:spacing w:line="500" w:lineRule="exact"/>
        <w:jc w:val="left"/>
        <w:outlineLvl w:val="9"/>
        <w:rPr>
          <w:rFonts w:ascii="宋体" w:hAnsi="宋体"/>
          <w:color w:val="000000" w:themeColor="text1"/>
          <w:sz w:val="24"/>
          <w:highlight w:val="none"/>
          <w14:textFill>
            <w14:solidFill>
              <w14:schemeClr w14:val="tx1"/>
            </w14:solidFill>
          </w14:textFill>
        </w:rPr>
      </w:pPr>
    </w:p>
    <w:p w14:paraId="62F8F5A4">
      <w:pPr>
        <w:spacing w:line="500" w:lineRule="exact"/>
        <w:jc w:val="left"/>
        <w:outlineLvl w:val="9"/>
        <w:rPr>
          <w:rFonts w:ascii="宋体" w:hAnsi="宋体"/>
          <w:color w:val="000000" w:themeColor="text1"/>
          <w:sz w:val="24"/>
          <w:highlight w:val="none"/>
          <w14:textFill>
            <w14:solidFill>
              <w14:schemeClr w14:val="tx1"/>
            </w14:solidFill>
          </w14:textFill>
        </w:rPr>
      </w:pPr>
    </w:p>
    <w:p w14:paraId="77C985B7">
      <w:pPr>
        <w:spacing w:line="500" w:lineRule="exact"/>
        <w:jc w:val="left"/>
        <w:outlineLvl w:val="9"/>
        <w:rPr>
          <w:rFonts w:ascii="宋体" w:hAnsi="宋体"/>
          <w:color w:val="000000" w:themeColor="text1"/>
          <w:sz w:val="24"/>
          <w:highlight w:val="none"/>
          <w14:textFill>
            <w14:solidFill>
              <w14:schemeClr w14:val="tx1"/>
            </w14:solidFill>
          </w14:textFill>
        </w:rPr>
      </w:pPr>
    </w:p>
    <w:p w14:paraId="268E9924">
      <w:pPr>
        <w:spacing w:line="500" w:lineRule="exact"/>
        <w:jc w:val="left"/>
        <w:outlineLvl w:val="9"/>
        <w:rPr>
          <w:rFonts w:ascii="宋体" w:hAnsi="宋体"/>
          <w:color w:val="000000" w:themeColor="text1"/>
          <w:sz w:val="24"/>
          <w:highlight w:val="none"/>
          <w14:textFill>
            <w14:solidFill>
              <w14:schemeClr w14:val="tx1"/>
            </w14:solidFill>
          </w14:textFill>
        </w:rPr>
      </w:pPr>
    </w:p>
    <w:p w14:paraId="0125BAF8">
      <w:pPr>
        <w:spacing w:line="500" w:lineRule="exact"/>
        <w:jc w:val="left"/>
        <w:outlineLvl w:val="9"/>
        <w:rPr>
          <w:rFonts w:ascii="宋体" w:hAnsi="宋体"/>
          <w:color w:val="000000" w:themeColor="text1"/>
          <w:sz w:val="24"/>
          <w:highlight w:val="none"/>
          <w14:textFill>
            <w14:solidFill>
              <w14:schemeClr w14:val="tx1"/>
            </w14:solidFill>
          </w14:textFill>
        </w:rPr>
      </w:pPr>
    </w:p>
    <w:p w14:paraId="260F9C10">
      <w:pPr>
        <w:spacing w:line="500" w:lineRule="exact"/>
        <w:jc w:val="left"/>
        <w:outlineLvl w:val="9"/>
        <w:rPr>
          <w:rFonts w:ascii="宋体" w:hAnsi="宋体"/>
          <w:color w:val="000000" w:themeColor="text1"/>
          <w:sz w:val="24"/>
          <w:highlight w:val="none"/>
          <w14:textFill>
            <w14:solidFill>
              <w14:schemeClr w14:val="tx1"/>
            </w14:solidFill>
          </w14:textFill>
        </w:rPr>
      </w:pPr>
    </w:p>
    <w:p w14:paraId="7C2E202D">
      <w:pPr>
        <w:spacing w:line="500" w:lineRule="exact"/>
        <w:jc w:val="left"/>
        <w:outlineLvl w:val="9"/>
        <w:rPr>
          <w:rFonts w:ascii="宋体" w:hAnsi="宋体"/>
          <w:color w:val="000000" w:themeColor="text1"/>
          <w:sz w:val="24"/>
          <w:highlight w:val="none"/>
          <w14:textFill>
            <w14:solidFill>
              <w14:schemeClr w14:val="tx1"/>
            </w14:solidFill>
          </w14:textFill>
        </w:rPr>
      </w:pPr>
    </w:p>
    <w:p w14:paraId="7B823DC6">
      <w:pPr>
        <w:spacing w:line="500" w:lineRule="exact"/>
        <w:jc w:val="left"/>
        <w:outlineLvl w:val="9"/>
        <w:rPr>
          <w:rFonts w:ascii="宋体" w:hAnsi="宋体"/>
          <w:color w:val="000000" w:themeColor="text1"/>
          <w:sz w:val="24"/>
          <w:highlight w:val="none"/>
          <w14:textFill>
            <w14:solidFill>
              <w14:schemeClr w14:val="tx1"/>
            </w14:solidFill>
          </w14:textFill>
        </w:rPr>
      </w:pPr>
    </w:p>
    <w:p w14:paraId="02548495">
      <w:pPr>
        <w:spacing w:line="500" w:lineRule="exact"/>
        <w:jc w:val="left"/>
        <w:outlineLvl w:val="9"/>
        <w:rPr>
          <w:rFonts w:ascii="宋体" w:hAnsi="宋体"/>
          <w:color w:val="000000" w:themeColor="text1"/>
          <w:sz w:val="24"/>
          <w:highlight w:val="none"/>
          <w14:textFill>
            <w14:solidFill>
              <w14:schemeClr w14:val="tx1"/>
            </w14:solidFill>
          </w14:textFill>
        </w:rPr>
      </w:pPr>
    </w:p>
    <w:p w14:paraId="70E66085">
      <w:pPr>
        <w:spacing w:line="500" w:lineRule="exact"/>
        <w:jc w:val="left"/>
        <w:outlineLvl w:val="9"/>
        <w:rPr>
          <w:rFonts w:ascii="宋体" w:hAnsi="宋体"/>
          <w:color w:val="000000" w:themeColor="text1"/>
          <w:sz w:val="24"/>
          <w:highlight w:val="none"/>
          <w14:textFill>
            <w14:solidFill>
              <w14:schemeClr w14:val="tx1"/>
            </w14:solidFill>
          </w14:textFill>
        </w:rPr>
      </w:pPr>
    </w:p>
    <w:p w14:paraId="646D12DB">
      <w:pPr>
        <w:spacing w:line="500" w:lineRule="exact"/>
        <w:jc w:val="left"/>
        <w:outlineLvl w:val="9"/>
        <w:rPr>
          <w:rFonts w:ascii="宋体" w:hAnsi="宋体"/>
          <w:color w:val="000000" w:themeColor="text1"/>
          <w:sz w:val="24"/>
          <w:highlight w:val="none"/>
          <w14:textFill>
            <w14:solidFill>
              <w14:schemeClr w14:val="tx1"/>
            </w14:solidFill>
          </w14:textFill>
        </w:rPr>
      </w:pPr>
    </w:p>
    <w:p w14:paraId="48B235E5">
      <w:pPr>
        <w:spacing w:line="500" w:lineRule="exact"/>
        <w:jc w:val="left"/>
        <w:outlineLvl w:val="9"/>
        <w:rPr>
          <w:rFonts w:ascii="宋体" w:hAnsi="宋体"/>
          <w:color w:val="000000" w:themeColor="text1"/>
          <w:sz w:val="24"/>
          <w:highlight w:val="none"/>
          <w14:textFill>
            <w14:solidFill>
              <w14:schemeClr w14:val="tx1"/>
            </w14:solidFill>
          </w14:textFill>
        </w:rPr>
      </w:pPr>
    </w:p>
    <w:p w14:paraId="5D587B2C">
      <w:pPr>
        <w:spacing w:line="500" w:lineRule="exact"/>
        <w:jc w:val="left"/>
        <w:outlineLvl w:val="9"/>
        <w:rPr>
          <w:rFonts w:ascii="宋体" w:hAnsi="宋体"/>
          <w:color w:val="000000" w:themeColor="text1"/>
          <w:sz w:val="24"/>
          <w:highlight w:val="none"/>
          <w14:textFill>
            <w14:solidFill>
              <w14:schemeClr w14:val="tx1"/>
            </w14:solidFill>
          </w14:textFill>
        </w:rPr>
      </w:pPr>
    </w:p>
    <w:p w14:paraId="69C79632">
      <w:pPr>
        <w:spacing w:line="500" w:lineRule="exact"/>
        <w:jc w:val="left"/>
        <w:outlineLvl w:val="9"/>
        <w:rPr>
          <w:rFonts w:ascii="宋体" w:hAnsi="宋体"/>
          <w:color w:val="000000" w:themeColor="text1"/>
          <w:sz w:val="24"/>
          <w:highlight w:val="none"/>
          <w14:textFill>
            <w14:solidFill>
              <w14:schemeClr w14:val="tx1"/>
            </w14:solidFill>
          </w14:textFill>
        </w:rPr>
      </w:pPr>
    </w:p>
    <w:p w14:paraId="29F315F0">
      <w:pPr>
        <w:spacing w:line="500" w:lineRule="exact"/>
        <w:jc w:val="left"/>
        <w:outlineLvl w:val="0"/>
        <w:rPr>
          <w:rFonts w:ascii="宋体" w:hAnsi="宋体"/>
          <w:b/>
          <w:bCs/>
          <w:color w:val="000000" w:themeColor="text1"/>
          <w:sz w:val="24"/>
          <w:highlight w:val="none"/>
          <w14:textFill>
            <w14:solidFill>
              <w14:schemeClr w14:val="tx1"/>
            </w14:solidFill>
          </w14:textFill>
        </w:rPr>
      </w:pPr>
      <w:bookmarkStart w:id="24" w:name="_Toc29778"/>
      <w:r>
        <w:rPr>
          <w:rFonts w:hint="eastAsia" w:ascii="宋体" w:hAnsi="宋体"/>
          <w:b/>
          <w:bCs/>
          <w:color w:val="000000" w:themeColor="text1"/>
          <w:sz w:val="24"/>
          <w:highlight w:val="none"/>
          <w14:textFill>
            <w14:solidFill>
              <w14:schemeClr w14:val="tx1"/>
            </w14:solidFill>
          </w14:textFill>
        </w:rPr>
        <w:t>附件1：</w:t>
      </w:r>
      <w:bookmarkEnd w:id="24"/>
    </w:p>
    <w:p w14:paraId="5D4B0810">
      <w:pPr>
        <w:spacing w:line="500" w:lineRule="exact"/>
        <w:jc w:val="center"/>
        <w:outlineLvl w:val="1"/>
        <w:rPr>
          <w:rFonts w:hint="eastAsia" w:eastAsia="宋体"/>
          <w:b/>
          <w:color w:val="000000" w:themeColor="text1"/>
          <w:sz w:val="32"/>
          <w:szCs w:val="32"/>
          <w:highlight w:val="none"/>
          <w:lang w:eastAsia="zh-CN"/>
          <w14:textFill>
            <w14:solidFill>
              <w14:schemeClr w14:val="tx1"/>
            </w14:solidFill>
          </w14:textFill>
        </w:rPr>
      </w:pPr>
      <w:r>
        <w:rPr>
          <w:rFonts w:hint="eastAsia" w:ascii="宋体"/>
          <w:b/>
          <w:color w:val="000000" w:themeColor="text1"/>
          <w:sz w:val="32"/>
          <w:szCs w:val="32"/>
          <w:highlight w:val="none"/>
          <w14:textFill>
            <w14:solidFill>
              <w14:schemeClr w14:val="tx1"/>
            </w14:solidFill>
          </w14:textFill>
        </w:rPr>
        <w:t>法定代表人授权委托书</w:t>
      </w:r>
    </w:p>
    <w:p w14:paraId="166B8AA3">
      <w:pPr>
        <w:spacing w:line="360" w:lineRule="auto"/>
        <w:rPr>
          <w:color w:val="000000" w:themeColor="text1"/>
          <w:sz w:val="24"/>
          <w:highlight w:val="none"/>
          <w14:textFill>
            <w14:solidFill>
              <w14:schemeClr w14:val="tx1"/>
            </w14:solidFill>
          </w14:textFill>
        </w:rPr>
      </w:pPr>
    </w:p>
    <w:p w14:paraId="459580A4">
      <w:pPr>
        <w:pStyle w:val="3"/>
        <w:rPr>
          <w:color w:val="000000" w:themeColor="text1"/>
          <w:highlight w:val="none"/>
          <w14:textFill>
            <w14:solidFill>
              <w14:schemeClr w14:val="tx1"/>
            </w14:solidFill>
          </w14:textFill>
        </w:rPr>
      </w:pPr>
    </w:p>
    <w:p w14:paraId="4B3E7CE3">
      <w:pPr>
        <w:spacing w:line="360" w:lineRule="auto"/>
        <w:rPr>
          <w:rFonts w:ascii="宋体"/>
          <w:color w:val="000000" w:themeColor="text1"/>
          <w:sz w:val="24"/>
          <w:highlight w:val="non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台州东游文化旅游发展有限公司</w:t>
      </w:r>
      <w:r>
        <w:rPr>
          <w:rFonts w:hint="eastAsia"/>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：（采购单位）</w:t>
      </w:r>
    </w:p>
    <w:p w14:paraId="733323A7">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本人</w:t>
      </w:r>
      <w:r>
        <w:rPr>
          <w:rFonts w:hint="eastAsia" w:ascii="宋体"/>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（姓名）</w:t>
      </w:r>
      <w:r>
        <w:rPr>
          <w:rFonts w:hint="eastAsia"/>
          <w:color w:val="000000" w:themeColor="text1"/>
          <w:sz w:val="24"/>
          <w:highlight w:val="none"/>
          <w14:textFill>
            <w14:solidFill>
              <w14:schemeClr w14:val="tx1"/>
            </w14:solidFill>
          </w14:textFill>
        </w:rPr>
        <w:t>系</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（投标人全称）法定代表人，现授权委托</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 投标人代表名称）为全权代表，参加贵处组织的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台州方特熊出没水上休闲游乐度假中心（一期）酒店地毯采购</w:t>
      </w:r>
      <w:r>
        <w:rPr>
          <w:color w:val="000000" w:themeColor="text1"/>
          <w:sz w:val="24"/>
          <w:highlight w:val="none"/>
          <w:u w:val="single"/>
          <w14:textFill>
            <w14:solidFill>
              <w14:schemeClr w14:val="tx1"/>
            </w14:solidFill>
          </w14:textFill>
        </w:rPr>
        <w:t xml:space="preserve"> </w:t>
      </w:r>
      <w:r>
        <w:rPr>
          <w:rFonts w:hint="eastAsia" w:ascii="宋体"/>
          <w:color w:val="000000" w:themeColor="text1"/>
          <w:sz w:val="24"/>
          <w:highlight w:val="none"/>
          <w14:textFill>
            <w14:solidFill>
              <w14:schemeClr w14:val="tx1"/>
            </w14:solidFill>
          </w14:textFill>
        </w:rPr>
        <w:t>项目投标活动，并代表我公司全权办理针对上述项目的</w:t>
      </w:r>
      <w:r>
        <w:rPr>
          <w:rFonts w:hint="eastAsia" w:ascii="宋体"/>
          <w:b/>
          <w:color w:val="000000" w:themeColor="text1"/>
          <w:sz w:val="24"/>
          <w:highlight w:val="none"/>
          <w14:textFill>
            <w14:solidFill>
              <w14:schemeClr w14:val="tx1"/>
            </w14:solidFill>
          </w14:textFill>
        </w:rPr>
        <w:t>投标全程各事项、投标文件签署、合同签订及项目实施</w:t>
      </w:r>
      <w:r>
        <w:rPr>
          <w:rFonts w:hint="eastAsia" w:ascii="宋体"/>
          <w:color w:val="000000" w:themeColor="text1"/>
          <w:sz w:val="24"/>
          <w:highlight w:val="none"/>
          <w14:textFill>
            <w14:solidFill>
              <w14:schemeClr w14:val="tx1"/>
            </w14:solidFill>
          </w14:textFill>
        </w:rPr>
        <w:t>等涉及的一切事宜，我公司</w:t>
      </w:r>
      <w:r>
        <w:rPr>
          <w:rFonts w:hint="eastAsia" w:ascii="宋体" w:hAnsi="宋体"/>
          <w:color w:val="000000" w:themeColor="text1"/>
          <w:sz w:val="24"/>
          <w:highlight w:val="none"/>
          <w14:textFill>
            <w14:solidFill>
              <w14:schemeClr w14:val="tx1"/>
            </w14:solidFill>
          </w14:textFill>
        </w:rPr>
        <w:t>对被授权人的签名等行为均予以</w:t>
      </w:r>
      <w:r>
        <w:rPr>
          <w:rFonts w:ascii="宋体" w:hAnsi="宋体"/>
          <w:color w:val="000000" w:themeColor="text1"/>
          <w:sz w:val="24"/>
          <w:highlight w:val="none"/>
          <w14:textFill>
            <w14:solidFill>
              <w14:schemeClr w14:val="tx1"/>
            </w14:solidFill>
          </w14:textFill>
        </w:rPr>
        <w:t>承</w:t>
      </w:r>
      <w:r>
        <w:rPr>
          <w:rFonts w:hint="eastAsia" w:ascii="宋体" w:hAnsi="宋体"/>
          <w:color w:val="000000" w:themeColor="text1"/>
          <w:sz w:val="24"/>
          <w:highlight w:val="none"/>
          <w14:textFill>
            <w14:solidFill>
              <w14:schemeClr w14:val="tx1"/>
            </w14:solidFill>
          </w14:textFill>
        </w:rPr>
        <w:t>认，由此所产生的一切法律后果和法律责任，均由</w:t>
      </w:r>
      <w:r>
        <w:rPr>
          <w:rFonts w:hint="eastAsia" w:ascii="宋体"/>
          <w:color w:val="000000" w:themeColor="text1"/>
          <w:sz w:val="24"/>
          <w:highlight w:val="none"/>
          <w14:textFill>
            <w14:solidFill>
              <w14:schemeClr w14:val="tx1"/>
            </w14:solidFill>
          </w14:textFill>
        </w:rPr>
        <w:t>我公司</w:t>
      </w:r>
      <w:r>
        <w:rPr>
          <w:rFonts w:ascii="宋体" w:hAnsi="宋体"/>
          <w:color w:val="000000" w:themeColor="text1"/>
          <w:sz w:val="24"/>
          <w:highlight w:val="none"/>
          <w14:textFill>
            <w14:solidFill>
              <w14:schemeClr w14:val="tx1"/>
            </w14:solidFill>
          </w14:textFill>
        </w:rPr>
        <w:t>承担</w:t>
      </w:r>
      <w:r>
        <w:rPr>
          <w:rFonts w:hint="eastAsia" w:ascii="宋体" w:hAnsi="宋体"/>
          <w:color w:val="000000" w:themeColor="text1"/>
          <w:sz w:val="24"/>
          <w:highlight w:val="none"/>
          <w14:textFill>
            <w14:solidFill>
              <w14:schemeClr w14:val="tx1"/>
            </w14:solidFill>
          </w14:textFill>
        </w:rPr>
        <w:t>。</w:t>
      </w:r>
      <w:r>
        <w:rPr>
          <w:rFonts w:hint="eastAsia" w:ascii="宋体"/>
          <w:color w:val="000000" w:themeColor="text1"/>
          <w:sz w:val="24"/>
          <w:highlight w:val="none"/>
          <w14:textFill>
            <w14:solidFill>
              <w14:schemeClr w14:val="tx1"/>
            </w14:solidFill>
          </w14:textFill>
        </w:rPr>
        <w:t>同时宣布承诺如下：</w:t>
      </w:r>
    </w:p>
    <w:p w14:paraId="14BA809A">
      <w:pPr>
        <w:numPr>
          <w:ilvl w:val="0"/>
          <w:numId w:val="7"/>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我公司已详细阅读全部招标文件（含补充修改文件），并理解其实质性内容，同意承担招标文件规定的全部义务和相关责任。</w:t>
      </w:r>
    </w:p>
    <w:p w14:paraId="2F0800A1">
      <w:pPr>
        <w:numPr>
          <w:ilvl w:val="0"/>
          <w:numId w:val="7"/>
        </w:numPr>
        <w:spacing w:line="360" w:lineRule="auto"/>
        <w:ind w:left="0" w:firstLine="480" w:firstLineChars="200"/>
        <w:rPr>
          <w:rFonts w:ascii="宋体"/>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我公司同意提供采购人可能要求的与其投标有关的一切数据或资料。</w:t>
      </w:r>
    </w:p>
    <w:p w14:paraId="63C9C703">
      <w:pPr>
        <w:numPr>
          <w:ilvl w:val="0"/>
          <w:numId w:val="7"/>
        </w:numPr>
        <w:spacing w:line="360" w:lineRule="auto"/>
        <w:ind w:left="0"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我公司所提交的一切投标资料均为合法且真实有效。</w:t>
      </w:r>
    </w:p>
    <w:p w14:paraId="6B9C3DFA">
      <w:pPr>
        <w:spacing w:line="360" w:lineRule="auto"/>
        <w:rPr>
          <w:color w:val="000000" w:themeColor="text1"/>
          <w:sz w:val="24"/>
          <w:highlight w:val="none"/>
          <w14:textFill>
            <w14:solidFill>
              <w14:schemeClr w14:val="tx1"/>
            </w14:solidFill>
          </w14:textFill>
        </w:rPr>
      </w:pPr>
    </w:p>
    <w:p w14:paraId="487090B0">
      <w:pPr>
        <w:pStyle w:val="3"/>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w:t>
      </w:r>
    </w:p>
    <w:p w14:paraId="680B90E9">
      <w:pPr>
        <w:pStyle w:val="2"/>
        <w:ind w:firstLine="210"/>
        <w:rPr>
          <w:color w:val="000000" w:themeColor="text1"/>
          <w:highlight w:val="none"/>
          <w14:textFill>
            <w14:solidFill>
              <w14:schemeClr w14:val="tx1"/>
            </w14:solidFill>
          </w14:textFill>
        </w:rPr>
      </w:pPr>
    </w:p>
    <w:p w14:paraId="46BFBCAA">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794FAE21">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769D358F">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7EB46454">
      <w:pPr>
        <w:jc w:val="center"/>
        <w:rPr>
          <w:color w:val="000000" w:themeColor="text1"/>
          <w:sz w:val="24"/>
          <w:highlight w:val="none"/>
          <w14:textFill>
            <w14:solidFill>
              <w14:schemeClr w14:val="tx1"/>
            </w14:solidFill>
          </w14:textFill>
        </w:rPr>
        <w:sectPr>
          <w:headerReference r:id="rId7" w:type="default"/>
          <w:footerReference r:id="rId8" w:type="default"/>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EE1F17F">
      <w:pPr>
        <w:spacing w:line="360" w:lineRule="atLeast"/>
        <w:jc w:val="left"/>
        <w:outlineLvl w:val="0"/>
        <w:rPr>
          <w:b/>
          <w:bCs/>
          <w:color w:val="000000" w:themeColor="text1"/>
          <w:sz w:val="24"/>
          <w:highlight w:val="none"/>
          <w14:textFill>
            <w14:solidFill>
              <w14:schemeClr w14:val="tx1"/>
            </w14:solidFill>
          </w14:textFill>
        </w:rPr>
      </w:pPr>
      <w:bookmarkStart w:id="25" w:name="_Toc16533"/>
      <w:bookmarkStart w:id="26" w:name="_Toc20791_WPSOffice_Level1"/>
      <w:r>
        <w:rPr>
          <w:rFonts w:hint="eastAsia"/>
          <w:b/>
          <w:bCs/>
          <w:color w:val="000000" w:themeColor="text1"/>
          <w:sz w:val="24"/>
          <w:highlight w:val="none"/>
          <w14:textFill>
            <w14:solidFill>
              <w14:schemeClr w14:val="tx1"/>
            </w14:solidFill>
          </w14:textFill>
        </w:rPr>
        <w:t>附件2：</w:t>
      </w:r>
      <w:bookmarkEnd w:id="25"/>
    </w:p>
    <w:p w14:paraId="30D84B5F">
      <w:pPr>
        <w:widowControl/>
        <w:spacing w:line="360" w:lineRule="auto"/>
        <w:jc w:val="center"/>
        <w:rPr>
          <w:rFonts w:hint="eastAsia" w:ascii="黑体" w:hAnsi="黑体" w:eastAsia="黑体" w:cs="黑体"/>
          <w:b/>
          <w:bCs/>
          <w:color w:val="auto"/>
          <w:sz w:val="32"/>
          <w:szCs w:val="32"/>
          <w:highlight w:val="none"/>
        </w:rPr>
      </w:pPr>
    </w:p>
    <w:p w14:paraId="47F14F2A">
      <w:pPr>
        <w:widowControl/>
        <w:spacing w:line="360" w:lineRule="auto"/>
        <w:jc w:val="center"/>
        <w:rPr>
          <w:rFonts w:hint="eastAsia" w:ascii="黑体" w:hAnsi="黑体" w:eastAsia="黑体" w:cs="黑体"/>
          <w:b/>
          <w:bCs/>
          <w:color w:val="auto"/>
          <w:sz w:val="40"/>
          <w:szCs w:val="40"/>
          <w:highlight w:val="none"/>
        </w:rPr>
      </w:pPr>
      <w:r>
        <w:rPr>
          <w:rFonts w:hint="eastAsia" w:ascii="黑体" w:hAnsi="黑体" w:eastAsia="黑体" w:cs="黑体"/>
          <w:b/>
          <w:bCs/>
          <w:color w:val="auto"/>
          <w:sz w:val="40"/>
          <w:szCs w:val="40"/>
          <w:highlight w:val="none"/>
        </w:rPr>
        <w:t>法定代表人身份证明</w:t>
      </w:r>
      <w:bookmarkEnd w:id="26"/>
    </w:p>
    <w:p w14:paraId="1F6EF0E1">
      <w:pPr>
        <w:widowControl/>
        <w:spacing w:line="360" w:lineRule="auto"/>
        <w:jc w:val="center"/>
        <w:rPr>
          <w:rFonts w:hint="eastAsia" w:ascii="方正小标宋简体" w:hAnsi="方正小标宋简体"/>
          <w:color w:val="auto"/>
          <w:sz w:val="44"/>
          <w:szCs w:val="44"/>
          <w:highlight w:val="none"/>
        </w:rPr>
      </w:pPr>
    </w:p>
    <w:p w14:paraId="34C53F53">
      <w:pPr>
        <w:autoSpaceDE w:val="0"/>
        <w:autoSpaceDN w:val="0"/>
        <w:adjustRightInd w:val="0"/>
        <w:snapToGrid w:val="0"/>
        <w:spacing w:line="360" w:lineRule="auto"/>
        <w:ind w:firstLine="560" w:firstLineChars="200"/>
        <w:textAlignment w:val="baseline"/>
        <w:rPr>
          <w:rFonts w:ascii="宋体" w:hAnsi="宋体"/>
          <w:color w:val="auto"/>
          <w:kern w:val="0"/>
          <w:szCs w:val="28"/>
          <w:highlight w:val="none"/>
          <w:u w:val="single"/>
        </w:rPr>
      </w:pPr>
      <w:r>
        <w:rPr>
          <w:rFonts w:hint="eastAsia" w:ascii="宋体" w:hAnsi="宋体"/>
          <w:color w:val="auto"/>
          <w:kern w:val="0"/>
          <w:szCs w:val="28"/>
          <w:highlight w:val="none"/>
        </w:rPr>
        <w:t>投标人名称：</w:t>
      </w:r>
      <w:r>
        <w:rPr>
          <w:rFonts w:hint="eastAsia" w:ascii="宋体" w:hAnsi="宋体"/>
          <w:color w:val="auto"/>
          <w:kern w:val="0"/>
          <w:szCs w:val="28"/>
          <w:highlight w:val="none"/>
          <w:u w:val="single"/>
        </w:rPr>
        <w:t xml:space="preserve">                              </w:t>
      </w:r>
    </w:p>
    <w:p w14:paraId="62AD358D">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单位性质：</w:t>
      </w:r>
      <w:r>
        <w:rPr>
          <w:rFonts w:hint="eastAsia" w:ascii="宋体" w:hAnsi="宋体"/>
          <w:color w:val="auto"/>
          <w:kern w:val="0"/>
          <w:szCs w:val="28"/>
          <w:highlight w:val="none"/>
          <w:u w:val="single"/>
        </w:rPr>
        <w:t xml:space="preserve">                                </w:t>
      </w:r>
    </w:p>
    <w:p w14:paraId="57E2AA74">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地址：</w:t>
      </w:r>
      <w:r>
        <w:rPr>
          <w:rFonts w:hint="eastAsia" w:ascii="宋体" w:hAnsi="宋体"/>
          <w:color w:val="auto"/>
          <w:kern w:val="0"/>
          <w:szCs w:val="28"/>
          <w:highlight w:val="none"/>
          <w:u w:val="single"/>
        </w:rPr>
        <w:t xml:space="preserve">                                  </w:t>
      </w:r>
    </w:p>
    <w:p w14:paraId="40DDBFDC">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成立时间：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月</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日</w:t>
      </w:r>
    </w:p>
    <w:p w14:paraId="2224275C">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经营期限：</w:t>
      </w:r>
      <w:r>
        <w:rPr>
          <w:rFonts w:hint="eastAsia" w:ascii="宋体" w:hAnsi="宋体"/>
          <w:color w:val="auto"/>
          <w:kern w:val="0"/>
          <w:szCs w:val="28"/>
          <w:highlight w:val="none"/>
          <w:u w:val="single"/>
        </w:rPr>
        <w:t xml:space="preserve">                                </w:t>
      </w:r>
    </w:p>
    <w:p w14:paraId="2FD73233">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姓名：</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性别：</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rPr>
        <w:t>年龄：</w:t>
      </w:r>
      <w:r>
        <w:rPr>
          <w:rFonts w:hint="eastAsia" w:ascii="宋体" w:hAnsi="宋体"/>
          <w:color w:val="auto"/>
          <w:kern w:val="0"/>
          <w:szCs w:val="28"/>
          <w:highlight w:val="none"/>
          <w:u w:val="single"/>
        </w:rPr>
        <w:t xml:space="preserve">       </w:t>
      </w:r>
    </w:p>
    <w:p w14:paraId="29E6385A">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身份证号码：</w:t>
      </w:r>
      <w:r>
        <w:rPr>
          <w:rFonts w:hint="eastAsia" w:ascii="宋体" w:hAnsi="宋体"/>
          <w:color w:val="auto"/>
          <w:kern w:val="0"/>
          <w:szCs w:val="28"/>
          <w:highlight w:val="none"/>
          <w:u w:val="single"/>
        </w:rPr>
        <w:t xml:space="preserve">                              </w:t>
      </w:r>
    </w:p>
    <w:p w14:paraId="7CCE79D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联系电话：</w:t>
      </w:r>
      <w:r>
        <w:rPr>
          <w:rFonts w:hint="eastAsia" w:ascii="宋体" w:hAnsi="宋体"/>
          <w:color w:val="auto"/>
          <w:kern w:val="0"/>
          <w:szCs w:val="28"/>
          <w:highlight w:val="none"/>
          <w:u w:val="single"/>
        </w:rPr>
        <w:t xml:space="preserve">                                </w:t>
      </w:r>
    </w:p>
    <w:p w14:paraId="38182C88">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u w:val="single"/>
        </w:rPr>
      </w:pPr>
      <w:r>
        <w:rPr>
          <w:rFonts w:hint="eastAsia" w:ascii="宋体" w:hAnsi="宋体"/>
          <w:color w:val="auto"/>
          <w:kern w:val="0"/>
          <w:szCs w:val="28"/>
          <w:highlight w:val="none"/>
        </w:rPr>
        <w:t>职务：</w:t>
      </w:r>
      <w:r>
        <w:rPr>
          <w:rFonts w:hint="eastAsia" w:ascii="宋体" w:hAnsi="宋体"/>
          <w:color w:val="auto"/>
          <w:kern w:val="0"/>
          <w:szCs w:val="28"/>
          <w:highlight w:val="none"/>
          <w:u w:val="single"/>
        </w:rPr>
        <w:t xml:space="preserve">                </w:t>
      </w:r>
    </w:p>
    <w:p w14:paraId="53CFF4D1">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系</w:t>
      </w:r>
      <w:r>
        <w:rPr>
          <w:rFonts w:hint="eastAsia" w:ascii="宋体" w:hAnsi="宋体"/>
          <w:color w:val="auto"/>
          <w:kern w:val="0"/>
          <w:szCs w:val="28"/>
          <w:highlight w:val="none"/>
          <w:u w:val="single"/>
        </w:rPr>
        <w:t xml:space="preserve">      </w:t>
      </w:r>
      <w:r>
        <w:rPr>
          <w:rFonts w:hint="eastAsia" w:ascii="宋体" w:hAnsi="宋体"/>
          <w:color w:val="auto"/>
          <w:kern w:val="0"/>
          <w:szCs w:val="28"/>
          <w:highlight w:val="none"/>
          <w:u w:val="single"/>
          <w:lang w:val="en-US" w:eastAsia="zh-CN"/>
        </w:rPr>
        <w:t xml:space="preserve">               </w:t>
      </w:r>
      <w:r>
        <w:rPr>
          <w:rFonts w:hint="eastAsia" w:ascii="宋体" w:hAnsi="宋体"/>
          <w:color w:val="auto"/>
          <w:kern w:val="0"/>
          <w:szCs w:val="28"/>
          <w:highlight w:val="none"/>
          <w:u w:val="single"/>
        </w:rPr>
        <w:t xml:space="preserve"> （投标人名称）</w:t>
      </w:r>
      <w:r>
        <w:rPr>
          <w:rFonts w:hint="eastAsia" w:ascii="宋体" w:hAnsi="宋体"/>
          <w:color w:val="auto"/>
          <w:kern w:val="0"/>
          <w:szCs w:val="28"/>
          <w:highlight w:val="none"/>
        </w:rPr>
        <w:t>的法定代表人。</w:t>
      </w:r>
    </w:p>
    <w:p w14:paraId="4BB73720">
      <w:pPr>
        <w:autoSpaceDE w:val="0"/>
        <w:autoSpaceDN w:val="0"/>
        <w:adjustRightInd w:val="0"/>
        <w:snapToGrid w:val="0"/>
        <w:spacing w:line="360" w:lineRule="auto"/>
        <w:ind w:firstLine="560" w:firstLineChars="200"/>
        <w:textAlignment w:val="baseline"/>
        <w:rPr>
          <w:rFonts w:hint="eastAsia" w:ascii="宋体" w:hAnsi="宋体"/>
          <w:color w:val="auto"/>
          <w:kern w:val="0"/>
          <w:szCs w:val="28"/>
          <w:highlight w:val="none"/>
        </w:rPr>
      </w:pPr>
    </w:p>
    <w:p w14:paraId="3FD900AA">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r>
        <w:rPr>
          <w:rFonts w:hint="eastAsia" w:ascii="宋体" w:hAnsi="宋体"/>
          <w:color w:val="auto"/>
          <w:kern w:val="0"/>
          <w:szCs w:val="28"/>
          <w:highlight w:val="none"/>
        </w:rPr>
        <w:t>特此证明。</w:t>
      </w:r>
    </w:p>
    <w:p w14:paraId="33EAC532">
      <w:pPr>
        <w:autoSpaceDE w:val="0"/>
        <w:autoSpaceDN w:val="0"/>
        <w:adjustRightInd w:val="0"/>
        <w:snapToGrid w:val="0"/>
        <w:spacing w:line="360" w:lineRule="auto"/>
        <w:ind w:firstLine="1120" w:firstLineChars="400"/>
        <w:textAlignment w:val="baseline"/>
        <w:rPr>
          <w:rFonts w:hint="eastAsia" w:ascii="宋体" w:hAnsi="宋体"/>
          <w:color w:val="auto"/>
          <w:kern w:val="0"/>
          <w:szCs w:val="28"/>
          <w:highlight w:val="none"/>
        </w:rPr>
      </w:pPr>
    </w:p>
    <w:p w14:paraId="7AA4DB5C">
      <w:pPr>
        <w:autoSpaceDE w:val="0"/>
        <w:autoSpaceDN w:val="0"/>
        <w:adjustRightInd w:val="0"/>
        <w:snapToGrid w:val="0"/>
        <w:spacing w:line="360" w:lineRule="auto"/>
        <w:textAlignment w:val="baseline"/>
        <w:rPr>
          <w:rFonts w:hint="eastAsia" w:ascii="宋体" w:hAnsi="宋体"/>
          <w:color w:val="auto"/>
          <w:kern w:val="0"/>
          <w:szCs w:val="28"/>
          <w:highlight w:val="none"/>
        </w:rPr>
      </w:pPr>
      <w:r>
        <w:rPr>
          <w:rFonts w:hint="eastAsia" w:ascii="宋体" w:hAnsi="宋体"/>
          <w:color w:val="auto"/>
          <w:kern w:val="0"/>
          <w:szCs w:val="28"/>
          <w:highlight w:val="none"/>
        </w:rPr>
        <w:t xml:space="preserve">                                      投标人：（盖章）</w:t>
      </w:r>
    </w:p>
    <w:p w14:paraId="3B717013">
      <w:pPr>
        <w:autoSpaceDE w:val="0"/>
        <w:autoSpaceDN w:val="0"/>
        <w:adjustRightInd w:val="0"/>
        <w:snapToGrid w:val="0"/>
        <w:spacing w:line="360" w:lineRule="auto"/>
        <w:ind w:firstLine="6020" w:firstLineChars="2150"/>
        <w:textAlignment w:val="baseline"/>
        <w:rPr>
          <w:rFonts w:hint="eastAsia" w:ascii="宋体" w:hAnsi="宋体"/>
          <w:color w:val="auto"/>
          <w:kern w:val="0"/>
          <w:szCs w:val="28"/>
          <w:highlight w:val="none"/>
          <w:u w:val="single"/>
        </w:rPr>
      </w:pPr>
    </w:p>
    <w:p w14:paraId="601B813C">
      <w:pPr>
        <w:jc w:val="right"/>
        <w:rPr>
          <w:color w:val="auto"/>
          <w:highlight w:val="none"/>
        </w:rPr>
      </w:pP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年</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月</w:t>
      </w:r>
      <w:r>
        <w:rPr>
          <w:rFonts w:hint="eastAsia" w:ascii="宋体" w:hAnsi="宋体" w:cs="宋体"/>
          <w:color w:val="auto"/>
          <w:kern w:val="0"/>
          <w:szCs w:val="28"/>
          <w:highlight w:val="none"/>
          <w:u w:val="single"/>
        </w:rPr>
        <w:t xml:space="preserve">      </w:t>
      </w:r>
      <w:r>
        <w:rPr>
          <w:rFonts w:hint="eastAsia" w:ascii="宋体" w:hAnsi="宋体" w:cs="宋体"/>
          <w:color w:val="auto"/>
          <w:kern w:val="0"/>
          <w:szCs w:val="28"/>
          <w:highlight w:val="none"/>
        </w:rPr>
        <w:t>日</w:t>
      </w:r>
    </w:p>
    <w:p w14:paraId="416689CA">
      <w:pPr>
        <w:pStyle w:val="191"/>
        <w:rPr>
          <w:highlight w:val="none"/>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348059CB">
      <w:pPr>
        <w:spacing w:line="360" w:lineRule="atLeast"/>
        <w:jc w:val="left"/>
        <w:outlineLvl w:val="0"/>
        <w:rPr>
          <w:b/>
          <w:bCs/>
          <w:color w:val="000000" w:themeColor="text1"/>
          <w:sz w:val="24"/>
          <w:highlight w:val="none"/>
          <w14:textFill>
            <w14:solidFill>
              <w14:schemeClr w14:val="tx1"/>
            </w14:solidFill>
          </w14:textFill>
        </w:rPr>
      </w:pPr>
      <w:bookmarkStart w:id="27" w:name="_Toc23385"/>
      <w:r>
        <w:rPr>
          <w:rFonts w:hint="eastAsia"/>
          <w:b/>
          <w:bCs/>
          <w:color w:val="000000" w:themeColor="text1"/>
          <w:sz w:val="24"/>
          <w:highlight w:val="none"/>
          <w14:textFill>
            <w14:solidFill>
              <w14:schemeClr w14:val="tx1"/>
            </w14:solidFill>
          </w14:textFill>
        </w:rPr>
        <w:t>附件</w:t>
      </w:r>
      <w:r>
        <w:rPr>
          <w:rFonts w:hint="eastAsia"/>
          <w:b/>
          <w:bCs/>
          <w:color w:val="000000" w:themeColor="text1"/>
          <w:sz w:val="24"/>
          <w:highlight w:val="none"/>
          <w:lang w:val="en-US" w:eastAsia="zh-CN"/>
          <w14:textFill>
            <w14:solidFill>
              <w14:schemeClr w14:val="tx1"/>
            </w14:solidFill>
          </w14:textFill>
        </w:rPr>
        <w:t>3</w:t>
      </w:r>
      <w:r>
        <w:rPr>
          <w:rFonts w:hint="eastAsia"/>
          <w:b/>
          <w:bCs/>
          <w:color w:val="000000" w:themeColor="text1"/>
          <w:sz w:val="24"/>
          <w:highlight w:val="none"/>
          <w14:textFill>
            <w14:solidFill>
              <w14:schemeClr w14:val="tx1"/>
            </w14:solidFill>
          </w14:textFill>
        </w:rPr>
        <w:t>：</w:t>
      </w:r>
      <w:bookmarkEnd w:id="27"/>
    </w:p>
    <w:p w14:paraId="0D44A49B">
      <w:pPr>
        <w:spacing w:line="360" w:lineRule="atLeast"/>
        <w:jc w:val="center"/>
        <w:outlineLvl w:val="9"/>
        <w:rPr>
          <w:rFonts w:hint="eastAsia" w:ascii="宋体" w:hAnsi="宋体" w:cs="宋体"/>
          <w:b/>
          <w:bCs/>
          <w:color w:val="000000" w:themeColor="text1"/>
          <w:szCs w:val="28"/>
          <w:highlight w:val="none"/>
          <w:lang w:eastAsia="zh-CN"/>
          <w14:textFill>
            <w14:solidFill>
              <w14:schemeClr w14:val="tx1"/>
            </w14:solidFill>
          </w14:textFill>
        </w:rPr>
      </w:pPr>
    </w:p>
    <w:p w14:paraId="361C492A">
      <w:pPr>
        <w:spacing w:line="360" w:lineRule="atLeast"/>
        <w:jc w:val="center"/>
        <w:outlineLvl w:val="0"/>
        <w:rPr>
          <w:rFonts w:hint="eastAsia" w:ascii="宋体" w:hAnsi="宋体" w:eastAsia="宋体" w:cs="宋体"/>
          <w:b/>
          <w:bCs/>
          <w:color w:val="000000" w:themeColor="text1"/>
          <w:szCs w:val="28"/>
          <w:highlight w:val="none"/>
          <w:lang w:eastAsia="zh-CN"/>
          <w14:textFill>
            <w14:solidFill>
              <w14:schemeClr w14:val="tx1"/>
            </w14:solidFill>
          </w14:textFill>
        </w:rPr>
      </w:pPr>
      <w:r>
        <w:rPr>
          <w:rFonts w:hint="eastAsia" w:ascii="宋体" w:hAnsi="宋体" w:cs="宋体"/>
          <w:b/>
          <w:bCs/>
          <w:color w:val="000000" w:themeColor="text1"/>
          <w:szCs w:val="28"/>
          <w:highlight w:val="none"/>
          <w:lang w:eastAsia="zh-CN"/>
          <w14:textFill>
            <w14:solidFill>
              <w14:schemeClr w14:val="tx1"/>
            </w14:solidFill>
          </w14:textFill>
        </w:rPr>
        <w:t xml:space="preserve"> 台州方特熊出没水上休闲游乐度假中心（一期）酒店地毯采购</w:t>
      </w:r>
    </w:p>
    <w:p w14:paraId="50728799">
      <w:pPr>
        <w:spacing w:line="360" w:lineRule="atLeast"/>
        <w:ind w:left="641" w:leftChars="229" w:firstLine="3238" w:firstLineChars="1152"/>
        <w:outlineLvl w:val="0"/>
        <w:rPr>
          <w:rFonts w:ascii="宋体"/>
          <w:b/>
          <w:bCs/>
          <w:color w:val="000000" w:themeColor="text1"/>
          <w:szCs w:val="28"/>
          <w:highlight w:val="none"/>
          <w14:textFill>
            <w14:solidFill>
              <w14:schemeClr w14:val="tx1"/>
            </w14:solidFill>
          </w14:textFill>
        </w:rPr>
      </w:pPr>
      <w:bookmarkStart w:id="28" w:name="_Toc14776"/>
      <w:r>
        <w:rPr>
          <w:rFonts w:hint="eastAsia" w:ascii="宋体" w:hAnsi="宋体" w:cs="宋体"/>
          <w:b/>
          <w:bCs/>
          <w:color w:val="000000" w:themeColor="text1"/>
          <w:szCs w:val="28"/>
          <w:highlight w:val="none"/>
          <w14:textFill>
            <w14:solidFill>
              <w14:schemeClr w14:val="tx1"/>
            </w14:solidFill>
          </w14:textFill>
        </w:rPr>
        <w:t>开标一览表</w:t>
      </w:r>
      <w:bookmarkEnd w:id="28"/>
    </w:p>
    <w:p w14:paraId="7E146396">
      <w:pPr>
        <w:keepNext w:val="0"/>
        <w:keepLines w:val="0"/>
        <w:pageBreakBefore w:val="0"/>
        <w:widowControl w:val="0"/>
        <w:kinsoku/>
        <w:overflowPunct/>
        <w:topLinePunct w:val="0"/>
        <w:autoSpaceDE/>
        <w:autoSpaceDN/>
        <w:bidi w:val="0"/>
        <w:snapToGrid w:val="0"/>
        <w:spacing w:before="50" w:after="50" w:line="360" w:lineRule="auto"/>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46C9CA8">
      <w:pPr>
        <w:keepNext w:val="0"/>
        <w:keepLines w:val="0"/>
        <w:pageBreakBefore w:val="0"/>
        <w:widowControl w:val="0"/>
        <w:kinsoku/>
        <w:overflowPunct/>
        <w:topLinePunct w:val="0"/>
        <w:autoSpaceDE/>
        <w:autoSpaceDN/>
        <w:bidi w:val="0"/>
        <w:snapToGrid w:val="0"/>
        <w:spacing w:before="50" w:after="50" w:line="360" w:lineRule="auto"/>
        <w:jc w:val="left"/>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台州东游文化旅游发展有限公司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（采购单位）</w:t>
      </w:r>
    </w:p>
    <w:p w14:paraId="56AAF283">
      <w:pPr>
        <w:keepNext w:val="0"/>
        <w:keepLines w:val="0"/>
        <w:pageBreakBefore w:val="0"/>
        <w:widowControl w:val="0"/>
        <w:kinsoku/>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经研究，我们决定参加你单位的</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台州方特熊出没水上休闲游乐度假中心（一期）酒店地毯采购</w:t>
      </w:r>
      <w:r>
        <w:rPr>
          <w:rFonts w:hint="eastAsia" w:ascii="宋体" w:hAnsi="宋体" w:eastAsia="宋体" w:cs="宋体"/>
          <w:color w:val="000000" w:themeColor="text1"/>
          <w:sz w:val="24"/>
          <w:szCs w:val="24"/>
          <w:highlight w:val="none"/>
          <w14:textFill>
            <w14:solidFill>
              <w14:schemeClr w14:val="tx1"/>
            </w14:solidFill>
          </w14:textFill>
        </w:rPr>
        <w:t>的招标采购活动并提交投标文件。为此，我方郑重声明以下诸点，并负法律责任。</w:t>
      </w:r>
    </w:p>
    <w:p w14:paraId="51E8B2C4">
      <w:pPr>
        <w:pStyle w:val="15"/>
        <w:keepNext w:val="0"/>
        <w:keepLines w:val="0"/>
        <w:pageBreakBefore w:val="0"/>
        <w:widowControl w:val="0"/>
        <w:kinsoku/>
        <w:overflowPunct/>
        <w:topLinePunct w:val="0"/>
        <w:autoSpaceDE/>
        <w:autoSpaceDN/>
        <w:bidi w:val="0"/>
        <w:adjustRightInd w:val="0"/>
        <w:snapToGrid w:val="0"/>
        <w:spacing w:after="120" w:line="360" w:lineRule="auto"/>
        <w:ind w:firstLine="48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1、如果我们的招标文件被接受，我们将履行招标文件中规定的每一项要求，并按我们投标文件中的承诺按期、按质、按量提供服务。</w:t>
      </w:r>
    </w:p>
    <w:p w14:paraId="0CB29EFD">
      <w:pPr>
        <w:pStyle w:val="15"/>
        <w:keepNext w:val="0"/>
        <w:keepLines w:val="0"/>
        <w:pageBreakBefore w:val="0"/>
        <w:widowControl w:val="0"/>
        <w:kinsoku/>
        <w:overflowPunct/>
        <w:topLinePunct w:val="0"/>
        <w:autoSpaceDE/>
        <w:autoSpaceDN/>
        <w:bidi w:val="0"/>
        <w:adjustRightInd w:val="0"/>
        <w:snapToGrid w:val="0"/>
        <w:spacing w:after="120" w:line="360" w:lineRule="auto"/>
        <w:ind w:firstLine="547" w:firstLineChars="228"/>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2、我们同意按采购文件规定遵守采购人有关采购的各项规定。</w:t>
      </w:r>
    </w:p>
    <w:p w14:paraId="60E9637F">
      <w:pPr>
        <w:pStyle w:val="15"/>
        <w:keepNext w:val="0"/>
        <w:keepLines w:val="0"/>
        <w:pageBreakBefore w:val="0"/>
        <w:widowControl w:val="0"/>
        <w:kinsoku/>
        <w:overflowPunct/>
        <w:topLinePunct w:val="0"/>
        <w:autoSpaceDE/>
        <w:autoSpaceDN/>
        <w:bidi w:val="0"/>
        <w:adjustRightInd w:val="0"/>
        <w:snapToGrid w:val="0"/>
        <w:spacing w:after="120" w:line="360" w:lineRule="auto"/>
        <w:ind w:firstLine="540" w:firstLineChars="225"/>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3、我方同意提供按照贵方可能要求的与投标有关的一切数据或资料，我方若未成为成交投标人，采购人有权不做任何解释。</w:t>
      </w:r>
    </w:p>
    <w:p w14:paraId="3DAA20C8">
      <w:pPr>
        <w:keepNext w:val="0"/>
        <w:keepLines w:val="0"/>
        <w:pageBreakBefore w:val="0"/>
        <w:widowControl w:val="0"/>
        <w:kinsoku/>
        <w:overflowPunct/>
        <w:topLinePunct w:val="0"/>
        <w:autoSpaceDE/>
        <w:autoSpaceDN/>
        <w:bidi w:val="0"/>
        <w:spacing w:line="360" w:lineRule="auto"/>
        <w:ind w:firstLine="600" w:firstLineChars="25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4、我方如果中标，将保证履行招标文件以及招标文件修改书（如有）中的全部责任和义务，按质、按量、按期完成《合同书》中的全部任务。</w:t>
      </w:r>
    </w:p>
    <w:tbl>
      <w:tblPr>
        <w:tblStyle w:val="37"/>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5"/>
        <w:gridCol w:w="6338"/>
      </w:tblGrid>
      <w:tr w14:paraId="1111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5E8B94CD">
            <w:pPr>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1、投标总报价</w:t>
            </w:r>
          </w:p>
        </w:tc>
        <w:tc>
          <w:tcPr>
            <w:tcW w:w="6338" w:type="dxa"/>
            <w:vAlign w:val="center"/>
          </w:tcPr>
          <w:p w14:paraId="7463EC0F">
            <w:pPr>
              <w:keepNext w:val="0"/>
              <w:keepLines w:val="0"/>
              <w:pageBreakBefore w:val="0"/>
              <w:widowControl w:val="0"/>
              <w:kinsoku/>
              <w:wordWrap w:val="0"/>
              <w:overflowPunct/>
              <w:topLinePunct w:val="0"/>
              <w:autoSpaceDE/>
              <w:autoSpaceDN/>
              <w:bidi w:val="0"/>
              <w:spacing w:line="360" w:lineRule="auto"/>
              <w:ind w:right="420"/>
              <w:jc w:val="center"/>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大写：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元；小写：</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元</w:t>
            </w:r>
          </w:p>
        </w:tc>
      </w:tr>
      <w:tr w14:paraId="22FE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7BC93FCD">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2、时间要求</w:t>
            </w:r>
          </w:p>
        </w:tc>
        <w:tc>
          <w:tcPr>
            <w:tcW w:w="6338" w:type="dxa"/>
            <w:vAlign w:val="center"/>
          </w:tcPr>
          <w:p w14:paraId="14F8C2E7">
            <w:pPr>
              <w:keepNext w:val="0"/>
              <w:keepLines w:val="0"/>
              <w:pageBreakBefore w:val="0"/>
              <w:widowControl w:val="0"/>
              <w:kinsoku/>
              <w:overflowPunct/>
              <w:topLinePunct w:val="0"/>
              <w:autoSpaceDE/>
              <w:autoSpaceDN/>
              <w:bidi w:val="0"/>
              <w:spacing w:line="360" w:lineRule="auto"/>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符合招标文件要求</w:t>
            </w:r>
          </w:p>
        </w:tc>
      </w:tr>
      <w:tr w14:paraId="6D85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275" w:type="dxa"/>
            <w:vAlign w:val="center"/>
          </w:tcPr>
          <w:p w14:paraId="5F2EB8B5">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3、质量等级</w:t>
            </w:r>
          </w:p>
        </w:tc>
        <w:tc>
          <w:tcPr>
            <w:tcW w:w="6338" w:type="dxa"/>
            <w:vAlign w:val="center"/>
          </w:tcPr>
          <w:p w14:paraId="3A44273F">
            <w:pPr>
              <w:keepNext w:val="0"/>
              <w:keepLines w:val="0"/>
              <w:pageBreakBefore w:val="0"/>
              <w:widowControl w:val="0"/>
              <w:kinsoku/>
              <w:overflowPunct/>
              <w:topLinePunct w:val="0"/>
              <w:autoSpaceDE/>
              <w:autoSpaceDN/>
              <w:bidi w:val="0"/>
              <w:snapToGrid w:val="0"/>
              <w:spacing w:before="50" w:after="50" w:line="360" w:lineRule="auto"/>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符合要求</w:t>
            </w:r>
          </w:p>
        </w:tc>
      </w:tr>
    </w:tbl>
    <w:p w14:paraId="53247228">
      <w:pPr>
        <w:keepNext w:val="0"/>
        <w:keepLines w:val="0"/>
        <w:pageBreakBefore w:val="0"/>
        <w:widowControl w:val="0"/>
        <w:kinsoku/>
        <w:overflowPunct/>
        <w:topLinePunct w:val="0"/>
        <w:autoSpaceDE/>
        <w:autoSpaceDN/>
        <w:bidi w:val="0"/>
        <w:snapToGrid w:val="0"/>
        <w:spacing w:before="50" w:after="50"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 报价一经涂改，应在涂改处加盖单位公章或者由法定代表人或授权委托人签字或盖章，否则其投标作无效标处理。</w:t>
      </w:r>
    </w:p>
    <w:p w14:paraId="7C35A1CA">
      <w:pPr>
        <w:pStyle w:val="3"/>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94CBCBE">
      <w:pPr>
        <w:pStyle w:val="3"/>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8ABD9FC">
      <w:pPr>
        <w:pStyle w:val="2"/>
        <w:keepNext w:val="0"/>
        <w:keepLines w:val="0"/>
        <w:pageBreakBefore w:val="0"/>
        <w:widowControl w:val="0"/>
        <w:kinsoku/>
        <w:overflowPunct/>
        <w:topLinePunct w:val="0"/>
        <w:autoSpaceDE/>
        <w:autoSpaceDN/>
        <w:bidi w:val="0"/>
        <w:spacing w:line="360" w:lineRule="auto"/>
        <w:ind w:firstLine="5760" w:firstLineChars="2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投标人（盖章）：</w:t>
      </w:r>
    </w:p>
    <w:p w14:paraId="2B1AB651">
      <w:pPr>
        <w:keepNext w:val="0"/>
        <w:keepLines w:val="0"/>
        <w:pageBreakBefore w:val="0"/>
        <w:widowControl w:val="0"/>
        <w:kinsoku/>
        <w:overflowPunct/>
        <w:topLinePunct w:val="0"/>
        <w:autoSpaceDE/>
        <w:autoSpaceDN/>
        <w:bidi w:val="0"/>
        <w:spacing w:line="360" w:lineRule="auto"/>
        <w:ind w:firstLine="5760" w:firstLineChars="24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法定代表人（签字或盖章）：                  </w:t>
      </w:r>
    </w:p>
    <w:p w14:paraId="5029018E">
      <w:pPr>
        <w:keepNext w:val="0"/>
        <w:keepLines w:val="0"/>
        <w:pageBreakBefore w:val="0"/>
        <w:widowControl w:val="0"/>
        <w:kinsoku/>
        <w:overflowPunct/>
        <w:topLinePunct w:val="0"/>
        <w:autoSpaceDE/>
        <w:autoSpaceDN/>
        <w:bidi w:val="0"/>
        <w:spacing w:line="360" w:lineRule="auto"/>
        <w:ind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日期：  年    月    日</w:t>
      </w:r>
    </w:p>
    <w:p w14:paraId="2BC8C07A">
      <w:pPr>
        <w:pStyle w:val="3"/>
        <w:keepNext w:val="0"/>
        <w:keepLines w:val="0"/>
        <w:pageBreakBefore w:val="0"/>
        <w:widowControl w:val="0"/>
        <w:kinsoku/>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6D57B047">
      <w:pPr>
        <w:snapToGrid w:val="0"/>
        <w:spacing w:before="50" w:after="50"/>
        <w:outlineLvl w:val="0"/>
        <w:rPr>
          <w:rFonts w:ascii="宋体" w:hAnsi="宋体" w:cs="宋体"/>
          <w:b/>
          <w:bCs/>
          <w:color w:val="000000" w:themeColor="text1"/>
          <w:sz w:val="24"/>
          <w:highlight w:val="none"/>
          <w14:textFill>
            <w14:solidFill>
              <w14:schemeClr w14:val="tx1"/>
            </w14:solidFill>
          </w14:textFill>
        </w:rPr>
      </w:pPr>
      <w:bookmarkStart w:id="29" w:name="_Toc19708"/>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4</w:t>
      </w:r>
      <w:r>
        <w:rPr>
          <w:rFonts w:hint="eastAsia" w:ascii="宋体" w:hAnsi="宋体" w:cs="宋体"/>
          <w:b/>
          <w:bCs/>
          <w:color w:val="000000" w:themeColor="text1"/>
          <w:sz w:val="24"/>
          <w:highlight w:val="none"/>
          <w14:textFill>
            <w14:solidFill>
              <w14:schemeClr w14:val="tx1"/>
            </w14:solidFill>
          </w14:textFill>
        </w:rPr>
        <w:t>：</w:t>
      </w:r>
      <w:bookmarkEnd w:id="29"/>
      <w:r>
        <w:rPr>
          <w:rFonts w:hint="eastAsia" w:ascii="宋体" w:hAnsi="宋体" w:cs="宋体"/>
          <w:b/>
          <w:bCs/>
          <w:color w:val="000000" w:themeColor="text1"/>
          <w:sz w:val="24"/>
          <w:highlight w:val="none"/>
          <w14:textFill>
            <w14:solidFill>
              <w14:schemeClr w14:val="tx1"/>
            </w14:solidFill>
          </w14:textFill>
        </w:rPr>
        <w:t xml:space="preserve"> </w:t>
      </w:r>
    </w:p>
    <w:p w14:paraId="5ED27C5A">
      <w:pPr>
        <w:spacing w:line="360" w:lineRule="atLeast"/>
        <w:jc w:val="center"/>
        <w:outlineLvl w:val="0"/>
        <w:rPr>
          <w:rFonts w:ascii="宋体" w:hAnsi="宋体" w:cs="宋体"/>
          <w:b/>
          <w:color w:val="000000" w:themeColor="text1"/>
          <w:sz w:val="30"/>
          <w:szCs w:val="30"/>
          <w:highlight w:val="none"/>
          <w14:textFill>
            <w14:solidFill>
              <w14:schemeClr w14:val="tx1"/>
            </w14:solidFill>
          </w14:textFill>
        </w:rPr>
      </w:pPr>
      <w:bookmarkStart w:id="30" w:name="_Toc27542"/>
      <w:r>
        <w:rPr>
          <w:rFonts w:hint="eastAsia" w:ascii="宋体" w:hAnsi="宋体" w:cs="宋体"/>
          <w:b/>
          <w:color w:val="000000" w:themeColor="text1"/>
          <w:sz w:val="30"/>
          <w:szCs w:val="30"/>
          <w:highlight w:val="none"/>
          <w14:textFill>
            <w14:solidFill>
              <w14:schemeClr w14:val="tx1"/>
            </w14:solidFill>
          </w14:textFill>
        </w:rPr>
        <w:t>投标报价明细清单</w:t>
      </w:r>
      <w:bookmarkEnd w:id="30"/>
    </w:p>
    <w:p w14:paraId="20657FA6">
      <w:pPr>
        <w:spacing w:line="320" w:lineRule="exact"/>
        <w:rPr>
          <w:rFonts w:hint="eastAsia" w:ascii="宋体" w:hAnsi="宋体" w:eastAsia="宋体"/>
          <w:color w:val="auto"/>
          <w:highlight w:val="none"/>
          <w:lang w:eastAsia="zh-CN"/>
        </w:rPr>
      </w:pPr>
      <w:r>
        <w:rPr>
          <w:rFonts w:hint="eastAsia" w:ascii="宋体" w:hAnsi="宋体"/>
          <w:b/>
          <w:bCs/>
          <w:color w:val="auto"/>
          <w:highlight w:val="none"/>
        </w:rPr>
        <w:t>项目名称</w:t>
      </w:r>
      <w:r>
        <w:rPr>
          <w:rFonts w:hint="eastAsia" w:ascii="宋体" w:hAnsi="宋体"/>
          <w:color w:val="auto"/>
          <w:highlight w:val="none"/>
        </w:rPr>
        <w:t>：</w:t>
      </w:r>
      <w:r>
        <w:rPr>
          <w:rFonts w:hint="eastAsia" w:ascii="宋体" w:hAnsi="宋体"/>
          <w:color w:val="auto"/>
          <w:highlight w:val="none"/>
          <w:lang w:eastAsia="zh-CN"/>
        </w:rPr>
        <w:t>台州方特熊出没水上休闲游乐度假中心（一期）酒店地毯采购</w:t>
      </w:r>
    </w:p>
    <w:tbl>
      <w:tblPr>
        <w:tblStyle w:val="37"/>
        <w:tblW w:w="161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4"/>
        <w:gridCol w:w="945"/>
        <w:gridCol w:w="1140"/>
        <w:gridCol w:w="2700"/>
        <w:gridCol w:w="5460"/>
        <w:gridCol w:w="645"/>
        <w:gridCol w:w="855"/>
        <w:gridCol w:w="1140"/>
        <w:gridCol w:w="1440"/>
        <w:gridCol w:w="1202"/>
      </w:tblGrid>
      <w:tr w14:paraId="67ED2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634" w:type="dxa"/>
            <w:tcBorders>
              <w:top w:val="single" w:color="000000" w:sz="4" w:space="0"/>
              <w:left w:val="single" w:color="000000" w:sz="8" w:space="0"/>
              <w:bottom w:val="single" w:color="000000" w:sz="4" w:space="0"/>
              <w:right w:val="single" w:color="000000" w:sz="4" w:space="0"/>
            </w:tcBorders>
            <w:shd w:val="clear" w:color="auto" w:fill="C0C0C0"/>
            <w:noWrap/>
            <w:vAlign w:val="center"/>
          </w:tcPr>
          <w:p w14:paraId="7B802C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945" w:type="dxa"/>
            <w:tcBorders>
              <w:top w:val="single" w:color="000000" w:sz="4" w:space="0"/>
              <w:left w:val="single" w:color="000000" w:sz="4" w:space="0"/>
              <w:bottom w:val="single" w:color="000000" w:sz="4" w:space="0"/>
              <w:right w:val="single" w:color="auto" w:sz="4" w:space="0"/>
            </w:tcBorders>
            <w:shd w:val="clear" w:color="auto" w:fill="C0C0C0"/>
            <w:noWrap/>
            <w:vAlign w:val="center"/>
          </w:tcPr>
          <w:p w14:paraId="609FC0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位置</w:t>
            </w:r>
          </w:p>
        </w:tc>
        <w:tc>
          <w:tcPr>
            <w:tcW w:w="1140" w:type="dxa"/>
            <w:tcBorders>
              <w:top w:val="single" w:color="000000" w:sz="4" w:space="0"/>
              <w:left w:val="single" w:color="auto" w:sz="4" w:space="0"/>
              <w:bottom w:val="single" w:color="000000" w:sz="4" w:space="0"/>
              <w:right w:val="single" w:color="000000" w:sz="4" w:space="0"/>
            </w:tcBorders>
            <w:shd w:val="clear" w:color="auto" w:fill="C0C0C0"/>
            <w:noWrap/>
            <w:vAlign w:val="center"/>
          </w:tcPr>
          <w:p w14:paraId="6A8513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2"/>
                <w:sz w:val="21"/>
                <w:szCs w:val="21"/>
                <w:highlight w:val="none"/>
                <w:u w:val="none"/>
                <w:lang w:val="en-US" w:eastAsia="zh-CN" w:bidi="ar-SA"/>
              </w:rPr>
            </w:pPr>
            <w:r>
              <w:rPr>
                <w:rFonts w:hint="eastAsia" w:ascii="宋体" w:hAnsi="宋体" w:eastAsia="宋体" w:cs="宋体"/>
                <w:b/>
                <w:bCs/>
                <w:i w:val="0"/>
                <w:iCs w:val="0"/>
                <w:color w:val="000000"/>
                <w:kern w:val="0"/>
                <w:sz w:val="21"/>
                <w:szCs w:val="21"/>
                <w:highlight w:val="none"/>
                <w:u w:val="none"/>
                <w:lang w:val="en-US" w:eastAsia="zh-CN" w:bidi="ar"/>
              </w:rPr>
              <w:t>品名</w:t>
            </w:r>
          </w:p>
        </w:tc>
        <w:tc>
          <w:tcPr>
            <w:tcW w:w="270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98B4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产品图片</w:t>
            </w:r>
          </w:p>
        </w:tc>
        <w:tc>
          <w:tcPr>
            <w:tcW w:w="546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5A782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材质说明</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2484CC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5B2477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数量</w:t>
            </w:r>
          </w:p>
        </w:tc>
        <w:tc>
          <w:tcPr>
            <w:tcW w:w="114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EED79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全费用综合单价上限价（元）</w:t>
            </w:r>
          </w:p>
        </w:tc>
        <w:tc>
          <w:tcPr>
            <w:tcW w:w="1440"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76E770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全费用综合单价（元）</w:t>
            </w:r>
          </w:p>
        </w:tc>
        <w:tc>
          <w:tcPr>
            <w:tcW w:w="1202"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14:paraId="112B3F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小计（元）</w:t>
            </w:r>
          </w:p>
        </w:tc>
      </w:tr>
      <w:tr w14:paraId="422A4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E9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49FCF5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969CA2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阿克明斯特地毯CP-01</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0903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-17780</wp:posOffset>
                  </wp:positionH>
                  <wp:positionV relativeFrom="paragraph">
                    <wp:posOffset>390525</wp:posOffset>
                  </wp:positionV>
                  <wp:extent cx="1670050" cy="850900"/>
                  <wp:effectExtent l="0" t="0" r="6350" b="6350"/>
                  <wp:wrapNone/>
                  <wp:docPr id="101" name="图片_1"/>
                  <wp:cNvGraphicFramePr/>
                  <a:graphic xmlns:a="http://schemas.openxmlformats.org/drawingml/2006/main">
                    <a:graphicData uri="http://schemas.openxmlformats.org/drawingml/2006/picture">
                      <pic:pic xmlns:pic="http://schemas.openxmlformats.org/drawingml/2006/picture">
                        <pic:nvPicPr>
                          <pic:cNvPr id="101" name="图片_1"/>
                          <pic:cNvPicPr/>
                        </pic:nvPicPr>
                        <pic:blipFill>
                          <a:blip r:embed="rId14"/>
                          <a:stretch>
                            <a:fillRect/>
                          </a:stretch>
                        </pic:blipFill>
                        <pic:spPr>
                          <a:xfrm>
                            <a:off x="0" y="0"/>
                            <a:ext cx="1670050" cy="85090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206B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7、绒重：1550克/平方米；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68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BA7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6D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239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D938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76F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81B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43A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CA4AB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B9971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阿克明斯特地毯CP-02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6AE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-28575</wp:posOffset>
                  </wp:positionH>
                  <wp:positionV relativeFrom="paragraph">
                    <wp:posOffset>520065</wp:posOffset>
                  </wp:positionV>
                  <wp:extent cx="1671320" cy="662305"/>
                  <wp:effectExtent l="0" t="0" r="5080" b="4445"/>
                  <wp:wrapNone/>
                  <wp:docPr id="102" name="图片_1_SpCnt_1"/>
                  <wp:cNvGraphicFramePr/>
                  <a:graphic xmlns:a="http://schemas.openxmlformats.org/drawingml/2006/main">
                    <a:graphicData uri="http://schemas.openxmlformats.org/drawingml/2006/picture">
                      <pic:pic xmlns:pic="http://schemas.openxmlformats.org/drawingml/2006/picture">
                        <pic:nvPicPr>
                          <pic:cNvPr id="102" name="图片_1_SpCnt_1"/>
                          <pic:cNvPicPr/>
                        </pic:nvPicPr>
                        <pic:blipFill>
                          <a:blip r:embed="rId15"/>
                          <a:stretch>
                            <a:fillRect/>
                          </a:stretch>
                        </pic:blipFill>
                        <pic:spPr>
                          <a:xfrm>
                            <a:off x="0" y="0"/>
                            <a:ext cx="1671320" cy="662305"/>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C9E0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7、绒重：1550克/平方米；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759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A7E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800.00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6AAE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235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5A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57F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E4E5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A7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1007D8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4CD77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阿克明斯特地毯CP-03</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8D2C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-1270</wp:posOffset>
                  </wp:positionH>
                  <wp:positionV relativeFrom="paragraph">
                    <wp:posOffset>89535</wp:posOffset>
                  </wp:positionV>
                  <wp:extent cx="1601470" cy="791210"/>
                  <wp:effectExtent l="0" t="0" r="17780" b="8890"/>
                  <wp:wrapNone/>
                  <wp:docPr id="103" name="图片_1_SpCnt_2"/>
                  <wp:cNvGraphicFramePr/>
                  <a:graphic xmlns:a="http://schemas.openxmlformats.org/drawingml/2006/main">
                    <a:graphicData uri="http://schemas.openxmlformats.org/drawingml/2006/picture">
                      <pic:pic xmlns:pic="http://schemas.openxmlformats.org/drawingml/2006/picture">
                        <pic:nvPicPr>
                          <pic:cNvPr id="103" name="图片_1_SpCnt_2"/>
                          <pic:cNvPicPr/>
                        </pic:nvPicPr>
                        <pic:blipFill>
                          <a:blip r:embed="rId16"/>
                          <a:stretch>
                            <a:fillRect/>
                          </a:stretch>
                        </pic:blipFill>
                        <pic:spPr>
                          <a:xfrm>
                            <a:off x="0" y="0"/>
                            <a:ext cx="1601470" cy="79121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48A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7、绒重：1550克/平方米；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2198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F16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670.00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AED9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235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548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0F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AB58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8B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D0922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DD6B0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阿克明斯特地毯CP-04</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B4145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120650</wp:posOffset>
                  </wp:positionH>
                  <wp:positionV relativeFrom="paragraph">
                    <wp:posOffset>416560</wp:posOffset>
                  </wp:positionV>
                  <wp:extent cx="1258570" cy="922020"/>
                  <wp:effectExtent l="0" t="0" r="17780" b="11430"/>
                  <wp:wrapNone/>
                  <wp:docPr id="104" name="图片_1_SpCnt_3"/>
                  <wp:cNvGraphicFramePr/>
                  <a:graphic xmlns:a="http://schemas.openxmlformats.org/drawingml/2006/main">
                    <a:graphicData uri="http://schemas.openxmlformats.org/drawingml/2006/picture">
                      <pic:pic xmlns:pic="http://schemas.openxmlformats.org/drawingml/2006/picture">
                        <pic:nvPicPr>
                          <pic:cNvPr id="104" name="图片_1_SpCnt_3"/>
                          <pic:cNvPicPr/>
                        </pic:nvPicPr>
                        <pic:blipFill>
                          <a:blip r:embed="rId17"/>
                          <a:stretch>
                            <a:fillRect/>
                          </a:stretch>
                        </pic:blipFill>
                        <pic:spPr>
                          <a:xfrm>
                            <a:off x="0" y="0"/>
                            <a:ext cx="1258570" cy="92202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E067D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7、绒重：1550克/平方米；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906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E3BF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9.00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6565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313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6ECB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DFB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31CE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00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F68F6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客房</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1A57D3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阿克明斯特地毯CP-05</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1F3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-24765</wp:posOffset>
                  </wp:positionH>
                  <wp:positionV relativeFrom="paragraph">
                    <wp:posOffset>569595</wp:posOffset>
                  </wp:positionV>
                  <wp:extent cx="1648460" cy="871220"/>
                  <wp:effectExtent l="0" t="0" r="8890" b="5080"/>
                  <wp:wrapNone/>
                  <wp:docPr id="105" name="图片_1_SpCnt_4"/>
                  <wp:cNvGraphicFramePr/>
                  <a:graphic xmlns:a="http://schemas.openxmlformats.org/drawingml/2006/main">
                    <a:graphicData uri="http://schemas.openxmlformats.org/drawingml/2006/picture">
                      <pic:pic xmlns:pic="http://schemas.openxmlformats.org/drawingml/2006/picture">
                        <pic:nvPicPr>
                          <pic:cNvPr id="105" name="图片_1_SpCnt_4"/>
                          <pic:cNvPicPr/>
                        </pic:nvPicPr>
                        <pic:blipFill>
                          <a:blip r:embed="rId18"/>
                          <a:stretch>
                            <a:fillRect/>
                          </a:stretch>
                        </pic:blipFill>
                        <pic:spPr>
                          <a:xfrm>
                            <a:off x="0" y="0"/>
                            <a:ext cx="1648460" cy="87122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E4FC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7、绒重：1550克/平方米；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4C34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459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14.00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C73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304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3C3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E1C1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FE0E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68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3C6F13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客房走廊</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C8BA1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阿克明斯特地毯CP-06</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CA4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-10160</wp:posOffset>
                  </wp:positionH>
                  <wp:positionV relativeFrom="paragraph">
                    <wp:posOffset>130175</wp:posOffset>
                  </wp:positionV>
                  <wp:extent cx="1438275" cy="949325"/>
                  <wp:effectExtent l="0" t="0" r="9525" b="3175"/>
                  <wp:wrapNone/>
                  <wp:docPr id="106" name="图片_1_SpCnt_5"/>
                  <wp:cNvGraphicFramePr/>
                  <a:graphic xmlns:a="http://schemas.openxmlformats.org/drawingml/2006/main">
                    <a:graphicData uri="http://schemas.openxmlformats.org/drawingml/2006/picture">
                      <pic:pic xmlns:pic="http://schemas.openxmlformats.org/drawingml/2006/picture">
                        <pic:nvPicPr>
                          <pic:cNvPr id="106" name="图片_1_SpCnt_5"/>
                          <pic:cNvPicPr/>
                        </pic:nvPicPr>
                        <pic:blipFill>
                          <a:blip r:embed="rId19"/>
                          <a:stretch>
                            <a:fillRect/>
                          </a:stretch>
                        </pic:blipFill>
                        <pic:spPr>
                          <a:xfrm>
                            <a:off x="0" y="0"/>
                            <a:ext cx="1438275" cy="949325"/>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5894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7、绒重：1550克/平方米；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EDF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C24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1850.00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0E1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233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8CFE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488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2B34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103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6714C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EDB52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阿克明斯特地毯（活动地毯）CP-101</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87B3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50165</wp:posOffset>
                  </wp:positionH>
                  <wp:positionV relativeFrom="paragraph">
                    <wp:posOffset>478155</wp:posOffset>
                  </wp:positionV>
                  <wp:extent cx="1532255" cy="822325"/>
                  <wp:effectExtent l="0" t="0" r="10795" b="15875"/>
                  <wp:wrapNone/>
                  <wp:docPr id="107" name="图片_1_SpCnt_6"/>
                  <wp:cNvGraphicFramePr/>
                  <a:graphic xmlns:a="http://schemas.openxmlformats.org/drawingml/2006/main">
                    <a:graphicData uri="http://schemas.openxmlformats.org/drawingml/2006/picture">
                      <pic:pic xmlns:pic="http://schemas.openxmlformats.org/drawingml/2006/picture">
                        <pic:nvPicPr>
                          <pic:cNvPr id="107" name="图片_1_SpCnt_6"/>
                          <pic:cNvPicPr/>
                        </pic:nvPicPr>
                        <pic:blipFill>
                          <a:blip r:embed="rId20"/>
                          <a:stretch>
                            <a:fillRect/>
                          </a:stretch>
                        </pic:blipFill>
                        <pic:spPr>
                          <a:xfrm>
                            <a:off x="0" y="0"/>
                            <a:ext cx="1532255" cy="822325"/>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142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5F09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125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121.00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0F7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251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A60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226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E2A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70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6F010D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A0887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阿克明斯特地毯CP-102</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C26C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32385</wp:posOffset>
                  </wp:positionH>
                  <wp:positionV relativeFrom="paragraph">
                    <wp:posOffset>532130</wp:posOffset>
                  </wp:positionV>
                  <wp:extent cx="1323975" cy="868680"/>
                  <wp:effectExtent l="0" t="0" r="9525" b="7620"/>
                  <wp:wrapNone/>
                  <wp:docPr id="108" name="图片_1_SpCnt_7"/>
                  <wp:cNvGraphicFramePr/>
                  <a:graphic xmlns:a="http://schemas.openxmlformats.org/drawingml/2006/main">
                    <a:graphicData uri="http://schemas.openxmlformats.org/drawingml/2006/picture">
                      <pic:pic xmlns:pic="http://schemas.openxmlformats.org/drawingml/2006/picture">
                        <pic:nvPicPr>
                          <pic:cNvPr id="108" name="图片_1_SpCnt_7"/>
                          <pic:cNvPicPr/>
                        </pic:nvPicPr>
                        <pic:blipFill>
                          <a:blip r:embed="rId21"/>
                          <a:stretch>
                            <a:fillRect/>
                          </a:stretch>
                        </pic:blipFill>
                        <pic:spPr>
                          <a:xfrm>
                            <a:off x="0" y="0"/>
                            <a:ext cx="1323975" cy="86868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95B3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93D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87F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40.00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0F0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301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8F7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556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118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8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37B3D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0F96E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w:t>
            </w: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748665</wp:posOffset>
                  </wp:positionH>
                  <wp:positionV relativeFrom="paragraph">
                    <wp:posOffset>383540</wp:posOffset>
                  </wp:positionV>
                  <wp:extent cx="1579880" cy="841375"/>
                  <wp:effectExtent l="0" t="0" r="1270" b="15875"/>
                  <wp:wrapNone/>
                  <wp:docPr id="109" name="图片_1_SpCnt_8"/>
                  <wp:cNvGraphicFramePr/>
                  <a:graphic xmlns:a="http://schemas.openxmlformats.org/drawingml/2006/main">
                    <a:graphicData uri="http://schemas.openxmlformats.org/drawingml/2006/picture">
                      <pic:pic xmlns:pic="http://schemas.openxmlformats.org/drawingml/2006/picture">
                        <pic:nvPicPr>
                          <pic:cNvPr id="109" name="图片_1_SpCnt_8"/>
                          <pic:cNvPicPr/>
                        </pic:nvPicPr>
                        <pic:blipFill>
                          <a:blip r:embed="rId22"/>
                          <a:stretch>
                            <a:fillRect/>
                          </a:stretch>
                        </pic:blipFill>
                        <pic:spPr>
                          <a:xfrm>
                            <a:off x="0" y="0"/>
                            <a:ext cx="1579880" cy="841375"/>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CP-103</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2CE7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B470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57274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D7B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840.00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592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235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B7CA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7F71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6613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F38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48847C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6DA77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阿克明斯特地毯（活动地毯）CP-104</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8D2B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10160</wp:posOffset>
                  </wp:positionH>
                  <wp:positionV relativeFrom="paragraph">
                    <wp:posOffset>586105</wp:posOffset>
                  </wp:positionV>
                  <wp:extent cx="1437640" cy="937895"/>
                  <wp:effectExtent l="0" t="0" r="10160" b="14605"/>
                  <wp:wrapNone/>
                  <wp:docPr id="110" name="图片_1_SpCnt_9"/>
                  <wp:cNvGraphicFramePr/>
                  <a:graphic xmlns:a="http://schemas.openxmlformats.org/drawingml/2006/main">
                    <a:graphicData uri="http://schemas.openxmlformats.org/drawingml/2006/picture">
                      <pic:pic xmlns:pic="http://schemas.openxmlformats.org/drawingml/2006/picture">
                        <pic:nvPicPr>
                          <pic:cNvPr id="110" name="图片_1_SpCnt_9"/>
                          <pic:cNvPicPr/>
                        </pic:nvPicPr>
                        <pic:blipFill>
                          <a:blip r:embed="rId23"/>
                          <a:stretch>
                            <a:fillRect/>
                          </a:stretch>
                        </pic:blipFill>
                        <pic:spPr>
                          <a:xfrm>
                            <a:off x="0" y="0"/>
                            <a:ext cx="1437640" cy="937895"/>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1F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3EF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146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39.00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25F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304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03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486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64F9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C1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B8403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F537E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阿克明斯特地毯CP-105</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C27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-29210</wp:posOffset>
                  </wp:positionH>
                  <wp:positionV relativeFrom="paragraph">
                    <wp:posOffset>340360</wp:posOffset>
                  </wp:positionV>
                  <wp:extent cx="1676400" cy="891540"/>
                  <wp:effectExtent l="0" t="0" r="0" b="3810"/>
                  <wp:wrapNone/>
                  <wp:docPr id="111" name="图片_1_SpCnt_10"/>
                  <wp:cNvGraphicFramePr/>
                  <a:graphic xmlns:a="http://schemas.openxmlformats.org/drawingml/2006/main">
                    <a:graphicData uri="http://schemas.openxmlformats.org/drawingml/2006/picture">
                      <pic:pic xmlns:pic="http://schemas.openxmlformats.org/drawingml/2006/picture">
                        <pic:nvPicPr>
                          <pic:cNvPr id="111" name="图片_1_SpCnt_10"/>
                          <pic:cNvPicPr/>
                        </pic:nvPicPr>
                        <pic:blipFill>
                          <a:blip r:embed="rId24"/>
                          <a:stretch>
                            <a:fillRect/>
                          </a:stretch>
                        </pic:blipFill>
                        <pic:spPr>
                          <a:xfrm>
                            <a:off x="0" y="0"/>
                            <a:ext cx="1676400" cy="89154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E127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8B93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776F8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77.00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8DA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276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055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B20D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667D7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A75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468BB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09871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阿克明斯特地毯CP-106</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38A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-67310</wp:posOffset>
                  </wp:positionH>
                  <wp:positionV relativeFrom="paragraph">
                    <wp:posOffset>666750</wp:posOffset>
                  </wp:positionV>
                  <wp:extent cx="1666875" cy="886460"/>
                  <wp:effectExtent l="0" t="0" r="9525" b="8890"/>
                  <wp:wrapNone/>
                  <wp:docPr id="112" name="图片_1_SpCnt_11"/>
                  <wp:cNvGraphicFramePr/>
                  <a:graphic xmlns:a="http://schemas.openxmlformats.org/drawingml/2006/main">
                    <a:graphicData uri="http://schemas.openxmlformats.org/drawingml/2006/picture">
                      <pic:pic xmlns:pic="http://schemas.openxmlformats.org/drawingml/2006/picture">
                        <pic:nvPicPr>
                          <pic:cNvPr id="112" name="图片_1_SpCnt_11"/>
                          <pic:cNvPicPr/>
                        </pic:nvPicPr>
                        <pic:blipFill>
                          <a:blip r:embed="rId25"/>
                          <a:stretch>
                            <a:fillRect/>
                          </a:stretch>
                        </pic:blipFill>
                        <pic:spPr>
                          <a:xfrm>
                            <a:off x="0" y="0"/>
                            <a:ext cx="1666875" cy="88646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BCC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3D394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D26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41.00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82674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290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81B8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8CA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0D807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CD77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E4AEA3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169D6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阿克明斯特地毯CP-107</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A82A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8255</wp:posOffset>
                  </wp:positionH>
                  <wp:positionV relativeFrom="paragraph">
                    <wp:posOffset>702310</wp:posOffset>
                  </wp:positionV>
                  <wp:extent cx="1629410" cy="977900"/>
                  <wp:effectExtent l="0" t="0" r="8890" b="12700"/>
                  <wp:wrapNone/>
                  <wp:docPr id="113" name="图片_1_SpCnt_12"/>
                  <wp:cNvGraphicFramePr/>
                  <a:graphic xmlns:a="http://schemas.openxmlformats.org/drawingml/2006/main">
                    <a:graphicData uri="http://schemas.openxmlformats.org/drawingml/2006/picture">
                      <pic:pic xmlns:pic="http://schemas.openxmlformats.org/drawingml/2006/picture">
                        <pic:nvPicPr>
                          <pic:cNvPr id="113" name="图片_1_SpCnt_12"/>
                          <pic:cNvPicPr/>
                        </pic:nvPicPr>
                        <pic:blipFill>
                          <a:blip r:embed="rId26"/>
                          <a:stretch>
                            <a:fillRect/>
                          </a:stretch>
                        </pic:blipFill>
                        <pic:spPr>
                          <a:xfrm>
                            <a:off x="0" y="0"/>
                            <a:ext cx="1629410" cy="97790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B7E1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2AE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8DC5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50.00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8F7F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294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0A70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B81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77825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0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522CC6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F5695C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阿克明斯特地毯CP-108</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81FE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-14605</wp:posOffset>
                  </wp:positionH>
                  <wp:positionV relativeFrom="paragraph">
                    <wp:posOffset>610235</wp:posOffset>
                  </wp:positionV>
                  <wp:extent cx="1695450" cy="906780"/>
                  <wp:effectExtent l="0" t="0" r="0" b="7620"/>
                  <wp:wrapNone/>
                  <wp:docPr id="114" name="图片_1_SpCnt_13"/>
                  <wp:cNvGraphicFramePr/>
                  <a:graphic xmlns:a="http://schemas.openxmlformats.org/drawingml/2006/main">
                    <a:graphicData uri="http://schemas.openxmlformats.org/drawingml/2006/picture">
                      <pic:pic xmlns:pic="http://schemas.openxmlformats.org/drawingml/2006/picture">
                        <pic:nvPicPr>
                          <pic:cNvPr id="114" name="图片_1_SpCnt_13"/>
                          <pic:cNvPicPr/>
                        </pic:nvPicPr>
                        <pic:blipFill>
                          <a:blip r:embed="rId27"/>
                          <a:stretch>
                            <a:fillRect/>
                          </a:stretch>
                        </pic:blipFill>
                        <pic:spPr>
                          <a:xfrm>
                            <a:off x="0" y="0"/>
                            <a:ext cx="1695450" cy="90678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F79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77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9CE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BBA2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261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A6B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34E6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EAC2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42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7F21B6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2F1B7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阿克明斯特地毯CP-109</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E3EC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-21590</wp:posOffset>
                  </wp:positionH>
                  <wp:positionV relativeFrom="paragraph">
                    <wp:posOffset>577850</wp:posOffset>
                  </wp:positionV>
                  <wp:extent cx="1581785" cy="953770"/>
                  <wp:effectExtent l="0" t="0" r="18415" b="17780"/>
                  <wp:wrapNone/>
                  <wp:docPr id="115" name="图片_1_SpCnt_14"/>
                  <wp:cNvGraphicFramePr/>
                  <a:graphic xmlns:a="http://schemas.openxmlformats.org/drawingml/2006/main">
                    <a:graphicData uri="http://schemas.openxmlformats.org/drawingml/2006/picture">
                      <pic:pic xmlns:pic="http://schemas.openxmlformats.org/drawingml/2006/picture">
                        <pic:nvPicPr>
                          <pic:cNvPr id="115" name="图片_1_SpCnt_14"/>
                          <pic:cNvPicPr/>
                        </pic:nvPicPr>
                        <pic:blipFill>
                          <a:blip r:embed="rId28"/>
                          <a:stretch>
                            <a:fillRect/>
                          </a:stretch>
                        </pic:blipFill>
                        <pic:spPr>
                          <a:xfrm>
                            <a:off x="0" y="0"/>
                            <a:ext cx="1581785" cy="95377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02B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11、工程量按实际尺寸以“m2”计取，施工损耗、运输损耗、拼接的材料损耗、不小于5mm厚的阻燃地毯垫等地毯辅料等计入单价，不单独计量；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419A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2F6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25.00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37F2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306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D51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B9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5CC80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DD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945" w:type="dxa"/>
            <w:tcBorders>
              <w:top w:val="single" w:color="000000" w:sz="4" w:space="0"/>
              <w:left w:val="single" w:color="000000" w:sz="4" w:space="0"/>
              <w:bottom w:val="single" w:color="000000" w:sz="4" w:space="0"/>
              <w:right w:val="single" w:color="auto" w:sz="4" w:space="0"/>
            </w:tcBorders>
            <w:shd w:val="clear" w:color="auto" w:fill="FFFFFF"/>
            <w:noWrap/>
            <w:vAlign w:val="center"/>
          </w:tcPr>
          <w:p w14:paraId="0B0636C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公区</w:t>
            </w:r>
          </w:p>
        </w:tc>
        <w:tc>
          <w:tcPr>
            <w:tcW w:w="114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B5EFF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阿克明斯特地毯CP-110</w:t>
            </w:r>
          </w:p>
        </w:tc>
        <w:tc>
          <w:tcPr>
            <w:tcW w:w="27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2F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285750</wp:posOffset>
                  </wp:positionH>
                  <wp:positionV relativeFrom="paragraph">
                    <wp:posOffset>66675</wp:posOffset>
                  </wp:positionV>
                  <wp:extent cx="934085" cy="911860"/>
                  <wp:effectExtent l="0" t="0" r="18415" b="2540"/>
                  <wp:wrapNone/>
                  <wp:docPr id="116" name="图片_1_SpCnt_15"/>
                  <wp:cNvGraphicFramePr/>
                  <a:graphic xmlns:a="http://schemas.openxmlformats.org/drawingml/2006/main">
                    <a:graphicData uri="http://schemas.openxmlformats.org/drawingml/2006/picture">
                      <pic:pic xmlns:pic="http://schemas.openxmlformats.org/drawingml/2006/picture">
                        <pic:nvPicPr>
                          <pic:cNvPr id="116" name="图片_1_SpCnt_15"/>
                          <pic:cNvPicPr/>
                        </pic:nvPicPr>
                        <pic:blipFill>
                          <a:blip r:embed="rId29"/>
                          <a:stretch>
                            <a:fillRect/>
                          </a:stretch>
                        </pic:blipFill>
                        <pic:spPr>
                          <a:xfrm>
                            <a:off x="0" y="0"/>
                            <a:ext cx="934085" cy="911860"/>
                          </a:xfrm>
                          <a:prstGeom prst="rect">
                            <a:avLst/>
                          </a:prstGeom>
                          <a:noFill/>
                          <a:ln>
                            <a:noFill/>
                          </a:ln>
                        </pic:spPr>
                      </pic:pic>
                    </a:graphicData>
                  </a:graphic>
                </wp:anchor>
              </w:drawing>
            </w:r>
          </w:p>
        </w:tc>
        <w:tc>
          <w:tcPr>
            <w:tcW w:w="54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3B00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1、品种：阿克明斯特地毯；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2、结构：机织阿克明斯特；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3、成分构成：80%进口羊毛、20%进口尼龙；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4、底背: 高防腐涤纶经线与优质PP丝纬纱；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5、密度：7*9（根/英寸）；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6、绒高：8mm；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7、绒重：1300克/平方米；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8、染色方式：纱染；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9、阻燃测试等级：B1级；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10、耐摩擦色牢度：干、湿摩擦牢度≥5级；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11、工程量按实际尺寸以“m2”计取，施工损耗、运输损耗、拼接及包边的材料损耗等计入单价，不单独计量；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12、具体形状样式详见台州方特熊出没水上休闲游乐度假中心（一期设计）图纸、主材白皮书、内装方案，采购前需由建设单位确认，需满足设计要求。</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52C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8C9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666699"/>
                <w:kern w:val="0"/>
                <w:sz w:val="21"/>
                <w:szCs w:val="21"/>
                <w:highlight w:val="none"/>
                <w:u w:val="single"/>
                <w:bdr w:val="single" w:color="000000" w:sz="4" w:space="0"/>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 xml:space="preserve">156.00 </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DE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268 </w:t>
            </w:r>
          </w:p>
        </w:tc>
        <w:tc>
          <w:tcPr>
            <w:tcW w:w="14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33C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0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EA64A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r>
      <w:tr w14:paraId="40AF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351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44E7">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000000"/>
                <w:sz w:val="21"/>
                <w:szCs w:val="21"/>
                <w:highlight w:val="none"/>
                <w:u w:val="none"/>
                <w:lang w:val="en-US" w:eastAsia="zh-CN"/>
              </w:rPr>
              <w:t>合计=</w:t>
            </w:r>
            <w:r>
              <w:rPr>
                <w:rFonts w:hint="eastAsia" w:ascii="宋体" w:hAnsi="宋体" w:eastAsia="宋体" w:cs="宋体"/>
                <w:i w:val="0"/>
                <w:iCs w:val="0"/>
                <w:color w:val="000000"/>
                <w:sz w:val="21"/>
                <w:szCs w:val="21"/>
                <w:highlight w:val="none"/>
                <w:u w:val="single"/>
                <w:lang w:val="en-US" w:eastAsia="zh-CN"/>
              </w:rPr>
              <w:t xml:space="preserve">             </w:t>
            </w:r>
            <w:r>
              <w:rPr>
                <w:rFonts w:hint="eastAsia" w:ascii="宋体" w:hAnsi="宋体" w:eastAsia="宋体" w:cs="宋体"/>
                <w:i w:val="0"/>
                <w:iCs w:val="0"/>
                <w:color w:val="000000"/>
                <w:sz w:val="21"/>
                <w:szCs w:val="21"/>
                <w:highlight w:val="none"/>
                <w:u w:val="none"/>
                <w:lang w:val="en-US" w:eastAsia="zh-CN"/>
              </w:rPr>
              <w:t>元               大写：</w:t>
            </w:r>
            <w:r>
              <w:rPr>
                <w:rFonts w:hint="eastAsia" w:ascii="宋体" w:hAnsi="宋体" w:eastAsia="宋体" w:cs="宋体"/>
                <w:i w:val="0"/>
                <w:iCs w:val="0"/>
                <w:color w:val="000000"/>
                <w:sz w:val="21"/>
                <w:szCs w:val="21"/>
                <w:highlight w:val="none"/>
                <w:u w:val="single"/>
                <w:lang w:val="en-US" w:eastAsia="zh-CN"/>
              </w:rPr>
              <w:t xml:space="preserve">                </w:t>
            </w:r>
            <w:r>
              <w:rPr>
                <w:rFonts w:hint="eastAsia" w:ascii="宋体" w:hAnsi="宋体" w:eastAsia="宋体" w:cs="宋体"/>
                <w:i w:val="0"/>
                <w:iCs w:val="0"/>
                <w:color w:val="000000"/>
                <w:sz w:val="21"/>
                <w:szCs w:val="21"/>
                <w:highlight w:val="none"/>
                <w:u w:val="none"/>
                <w:lang w:val="en-US" w:eastAsia="zh-CN"/>
              </w:rPr>
              <w:t>元</w:t>
            </w:r>
            <w:r>
              <w:rPr>
                <w:rFonts w:hint="eastAsia" w:ascii="宋体" w:hAnsi="宋体" w:cs="宋体"/>
                <w:i w:val="0"/>
                <w:iCs w:val="0"/>
                <w:color w:val="000000"/>
                <w:sz w:val="21"/>
                <w:szCs w:val="21"/>
                <w:highlight w:val="none"/>
                <w:u w:val="none"/>
                <w:lang w:val="en-US" w:eastAsia="zh-CN"/>
              </w:rPr>
              <w:t xml:space="preserve">     </w:t>
            </w:r>
            <w:r>
              <w:rPr>
                <w:rFonts w:hint="eastAsia" w:ascii="宋体" w:hAnsi="宋体" w:eastAsia="宋体" w:cs="宋体"/>
                <w:i w:val="0"/>
                <w:iCs w:val="0"/>
                <w:color w:val="000000"/>
                <w:sz w:val="21"/>
                <w:szCs w:val="21"/>
                <w:highlight w:val="none"/>
                <w:u w:val="none"/>
                <w:lang w:val="en-US" w:eastAsia="zh-CN"/>
              </w:rPr>
              <w:t>（转过结至附件3：开标一览表）</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9AD2">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highlight w:val="none"/>
                <w:u w:val="none"/>
                <w:lang w:val="en-US" w:eastAsia="zh-CN"/>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E54FA">
            <w:pPr>
              <w:keepNext w:val="0"/>
              <w:keepLines w:val="0"/>
              <w:pageBreakBefore w:val="0"/>
              <w:kinsoku/>
              <w:wordWrap/>
              <w:overflowPunct/>
              <w:topLinePunct w:val="0"/>
              <w:autoSpaceDE/>
              <w:autoSpaceDN/>
              <w:bidi w:val="0"/>
              <w:adjustRightInd/>
              <w:snapToGrid/>
              <w:spacing w:line="240" w:lineRule="exact"/>
              <w:jc w:val="both"/>
              <w:rPr>
                <w:rFonts w:hint="eastAsia" w:ascii="宋体" w:hAnsi="宋体" w:eastAsia="宋体" w:cs="宋体"/>
                <w:i w:val="0"/>
                <w:iCs w:val="0"/>
                <w:color w:val="000000"/>
                <w:sz w:val="21"/>
                <w:szCs w:val="21"/>
                <w:highlight w:val="none"/>
                <w:u w:val="none"/>
                <w:lang w:val="en-US" w:eastAsia="zh-CN"/>
              </w:rPr>
            </w:pPr>
          </w:p>
        </w:tc>
      </w:tr>
    </w:tbl>
    <w:p w14:paraId="66943EB8">
      <w:pPr>
        <w:spacing w:line="360" w:lineRule="auto"/>
        <w:ind w:firstLine="420" w:firstLineChars="200"/>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 本表为《开标一览表》的报价明细表，如有缺项、漏项，视为投标报价中已包含相关费用，采购人无需另外支付任何费用。</w:t>
      </w:r>
    </w:p>
    <w:p w14:paraId="16410FBE">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w:t>
      </w:r>
      <w:r>
        <w:rPr>
          <w:rFonts w:hint="eastAsia" w:ascii="宋体" w:hAnsi="宋体" w:cs="宋体"/>
          <w:color w:val="000000" w:themeColor="text1"/>
          <w:sz w:val="21"/>
          <w:szCs w:val="21"/>
          <w:highlight w:val="none"/>
          <w:lang w:val="zh-CN"/>
          <w14:textFill>
            <w14:solidFill>
              <w14:schemeClr w14:val="tx1"/>
            </w14:solidFill>
          </w14:textFill>
        </w:rPr>
        <w:t>“投标报价明细清单”中的报价合计应与“开标一览表”中的投标总报价相一致，不一致时，以开标一览表为准。</w:t>
      </w:r>
    </w:p>
    <w:p w14:paraId="71665076">
      <w:pPr>
        <w:spacing w:line="360" w:lineRule="auto"/>
        <w:ind w:firstLine="420" w:firstLineChars="200"/>
        <w:rPr>
          <w:rFonts w:ascii="宋体" w:hAnsi="宋体" w:cs="宋体"/>
          <w:color w:val="000000" w:themeColor="text1"/>
          <w:sz w:val="21"/>
          <w:szCs w:val="21"/>
          <w:highlight w:val="none"/>
          <w:lang w:val="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w:t>
      </w:r>
      <w:r>
        <w:rPr>
          <w:rFonts w:hint="eastAsia" w:ascii="宋体" w:hAnsi="宋体" w:cs="宋体"/>
          <w:color w:val="000000" w:themeColor="text1"/>
          <w:sz w:val="21"/>
          <w:szCs w:val="21"/>
          <w:highlight w:val="none"/>
          <w:lang w:val="zh-CN"/>
          <w14:textFill>
            <w14:solidFill>
              <w14:schemeClr w14:val="tx1"/>
            </w14:solidFill>
          </w14:textFill>
        </w:rPr>
        <w:t>投标报价明细表所填内容按采购文件采购设备清单要求为准。如有漏报的，视同已包含在投标总价内或已作优惠处理。有重大缺项的将作无效标处理。</w:t>
      </w:r>
    </w:p>
    <w:p w14:paraId="66415320">
      <w:pPr>
        <w:pStyle w:val="2"/>
        <w:spacing w:after="0" w:line="360" w:lineRule="auto"/>
        <w:ind w:firstLine="422" w:firstLineChars="200"/>
        <w:rPr>
          <w:rFonts w:hint="eastAsia" w:ascii="宋体" w:hAnsi="宋体" w:eastAsia="宋体"/>
          <w:b/>
          <w:color w:val="000000" w:themeColor="text1"/>
          <w:szCs w:val="21"/>
          <w:highlight w:val="none"/>
          <w14:textFill>
            <w14:solidFill>
              <w14:schemeClr w14:val="tx1"/>
            </w14:solidFill>
          </w14:textFill>
        </w:rPr>
      </w:pPr>
      <w:bookmarkStart w:id="31" w:name="_Hlk130423096"/>
      <w:r>
        <w:rPr>
          <w:rFonts w:hint="eastAsia" w:ascii="宋体" w:hAnsi="宋体" w:eastAsia="宋体"/>
          <w:b/>
          <w:color w:val="000000" w:themeColor="text1"/>
          <w:szCs w:val="21"/>
          <w:highlight w:val="none"/>
          <w:lang w:val="en-US" w:eastAsia="zh-CN"/>
          <w14:textFill>
            <w14:solidFill>
              <w14:schemeClr w14:val="tx1"/>
            </w14:solidFill>
          </w14:textFill>
        </w:rPr>
        <w:t>4</w:t>
      </w:r>
      <w:r>
        <w:rPr>
          <w:rFonts w:hint="eastAsia" w:ascii="宋体" w:hAnsi="宋体" w:eastAsia="宋体"/>
          <w:b/>
          <w:color w:val="000000" w:themeColor="text1"/>
          <w:szCs w:val="21"/>
          <w:highlight w:val="none"/>
          <w14:textFill>
            <w14:solidFill>
              <w14:schemeClr w14:val="tx1"/>
            </w14:solidFill>
          </w14:textFill>
        </w:rPr>
        <w:t>.本工程涉及的产品颜色、样式施工前需深化，由</w:t>
      </w:r>
      <w:r>
        <w:rPr>
          <w:rFonts w:hint="eastAsia" w:ascii="宋体" w:hAnsi="宋体" w:eastAsia="宋体"/>
          <w:b/>
          <w:color w:val="000000" w:themeColor="text1"/>
          <w:szCs w:val="21"/>
          <w:highlight w:val="none"/>
          <w:lang w:val="en-US" w:eastAsia="zh-CN"/>
          <w14:textFill>
            <w14:solidFill>
              <w14:schemeClr w14:val="tx1"/>
            </w14:solidFill>
          </w14:textFill>
        </w:rPr>
        <w:t>招标人</w:t>
      </w:r>
      <w:r>
        <w:rPr>
          <w:rFonts w:hint="eastAsia" w:ascii="宋体" w:hAnsi="宋体" w:eastAsia="宋体"/>
          <w:b/>
          <w:color w:val="000000" w:themeColor="text1"/>
          <w:szCs w:val="21"/>
          <w:highlight w:val="none"/>
          <w14:textFill>
            <w14:solidFill>
              <w14:schemeClr w14:val="tx1"/>
            </w14:solidFill>
          </w14:textFill>
        </w:rPr>
        <w:t>确认。</w:t>
      </w:r>
    </w:p>
    <w:p w14:paraId="27B41C63">
      <w:pPr>
        <w:pStyle w:val="2"/>
        <w:spacing w:after="0" w:line="360" w:lineRule="auto"/>
        <w:ind w:firstLine="422" w:firstLineChars="200"/>
        <w:rPr>
          <w:rFonts w:ascii="宋体" w:hAnsi="宋体" w:eastAsia="宋体"/>
          <w:b/>
          <w:color w:val="000000" w:themeColor="text1"/>
          <w:szCs w:val="21"/>
          <w:highlight w:val="none"/>
          <w14:textFill>
            <w14:solidFill>
              <w14:schemeClr w14:val="tx1"/>
            </w14:solidFill>
          </w14:textFill>
        </w:rPr>
      </w:pPr>
      <w:r>
        <w:rPr>
          <w:rFonts w:hint="eastAsia" w:ascii="宋体" w:hAnsi="宋体" w:eastAsia="宋体"/>
          <w:b/>
          <w:color w:val="000000" w:themeColor="text1"/>
          <w:szCs w:val="21"/>
          <w:highlight w:val="none"/>
          <w:lang w:val="en-US" w:eastAsia="zh-CN"/>
          <w14:textFill>
            <w14:solidFill>
              <w14:schemeClr w14:val="tx1"/>
            </w14:solidFill>
          </w14:textFill>
        </w:rPr>
        <w:t>5.</w:t>
      </w:r>
      <w:r>
        <w:rPr>
          <w:rFonts w:hint="eastAsia" w:ascii="宋体" w:hAnsi="宋体" w:eastAsia="宋体"/>
          <w:b/>
          <w:color w:val="000000" w:themeColor="text1"/>
          <w:szCs w:val="21"/>
          <w:highlight w:val="none"/>
          <w14:textFill>
            <w14:solidFill>
              <w14:schemeClr w14:val="tx1"/>
            </w14:solidFill>
          </w14:textFill>
        </w:rPr>
        <w:t>本项目实行全费用综合单价报价，</w:t>
      </w:r>
      <w:r>
        <w:rPr>
          <w:rFonts w:hint="eastAsia" w:ascii="宋体" w:hAnsi="宋体" w:eastAsia="宋体"/>
          <w:b/>
          <w:color w:val="000000" w:themeColor="text1"/>
          <w:szCs w:val="21"/>
          <w:highlight w:val="none"/>
          <w:lang w:val="en-US" w:eastAsia="zh-CN"/>
          <w14:textFill>
            <w14:solidFill>
              <w14:schemeClr w14:val="tx1"/>
            </w14:solidFill>
          </w14:textFill>
        </w:rPr>
        <w:t>该全费用综合单价包</w:t>
      </w:r>
      <w:r>
        <w:rPr>
          <w:rFonts w:hint="eastAsia" w:ascii="宋体" w:hAnsi="宋体" w:eastAsia="宋体"/>
          <w:b/>
          <w:color w:val="000000" w:themeColor="text1"/>
          <w:szCs w:val="21"/>
          <w:highlight w:val="none"/>
          <w14:textFill>
            <w14:solidFill>
              <w14:schemeClr w14:val="tx1"/>
            </w14:solidFill>
          </w14:textFill>
        </w:rPr>
        <w:t>括本项目货物设计、原材料、成品制作、材料费、人工费、服务费、运输费、装卸、安装前的清洗费、保管费、安装费、税费、利润、维修、质量保修、管理费用、完成合同所需的一切本身和不可或缺的所有工作开支、政策性文件规定及合同包含的所有风险、责任等各项全部费用。该单价中已综合考虑了在合同有效期内的材料设备、机械、人工等所有市场价格波动的风险，在合同有效期内不做任何调整。</w:t>
      </w:r>
    </w:p>
    <w:bookmarkEnd w:id="31"/>
    <w:p w14:paraId="0BE6A3C0">
      <w:pPr>
        <w:pStyle w:val="2"/>
        <w:keepNext w:val="0"/>
        <w:keepLines w:val="0"/>
        <w:pageBreakBefore w:val="0"/>
        <w:widowControl w:val="0"/>
        <w:kinsoku/>
        <w:wordWrap/>
        <w:overflowPunct/>
        <w:topLinePunct w:val="0"/>
        <w:autoSpaceDE/>
        <w:autoSpaceDN/>
        <w:bidi w:val="0"/>
        <w:adjustRightInd/>
        <w:snapToGrid/>
        <w:spacing w:after="0" w:line="240" w:lineRule="auto"/>
        <w:ind w:firstLine="3960" w:firstLineChars="1800"/>
        <w:jc w:val="right"/>
        <w:textAlignment w:val="auto"/>
        <w:rPr>
          <w:rFonts w:ascii="宋体" w:eastAsia="宋体"/>
          <w:color w:val="000000" w:themeColor="text1"/>
          <w:sz w:val="22"/>
          <w:szCs w:val="22"/>
          <w:highlight w:val="none"/>
          <w14:textFill>
            <w14:solidFill>
              <w14:schemeClr w14:val="tx1"/>
            </w14:solidFill>
          </w14:textFill>
        </w:rPr>
      </w:pPr>
      <w:r>
        <w:rPr>
          <w:rFonts w:hint="eastAsia" w:ascii="宋体" w:eastAsia="宋体"/>
          <w:color w:val="000000" w:themeColor="text1"/>
          <w:sz w:val="22"/>
          <w:szCs w:val="22"/>
          <w:highlight w:val="none"/>
          <w14:textFill>
            <w14:solidFill>
              <w14:schemeClr w14:val="tx1"/>
            </w14:solidFill>
          </w14:textFill>
        </w:rPr>
        <w:t>投标人（盖章）：</w:t>
      </w:r>
    </w:p>
    <w:p w14:paraId="6FE3A7FB">
      <w:pPr>
        <w:keepNext w:val="0"/>
        <w:keepLines w:val="0"/>
        <w:pageBreakBefore w:val="0"/>
        <w:widowControl w:val="0"/>
        <w:kinsoku/>
        <w:wordWrap/>
        <w:overflowPunct/>
        <w:topLinePunct w:val="0"/>
        <w:autoSpaceDE/>
        <w:autoSpaceDN/>
        <w:bidi w:val="0"/>
        <w:adjustRightInd/>
        <w:snapToGrid/>
        <w:spacing w:line="240" w:lineRule="auto"/>
        <w:ind w:firstLine="3960" w:firstLineChars="1800"/>
        <w:jc w:val="right"/>
        <w:textAlignment w:val="auto"/>
        <w:rPr>
          <w:rFonts w:ascii="宋体"/>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法定代表人（签字或盖章）：                  </w:t>
      </w:r>
    </w:p>
    <w:p w14:paraId="6C41374B">
      <w:pPr>
        <w:keepNext w:val="0"/>
        <w:keepLines w:val="0"/>
        <w:pageBreakBefore w:val="0"/>
        <w:widowControl w:val="0"/>
        <w:kinsoku/>
        <w:wordWrap/>
        <w:overflowPunct/>
        <w:topLinePunct w:val="0"/>
        <w:autoSpaceDE/>
        <w:autoSpaceDN/>
        <w:bidi w:val="0"/>
        <w:adjustRightInd/>
        <w:snapToGrid/>
        <w:spacing w:line="240" w:lineRule="auto"/>
        <w:ind w:firstLine="3740" w:firstLineChars="1700"/>
        <w:jc w:val="right"/>
        <w:textAlignment w:val="auto"/>
        <w:rPr>
          <w:color w:val="000000" w:themeColor="text1"/>
          <w:sz w:val="22"/>
          <w:szCs w:val="22"/>
          <w:highlight w:val="none"/>
          <w14:textFill>
            <w14:solidFill>
              <w14:schemeClr w14:val="tx1"/>
            </w14:solidFill>
          </w14:textFill>
        </w:rPr>
      </w:pPr>
      <w:r>
        <w:rPr>
          <w:rFonts w:hint="eastAsia" w:ascii="宋体"/>
          <w:color w:val="000000" w:themeColor="text1"/>
          <w:sz w:val="22"/>
          <w:szCs w:val="22"/>
          <w:highlight w:val="none"/>
          <w14:textFill>
            <w14:solidFill>
              <w14:schemeClr w14:val="tx1"/>
            </w14:solidFill>
          </w14:textFill>
        </w:rPr>
        <w:t xml:space="preserve">  日期：  年    月    日</w:t>
      </w:r>
    </w:p>
    <w:p w14:paraId="11473B96">
      <w:pPr>
        <w:snapToGrid w:val="0"/>
        <w:spacing w:before="50" w:after="50"/>
        <w:ind w:left="-54" w:leftChars="-72" w:right="-1089" w:rightChars="-389" w:hanging="148" w:hangingChars="62"/>
        <w:rPr>
          <w:rFonts w:ascii="宋体" w:hAnsi="宋体"/>
          <w:color w:val="000000" w:themeColor="text1"/>
          <w:sz w:val="24"/>
          <w:highlight w:val="none"/>
          <w14:textFill>
            <w14:solidFill>
              <w14:schemeClr w14:val="tx1"/>
            </w14:solidFill>
          </w14:textFill>
        </w:rPr>
        <w:sectPr>
          <w:pgSz w:w="16840" w:h="11907" w:orient="landscape"/>
          <w:pgMar w:top="1080" w:right="1304" w:bottom="1080" w:left="1304" w:header="851" w:footer="992" w:gutter="0"/>
          <w:pgBorders>
            <w:top w:val="none" w:sz="0" w:space="0"/>
            <w:left w:val="none" w:sz="0" w:space="0"/>
            <w:bottom w:val="none" w:sz="0" w:space="0"/>
            <w:right w:val="none" w:sz="0" w:space="0"/>
          </w:pgBorders>
          <w:pgNumType w:fmt="decimal"/>
          <w:cols w:space="720" w:num="1"/>
          <w:docGrid w:linePitch="312" w:charSpace="0"/>
        </w:sectPr>
      </w:pPr>
    </w:p>
    <w:p w14:paraId="7FF2CA9F">
      <w:pPr>
        <w:snapToGrid w:val="0"/>
        <w:spacing w:before="50" w:after="50"/>
        <w:ind w:left="36" w:leftChars="13" w:right="-1089" w:rightChars="-389" w:firstLine="89" w:firstLineChars="37"/>
        <w:jc w:val="left"/>
        <w:rPr>
          <w:rFonts w:hint="eastAsia" w:ascii="宋体" w:hAnsi="宋体" w:eastAsia="宋体"/>
          <w:b/>
          <w:bCs/>
          <w:color w:val="000000" w:themeColor="text1"/>
          <w:sz w:val="24"/>
          <w:highlight w:val="none"/>
          <w:lang w:eastAsia="zh-CN"/>
          <w14:textFill>
            <w14:solidFill>
              <w14:schemeClr w14:val="tx1"/>
            </w14:solidFill>
          </w14:textFill>
        </w:rPr>
      </w:pPr>
      <w:r>
        <w:rPr>
          <w:rFonts w:ascii="宋体" w:hAnsi="宋体"/>
          <w:b/>
          <w:bCs/>
          <w:color w:val="000000" w:themeColor="text1"/>
          <w:sz w:val="24"/>
          <w:highlight w:val="none"/>
          <w14:textFill>
            <w14:solidFill>
              <w14:schemeClr w14:val="tx1"/>
            </w14:solidFill>
          </w14:textFill>
        </w:rPr>
        <w:t>附件</w:t>
      </w:r>
      <w:r>
        <w:rPr>
          <w:rFonts w:hint="eastAsia" w:ascii="宋体" w:hAnsi="宋体"/>
          <w:b/>
          <w:bCs/>
          <w:color w:val="000000" w:themeColor="text1"/>
          <w:sz w:val="24"/>
          <w:highlight w:val="none"/>
          <w:lang w:val="en-US" w:eastAsia="zh-CN"/>
          <w14:textFill>
            <w14:solidFill>
              <w14:schemeClr w14:val="tx1"/>
            </w14:solidFill>
          </w14:textFill>
        </w:rPr>
        <w:t>5</w:t>
      </w:r>
      <w:r>
        <w:rPr>
          <w:rFonts w:hint="eastAsia" w:ascii="宋体" w:hAnsi="宋体"/>
          <w:b/>
          <w:bCs/>
          <w:color w:val="000000" w:themeColor="text1"/>
          <w:sz w:val="24"/>
          <w:highlight w:val="none"/>
          <w:lang w:eastAsia="zh-CN"/>
          <w14:textFill>
            <w14:solidFill>
              <w14:schemeClr w14:val="tx1"/>
            </w14:solidFill>
          </w14:textFill>
        </w:rPr>
        <w:t>：</w:t>
      </w:r>
    </w:p>
    <w:p w14:paraId="45277E83">
      <w:pPr>
        <w:snapToGrid w:val="0"/>
        <w:spacing w:line="560" w:lineRule="exact"/>
        <w:jc w:val="center"/>
        <w:outlineLvl w:val="0"/>
        <w:rPr>
          <w:rFonts w:ascii="宋体" w:hAnsi="宋体" w:cs="宋体"/>
          <w:b/>
          <w:color w:val="000000" w:themeColor="text1"/>
          <w:sz w:val="30"/>
          <w:szCs w:val="30"/>
          <w:highlight w:val="none"/>
          <w14:textFill>
            <w14:solidFill>
              <w14:schemeClr w14:val="tx1"/>
            </w14:solidFill>
          </w14:textFill>
        </w:rPr>
      </w:pPr>
      <w:bookmarkStart w:id="32" w:name="_Toc32173"/>
      <w:r>
        <w:rPr>
          <w:rFonts w:hint="eastAsia" w:ascii="宋体" w:hAnsi="宋体" w:cs="宋体"/>
          <w:b/>
          <w:color w:val="000000" w:themeColor="text1"/>
          <w:kern w:val="0"/>
          <w:sz w:val="30"/>
          <w:szCs w:val="30"/>
          <w:highlight w:val="none"/>
          <w:lang w:bidi="ar"/>
          <w14:textFill>
            <w14:solidFill>
              <w14:schemeClr w14:val="tx1"/>
            </w14:solidFill>
          </w14:textFill>
        </w:rPr>
        <w:t>投标人诚信投标承诺书</w:t>
      </w:r>
      <w:bookmarkEnd w:id="32"/>
    </w:p>
    <w:p w14:paraId="3CCFB766">
      <w:pPr>
        <w:spacing w:line="460" w:lineRule="exact"/>
        <w:rPr>
          <w:rFonts w:ascii="宋体" w:hAnsi="宋体" w:cs="宋体"/>
          <w:color w:val="000000" w:themeColor="text1"/>
          <w:sz w:val="24"/>
          <w:szCs w:val="20"/>
          <w:highlight w:val="none"/>
          <w14:textFill>
            <w14:solidFill>
              <w14:schemeClr w14:val="tx1"/>
            </w14:solidFill>
          </w14:textFill>
        </w:rPr>
      </w:pPr>
    </w:p>
    <w:p w14:paraId="4F9B6857">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本投标人郑重承诺：</w:t>
      </w:r>
    </w:p>
    <w:p w14:paraId="56A00905">
      <w:pPr>
        <w:adjustRightInd w:val="0"/>
        <w:snapToGrid w:val="0"/>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一、将遵循公开、公平、公正和诚实信用的原则参加</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台州方特熊出没水上休闲游乐度假中心（一期）酒店地毯采购</w:t>
      </w:r>
      <w:r>
        <w:rPr>
          <w:rFonts w:hint="eastAsia" w:ascii="宋体" w:hAnsi="宋体" w:cs="宋体"/>
          <w:color w:val="000000" w:themeColor="text1"/>
          <w:kern w:val="0"/>
          <w:sz w:val="24"/>
          <w:szCs w:val="20"/>
          <w:highlight w:val="none"/>
          <w:lang w:bidi="ar"/>
          <w14:textFill>
            <w14:solidFill>
              <w14:schemeClr w14:val="tx1"/>
            </w14:solidFill>
          </w14:textFill>
        </w:rPr>
        <w:t>的投标；</w:t>
      </w:r>
    </w:p>
    <w:p w14:paraId="2313F02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二、不向采购人、招标代理机构和监管部门及其工作人员和评审人员贿赂，或采取其它不正当手段谋取中标或成交；</w:t>
      </w:r>
    </w:p>
    <w:p w14:paraId="0D9E9444">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 xml:space="preserve">三、应公平竞争、诚实守信，不得采取不正当手段抵毁、排挤其他投标人，不提供虚假材料谋取中标或成交； </w:t>
      </w:r>
    </w:p>
    <w:p w14:paraId="16271838">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四、中标成交后，不将招标项目非法转让他人，或未经采购人同意，将中标项目分包给他人；</w:t>
      </w:r>
    </w:p>
    <w:p w14:paraId="5E36411F">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五、不与采购人、其它投标人和招标代理机构串通或恶意报价，哄抬招标价格；不在招标过程中与招标组织机构协商谈判；</w:t>
      </w:r>
    </w:p>
    <w:p w14:paraId="7BB2400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六、中标成交后，按规定及时与采购人签订合同；无正当理由不拖延或拒绝与采购人签订合同，不与采购人订立有悖于招标结果的合同或协议</w:t>
      </w:r>
    </w:p>
    <w:p w14:paraId="3ABB180A">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七、严格履行合同，不降低合同约定的产品质量和服务，不擅自变更、中止、终止合同，或拒绝履行合同义务；</w:t>
      </w:r>
    </w:p>
    <w:p w14:paraId="1550A685">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八、不捏造事实或者提供虚假材料，进行虚假、恶意质疑、投诉，扰乱招标工作；</w:t>
      </w:r>
    </w:p>
    <w:p w14:paraId="1B22A2CA">
      <w:pPr>
        <w:spacing w:line="360" w:lineRule="auto"/>
        <w:ind w:firstLine="480" w:firstLineChars="20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九、自觉接受和配合有关政府招标监督部门的监督检查，不拒绝或在检查中提供虚假材料。</w:t>
      </w:r>
    </w:p>
    <w:p w14:paraId="2F07601A">
      <w:pPr>
        <w:spacing w:line="360" w:lineRule="auto"/>
        <w:ind w:firstLine="480" w:firstLineChars="200"/>
        <w:rPr>
          <w:rFonts w:ascii="宋体" w:hAnsi="宋体" w:cs="宋体"/>
          <w:color w:val="000000" w:themeColor="text1"/>
          <w:kern w:val="0"/>
          <w:sz w:val="24"/>
          <w:szCs w:val="20"/>
          <w:highlight w:val="none"/>
          <w:lang w:bidi="ar"/>
          <w14:textFill>
            <w14:solidFill>
              <w14:schemeClr w14:val="tx1"/>
            </w14:solidFill>
          </w14:textFill>
        </w:rPr>
      </w:pPr>
      <w:r>
        <w:rPr>
          <w:rFonts w:hint="eastAsia" w:ascii="宋体" w:hAnsi="宋体" w:cs="宋体"/>
          <w:color w:val="000000" w:themeColor="text1"/>
          <w:kern w:val="0"/>
          <w:sz w:val="24"/>
          <w:szCs w:val="20"/>
          <w:highlight w:val="none"/>
          <w:lang w:bidi="ar"/>
          <w14:textFill>
            <w14:solidFill>
              <w14:schemeClr w14:val="tx1"/>
            </w14:solidFill>
          </w14:textFill>
        </w:rPr>
        <w:t>本公司若有违反承诺内容的行为，自愿接受记入信用档案等有关处理，愿意承担法律责任。如已中标的，自动放弃中标资格给采购人造成损失的，依法承担赔偿责任。</w:t>
      </w:r>
    </w:p>
    <w:p w14:paraId="454FBB7D">
      <w:pPr>
        <w:pStyle w:val="3"/>
        <w:rPr>
          <w:color w:val="000000" w:themeColor="text1"/>
          <w:highlight w:val="none"/>
          <w14:textFill>
            <w14:solidFill>
              <w14:schemeClr w14:val="tx1"/>
            </w14:solidFill>
          </w14:textFill>
        </w:rPr>
      </w:pPr>
    </w:p>
    <w:p w14:paraId="08A5C1D2">
      <w:pPr>
        <w:pStyle w:val="2"/>
        <w:ind w:firstLine="210"/>
        <w:rPr>
          <w:color w:val="000000" w:themeColor="text1"/>
          <w:highlight w:val="none"/>
          <w14:textFill>
            <w14:solidFill>
              <w14:schemeClr w14:val="tx1"/>
            </w14:solidFill>
          </w14:textFill>
        </w:rPr>
      </w:pPr>
    </w:p>
    <w:p w14:paraId="4B21BF5E">
      <w:pPr>
        <w:rPr>
          <w:color w:val="000000" w:themeColor="text1"/>
          <w:highlight w:val="none"/>
          <w14:textFill>
            <w14:solidFill>
              <w14:schemeClr w14:val="tx1"/>
            </w14:solidFill>
          </w14:textFill>
        </w:rPr>
      </w:pPr>
    </w:p>
    <w:p w14:paraId="0A0FE0E0">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2A576ABF">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51E73A8E">
      <w:pPr>
        <w:spacing w:line="360" w:lineRule="auto"/>
        <w:ind w:firstLine="4080" w:firstLineChars="1700"/>
        <w:rPr>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07C20C73">
      <w:pPr>
        <w:spacing w:line="400" w:lineRule="exact"/>
        <w:rPr>
          <w:rFonts w:ascii="宋体" w:hAnsi="宋体" w:cs="宋体"/>
          <w:color w:val="000000" w:themeColor="text1"/>
          <w:sz w:val="24"/>
          <w:highlight w:val="none"/>
          <w14:textFill>
            <w14:solidFill>
              <w14:schemeClr w14:val="tx1"/>
            </w14:solidFill>
          </w14:textFill>
        </w:rPr>
      </w:pPr>
    </w:p>
    <w:p w14:paraId="2CE85775">
      <w:pPr>
        <w:spacing w:line="400" w:lineRule="exact"/>
        <w:rPr>
          <w:rFonts w:ascii="宋体" w:hAnsi="宋体" w:cs="宋体"/>
          <w:color w:val="000000" w:themeColor="text1"/>
          <w:sz w:val="24"/>
          <w:highlight w:val="none"/>
          <w14:textFill>
            <w14:solidFill>
              <w14:schemeClr w14:val="tx1"/>
            </w14:solidFill>
          </w14:textFill>
        </w:rPr>
        <w:sectPr>
          <w:pgSz w:w="11907" w:h="16840"/>
          <w:pgMar w:top="1440" w:right="1080" w:bottom="1440" w:left="1080" w:header="851" w:footer="992" w:gutter="0"/>
          <w:pgBorders>
            <w:top w:val="none" w:sz="0" w:space="0"/>
            <w:left w:val="none" w:sz="0" w:space="0"/>
            <w:bottom w:val="none" w:sz="0" w:space="0"/>
            <w:right w:val="none" w:sz="0" w:space="0"/>
          </w:pgBorders>
          <w:pgNumType w:fmt="decimal"/>
          <w:cols w:space="720" w:num="1"/>
          <w:docGrid w:linePitch="312" w:charSpace="0"/>
        </w:sectPr>
      </w:pPr>
    </w:p>
    <w:p w14:paraId="2EF05EB4">
      <w:pPr>
        <w:spacing w:line="360" w:lineRule="auto"/>
        <w:ind w:left="36" w:leftChars="13" w:right="-1089" w:rightChars="-389" w:firstLine="89" w:firstLineChars="37"/>
        <w:outlineLvl w:val="0"/>
        <w:rPr>
          <w:rFonts w:ascii="宋体" w:hAnsi="宋体" w:cs="宋体"/>
          <w:b/>
          <w:bCs/>
          <w:color w:val="000000" w:themeColor="text1"/>
          <w:sz w:val="24"/>
          <w:highlight w:val="none"/>
          <w14:textFill>
            <w14:solidFill>
              <w14:schemeClr w14:val="tx1"/>
            </w14:solidFill>
          </w14:textFill>
        </w:rPr>
      </w:pPr>
      <w:bookmarkStart w:id="33" w:name="_Toc3783"/>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6</w:t>
      </w:r>
      <w:r>
        <w:rPr>
          <w:rFonts w:hint="eastAsia" w:ascii="宋体" w:hAnsi="宋体" w:cs="宋体"/>
          <w:b/>
          <w:bCs/>
          <w:color w:val="000000" w:themeColor="text1"/>
          <w:sz w:val="24"/>
          <w:highlight w:val="none"/>
          <w14:textFill>
            <w14:solidFill>
              <w14:schemeClr w14:val="tx1"/>
            </w14:solidFill>
          </w14:textFill>
        </w:rPr>
        <w:t>：</w:t>
      </w:r>
      <w:bookmarkEnd w:id="33"/>
    </w:p>
    <w:p w14:paraId="4C7C4A48">
      <w:pPr>
        <w:adjustRightInd w:val="0"/>
        <w:snapToGrid w:val="0"/>
        <w:spacing w:line="360" w:lineRule="auto"/>
        <w:ind w:right="480"/>
        <w:jc w:val="center"/>
        <w:outlineLvl w:val="0"/>
        <w:rPr>
          <w:rFonts w:ascii="宋体" w:hAnsi="宋体"/>
          <w:b/>
          <w:color w:val="000000" w:themeColor="text1"/>
          <w:kern w:val="0"/>
          <w:sz w:val="32"/>
          <w:szCs w:val="32"/>
          <w:highlight w:val="none"/>
          <w:lang w:val="zh-CN"/>
          <w14:textFill>
            <w14:solidFill>
              <w14:schemeClr w14:val="tx1"/>
            </w14:solidFill>
          </w14:textFill>
        </w:rPr>
      </w:pPr>
      <w:bookmarkStart w:id="34" w:name="_Toc19573"/>
      <w:r>
        <w:rPr>
          <w:rFonts w:hint="eastAsia" w:ascii="宋体" w:hAnsi="宋体"/>
          <w:b/>
          <w:color w:val="000000" w:themeColor="text1"/>
          <w:kern w:val="0"/>
          <w:sz w:val="32"/>
          <w:szCs w:val="32"/>
          <w:highlight w:val="none"/>
          <w:lang w:val="zh-CN"/>
          <w14:textFill>
            <w14:solidFill>
              <w14:schemeClr w14:val="tx1"/>
            </w14:solidFill>
          </w14:textFill>
        </w:rPr>
        <w:t>投标声明书</w:t>
      </w:r>
      <w:bookmarkEnd w:id="34"/>
    </w:p>
    <w:p w14:paraId="7F758BCF">
      <w:pPr>
        <w:snapToGrid w:val="0"/>
        <w:spacing w:before="120" w:beforeLines="50" w:after="50" w:line="400" w:lineRule="exact"/>
        <w:rPr>
          <w:rFonts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sz w:val="24"/>
          <w:highlight w:val="none"/>
          <w:u w:val="single"/>
          <w:lang w:eastAsia="zh-CN"/>
          <w14:textFill>
            <w14:solidFill>
              <w14:schemeClr w14:val="tx1"/>
            </w14:solidFill>
          </w14:textFill>
        </w:rPr>
        <w:t>建经投资咨询有限公司</w:t>
      </w:r>
      <w:r>
        <w:rPr>
          <w:rFonts w:hint="eastAsia" w:ascii="宋体" w:hAnsi="宋体" w:cs="宋体"/>
          <w:color w:val="000000" w:themeColor="text1"/>
          <w:kern w:val="0"/>
          <w:sz w:val="24"/>
          <w:highlight w:val="none"/>
          <w14:textFill>
            <w14:solidFill>
              <w14:schemeClr w14:val="tx1"/>
            </w14:solidFill>
          </w14:textFill>
        </w:rPr>
        <w:t>（采购代理机构名称）：</w:t>
      </w:r>
    </w:p>
    <w:p w14:paraId="637F3BC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single"/>
          <w14:textFill>
            <w14:solidFill>
              <w14:schemeClr w14:val="tx1"/>
            </w14:solidFill>
          </w14:textFill>
        </w:rPr>
        <w:t>（投标人名称）</w:t>
      </w:r>
      <w:r>
        <w:rPr>
          <w:rFonts w:hint="eastAsia" w:ascii="宋体" w:hAnsi="宋体" w:cs="宋体"/>
          <w:color w:val="000000" w:themeColor="text1"/>
          <w:kern w:val="0"/>
          <w:sz w:val="24"/>
          <w:highlight w:val="none"/>
          <w14:textFill>
            <w14:solidFill>
              <w14:schemeClr w14:val="tx1"/>
            </w14:solidFill>
          </w14:textFill>
        </w:rPr>
        <w:t>系中华人民共和国合法企业，经营地址</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w:t>
      </w:r>
    </w:p>
    <w:p w14:paraId="64899ADC">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宋体"/>
          <w:color w:val="000000" w:themeColor="text1"/>
          <w:kern w:val="0"/>
          <w:sz w:val="24"/>
          <w:highlight w:val="none"/>
          <w:u w:val="single"/>
          <w14:textFill>
            <w14:solidFill>
              <w14:schemeClr w14:val="tx1"/>
            </w14:solidFill>
          </w14:textFill>
        </w:rPr>
        <w:t xml:space="preserve"> 姓名 </w:t>
      </w:r>
      <w:r>
        <w:rPr>
          <w:rFonts w:hint="eastAsia" w:ascii="宋体" w:hAnsi="宋体" w:cs="宋体"/>
          <w:color w:val="000000" w:themeColor="text1"/>
          <w:kern w:val="0"/>
          <w:sz w:val="24"/>
          <w:highlight w:val="none"/>
          <w14:textFill>
            <w14:solidFill>
              <w14:schemeClr w14:val="tx1"/>
            </w14:solidFill>
          </w14:textFill>
        </w:rPr>
        <w:t>）系（</w:t>
      </w:r>
      <w:r>
        <w:rPr>
          <w:rFonts w:hint="eastAsia" w:ascii="宋体" w:hAnsi="宋体" w:cs="宋体"/>
          <w:color w:val="000000" w:themeColor="text1"/>
          <w:kern w:val="0"/>
          <w:sz w:val="24"/>
          <w:highlight w:val="none"/>
          <w:u w:val="single"/>
          <w14:textFill>
            <w14:solidFill>
              <w14:schemeClr w14:val="tx1"/>
            </w14:solidFill>
          </w14:textFill>
        </w:rPr>
        <w:t xml:space="preserve"> 投标人名称 </w:t>
      </w:r>
      <w:r>
        <w:rPr>
          <w:rFonts w:hint="eastAsia" w:ascii="宋体" w:hAnsi="宋体" w:cs="宋体"/>
          <w:color w:val="000000" w:themeColor="text1"/>
          <w:kern w:val="0"/>
          <w:sz w:val="24"/>
          <w:highlight w:val="none"/>
          <w14:textFill>
            <w14:solidFill>
              <w14:schemeClr w14:val="tx1"/>
            </w14:solidFill>
          </w14:textFill>
        </w:rPr>
        <w:t>）的法定代表人（机构负责人），我公司自愿参加贵方组织的</w:t>
      </w:r>
      <w:r>
        <w:rPr>
          <w:rFonts w:hint="eastAsia" w:ascii="宋体" w:hAnsi="宋体" w:cs="宋体"/>
          <w:color w:val="000000" w:themeColor="text1"/>
          <w:kern w:val="0"/>
          <w:sz w:val="24"/>
          <w:szCs w:val="20"/>
          <w:highlight w:val="none"/>
          <w:u w:val="single"/>
          <w:lang w:eastAsia="zh-CN" w:bidi="ar"/>
          <w14:textFill>
            <w14:solidFill>
              <w14:schemeClr w14:val="tx1"/>
            </w14:solidFill>
          </w14:textFill>
        </w:rPr>
        <w:t xml:space="preserve"> 台州方特熊出没水上休闲游乐度假中心（一期）酒店地毯采购</w:t>
      </w:r>
      <w:r>
        <w:rPr>
          <w:rFonts w:hint="eastAsia" w:ascii="宋体" w:hAnsi="宋体" w:cs="宋体"/>
          <w:color w:val="000000" w:themeColor="text1"/>
          <w:kern w:val="0"/>
          <w:sz w:val="24"/>
          <w:highlight w:val="none"/>
          <w14:textFill>
            <w14:solidFill>
              <w14:schemeClr w14:val="tx1"/>
            </w14:solidFill>
          </w14:textFill>
        </w:rPr>
        <w:t>的投标，为此，我公司就本次投标有关事项郑重声明如下：</w:t>
      </w:r>
    </w:p>
    <w:p w14:paraId="44ABE6AB">
      <w:pPr>
        <w:snapToGrid w:val="0"/>
        <w:spacing w:line="360" w:lineRule="auto"/>
        <w:ind w:firstLine="480" w:firstLineChars="200"/>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我公司声明截止投标时间近三年以来：在采购领域中的项目招标、投标和合同履约期间无任何不良行为记录；无重大违法记录（重大违法记录是指投标人因违法经营受到刑事处罚或者责令停产停业、吊销许可证或者执照、较大数额罚款等行政处罚）。</w:t>
      </w:r>
    </w:p>
    <w:p w14:paraId="25B2164D">
      <w:pPr>
        <w:snapToGrid w:val="0"/>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2、我公司</w:t>
      </w:r>
      <w:r>
        <w:rPr>
          <w:rFonts w:ascii="宋体" w:hAnsi="宋体" w:cs="宋体"/>
          <w:color w:val="000000" w:themeColor="text1"/>
          <w:kern w:val="0"/>
          <w:sz w:val="24"/>
          <w:highlight w:val="none"/>
          <w14:textFill>
            <w14:solidFill>
              <w14:schemeClr w14:val="tx1"/>
            </w14:solidFill>
          </w14:textFill>
        </w:rPr>
        <w:t>在参与投标前已</w:t>
      </w:r>
      <w:r>
        <w:rPr>
          <w:rFonts w:hint="eastAsia" w:ascii="宋体" w:hAnsi="宋体" w:cs="宋体"/>
          <w:color w:val="000000" w:themeColor="text1"/>
          <w:kern w:val="0"/>
          <w:sz w:val="24"/>
          <w:highlight w:val="none"/>
          <w14:textFill>
            <w14:solidFill>
              <w14:schemeClr w14:val="tx1"/>
            </w14:solidFill>
          </w14:textFill>
        </w:rPr>
        <w:t>详细审查</w:t>
      </w:r>
      <w:r>
        <w:rPr>
          <w:rFonts w:ascii="宋体" w:hAnsi="宋体" w:cs="宋体"/>
          <w:color w:val="000000" w:themeColor="text1"/>
          <w:kern w:val="0"/>
          <w:sz w:val="24"/>
          <w:highlight w:val="none"/>
          <w14:textFill>
            <w14:solidFill>
              <w14:schemeClr w14:val="tx1"/>
            </w14:solidFill>
          </w14:textFill>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color w:val="000000" w:themeColor="text1"/>
          <w:kern w:val="0"/>
          <w:sz w:val="24"/>
          <w:highlight w:val="none"/>
          <w14:textFill>
            <w14:solidFill>
              <w14:schemeClr w14:val="tx1"/>
            </w14:solidFill>
          </w14:textFill>
        </w:rPr>
        <w:t>利。</w:t>
      </w:r>
    </w:p>
    <w:p w14:paraId="126DD5CE">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3、我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不是采购人的附属机构；在获知本项目采购信息后，与采购人聘请的为此项目提供咨询服务的公司及其附属机构没有任何联系。</w:t>
      </w:r>
    </w:p>
    <w:p w14:paraId="2649D657">
      <w:pPr>
        <w:snapToGrid w:val="0"/>
        <w:spacing w:line="360" w:lineRule="auto"/>
        <w:ind w:firstLine="480" w:firstLineChars="200"/>
        <w:rPr>
          <w:rFonts w:ascii="宋体" w:hAnsi="宋体"/>
          <w:color w:val="000000" w:themeColor="text1"/>
          <w:kern w:val="0"/>
          <w:sz w:val="24"/>
          <w:highlight w:val="none"/>
          <w:lang w:val="af-ZA"/>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4、</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14:textFill>
            <w14:solidFill>
              <w14:schemeClr w14:val="tx1"/>
            </w14:solidFill>
          </w14:textFill>
        </w:rPr>
        <w:t>保证，</w:t>
      </w:r>
      <w:r>
        <w:rPr>
          <w:rFonts w:hint="eastAsia" w:ascii="宋体" w:hAnsi="宋体"/>
          <w:color w:val="000000" w:themeColor="text1"/>
          <w:kern w:val="0"/>
          <w:sz w:val="24"/>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highlight w:val="none"/>
          <w14:textFill>
            <w14:solidFill>
              <w14:schemeClr w14:val="tx1"/>
            </w14:solidFill>
          </w14:textFill>
        </w:rPr>
        <w:t>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kern w:val="0"/>
          <w:sz w:val="24"/>
          <w:highlight w:val="none"/>
          <w:lang w:val="af-ZA"/>
          <w14:textFill>
            <w14:solidFill>
              <w14:schemeClr w14:val="tx1"/>
            </w14:solidFill>
          </w14:textFill>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000000" w:themeColor="text1"/>
          <w:kern w:val="0"/>
          <w:sz w:val="24"/>
          <w:highlight w:val="none"/>
          <w:lang w:val="af-ZA"/>
          <w14:textFill>
            <w14:solidFill>
              <w14:schemeClr w14:val="tx1"/>
            </w14:solidFill>
          </w14:textFill>
        </w:rPr>
        <w:t>我方</w:t>
      </w:r>
      <w:r>
        <w:rPr>
          <w:rFonts w:hint="eastAsia" w:ascii="宋体" w:hAnsi="宋体"/>
          <w:color w:val="000000" w:themeColor="text1"/>
          <w:kern w:val="0"/>
          <w:sz w:val="24"/>
          <w:highlight w:val="none"/>
          <w:lang w:val="af-ZA"/>
          <w14:textFill>
            <w14:solidFill>
              <w14:schemeClr w14:val="tx1"/>
            </w14:solidFill>
          </w14:textFill>
        </w:rPr>
        <w:t>承担。</w:t>
      </w:r>
      <w:r>
        <w:rPr>
          <w:rFonts w:hint="eastAsia" w:ascii="宋体" w:hAnsi="宋体" w:cs="宋体"/>
          <w:color w:val="000000" w:themeColor="text1"/>
          <w:kern w:val="0"/>
          <w:sz w:val="24"/>
          <w:highlight w:val="none"/>
          <w:lang w:val="af-ZA"/>
          <w14:textFill>
            <w14:solidFill>
              <w14:schemeClr w14:val="tx1"/>
            </w14:solidFill>
          </w14:textFill>
        </w:rPr>
        <w:t>我方的</w:t>
      </w:r>
      <w:r>
        <w:rPr>
          <w:rFonts w:hint="eastAsia" w:ascii="宋体" w:hAnsi="宋体"/>
          <w:color w:val="000000" w:themeColor="text1"/>
          <w:kern w:val="0"/>
          <w:sz w:val="24"/>
          <w:highlight w:val="none"/>
          <w:lang w:val="af-ZA"/>
          <w14:textFill>
            <w14:solidFill>
              <w14:schemeClr w14:val="tx1"/>
            </w14:solidFill>
          </w14:textFill>
        </w:rPr>
        <w:t>投标报价</w:t>
      </w:r>
      <w:r>
        <w:rPr>
          <w:rFonts w:hint="eastAsia" w:ascii="宋体" w:hAnsi="宋体" w:cs="宋体"/>
          <w:color w:val="000000" w:themeColor="text1"/>
          <w:kern w:val="0"/>
          <w:sz w:val="24"/>
          <w:highlight w:val="none"/>
          <w:lang w:val="af-ZA"/>
          <w14:textFill>
            <w14:solidFill>
              <w14:schemeClr w14:val="tx1"/>
            </w14:solidFill>
          </w14:textFill>
        </w:rPr>
        <w:t>已</w:t>
      </w:r>
      <w:r>
        <w:rPr>
          <w:rFonts w:hint="eastAsia" w:ascii="宋体" w:hAnsi="宋体"/>
          <w:color w:val="000000" w:themeColor="text1"/>
          <w:kern w:val="0"/>
          <w:sz w:val="24"/>
          <w:highlight w:val="none"/>
          <w:lang w:val="af-ZA"/>
          <w14:textFill>
            <w14:solidFill>
              <w14:schemeClr w14:val="tx1"/>
            </w14:solidFill>
          </w14:textFill>
        </w:rPr>
        <w:t>包含所有应向所有权人支付的专利权、商标权或其它知识产权的一切相关费用。</w:t>
      </w:r>
    </w:p>
    <w:p w14:paraId="2ACF5A8A">
      <w:pPr>
        <w:snapToGrid w:val="0"/>
        <w:spacing w:line="360" w:lineRule="auto"/>
        <w:ind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5、我</w:t>
      </w:r>
      <w:r>
        <w:rPr>
          <w:rFonts w:hint="eastAsia" w:ascii="宋体" w:hAnsi="宋体" w:cs="宋体"/>
          <w:color w:val="000000" w:themeColor="text1"/>
          <w:kern w:val="0"/>
          <w:sz w:val="24"/>
          <w:highlight w:val="none"/>
          <w:lang w:val="zh-CN"/>
          <w14:textFill>
            <w14:solidFill>
              <w14:schemeClr w14:val="tx1"/>
            </w14:solidFill>
          </w14:textFill>
        </w:rPr>
        <w:t>公司</w:t>
      </w:r>
      <w:r>
        <w:rPr>
          <w:rFonts w:hint="eastAsia" w:ascii="宋体" w:hAnsi="宋体" w:cs="宋体"/>
          <w:color w:val="000000" w:themeColor="text1"/>
          <w:kern w:val="0"/>
          <w:sz w:val="24"/>
          <w:highlight w:val="none"/>
          <w:lang w:val="af-ZA"/>
          <w14:textFill>
            <w14:solidFill>
              <w14:schemeClr w14:val="tx1"/>
            </w14:solidFill>
          </w14:textFill>
        </w:rPr>
        <w:t>严格履行采购合同，不降低合同约定的产品质量和服务，不擅自变更、中止、终止合同，或拒绝履行合同义务；</w:t>
      </w:r>
    </w:p>
    <w:p w14:paraId="1593B706">
      <w:pPr>
        <w:snapToGrid w:val="0"/>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6、以上事项如有虚假或隐瞒，我</w:t>
      </w:r>
      <w:r>
        <w:rPr>
          <w:rFonts w:hint="eastAsia" w:ascii="宋体" w:hAnsi="宋体" w:cs="仿宋_GB2312"/>
          <w:color w:val="000000" w:themeColor="text1"/>
          <w:kern w:val="0"/>
          <w:sz w:val="24"/>
          <w:highlight w:val="none"/>
          <w:lang w:val="zh-CN"/>
          <w14:textFill>
            <w14:solidFill>
              <w14:schemeClr w14:val="tx1"/>
            </w14:solidFill>
          </w14:textFill>
        </w:rPr>
        <w:t>公司</w:t>
      </w:r>
      <w:r>
        <w:rPr>
          <w:rFonts w:hint="eastAsia" w:ascii="宋体" w:hAnsi="宋体"/>
          <w:color w:val="000000" w:themeColor="text1"/>
          <w:sz w:val="24"/>
          <w:highlight w:val="none"/>
          <w14:textFill>
            <w14:solidFill>
              <w14:schemeClr w14:val="tx1"/>
            </w14:solidFill>
          </w14:textFill>
        </w:rPr>
        <w:t>愿意承担一切后果，并不再寻求任何旨在减轻或免除法律责任的辩解。</w:t>
      </w:r>
    </w:p>
    <w:p w14:paraId="189DD2C3">
      <w:pPr>
        <w:adjustRightInd w:val="0"/>
        <w:snapToGrid w:val="0"/>
        <w:spacing w:line="400" w:lineRule="exact"/>
        <w:ind w:firstLine="480"/>
        <w:rPr>
          <w:rFonts w:ascii="宋体" w:hAnsi="宋体" w:cs="仿宋_GB2312"/>
          <w:color w:val="000000" w:themeColor="text1"/>
          <w:kern w:val="0"/>
          <w:sz w:val="24"/>
          <w:highlight w:val="none"/>
          <w14:textFill>
            <w14:solidFill>
              <w14:schemeClr w14:val="tx1"/>
            </w14:solidFill>
          </w14:textFill>
        </w:rPr>
      </w:pPr>
    </w:p>
    <w:p w14:paraId="46735E2A">
      <w:pPr>
        <w:pStyle w:val="2"/>
        <w:ind w:firstLine="4320" w:firstLineChars="1800"/>
        <w:rPr>
          <w:rFonts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11B52B26">
      <w:pPr>
        <w:spacing w:line="360" w:lineRule="auto"/>
        <w:ind w:firstLine="4320" w:firstLineChars="18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法定代表人（签字或盖章）：                  </w:t>
      </w:r>
    </w:p>
    <w:p w14:paraId="3B43AA1F">
      <w:pPr>
        <w:spacing w:line="360" w:lineRule="auto"/>
        <w:ind w:firstLine="4080" w:firstLineChars="1700"/>
        <w:rPr>
          <w:rFonts w:ascii="宋体"/>
          <w:color w:val="000000" w:themeColor="text1"/>
          <w:sz w:val="24"/>
          <w:highlight w:val="none"/>
          <w14:textFill>
            <w14:solidFill>
              <w14:schemeClr w14:val="tx1"/>
            </w14:solidFill>
          </w14:textFill>
        </w:rPr>
      </w:pPr>
      <w:r>
        <w:rPr>
          <w:rFonts w:hint="eastAsia" w:ascii="宋体"/>
          <w:color w:val="000000" w:themeColor="text1"/>
          <w:sz w:val="24"/>
          <w:highlight w:val="none"/>
          <w14:textFill>
            <w14:solidFill>
              <w14:schemeClr w14:val="tx1"/>
            </w14:solidFill>
          </w14:textFill>
        </w:rPr>
        <w:t xml:space="preserve">  日期：  年    月    日</w:t>
      </w:r>
    </w:p>
    <w:p w14:paraId="6710C8F5">
      <w:pPr>
        <w:pStyle w:val="3"/>
        <w:rPr>
          <w:color w:val="000000" w:themeColor="text1"/>
          <w:highlight w:val="none"/>
          <w14:textFill>
            <w14:solidFill>
              <w14:schemeClr w14:val="tx1"/>
            </w14:solidFill>
          </w14:textFill>
        </w:rPr>
      </w:pPr>
    </w:p>
    <w:p w14:paraId="2D8DDED1">
      <w:pPr>
        <w:spacing w:line="360" w:lineRule="auto"/>
        <w:ind w:right="-1089" w:rightChars="-389"/>
        <w:outlineLvl w:val="9"/>
        <w:rPr>
          <w:rFonts w:hint="eastAsia" w:ascii="宋体" w:hAnsi="宋体" w:cs="宋体"/>
          <w:b/>
          <w:bCs/>
          <w:color w:val="000000" w:themeColor="text1"/>
          <w:sz w:val="24"/>
          <w:highlight w:val="none"/>
          <w14:textFill>
            <w14:solidFill>
              <w14:schemeClr w14:val="tx1"/>
            </w14:solidFill>
          </w14:textFill>
        </w:rPr>
      </w:pPr>
    </w:p>
    <w:p w14:paraId="03B469A5">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bookmarkStart w:id="35" w:name="_Toc9706"/>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7</w:t>
      </w:r>
      <w:r>
        <w:rPr>
          <w:rFonts w:hint="eastAsia" w:ascii="宋体" w:hAnsi="宋体" w:cs="宋体"/>
          <w:b/>
          <w:bCs/>
          <w:color w:val="000000" w:themeColor="text1"/>
          <w:sz w:val="24"/>
          <w:highlight w:val="none"/>
          <w14:textFill>
            <w14:solidFill>
              <w14:schemeClr w14:val="tx1"/>
            </w14:solidFill>
          </w14:textFill>
        </w:rPr>
        <w:t>：</w:t>
      </w:r>
      <w:bookmarkEnd w:id="35"/>
    </w:p>
    <w:p w14:paraId="4E5E51D3">
      <w:pPr>
        <w:spacing w:line="360" w:lineRule="auto"/>
        <w:jc w:val="center"/>
        <w:outlineLvl w:val="0"/>
        <w:rPr>
          <w:rFonts w:hint="eastAsia" w:ascii="宋体" w:hAnsi="宋体"/>
          <w:b/>
          <w:color w:val="auto"/>
          <w:sz w:val="36"/>
          <w:szCs w:val="32"/>
          <w:highlight w:val="none"/>
        </w:rPr>
      </w:pPr>
      <w:bookmarkStart w:id="36" w:name="_Toc29115"/>
      <w:r>
        <w:rPr>
          <w:rFonts w:hint="eastAsia" w:ascii="宋体" w:hAnsi="宋体"/>
          <w:b/>
          <w:color w:val="auto"/>
          <w:sz w:val="36"/>
          <w:szCs w:val="32"/>
          <w:highlight w:val="none"/>
        </w:rPr>
        <w:t>业绩一览表</w:t>
      </w:r>
      <w:bookmarkEnd w:id="36"/>
    </w:p>
    <w:p w14:paraId="06B6E2F4">
      <w:pPr>
        <w:spacing w:line="320" w:lineRule="exact"/>
        <w:rPr>
          <w:rFonts w:hint="eastAsia" w:ascii="宋体" w:hAnsi="宋体"/>
          <w:color w:val="auto"/>
          <w:highlight w:val="none"/>
        </w:rPr>
      </w:pPr>
      <w:r>
        <w:rPr>
          <w:rFonts w:hint="eastAsia" w:ascii="宋体" w:hAnsi="宋体"/>
          <w:color w:val="auto"/>
          <w:highlight w:val="none"/>
        </w:rPr>
        <w:t xml:space="preserve">  </w:t>
      </w:r>
      <w:r>
        <w:rPr>
          <w:rFonts w:hint="eastAsia" w:ascii="宋体" w:hAnsi="宋体"/>
          <w:b/>
          <w:bCs/>
          <w:color w:val="auto"/>
          <w:highlight w:val="none"/>
        </w:rPr>
        <w:t>项目名称</w:t>
      </w:r>
      <w:r>
        <w:rPr>
          <w:rFonts w:hint="eastAsia" w:ascii="宋体" w:hAnsi="宋体"/>
          <w:color w:val="auto"/>
          <w:highlight w:val="none"/>
        </w:rPr>
        <w:t>：</w:t>
      </w:r>
    </w:p>
    <w:tbl>
      <w:tblPr>
        <w:tblStyle w:val="37"/>
        <w:tblW w:w="10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345"/>
        <w:gridCol w:w="1933"/>
        <w:gridCol w:w="2499"/>
        <w:gridCol w:w="2597"/>
      </w:tblGrid>
      <w:tr w14:paraId="5B0C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724" w:type="dxa"/>
            <w:noWrap w:val="0"/>
            <w:vAlign w:val="center"/>
          </w:tcPr>
          <w:p w14:paraId="5F0D097E">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2345" w:type="dxa"/>
            <w:noWrap w:val="0"/>
            <w:vAlign w:val="center"/>
          </w:tcPr>
          <w:p w14:paraId="7EFD9BA3">
            <w:pPr>
              <w:spacing w:line="360" w:lineRule="auto"/>
              <w:jc w:val="center"/>
              <w:rPr>
                <w:rFonts w:hint="eastAsia" w:ascii="宋体" w:hAnsi="宋体"/>
                <w:color w:val="auto"/>
                <w:sz w:val="24"/>
                <w:highlight w:val="none"/>
              </w:rPr>
            </w:pPr>
            <w:r>
              <w:rPr>
                <w:rFonts w:hint="eastAsia" w:ascii="宋体" w:hAnsi="宋体"/>
                <w:color w:val="auto"/>
                <w:sz w:val="24"/>
                <w:highlight w:val="none"/>
              </w:rPr>
              <w:t>项目名称</w:t>
            </w:r>
          </w:p>
        </w:tc>
        <w:tc>
          <w:tcPr>
            <w:tcW w:w="1933" w:type="dxa"/>
            <w:noWrap w:val="0"/>
            <w:vAlign w:val="center"/>
          </w:tcPr>
          <w:p w14:paraId="2842516B">
            <w:pPr>
              <w:spacing w:line="360" w:lineRule="auto"/>
              <w:jc w:val="center"/>
              <w:rPr>
                <w:rFonts w:hint="eastAsia" w:ascii="宋体" w:hAnsi="宋体"/>
                <w:color w:val="auto"/>
                <w:sz w:val="24"/>
                <w:highlight w:val="none"/>
              </w:rPr>
            </w:pPr>
            <w:r>
              <w:rPr>
                <w:rFonts w:hint="eastAsia" w:ascii="宋体" w:hAnsi="宋体"/>
                <w:color w:val="auto"/>
                <w:sz w:val="24"/>
                <w:highlight w:val="none"/>
              </w:rPr>
              <w:t>项目规模</w:t>
            </w:r>
          </w:p>
        </w:tc>
        <w:tc>
          <w:tcPr>
            <w:tcW w:w="2499" w:type="dxa"/>
            <w:noWrap w:val="0"/>
            <w:vAlign w:val="center"/>
          </w:tcPr>
          <w:p w14:paraId="4E1763F8">
            <w:pPr>
              <w:spacing w:line="360" w:lineRule="auto"/>
              <w:jc w:val="center"/>
              <w:rPr>
                <w:rFonts w:hint="eastAsia" w:ascii="宋体" w:hAnsi="宋体"/>
                <w:color w:val="auto"/>
                <w:sz w:val="24"/>
                <w:highlight w:val="none"/>
              </w:rPr>
            </w:pPr>
            <w:r>
              <w:rPr>
                <w:rFonts w:hint="eastAsia" w:ascii="宋体" w:hAnsi="宋体"/>
                <w:color w:val="auto"/>
                <w:sz w:val="24"/>
                <w:highlight w:val="none"/>
              </w:rPr>
              <w:t>业主单位名称</w:t>
            </w:r>
          </w:p>
          <w:p w14:paraId="0C04EBE3">
            <w:pPr>
              <w:spacing w:line="360" w:lineRule="auto"/>
              <w:jc w:val="center"/>
              <w:rPr>
                <w:rFonts w:hint="eastAsia" w:ascii="宋体" w:hAnsi="宋体"/>
                <w:color w:val="auto"/>
                <w:sz w:val="24"/>
                <w:highlight w:val="none"/>
              </w:rPr>
            </w:pPr>
            <w:r>
              <w:rPr>
                <w:rFonts w:hint="eastAsia" w:ascii="宋体" w:hAnsi="宋体"/>
                <w:color w:val="auto"/>
                <w:sz w:val="24"/>
                <w:highlight w:val="none"/>
              </w:rPr>
              <w:t>（联系人、联系电话）</w:t>
            </w:r>
          </w:p>
        </w:tc>
        <w:tc>
          <w:tcPr>
            <w:tcW w:w="2597" w:type="dxa"/>
            <w:noWrap w:val="0"/>
            <w:vAlign w:val="center"/>
          </w:tcPr>
          <w:p w14:paraId="10BF0C21">
            <w:pPr>
              <w:spacing w:line="360" w:lineRule="auto"/>
              <w:jc w:val="center"/>
              <w:rPr>
                <w:rFonts w:hint="eastAsia" w:ascii="宋体" w:hAnsi="宋体"/>
                <w:color w:val="auto"/>
                <w:sz w:val="24"/>
                <w:highlight w:val="none"/>
              </w:rPr>
            </w:pPr>
            <w:r>
              <w:rPr>
                <w:rFonts w:hint="eastAsia" w:ascii="宋体" w:hAnsi="宋体"/>
                <w:color w:val="auto"/>
                <w:sz w:val="24"/>
                <w:highlight w:val="none"/>
              </w:rPr>
              <w:t>提供的资料</w:t>
            </w:r>
          </w:p>
        </w:tc>
      </w:tr>
      <w:tr w14:paraId="3843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62B3A5E5">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1</w:t>
            </w:r>
          </w:p>
        </w:tc>
        <w:tc>
          <w:tcPr>
            <w:tcW w:w="2345" w:type="dxa"/>
            <w:noWrap w:val="0"/>
            <w:vAlign w:val="center"/>
          </w:tcPr>
          <w:p w14:paraId="19A60250">
            <w:pPr>
              <w:spacing w:line="360" w:lineRule="auto"/>
              <w:jc w:val="center"/>
              <w:rPr>
                <w:rFonts w:hint="eastAsia" w:ascii="宋体" w:hAnsi="宋体"/>
                <w:color w:val="auto"/>
                <w:sz w:val="24"/>
                <w:highlight w:val="none"/>
              </w:rPr>
            </w:pPr>
          </w:p>
        </w:tc>
        <w:tc>
          <w:tcPr>
            <w:tcW w:w="1933" w:type="dxa"/>
            <w:noWrap w:val="0"/>
            <w:vAlign w:val="center"/>
          </w:tcPr>
          <w:p w14:paraId="4DA8C4F5">
            <w:pPr>
              <w:spacing w:line="360" w:lineRule="auto"/>
              <w:jc w:val="center"/>
              <w:rPr>
                <w:rFonts w:hint="eastAsia" w:ascii="宋体" w:hAnsi="宋体"/>
                <w:color w:val="auto"/>
                <w:sz w:val="24"/>
                <w:highlight w:val="none"/>
              </w:rPr>
            </w:pPr>
          </w:p>
        </w:tc>
        <w:tc>
          <w:tcPr>
            <w:tcW w:w="2499" w:type="dxa"/>
            <w:noWrap w:val="0"/>
            <w:vAlign w:val="center"/>
          </w:tcPr>
          <w:p w14:paraId="0F74F72D">
            <w:pPr>
              <w:spacing w:line="360" w:lineRule="auto"/>
              <w:jc w:val="center"/>
              <w:rPr>
                <w:rFonts w:hint="eastAsia" w:ascii="宋体" w:hAnsi="宋体"/>
                <w:color w:val="auto"/>
                <w:sz w:val="24"/>
                <w:highlight w:val="none"/>
              </w:rPr>
            </w:pPr>
          </w:p>
        </w:tc>
        <w:tc>
          <w:tcPr>
            <w:tcW w:w="2597" w:type="dxa"/>
            <w:noWrap w:val="0"/>
            <w:vAlign w:val="center"/>
          </w:tcPr>
          <w:p w14:paraId="41C5EAC4">
            <w:pPr>
              <w:spacing w:line="360" w:lineRule="auto"/>
              <w:jc w:val="center"/>
              <w:rPr>
                <w:rFonts w:hint="eastAsia" w:ascii="宋体" w:hAnsi="宋体"/>
                <w:color w:val="auto"/>
                <w:sz w:val="24"/>
                <w:highlight w:val="none"/>
              </w:rPr>
            </w:pPr>
          </w:p>
        </w:tc>
      </w:tr>
      <w:tr w14:paraId="51ED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703619A0">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2</w:t>
            </w:r>
          </w:p>
        </w:tc>
        <w:tc>
          <w:tcPr>
            <w:tcW w:w="2345" w:type="dxa"/>
            <w:noWrap w:val="0"/>
            <w:vAlign w:val="center"/>
          </w:tcPr>
          <w:p w14:paraId="40EA846B">
            <w:pPr>
              <w:spacing w:line="360" w:lineRule="auto"/>
              <w:jc w:val="center"/>
              <w:rPr>
                <w:rFonts w:hint="eastAsia" w:ascii="宋体" w:hAnsi="宋体"/>
                <w:color w:val="auto"/>
                <w:sz w:val="24"/>
                <w:highlight w:val="none"/>
              </w:rPr>
            </w:pPr>
          </w:p>
        </w:tc>
        <w:tc>
          <w:tcPr>
            <w:tcW w:w="1933" w:type="dxa"/>
            <w:noWrap w:val="0"/>
            <w:vAlign w:val="center"/>
          </w:tcPr>
          <w:p w14:paraId="6FBE41ED">
            <w:pPr>
              <w:spacing w:line="360" w:lineRule="auto"/>
              <w:jc w:val="center"/>
              <w:rPr>
                <w:rFonts w:hint="eastAsia" w:ascii="宋体" w:hAnsi="宋体"/>
                <w:color w:val="auto"/>
                <w:sz w:val="24"/>
                <w:highlight w:val="none"/>
              </w:rPr>
            </w:pPr>
          </w:p>
        </w:tc>
        <w:tc>
          <w:tcPr>
            <w:tcW w:w="2499" w:type="dxa"/>
            <w:noWrap w:val="0"/>
            <w:vAlign w:val="center"/>
          </w:tcPr>
          <w:p w14:paraId="311EBAAA">
            <w:pPr>
              <w:spacing w:line="360" w:lineRule="auto"/>
              <w:jc w:val="center"/>
              <w:rPr>
                <w:rFonts w:hint="eastAsia" w:ascii="宋体" w:hAnsi="宋体"/>
                <w:color w:val="auto"/>
                <w:sz w:val="24"/>
                <w:highlight w:val="none"/>
              </w:rPr>
            </w:pPr>
          </w:p>
        </w:tc>
        <w:tc>
          <w:tcPr>
            <w:tcW w:w="2597" w:type="dxa"/>
            <w:noWrap w:val="0"/>
            <w:vAlign w:val="center"/>
          </w:tcPr>
          <w:p w14:paraId="22711104">
            <w:pPr>
              <w:spacing w:line="360" w:lineRule="auto"/>
              <w:jc w:val="center"/>
              <w:rPr>
                <w:rFonts w:hint="eastAsia" w:ascii="宋体" w:hAnsi="宋体"/>
                <w:color w:val="auto"/>
                <w:sz w:val="24"/>
                <w:highlight w:val="none"/>
              </w:rPr>
            </w:pPr>
          </w:p>
        </w:tc>
      </w:tr>
      <w:tr w14:paraId="3909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6E2DEC80">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3</w:t>
            </w:r>
          </w:p>
        </w:tc>
        <w:tc>
          <w:tcPr>
            <w:tcW w:w="2345" w:type="dxa"/>
            <w:noWrap w:val="0"/>
            <w:vAlign w:val="center"/>
          </w:tcPr>
          <w:p w14:paraId="75A4C4CB">
            <w:pPr>
              <w:spacing w:line="360" w:lineRule="auto"/>
              <w:jc w:val="center"/>
              <w:rPr>
                <w:rFonts w:hint="eastAsia" w:ascii="宋体" w:hAnsi="宋体"/>
                <w:color w:val="auto"/>
                <w:sz w:val="24"/>
                <w:highlight w:val="none"/>
              </w:rPr>
            </w:pPr>
          </w:p>
        </w:tc>
        <w:tc>
          <w:tcPr>
            <w:tcW w:w="1933" w:type="dxa"/>
            <w:noWrap w:val="0"/>
            <w:vAlign w:val="center"/>
          </w:tcPr>
          <w:p w14:paraId="4209C040">
            <w:pPr>
              <w:spacing w:line="360" w:lineRule="auto"/>
              <w:jc w:val="center"/>
              <w:rPr>
                <w:rFonts w:hint="eastAsia" w:ascii="宋体" w:hAnsi="宋体"/>
                <w:color w:val="auto"/>
                <w:sz w:val="24"/>
                <w:highlight w:val="none"/>
              </w:rPr>
            </w:pPr>
          </w:p>
        </w:tc>
        <w:tc>
          <w:tcPr>
            <w:tcW w:w="2499" w:type="dxa"/>
            <w:noWrap w:val="0"/>
            <w:vAlign w:val="center"/>
          </w:tcPr>
          <w:p w14:paraId="765104AB">
            <w:pPr>
              <w:spacing w:line="360" w:lineRule="auto"/>
              <w:jc w:val="center"/>
              <w:rPr>
                <w:rFonts w:hint="eastAsia" w:ascii="宋体" w:hAnsi="宋体"/>
                <w:color w:val="auto"/>
                <w:sz w:val="24"/>
                <w:highlight w:val="none"/>
              </w:rPr>
            </w:pPr>
          </w:p>
        </w:tc>
        <w:tc>
          <w:tcPr>
            <w:tcW w:w="2597" w:type="dxa"/>
            <w:noWrap w:val="0"/>
            <w:vAlign w:val="center"/>
          </w:tcPr>
          <w:p w14:paraId="37243FCE">
            <w:pPr>
              <w:spacing w:line="360" w:lineRule="auto"/>
              <w:jc w:val="center"/>
              <w:rPr>
                <w:rFonts w:hint="eastAsia" w:ascii="宋体" w:hAnsi="宋体"/>
                <w:color w:val="auto"/>
                <w:sz w:val="24"/>
                <w:highlight w:val="none"/>
              </w:rPr>
            </w:pPr>
          </w:p>
        </w:tc>
      </w:tr>
      <w:tr w14:paraId="6226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24" w:type="dxa"/>
            <w:noWrap w:val="0"/>
            <w:vAlign w:val="center"/>
          </w:tcPr>
          <w:p w14:paraId="59AE5DAC">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4</w:t>
            </w:r>
          </w:p>
        </w:tc>
        <w:tc>
          <w:tcPr>
            <w:tcW w:w="2345" w:type="dxa"/>
            <w:noWrap w:val="0"/>
            <w:vAlign w:val="center"/>
          </w:tcPr>
          <w:p w14:paraId="03A28790">
            <w:pPr>
              <w:spacing w:line="360" w:lineRule="auto"/>
              <w:jc w:val="center"/>
              <w:rPr>
                <w:rFonts w:hint="eastAsia" w:ascii="宋体" w:hAnsi="宋体"/>
                <w:color w:val="auto"/>
                <w:sz w:val="24"/>
                <w:highlight w:val="none"/>
              </w:rPr>
            </w:pPr>
          </w:p>
        </w:tc>
        <w:tc>
          <w:tcPr>
            <w:tcW w:w="1933" w:type="dxa"/>
            <w:noWrap w:val="0"/>
            <w:vAlign w:val="center"/>
          </w:tcPr>
          <w:p w14:paraId="033BDF39">
            <w:pPr>
              <w:spacing w:line="360" w:lineRule="auto"/>
              <w:jc w:val="center"/>
              <w:rPr>
                <w:rFonts w:hint="eastAsia" w:ascii="宋体" w:hAnsi="宋体"/>
                <w:color w:val="auto"/>
                <w:sz w:val="24"/>
                <w:highlight w:val="none"/>
              </w:rPr>
            </w:pPr>
          </w:p>
        </w:tc>
        <w:tc>
          <w:tcPr>
            <w:tcW w:w="2499" w:type="dxa"/>
            <w:noWrap w:val="0"/>
            <w:vAlign w:val="center"/>
          </w:tcPr>
          <w:p w14:paraId="09088AD0">
            <w:pPr>
              <w:spacing w:line="360" w:lineRule="auto"/>
              <w:jc w:val="center"/>
              <w:rPr>
                <w:rFonts w:hint="eastAsia" w:ascii="宋体" w:hAnsi="宋体"/>
                <w:color w:val="auto"/>
                <w:sz w:val="24"/>
                <w:highlight w:val="none"/>
              </w:rPr>
            </w:pPr>
          </w:p>
        </w:tc>
        <w:tc>
          <w:tcPr>
            <w:tcW w:w="2597" w:type="dxa"/>
            <w:noWrap w:val="0"/>
            <w:vAlign w:val="center"/>
          </w:tcPr>
          <w:p w14:paraId="0C5E6499">
            <w:pPr>
              <w:spacing w:line="360" w:lineRule="auto"/>
              <w:jc w:val="center"/>
              <w:rPr>
                <w:rFonts w:hint="eastAsia" w:ascii="宋体" w:hAnsi="宋体"/>
                <w:color w:val="auto"/>
                <w:sz w:val="24"/>
                <w:highlight w:val="none"/>
              </w:rPr>
            </w:pPr>
          </w:p>
        </w:tc>
      </w:tr>
      <w:tr w14:paraId="4C28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24" w:type="dxa"/>
            <w:noWrap w:val="0"/>
            <w:vAlign w:val="center"/>
          </w:tcPr>
          <w:p w14:paraId="6480623F">
            <w:pPr>
              <w:tabs>
                <w:tab w:val="left" w:pos="322"/>
              </w:tabs>
              <w:spacing w:line="360" w:lineRule="auto"/>
              <w:jc w:val="center"/>
              <w:rPr>
                <w:rFonts w:hint="eastAsia" w:ascii="宋体" w:hAnsi="宋体"/>
                <w:color w:val="auto"/>
                <w:sz w:val="24"/>
                <w:highlight w:val="none"/>
              </w:rPr>
            </w:pPr>
            <w:r>
              <w:rPr>
                <w:rFonts w:hint="eastAsia" w:ascii="宋体" w:hAnsi="宋体"/>
                <w:color w:val="auto"/>
                <w:sz w:val="24"/>
                <w:highlight w:val="none"/>
              </w:rPr>
              <w:t>5</w:t>
            </w:r>
          </w:p>
        </w:tc>
        <w:tc>
          <w:tcPr>
            <w:tcW w:w="2345" w:type="dxa"/>
            <w:noWrap w:val="0"/>
            <w:vAlign w:val="center"/>
          </w:tcPr>
          <w:p w14:paraId="3362FDA8">
            <w:pPr>
              <w:spacing w:line="360" w:lineRule="auto"/>
              <w:jc w:val="center"/>
              <w:rPr>
                <w:rFonts w:hint="eastAsia" w:ascii="宋体" w:hAnsi="宋体"/>
                <w:color w:val="auto"/>
                <w:sz w:val="24"/>
                <w:highlight w:val="none"/>
              </w:rPr>
            </w:pPr>
          </w:p>
        </w:tc>
        <w:tc>
          <w:tcPr>
            <w:tcW w:w="1933" w:type="dxa"/>
            <w:noWrap w:val="0"/>
            <w:vAlign w:val="center"/>
          </w:tcPr>
          <w:p w14:paraId="4AB9FE30">
            <w:pPr>
              <w:spacing w:line="360" w:lineRule="auto"/>
              <w:jc w:val="center"/>
              <w:rPr>
                <w:rFonts w:hint="eastAsia" w:ascii="宋体" w:hAnsi="宋体"/>
                <w:color w:val="auto"/>
                <w:sz w:val="24"/>
                <w:highlight w:val="none"/>
              </w:rPr>
            </w:pPr>
          </w:p>
        </w:tc>
        <w:tc>
          <w:tcPr>
            <w:tcW w:w="2499" w:type="dxa"/>
            <w:noWrap w:val="0"/>
            <w:vAlign w:val="center"/>
          </w:tcPr>
          <w:p w14:paraId="7FFA0ECF">
            <w:pPr>
              <w:spacing w:line="360" w:lineRule="auto"/>
              <w:jc w:val="center"/>
              <w:rPr>
                <w:rFonts w:hint="eastAsia" w:ascii="宋体" w:hAnsi="宋体"/>
                <w:color w:val="auto"/>
                <w:sz w:val="24"/>
                <w:highlight w:val="none"/>
              </w:rPr>
            </w:pPr>
          </w:p>
        </w:tc>
        <w:tc>
          <w:tcPr>
            <w:tcW w:w="2597" w:type="dxa"/>
            <w:noWrap w:val="0"/>
            <w:vAlign w:val="center"/>
          </w:tcPr>
          <w:p w14:paraId="2426D0B2">
            <w:pPr>
              <w:spacing w:line="360" w:lineRule="auto"/>
              <w:jc w:val="center"/>
              <w:rPr>
                <w:rFonts w:hint="eastAsia" w:ascii="宋体" w:hAnsi="宋体"/>
                <w:color w:val="auto"/>
                <w:sz w:val="24"/>
                <w:highlight w:val="none"/>
              </w:rPr>
            </w:pPr>
          </w:p>
        </w:tc>
      </w:tr>
    </w:tbl>
    <w:p w14:paraId="0115502B">
      <w:pPr>
        <w:spacing w:line="360" w:lineRule="auto"/>
        <w:ind w:firstLine="211" w:firstLineChars="100"/>
        <w:rPr>
          <w:rFonts w:hint="eastAsia" w:ascii="宋体" w:hAnsi="宋体"/>
          <w:b/>
          <w:color w:val="auto"/>
          <w:sz w:val="21"/>
          <w:highlight w:val="none"/>
        </w:rPr>
      </w:pPr>
      <w:r>
        <w:rPr>
          <w:rFonts w:hint="eastAsia" w:ascii="宋体" w:hAnsi="宋体"/>
          <w:b/>
          <w:color w:val="auto"/>
          <w:sz w:val="21"/>
          <w:highlight w:val="none"/>
        </w:rPr>
        <w:t>注：投标人可根据需要扩展表格。</w:t>
      </w:r>
    </w:p>
    <w:p w14:paraId="06DA6ADB">
      <w:pPr>
        <w:spacing w:line="360" w:lineRule="auto"/>
        <w:ind w:left="185" w:leftChars="66" w:firstLine="422" w:firstLineChars="200"/>
        <w:rPr>
          <w:rFonts w:hint="eastAsia" w:ascii="宋体" w:hAnsi="宋体"/>
          <w:b/>
          <w:color w:val="auto"/>
          <w:sz w:val="21"/>
          <w:highlight w:val="none"/>
        </w:rPr>
      </w:pPr>
      <w:r>
        <w:rPr>
          <w:rFonts w:hint="eastAsia" w:ascii="宋体" w:hAnsi="宋体"/>
          <w:b/>
          <w:color w:val="auto"/>
          <w:sz w:val="21"/>
          <w:highlight w:val="none"/>
        </w:rPr>
        <w:t>我方保证以上提供的资料是真实、准确的，如有虚假，愿接受被没收投标担保的处罚，并愿意承担法律责任。</w:t>
      </w:r>
    </w:p>
    <w:p w14:paraId="0701BBFD">
      <w:pPr>
        <w:rPr>
          <w:rFonts w:hint="eastAsia" w:ascii="宋体" w:hAnsi="宋体" w:cs="仿宋_GB2312"/>
          <w:color w:val="auto"/>
          <w:highlight w:val="none"/>
        </w:rPr>
      </w:pPr>
    </w:p>
    <w:p w14:paraId="09F2599B">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3FED6620">
      <w:pPr>
        <w:pStyle w:val="2"/>
        <w:ind w:firstLine="4320" w:firstLineChars="1800"/>
        <w:rPr>
          <w:rFonts w:hint="eastAsia" w:ascii="宋体" w:eastAsia="宋体"/>
          <w:color w:val="000000" w:themeColor="text1"/>
          <w:sz w:val="24"/>
          <w:highlight w:val="none"/>
          <w14:textFill>
            <w14:solidFill>
              <w14:schemeClr w14:val="tx1"/>
            </w14:solidFill>
          </w14:textFill>
        </w:rPr>
      </w:pPr>
    </w:p>
    <w:p w14:paraId="513A90A1">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79F6CA9D">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bookmarkStart w:id="37" w:name="_Toc11529_WPSOffice_Level1"/>
    </w:p>
    <w:p w14:paraId="52BD11CA">
      <w:pPr>
        <w:pStyle w:val="2"/>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bookmarkEnd w:id="37"/>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36DABB06">
      <w:pPr>
        <w:pStyle w:val="8"/>
        <w:spacing w:before="0"/>
        <w:jc w:val="both"/>
        <w:outlineLvl w:val="9"/>
        <w:rPr>
          <w:rFonts w:hint="eastAsia"/>
          <w:b w:val="0"/>
          <w:bCs/>
          <w:color w:val="000000"/>
          <w:sz w:val="28"/>
          <w:szCs w:val="28"/>
          <w:highlight w:val="none"/>
        </w:rPr>
      </w:pPr>
    </w:p>
    <w:p w14:paraId="7592CB68">
      <w:pPr>
        <w:pStyle w:val="8"/>
        <w:spacing w:before="0"/>
        <w:jc w:val="both"/>
        <w:outlineLvl w:val="9"/>
        <w:rPr>
          <w:rFonts w:hint="eastAsia"/>
          <w:b w:val="0"/>
          <w:bCs/>
          <w:color w:val="000000"/>
          <w:sz w:val="28"/>
          <w:szCs w:val="28"/>
          <w:highlight w:val="none"/>
        </w:rPr>
      </w:pPr>
    </w:p>
    <w:p w14:paraId="1105FBB2">
      <w:pPr>
        <w:pStyle w:val="8"/>
        <w:spacing w:before="0"/>
        <w:jc w:val="both"/>
        <w:outlineLvl w:val="9"/>
        <w:rPr>
          <w:rFonts w:hint="eastAsia"/>
          <w:b w:val="0"/>
          <w:bCs/>
          <w:color w:val="000000"/>
          <w:sz w:val="28"/>
          <w:szCs w:val="28"/>
          <w:highlight w:val="none"/>
        </w:rPr>
      </w:pPr>
    </w:p>
    <w:p w14:paraId="3FE38465">
      <w:pPr>
        <w:pStyle w:val="8"/>
        <w:spacing w:before="0"/>
        <w:jc w:val="both"/>
        <w:outlineLvl w:val="9"/>
        <w:rPr>
          <w:rFonts w:hint="eastAsia"/>
          <w:b w:val="0"/>
          <w:bCs/>
          <w:color w:val="000000"/>
          <w:sz w:val="28"/>
          <w:szCs w:val="28"/>
          <w:highlight w:val="none"/>
        </w:rPr>
      </w:pPr>
    </w:p>
    <w:p w14:paraId="27C8085B">
      <w:pPr>
        <w:pStyle w:val="8"/>
        <w:spacing w:before="0"/>
        <w:jc w:val="both"/>
        <w:outlineLvl w:val="9"/>
        <w:rPr>
          <w:rFonts w:hint="eastAsia"/>
          <w:b w:val="0"/>
          <w:bCs/>
          <w:color w:val="000000"/>
          <w:sz w:val="28"/>
          <w:szCs w:val="28"/>
          <w:highlight w:val="none"/>
        </w:rPr>
        <w:sectPr>
          <w:headerReference r:id="rId10" w:type="first"/>
          <w:headerReference r:id="rId9" w:type="default"/>
          <w:footerReference r:id="rId11" w:type="default"/>
          <w:footerReference r:id="rId12" w:type="even"/>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09467CA0">
      <w:pPr>
        <w:spacing w:line="360" w:lineRule="auto"/>
        <w:ind w:right="-1089" w:rightChars="-389"/>
        <w:outlineLvl w:val="0"/>
        <w:rPr>
          <w:rFonts w:ascii="宋体" w:hAnsi="宋体" w:cs="宋体"/>
          <w:b/>
          <w:bCs/>
          <w:color w:val="000000" w:themeColor="text1"/>
          <w:sz w:val="24"/>
          <w:highlight w:val="none"/>
          <w14:textFill>
            <w14:solidFill>
              <w14:schemeClr w14:val="tx1"/>
            </w14:solidFill>
          </w14:textFill>
        </w:rPr>
      </w:pPr>
      <w:r>
        <w:rPr>
          <w:rFonts w:hint="eastAsia" w:ascii="宋体" w:hAnsi="宋体" w:cs="宋体"/>
          <w:b/>
          <w:bCs/>
          <w:color w:val="000000" w:themeColor="text1"/>
          <w:sz w:val="24"/>
          <w:highlight w:val="none"/>
          <w14:textFill>
            <w14:solidFill>
              <w14:schemeClr w14:val="tx1"/>
            </w14:solidFill>
          </w14:textFill>
        </w:rPr>
        <w:t>附件</w:t>
      </w:r>
      <w:r>
        <w:rPr>
          <w:rFonts w:hint="eastAsia" w:ascii="宋体" w:hAnsi="宋体" w:cs="宋体"/>
          <w:b/>
          <w:bCs/>
          <w:color w:val="000000" w:themeColor="text1"/>
          <w:sz w:val="24"/>
          <w:highlight w:val="none"/>
          <w:lang w:val="en-US" w:eastAsia="zh-CN"/>
          <w14:textFill>
            <w14:solidFill>
              <w14:schemeClr w14:val="tx1"/>
            </w14:solidFill>
          </w14:textFill>
        </w:rPr>
        <w:t>8</w:t>
      </w:r>
      <w:r>
        <w:rPr>
          <w:rFonts w:hint="eastAsia" w:ascii="宋体" w:hAnsi="宋体" w:cs="宋体"/>
          <w:b/>
          <w:bCs/>
          <w:color w:val="000000" w:themeColor="text1"/>
          <w:sz w:val="24"/>
          <w:highlight w:val="none"/>
          <w14:textFill>
            <w14:solidFill>
              <w14:schemeClr w14:val="tx1"/>
            </w14:solidFill>
          </w14:textFill>
        </w:rPr>
        <w:t>：</w:t>
      </w:r>
    </w:p>
    <w:p w14:paraId="6CAAB004">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rPr>
          <w:rFonts w:hint="eastAsia" w:ascii="宋体" w:hAnsi="宋体" w:eastAsia="宋体" w:cs="Times New Roman"/>
          <w:color w:val="auto"/>
          <w:sz w:val="32"/>
          <w:szCs w:val="32"/>
          <w:highlight w:val="none"/>
          <w:lang w:eastAsia="zh-CN"/>
        </w:rPr>
      </w:pPr>
      <w:r>
        <w:rPr>
          <w:rFonts w:hint="eastAsia" w:ascii="宋体" w:hAnsi="宋体" w:cs="Times New Roman"/>
          <w:color w:val="auto"/>
          <w:sz w:val="32"/>
          <w:szCs w:val="32"/>
          <w:highlight w:val="none"/>
          <w:lang w:eastAsia="zh-CN"/>
        </w:rPr>
        <w:t>台州方特熊出没水上休闲游乐度假中心（一期）酒店地毯采购</w:t>
      </w:r>
    </w:p>
    <w:p w14:paraId="4370CF21">
      <w:pPr>
        <w:keepNext w:val="0"/>
        <w:keepLines w:val="0"/>
        <w:pageBreakBefore w:val="0"/>
        <w:widowControl w:val="0"/>
        <w:kinsoku/>
        <w:wordWrap/>
        <w:overflowPunct/>
        <w:topLinePunct w:val="0"/>
        <w:autoSpaceDE/>
        <w:autoSpaceDN/>
        <w:bidi w:val="0"/>
        <w:adjustRightInd/>
        <w:snapToGrid/>
        <w:spacing w:before="191" w:beforeLines="50" w:after="191" w:afterLines="50"/>
        <w:jc w:val="center"/>
        <w:textAlignment w:val="auto"/>
        <w:rPr>
          <w:rFonts w:hint="eastAsia" w:ascii="宋体" w:hAnsi="宋体" w:eastAsia="宋体" w:cs="Times New Roman"/>
          <w:b/>
          <w:bCs/>
          <w:color w:val="auto"/>
          <w:sz w:val="32"/>
          <w:szCs w:val="32"/>
          <w:highlight w:val="none"/>
          <w:lang w:eastAsia="zh-CN"/>
        </w:rPr>
      </w:pPr>
      <w:bookmarkStart w:id="38" w:name="_Toc532561298"/>
      <w:bookmarkStart w:id="39" w:name="_Toc532562456"/>
      <w:bookmarkStart w:id="40" w:name="_Toc532562511"/>
      <w:r>
        <w:rPr>
          <w:rFonts w:hint="eastAsia" w:ascii="宋体" w:hAnsi="宋体" w:eastAsia="宋体" w:cs="Times New Roman"/>
          <w:b/>
          <w:bCs/>
          <w:color w:val="auto"/>
          <w:sz w:val="32"/>
          <w:szCs w:val="32"/>
          <w:highlight w:val="none"/>
          <w:lang w:eastAsia="zh-CN"/>
        </w:rPr>
        <w:t>质保期承诺表</w:t>
      </w:r>
      <w:bookmarkEnd w:id="38"/>
      <w:bookmarkEnd w:id="39"/>
      <w:bookmarkEnd w:id="40"/>
    </w:p>
    <w:tbl>
      <w:tblPr>
        <w:tblStyle w:val="3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0"/>
      </w:tblGrid>
      <w:tr w14:paraId="4E7F6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atLeast"/>
        </w:trPr>
        <w:tc>
          <w:tcPr>
            <w:tcW w:w="9260" w:type="dxa"/>
            <w:tcBorders>
              <w:top w:val="single" w:color="auto" w:sz="4" w:space="0"/>
              <w:left w:val="single" w:color="auto" w:sz="4" w:space="0"/>
              <w:bottom w:val="single" w:color="auto" w:sz="4" w:space="0"/>
              <w:right w:val="single" w:color="auto" w:sz="4" w:space="0"/>
            </w:tcBorders>
            <w:noWrap w:val="0"/>
            <w:vAlign w:val="center"/>
          </w:tcPr>
          <w:p w14:paraId="4234618C">
            <w:pPr>
              <w:spacing w:line="360" w:lineRule="auto"/>
              <w:rPr>
                <w:rFonts w:hint="eastAsia" w:ascii="宋体" w:hAnsi="宋体" w:cs="宋体"/>
                <w:sz w:val="21"/>
                <w:szCs w:val="21"/>
                <w:highlight w:val="none"/>
              </w:rPr>
            </w:pPr>
            <w:r>
              <w:rPr>
                <w:rFonts w:hint="eastAsia" w:ascii="宋体" w:hAnsi="宋体" w:cs="宋体"/>
                <w:sz w:val="21"/>
                <w:szCs w:val="21"/>
                <w:highlight w:val="none"/>
              </w:rPr>
              <w:t>我单位郑重承诺：</w:t>
            </w:r>
          </w:p>
          <w:p w14:paraId="76A27F7B">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台州方特熊出没水上休闲游乐度假中心（一期）酒店地毯采购</w:t>
            </w:r>
            <w:r>
              <w:rPr>
                <w:rFonts w:hint="eastAsia" w:ascii="宋体" w:hAnsi="宋体" w:cs="宋体"/>
                <w:sz w:val="21"/>
                <w:szCs w:val="21"/>
                <w:highlight w:val="none"/>
              </w:rPr>
              <w:t>的免费质保期为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 xml:space="preserve"> </w:t>
            </w:r>
            <w:r>
              <w:rPr>
                <w:rFonts w:hint="eastAsia" w:ascii="宋体" w:hAnsi="宋体" w:cs="宋体"/>
                <w:sz w:val="21"/>
                <w:szCs w:val="21"/>
                <w:highlight w:val="none"/>
              </w:rPr>
              <w:t>年（不得低于2年），自项目验收合格之日起计。</w:t>
            </w:r>
          </w:p>
        </w:tc>
      </w:tr>
      <w:tr w14:paraId="2F40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9260" w:type="dxa"/>
            <w:tcBorders>
              <w:top w:val="single" w:color="auto" w:sz="4" w:space="0"/>
              <w:left w:val="single" w:color="auto" w:sz="4" w:space="0"/>
              <w:bottom w:val="single" w:color="auto" w:sz="4" w:space="0"/>
              <w:right w:val="single" w:color="auto" w:sz="4" w:space="0"/>
            </w:tcBorders>
            <w:noWrap w:val="0"/>
            <w:vAlign w:val="bottom"/>
          </w:tcPr>
          <w:p w14:paraId="7677937C">
            <w:pPr>
              <w:spacing w:line="360" w:lineRule="auto"/>
              <w:rPr>
                <w:rFonts w:hint="eastAsia" w:ascii="宋体" w:hAnsi="宋体" w:cs="宋体"/>
                <w:sz w:val="21"/>
                <w:szCs w:val="21"/>
                <w:highlight w:val="none"/>
              </w:rPr>
            </w:pPr>
            <w:r>
              <w:rPr>
                <w:rFonts w:hint="eastAsia" w:ascii="宋体" w:hAnsi="宋体" w:cs="宋体"/>
                <w:sz w:val="21"/>
                <w:szCs w:val="21"/>
                <w:highlight w:val="none"/>
              </w:rPr>
              <w:t>售后服务网点地址：</w:t>
            </w:r>
            <w:r>
              <w:rPr>
                <w:rFonts w:hint="eastAsia" w:ascii="宋体" w:hAnsi="宋体" w:cs="宋体"/>
                <w:sz w:val="21"/>
                <w:szCs w:val="21"/>
                <w:highlight w:val="none"/>
                <w:u w:val="single"/>
              </w:rPr>
              <w:t xml:space="preserve">                   </w:t>
            </w:r>
            <w:r>
              <w:rPr>
                <w:rFonts w:hint="eastAsia" w:ascii="宋体" w:hAnsi="宋体" w:cs="宋体"/>
                <w:sz w:val="21"/>
                <w:szCs w:val="21"/>
                <w:highlight w:val="none"/>
              </w:rPr>
              <w:t>联系人：</w:t>
            </w:r>
            <w:r>
              <w:rPr>
                <w:rFonts w:hint="eastAsia" w:ascii="宋体" w:hAnsi="宋体" w:cs="宋体"/>
                <w:sz w:val="21"/>
                <w:szCs w:val="21"/>
                <w:highlight w:val="none"/>
                <w:u w:val="single"/>
              </w:rPr>
              <w:t xml:space="preserve">            </w:t>
            </w:r>
            <w:r>
              <w:rPr>
                <w:rFonts w:hint="eastAsia" w:ascii="宋体" w:hAnsi="宋体" w:cs="宋体"/>
                <w:sz w:val="21"/>
                <w:szCs w:val="21"/>
                <w:highlight w:val="none"/>
              </w:rPr>
              <w:t>联系电话：</w:t>
            </w:r>
            <w:r>
              <w:rPr>
                <w:rFonts w:hint="eastAsia" w:ascii="宋体" w:hAnsi="宋体" w:cs="宋体"/>
                <w:sz w:val="21"/>
                <w:szCs w:val="21"/>
                <w:highlight w:val="none"/>
                <w:u w:val="single"/>
              </w:rPr>
              <w:t xml:space="preserve">            </w:t>
            </w:r>
            <w:r>
              <w:rPr>
                <w:rFonts w:hint="eastAsia" w:ascii="宋体" w:hAnsi="宋体" w:cs="宋体"/>
                <w:sz w:val="21"/>
                <w:szCs w:val="21"/>
                <w:highlight w:val="none"/>
              </w:rPr>
              <w:t>。</w:t>
            </w:r>
            <w:r>
              <w:rPr>
                <w:rFonts w:hint="eastAsia" w:ascii="宋体" w:hAnsi="宋体" w:cs="宋体"/>
                <w:sz w:val="21"/>
                <w:szCs w:val="21"/>
                <w:highlight w:val="none"/>
                <w:u w:val="single"/>
              </w:rPr>
              <w:t xml:space="preserve">                  </w:t>
            </w:r>
          </w:p>
        </w:tc>
      </w:tr>
    </w:tbl>
    <w:p w14:paraId="24B39962">
      <w:pPr>
        <w:spacing w:line="360" w:lineRule="auto"/>
        <w:rPr>
          <w:rFonts w:hint="eastAsia" w:ascii="宋体" w:hAnsi="宋体" w:cs="宋体"/>
          <w:sz w:val="21"/>
          <w:szCs w:val="21"/>
          <w:highlight w:val="none"/>
        </w:rPr>
      </w:pPr>
      <w:r>
        <w:rPr>
          <w:rFonts w:hint="eastAsia" w:ascii="宋体" w:hAnsi="宋体" w:cs="宋体"/>
          <w:sz w:val="21"/>
          <w:szCs w:val="21"/>
          <w:highlight w:val="none"/>
        </w:rPr>
        <w:t>注：本表可自拟，但必须包含以上主要内容。</w:t>
      </w:r>
    </w:p>
    <w:p w14:paraId="2C551A28">
      <w:pPr>
        <w:pStyle w:val="3"/>
        <w:tabs>
          <w:tab w:val="left" w:pos="574"/>
        </w:tabs>
        <w:ind w:right="840" w:firstLine="5565" w:firstLineChars="2650"/>
        <w:rPr>
          <w:rFonts w:hint="eastAsia"/>
          <w:highlight w:val="none"/>
        </w:rPr>
      </w:pPr>
      <w:bookmarkStart w:id="41" w:name="_Toc155342585"/>
      <w:bookmarkStart w:id="42" w:name="_Toc106553079"/>
      <w:bookmarkStart w:id="43" w:name="_Toc106012817"/>
    </w:p>
    <w:bookmarkEnd w:id="41"/>
    <w:bookmarkEnd w:id="42"/>
    <w:bookmarkEnd w:id="43"/>
    <w:p w14:paraId="7F3D7E04">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投标人（盖章）：</w:t>
      </w:r>
    </w:p>
    <w:p w14:paraId="443CF9BA">
      <w:pPr>
        <w:pStyle w:val="2"/>
        <w:ind w:firstLine="4320" w:firstLineChars="1800"/>
        <w:rPr>
          <w:rFonts w:hint="eastAsia" w:ascii="宋体" w:eastAsia="宋体"/>
          <w:color w:val="000000" w:themeColor="text1"/>
          <w:sz w:val="24"/>
          <w:highlight w:val="none"/>
          <w14:textFill>
            <w14:solidFill>
              <w14:schemeClr w14:val="tx1"/>
            </w14:solidFill>
          </w14:textFill>
        </w:rPr>
      </w:pPr>
    </w:p>
    <w:p w14:paraId="3FFF2D78">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法定代表人（签字或盖章）：     </w:t>
      </w:r>
    </w:p>
    <w:p w14:paraId="4996680B">
      <w:pPr>
        <w:pStyle w:val="2"/>
        <w:ind w:firstLine="4320" w:firstLineChars="1800"/>
        <w:rPr>
          <w:rFonts w:hint="eastAsia" w:ascii="宋体" w:eastAsia="宋体"/>
          <w:color w:val="000000" w:themeColor="text1"/>
          <w:sz w:val="24"/>
          <w:highlight w:val="none"/>
          <w14:textFill>
            <w14:solidFill>
              <w14:schemeClr w14:val="tx1"/>
            </w14:solidFill>
          </w14:textFill>
        </w:rPr>
      </w:pPr>
      <w:r>
        <w:rPr>
          <w:rFonts w:hint="eastAsia" w:ascii="宋体" w:eastAsia="宋体"/>
          <w:color w:val="000000" w:themeColor="text1"/>
          <w:sz w:val="24"/>
          <w:highlight w:val="none"/>
          <w14:textFill>
            <w14:solidFill>
              <w14:schemeClr w14:val="tx1"/>
            </w14:solidFill>
          </w14:textFill>
        </w:rPr>
        <w:t xml:space="preserve">                                                          </w:t>
      </w:r>
    </w:p>
    <w:p w14:paraId="3F80A2AE">
      <w:pPr>
        <w:pStyle w:val="2"/>
        <w:ind w:firstLine="4320" w:firstLineChars="1800"/>
        <w:rPr>
          <w:rFonts w:hint="eastAsia"/>
          <w:b w:val="0"/>
          <w:bCs/>
          <w:color w:val="000000"/>
          <w:sz w:val="28"/>
          <w:szCs w:val="28"/>
          <w:highlight w:val="none"/>
        </w:rPr>
      </w:pPr>
      <w:r>
        <w:rPr>
          <w:rFonts w:hint="eastAsia" w:ascii="宋体" w:eastAsia="宋体"/>
          <w:color w:val="000000" w:themeColor="text1"/>
          <w:sz w:val="24"/>
          <w:highlight w:val="none"/>
          <w14:textFill>
            <w14:solidFill>
              <w14:schemeClr w14:val="tx1"/>
            </w14:solidFill>
          </w14:textFill>
        </w:rPr>
        <w:t xml:space="preserve">日期：   年   月   </w:t>
      </w:r>
      <w:r>
        <w:rPr>
          <w:rFonts w:hint="eastAsia" w:ascii="宋体" w:eastAsia="宋体"/>
          <w:color w:val="000000" w:themeColor="text1"/>
          <w:sz w:val="24"/>
          <w:highlight w:val="none"/>
          <w:lang w:val="en-US" w:eastAsia="zh-CN"/>
          <w14:textFill>
            <w14:solidFill>
              <w14:schemeClr w14:val="tx1"/>
            </w14:solidFill>
          </w14:textFill>
        </w:rPr>
        <w:t>日</w:t>
      </w:r>
      <w:r>
        <w:rPr>
          <w:rFonts w:hint="eastAsia" w:ascii="宋体" w:hAnsi="宋体"/>
          <w:color w:val="auto"/>
          <w:highlight w:val="none"/>
          <w:lang w:val="en-US" w:eastAsia="zh-CN"/>
        </w:rPr>
        <w:t xml:space="preserve"> </w:t>
      </w:r>
    </w:p>
    <w:p w14:paraId="639B6320">
      <w:pPr>
        <w:rPr>
          <w:rFonts w:hint="eastAsia"/>
          <w:highlight w:val="none"/>
        </w:rPr>
      </w:pPr>
    </w:p>
    <w:p w14:paraId="40776AF4">
      <w:pPr>
        <w:pStyle w:val="8"/>
        <w:spacing w:before="0"/>
        <w:jc w:val="both"/>
        <w:outlineLvl w:val="9"/>
        <w:rPr>
          <w:rFonts w:hint="eastAsia"/>
          <w:b w:val="0"/>
          <w:bCs/>
          <w:color w:val="000000"/>
          <w:sz w:val="28"/>
          <w:szCs w:val="28"/>
          <w:highlight w:val="none"/>
        </w:rPr>
      </w:pPr>
    </w:p>
    <w:p w14:paraId="788B67C9">
      <w:pPr>
        <w:pStyle w:val="8"/>
        <w:spacing w:before="0"/>
        <w:jc w:val="both"/>
        <w:outlineLvl w:val="9"/>
        <w:rPr>
          <w:rFonts w:hint="eastAsia"/>
          <w:b w:val="0"/>
          <w:bCs/>
          <w:color w:val="000000"/>
          <w:sz w:val="28"/>
          <w:szCs w:val="28"/>
          <w:highlight w:val="none"/>
        </w:rPr>
      </w:pPr>
    </w:p>
    <w:sectPr>
      <w:pgSz w:w="11905" w:h="16838"/>
      <w:pgMar w:top="1134" w:right="1587" w:bottom="1134" w:left="1587"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6E911">
    <w:pPr>
      <w:pStyle w:val="2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11591">
    <w:pPr>
      <w:pStyle w:val="2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D5D2B4">
                          <w:pPr>
                            <w:pStyle w:val="2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D5D2B4">
                    <w:pPr>
                      <w:pStyle w:val="2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C97D">
    <w:pPr>
      <w:spacing w:line="116" w:lineRule="exact"/>
      <w:ind w:firstLine="482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1D63DB">
                          <w:pPr>
                            <w:pStyle w:val="24"/>
                          </w:pPr>
                          <w:r>
                            <w:fldChar w:fldCharType="begin"/>
                          </w:r>
                          <w:r>
                            <w:instrText xml:space="preserve"> PAGE  \* MERGEFORMAT </w:instrText>
                          </w:r>
                          <w:r>
                            <w:fldChar w:fldCharType="separate"/>
                          </w:r>
                          <w:r>
                            <w:t>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21D63DB">
                    <w:pPr>
                      <w:pStyle w:val="2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24EB">
    <w:pPr>
      <w:pStyle w:val="24"/>
      <w:ind w:left="5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A4611F">
                          <w:pPr>
                            <w:pStyle w:val="24"/>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A4611F">
                    <w:pPr>
                      <w:pStyle w:val="24"/>
                    </w:pPr>
                    <w:r>
                      <w:fldChar w:fldCharType="begin"/>
                    </w:r>
                    <w:r>
                      <w:instrText xml:space="preserve"> PAGE  \* MERGEFORMAT </w:instrText>
                    </w:r>
                    <w:r>
                      <w:fldChar w:fldCharType="separate"/>
                    </w:r>
                    <w:r>
                      <w:t>5</w:t>
                    </w:r>
                    <w:r>
                      <w:fldChar w:fldCharType="end"/>
                    </w:r>
                  </w:p>
                </w:txbxContent>
              </v:textbox>
            </v:shape>
          </w:pict>
        </mc:Fallback>
      </mc:AlternateContent>
    </w:r>
  </w:p>
  <w:p w14:paraId="55FBE4F6">
    <w:pPr>
      <w:pStyle w:val="2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94100">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79358E">
                          <w:pPr>
                            <w:pStyle w:val="2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D79358E">
                    <w:pPr>
                      <w:pStyle w:val="24"/>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450AA">
    <w:pPr>
      <w:pStyle w:val="24"/>
      <w:framePr w:wrap="around" w:vAnchor="text" w:hAnchor="margin" w:xAlign="center" w:y="1"/>
      <w:rPr>
        <w:rStyle w:val="41"/>
      </w:rPr>
    </w:pPr>
    <w:r>
      <w:fldChar w:fldCharType="begin"/>
    </w:r>
    <w:r>
      <w:rPr>
        <w:rStyle w:val="41"/>
      </w:rPr>
      <w:instrText xml:space="preserve">PAGE  </w:instrText>
    </w:r>
    <w:r>
      <w:fldChar w:fldCharType="separate"/>
    </w:r>
    <w:r>
      <w:rPr>
        <w:rStyle w:val="41"/>
      </w:rPr>
      <w:t>1</w:t>
    </w:r>
    <w:r>
      <w:fldChar w:fldCharType="end"/>
    </w:r>
  </w:p>
  <w:p w14:paraId="3D459BA7">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13D5">
    <w:pPr>
      <w:pStyle w:val="26"/>
      <w:pBdr>
        <w:bottom w:val="single" w:color="auto" w:sz="4" w:space="1"/>
      </w:pBdr>
      <w:jc w:val="right"/>
      <w:rPr>
        <w:u w:val="none"/>
      </w:rPr>
    </w:pPr>
    <w:r>
      <w:rPr>
        <w:rFonts w:hint="eastAsia" w:ascii="宋体" w:hAnsi="宋体" w:cs="宋体"/>
        <w:bCs/>
        <w:u w:val="none"/>
        <w:lang w:val="en-US" w:eastAsia="zh-CN"/>
      </w:rPr>
      <w:t xml:space="preserve"> </w:t>
    </w:r>
    <w:r>
      <w:rPr>
        <w:rFonts w:hint="eastAsia" w:ascii="宋体" w:hAnsi="宋体" w:cs="宋体"/>
        <w:bCs/>
        <w:sz w:val="21"/>
        <w:szCs w:val="21"/>
        <w:u w:val="none"/>
        <w:lang w:eastAsia="zh-CN"/>
      </w:rPr>
      <w:t xml:space="preserve"> 台州方特熊出没水上休闲游乐度假中心（一期）酒店地毯采购</w:t>
    </w:r>
    <w:r>
      <w:rPr>
        <w:rFonts w:hint="eastAsia" w:ascii="宋体" w:hAnsi="宋体" w:cs="宋体"/>
        <w:bCs/>
        <w:sz w:val="21"/>
        <w:szCs w:val="21"/>
        <w:u w:val="none"/>
      </w:rPr>
      <w:t>文件</w:t>
    </w:r>
    <w:r>
      <w:rPr>
        <w:rFonts w:hint="eastAsia"/>
        <w:b/>
        <w:color w:val="808080"/>
        <w:w w:val="66"/>
        <w:u w:val="none"/>
      </w:rPr>
      <w:t xml:space="preserve"> </w:t>
    </w:r>
    <w:r>
      <w:rPr>
        <w:rFonts w:hint="eastAsia" w:ascii="宋体" w:hAnsi="宋体" w:cs="宋体"/>
        <w:bCs/>
        <w:u w:val="no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851FF">
    <w:pPr>
      <w:pBdr>
        <w:bottom w:val="none" w:color="auto" w:sz="0" w:space="0"/>
      </w:pBdr>
      <w:spacing w:line="20" w:lineRule="atLeast"/>
      <w:jc w:val="right"/>
      <w:rPr>
        <w:rFonts w:ascii="宋体" w:hAnsi="宋体" w:cs="宋体"/>
        <w:bCs/>
        <w:sz w:val="21"/>
        <w:szCs w:val="21"/>
      </w:rPr>
    </w:pPr>
    <w:r>
      <w:rPr>
        <w:rFonts w:hint="eastAsia" w:ascii="宋体" w:hAnsi="宋体" w:cs="宋体"/>
        <w:bCs/>
        <w:sz w:val="21"/>
        <w:szCs w:val="21"/>
        <w:u w:val="single"/>
        <w:lang w:eastAsia="zh-CN"/>
      </w:rPr>
      <w:t>台州方特熊出没水上休闲游乐度假中心（一期）酒店地毯采购</w:t>
    </w:r>
    <w:r>
      <w:rPr>
        <w:rFonts w:hint="eastAsia" w:ascii="宋体" w:hAnsi="宋体" w:cs="宋体"/>
        <w:bCs/>
        <w:sz w:val="21"/>
        <w:szCs w:val="21"/>
        <w:u w:val="single"/>
      </w:rPr>
      <w:t>采购文件</w:t>
    </w:r>
  </w:p>
  <w:p w14:paraId="1769F8EE">
    <w:pPr>
      <w:pBdr>
        <w:bottom w:val="single" w:color="auto" w:sz="4" w:space="0"/>
      </w:pBdr>
      <w:rPr>
        <w:b/>
        <w:color w:val="808080"/>
        <w:w w:val="66"/>
        <w:sz w:val="10"/>
      </w:rPr>
    </w:pPr>
    <w:r>
      <w:rPr>
        <w:rFonts w:hint="eastAsia"/>
        <w:b/>
        <w:color w:val="808080"/>
        <w:w w:val="66"/>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CD67C">
    <w:pPr>
      <w:spacing w:line="20" w:lineRule="atLeast"/>
      <w:rPr>
        <w:b/>
        <w:color w:val="808080"/>
        <w:w w:val="66"/>
        <w:sz w:val="10"/>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3F120">
    <w:pPr>
      <w:pStyle w:val="2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57F7E"/>
    <w:multiLevelType w:val="singleLevel"/>
    <w:tmpl w:val="88F57F7E"/>
    <w:lvl w:ilvl="0" w:tentative="0">
      <w:start w:val="1"/>
      <w:numFmt w:val="decimal"/>
      <w:suff w:val="nothing"/>
      <w:lvlText w:val="（%1）"/>
      <w:lvlJc w:val="left"/>
    </w:lvl>
  </w:abstractNum>
  <w:abstractNum w:abstractNumId="1">
    <w:nsid w:val="8CE36A81"/>
    <w:multiLevelType w:val="singleLevel"/>
    <w:tmpl w:val="8CE36A81"/>
    <w:lvl w:ilvl="0" w:tentative="0">
      <w:start w:val="1"/>
      <w:numFmt w:val="bullet"/>
      <w:pStyle w:val="12"/>
      <w:lvlText w:val=""/>
      <w:lvlJc w:val="left"/>
      <w:pPr>
        <w:tabs>
          <w:tab w:val="left" w:pos="360"/>
        </w:tabs>
        <w:ind w:left="360" w:hanging="360"/>
      </w:pPr>
      <w:rPr>
        <w:rFonts w:hint="default" w:ascii="Wingdings" w:hAnsi="Wingdings"/>
      </w:rPr>
    </w:lvl>
  </w:abstractNum>
  <w:abstractNum w:abstractNumId="2">
    <w:nsid w:val="8E664F22"/>
    <w:multiLevelType w:val="singleLevel"/>
    <w:tmpl w:val="8E664F22"/>
    <w:lvl w:ilvl="0" w:tentative="0">
      <w:start w:val="1"/>
      <w:numFmt w:val="bullet"/>
      <w:pStyle w:val="19"/>
      <w:lvlText w:val=""/>
      <w:lvlJc w:val="left"/>
      <w:pPr>
        <w:tabs>
          <w:tab w:val="left" w:pos="780"/>
        </w:tabs>
        <w:ind w:left="780" w:hanging="360"/>
      </w:pPr>
      <w:rPr>
        <w:rFonts w:hint="default" w:ascii="Wingdings" w:hAnsi="Wingdings"/>
      </w:rPr>
    </w:lvl>
  </w:abstractNum>
  <w:abstractNum w:abstractNumId="3">
    <w:nsid w:val="E06D19A0"/>
    <w:multiLevelType w:val="singleLevel"/>
    <w:tmpl w:val="E06D19A0"/>
    <w:lvl w:ilvl="0" w:tentative="0">
      <w:start w:val="2"/>
      <w:numFmt w:val="chineseCounting"/>
      <w:suff w:val="nothing"/>
      <w:lvlText w:val="%1、"/>
      <w:lvlJc w:val="left"/>
      <w:rPr>
        <w:rFonts w:hint="eastAsia"/>
      </w:rPr>
    </w:lvl>
  </w:abstractNum>
  <w:abstractNum w:abstractNumId="4">
    <w:nsid w:val="0000000D"/>
    <w:multiLevelType w:val="multilevel"/>
    <w:tmpl w:val="0000000D"/>
    <w:lvl w:ilvl="0" w:tentative="0">
      <w:start w:val="1"/>
      <w:numFmt w:val="decimal"/>
      <w:pStyle w:val="16"/>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C"/>
    <w:multiLevelType w:val="multilevel"/>
    <w:tmpl w:val="0000001C"/>
    <w:lvl w:ilvl="0" w:tentative="0">
      <w:start w:val="1"/>
      <w:numFmt w:val="decimal"/>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34A4E721"/>
    <w:multiLevelType w:val="singleLevel"/>
    <w:tmpl w:val="34A4E721"/>
    <w:lvl w:ilvl="0" w:tentative="0">
      <w:start w:val="2"/>
      <w:numFmt w:val="decimal"/>
      <w:suff w:val="nothing"/>
      <w:lvlText w:val="%1、"/>
      <w:lvlJc w:val="left"/>
    </w:lvl>
  </w:abstractNum>
  <w:num w:numId="1">
    <w:abstractNumId w:val="1"/>
  </w:num>
  <w:num w:numId="2">
    <w:abstractNumId w:val="4"/>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MzExNzQ3MTc4ZmZmNzZkYTljOGYwYTllZTY1YWUifQ=="/>
    <w:docVar w:name="KSO_WPS_MARK_KEY" w:val="989cb5d9-4c2b-479b-b92d-2ee901cbdc1d"/>
  </w:docVars>
  <w:rsids>
    <w:rsidRoot w:val="00172A27"/>
    <w:rsid w:val="00021D95"/>
    <w:rsid w:val="00026F8B"/>
    <w:rsid w:val="00030D4A"/>
    <w:rsid w:val="00033F4E"/>
    <w:rsid w:val="00042144"/>
    <w:rsid w:val="0005534D"/>
    <w:rsid w:val="0006620D"/>
    <w:rsid w:val="00066544"/>
    <w:rsid w:val="00075E94"/>
    <w:rsid w:val="000766B3"/>
    <w:rsid w:val="00082601"/>
    <w:rsid w:val="00085DA6"/>
    <w:rsid w:val="00087430"/>
    <w:rsid w:val="0009680D"/>
    <w:rsid w:val="000974B5"/>
    <w:rsid w:val="000B360C"/>
    <w:rsid w:val="000B69A0"/>
    <w:rsid w:val="000B7ECB"/>
    <w:rsid w:val="000C1F0C"/>
    <w:rsid w:val="000C5B78"/>
    <w:rsid w:val="000F21D7"/>
    <w:rsid w:val="000F5645"/>
    <w:rsid w:val="0010299C"/>
    <w:rsid w:val="00113561"/>
    <w:rsid w:val="00121712"/>
    <w:rsid w:val="00121E02"/>
    <w:rsid w:val="00132D15"/>
    <w:rsid w:val="001437B6"/>
    <w:rsid w:val="001504CE"/>
    <w:rsid w:val="00150F01"/>
    <w:rsid w:val="00150F15"/>
    <w:rsid w:val="001568B5"/>
    <w:rsid w:val="0016032B"/>
    <w:rsid w:val="00170C3C"/>
    <w:rsid w:val="00172A27"/>
    <w:rsid w:val="00191058"/>
    <w:rsid w:val="00196123"/>
    <w:rsid w:val="001B613A"/>
    <w:rsid w:val="001C6683"/>
    <w:rsid w:val="001F5A7F"/>
    <w:rsid w:val="00225A92"/>
    <w:rsid w:val="00250F48"/>
    <w:rsid w:val="00270F20"/>
    <w:rsid w:val="00272931"/>
    <w:rsid w:val="00272D55"/>
    <w:rsid w:val="002772CB"/>
    <w:rsid w:val="002A3634"/>
    <w:rsid w:val="002A7BA2"/>
    <w:rsid w:val="002D4C35"/>
    <w:rsid w:val="002E3B75"/>
    <w:rsid w:val="002E4834"/>
    <w:rsid w:val="002E5FAD"/>
    <w:rsid w:val="002F431B"/>
    <w:rsid w:val="002F4922"/>
    <w:rsid w:val="00302939"/>
    <w:rsid w:val="003261CB"/>
    <w:rsid w:val="00333E30"/>
    <w:rsid w:val="003713FB"/>
    <w:rsid w:val="00390FE6"/>
    <w:rsid w:val="0039143B"/>
    <w:rsid w:val="00394CCD"/>
    <w:rsid w:val="003B546A"/>
    <w:rsid w:val="003B6AE8"/>
    <w:rsid w:val="003C1B5C"/>
    <w:rsid w:val="003D396D"/>
    <w:rsid w:val="003E1698"/>
    <w:rsid w:val="003E7030"/>
    <w:rsid w:val="003F1A09"/>
    <w:rsid w:val="003F7D9C"/>
    <w:rsid w:val="004004C2"/>
    <w:rsid w:val="0040061D"/>
    <w:rsid w:val="0040335B"/>
    <w:rsid w:val="00417175"/>
    <w:rsid w:val="0042178D"/>
    <w:rsid w:val="00422A41"/>
    <w:rsid w:val="00430663"/>
    <w:rsid w:val="004322FF"/>
    <w:rsid w:val="00443DD3"/>
    <w:rsid w:val="00457171"/>
    <w:rsid w:val="00475C05"/>
    <w:rsid w:val="00480E67"/>
    <w:rsid w:val="0048214E"/>
    <w:rsid w:val="004929F5"/>
    <w:rsid w:val="00496DA9"/>
    <w:rsid w:val="004B05D5"/>
    <w:rsid w:val="004C3A05"/>
    <w:rsid w:val="004F219E"/>
    <w:rsid w:val="004F278E"/>
    <w:rsid w:val="00512300"/>
    <w:rsid w:val="00512C60"/>
    <w:rsid w:val="00515927"/>
    <w:rsid w:val="00535D78"/>
    <w:rsid w:val="00541246"/>
    <w:rsid w:val="00557AEF"/>
    <w:rsid w:val="00573146"/>
    <w:rsid w:val="00580941"/>
    <w:rsid w:val="00582FF7"/>
    <w:rsid w:val="00586E81"/>
    <w:rsid w:val="005A5F5B"/>
    <w:rsid w:val="005B0799"/>
    <w:rsid w:val="005B18CB"/>
    <w:rsid w:val="005B2C80"/>
    <w:rsid w:val="005B3DB5"/>
    <w:rsid w:val="005C64DF"/>
    <w:rsid w:val="005E09D2"/>
    <w:rsid w:val="005E0DB1"/>
    <w:rsid w:val="005F348C"/>
    <w:rsid w:val="00611BD0"/>
    <w:rsid w:val="006325B8"/>
    <w:rsid w:val="0063394B"/>
    <w:rsid w:val="00643F3C"/>
    <w:rsid w:val="00667709"/>
    <w:rsid w:val="00680569"/>
    <w:rsid w:val="00681B8F"/>
    <w:rsid w:val="00682808"/>
    <w:rsid w:val="00682CEA"/>
    <w:rsid w:val="0068561E"/>
    <w:rsid w:val="006907F6"/>
    <w:rsid w:val="00691B4F"/>
    <w:rsid w:val="006958F4"/>
    <w:rsid w:val="006A2145"/>
    <w:rsid w:val="006A33BC"/>
    <w:rsid w:val="006A347B"/>
    <w:rsid w:val="006C2078"/>
    <w:rsid w:val="006C62A2"/>
    <w:rsid w:val="006E03CF"/>
    <w:rsid w:val="006E173A"/>
    <w:rsid w:val="006E5864"/>
    <w:rsid w:val="00700920"/>
    <w:rsid w:val="007035FD"/>
    <w:rsid w:val="0071020B"/>
    <w:rsid w:val="00737388"/>
    <w:rsid w:val="00742E88"/>
    <w:rsid w:val="007432E2"/>
    <w:rsid w:val="007600F2"/>
    <w:rsid w:val="00764A31"/>
    <w:rsid w:val="00774DCE"/>
    <w:rsid w:val="00783407"/>
    <w:rsid w:val="00794230"/>
    <w:rsid w:val="007A1223"/>
    <w:rsid w:val="007A5B00"/>
    <w:rsid w:val="007B0469"/>
    <w:rsid w:val="007D04BE"/>
    <w:rsid w:val="007E30F2"/>
    <w:rsid w:val="00810244"/>
    <w:rsid w:val="00811083"/>
    <w:rsid w:val="00835D3B"/>
    <w:rsid w:val="00835FFB"/>
    <w:rsid w:val="00842ECF"/>
    <w:rsid w:val="008505D9"/>
    <w:rsid w:val="008523D4"/>
    <w:rsid w:val="00856546"/>
    <w:rsid w:val="008577E0"/>
    <w:rsid w:val="008640D3"/>
    <w:rsid w:val="00867614"/>
    <w:rsid w:val="008A26FC"/>
    <w:rsid w:val="008C2449"/>
    <w:rsid w:val="008C49AE"/>
    <w:rsid w:val="008D1511"/>
    <w:rsid w:val="008D5AFE"/>
    <w:rsid w:val="008D61F0"/>
    <w:rsid w:val="008D7F85"/>
    <w:rsid w:val="008E4D62"/>
    <w:rsid w:val="008E75E0"/>
    <w:rsid w:val="008F687C"/>
    <w:rsid w:val="00904310"/>
    <w:rsid w:val="009100B1"/>
    <w:rsid w:val="00910AD9"/>
    <w:rsid w:val="00912467"/>
    <w:rsid w:val="00915A32"/>
    <w:rsid w:val="00931D3C"/>
    <w:rsid w:val="00941CEF"/>
    <w:rsid w:val="009443B9"/>
    <w:rsid w:val="00952335"/>
    <w:rsid w:val="00952B82"/>
    <w:rsid w:val="00974E89"/>
    <w:rsid w:val="0098363B"/>
    <w:rsid w:val="00997848"/>
    <w:rsid w:val="009B60A2"/>
    <w:rsid w:val="009D0340"/>
    <w:rsid w:val="009D4088"/>
    <w:rsid w:val="009E0D18"/>
    <w:rsid w:val="009F2978"/>
    <w:rsid w:val="009F6195"/>
    <w:rsid w:val="00A01749"/>
    <w:rsid w:val="00A04F07"/>
    <w:rsid w:val="00A23B42"/>
    <w:rsid w:val="00A37D19"/>
    <w:rsid w:val="00A5059E"/>
    <w:rsid w:val="00A622D8"/>
    <w:rsid w:val="00A73CA8"/>
    <w:rsid w:val="00A747F2"/>
    <w:rsid w:val="00A75607"/>
    <w:rsid w:val="00A76947"/>
    <w:rsid w:val="00A969DA"/>
    <w:rsid w:val="00AA28BD"/>
    <w:rsid w:val="00AA66A2"/>
    <w:rsid w:val="00B017C0"/>
    <w:rsid w:val="00B02C79"/>
    <w:rsid w:val="00B03BD8"/>
    <w:rsid w:val="00B12A15"/>
    <w:rsid w:val="00B15929"/>
    <w:rsid w:val="00B316CB"/>
    <w:rsid w:val="00B335BA"/>
    <w:rsid w:val="00B34546"/>
    <w:rsid w:val="00B51FB8"/>
    <w:rsid w:val="00B56FC6"/>
    <w:rsid w:val="00B57027"/>
    <w:rsid w:val="00B80055"/>
    <w:rsid w:val="00B863F6"/>
    <w:rsid w:val="00B86DC8"/>
    <w:rsid w:val="00BB10B2"/>
    <w:rsid w:val="00BD0748"/>
    <w:rsid w:val="00BD4CA4"/>
    <w:rsid w:val="00BE23FE"/>
    <w:rsid w:val="00BF4456"/>
    <w:rsid w:val="00C16E3D"/>
    <w:rsid w:val="00C2502E"/>
    <w:rsid w:val="00C42738"/>
    <w:rsid w:val="00C44574"/>
    <w:rsid w:val="00C553FE"/>
    <w:rsid w:val="00C611BA"/>
    <w:rsid w:val="00C75EE2"/>
    <w:rsid w:val="00C76673"/>
    <w:rsid w:val="00C8515B"/>
    <w:rsid w:val="00C85A35"/>
    <w:rsid w:val="00C868E3"/>
    <w:rsid w:val="00C91FAD"/>
    <w:rsid w:val="00CA23F0"/>
    <w:rsid w:val="00CB7D2E"/>
    <w:rsid w:val="00CC1B38"/>
    <w:rsid w:val="00CF5F3B"/>
    <w:rsid w:val="00D04F67"/>
    <w:rsid w:val="00D05226"/>
    <w:rsid w:val="00D0564E"/>
    <w:rsid w:val="00D1050C"/>
    <w:rsid w:val="00D21472"/>
    <w:rsid w:val="00D24718"/>
    <w:rsid w:val="00D26139"/>
    <w:rsid w:val="00D33C9F"/>
    <w:rsid w:val="00D3516F"/>
    <w:rsid w:val="00D406A9"/>
    <w:rsid w:val="00D512D8"/>
    <w:rsid w:val="00D51432"/>
    <w:rsid w:val="00D5562B"/>
    <w:rsid w:val="00D6029C"/>
    <w:rsid w:val="00D74C19"/>
    <w:rsid w:val="00DA7BA7"/>
    <w:rsid w:val="00DB1156"/>
    <w:rsid w:val="00DC15E4"/>
    <w:rsid w:val="00DE241C"/>
    <w:rsid w:val="00DF3837"/>
    <w:rsid w:val="00E04C31"/>
    <w:rsid w:val="00E234C2"/>
    <w:rsid w:val="00E33B1D"/>
    <w:rsid w:val="00E434A2"/>
    <w:rsid w:val="00E44DD8"/>
    <w:rsid w:val="00E528D9"/>
    <w:rsid w:val="00E677C4"/>
    <w:rsid w:val="00EA1595"/>
    <w:rsid w:val="00EB5C67"/>
    <w:rsid w:val="00EC7F27"/>
    <w:rsid w:val="00EE2E88"/>
    <w:rsid w:val="00EF3C16"/>
    <w:rsid w:val="00F27293"/>
    <w:rsid w:val="00F3787A"/>
    <w:rsid w:val="00F516AD"/>
    <w:rsid w:val="00F63855"/>
    <w:rsid w:val="00F7332B"/>
    <w:rsid w:val="00F751A8"/>
    <w:rsid w:val="00F830C6"/>
    <w:rsid w:val="00F8617B"/>
    <w:rsid w:val="00F86195"/>
    <w:rsid w:val="00F95416"/>
    <w:rsid w:val="00F96B84"/>
    <w:rsid w:val="00FA09B2"/>
    <w:rsid w:val="00FA5192"/>
    <w:rsid w:val="00FC30E1"/>
    <w:rsid w:val="00FD62FE"/>
    <w:rsid w:val="00FF3E97"/>
    <w:rsid w:val="00FF5E58"/>
    <w:rsid w:val="0156352C"/>
    <w:rsid w:val="017442FA"/>
    <w:rsid w:val="01747E56"/>
    <w:rsid w:val="01993D60"/>
    <w:rsid w:val="01A22B57"/>
    <w:rsid w:val="01FD1236"/>
    <w:rsid w:val="02251150"/>
    <w:rsid w:val="02A4476B"/>
    <w:rsid w:val="02B01361"/>
    <w:rsid w:val="030D5B68"/>
    <w:rsid w:val="03395486"/>
    <w:rsid w:val="034A57A3"/>
    <w:rsid w:val="03552729"/>
    <w:rsid w:val="03764DC8"/>
    <w:rsid w:val="03A569EC"/>
    <w:rsid w:val="03A74AAC"/>
    <w:rsid w:val="03B92498"/>
    <w:rsid w:val="03CB10DA"/>
    <w:rsid w:val="03CD2705"/>
    <w:rsid w:val="03D101EC"/>
    <w:rsid w:val="041B280B"/>
    <w:rsid w:val="04275653"/>
    <w:rsid w:val="04372E86"/>
    <w:rsid w:val="044A6E51"/>
    <w:rsid w:val="044B1342"/>
    <w:rsid w:val="04504404"/>
    <w:rsid w:val="048228A0"/>
    <w:rsid w:val="04A11686"/>
    <w:rsid w:val="04D263BA"/>
    <w:rsid w:val="04DF5F2E"/>
    <w:rsid w:val="04EB042F"/>
    <w:rsid w:val="04EE7F1F"/>
    <w:rsid w:val="050564FC"/>
    <w:rsid w:val="050E2B28"/>
    <w:rsid w:val="051578B0"/>
    <w:rsid w:val="05377B18"/>
    <w:rsid w:val="05404C1F"/>
    <w:rsid w:val="05465FAD"/>
    <w:rsid w:val="055E32F7"/>
    <w:rsid w:val="057E74F5"/>
    <w:rsid w:val="058E0BDB"/>
    <w:rsid w:val="05B42F17"/>
    <w:rsid w:val="05DD4D06"/>
    <w:rsid w:val="05FB6D97"/>
    <w:rsid w:val="06344057"/>
    <w:rsid w:val="068D0EC2"/>
    <w:rsid w:val="06BC13FF"/>
    <w:rsid w:val="06C13ABA"/>
    <w:rsid w:val="06E45A8A"/>
    <w:rsid w:val="06FB4F06"/>
    <w:rsid w:val="07862691"/>
    <w:rsid w:val="07921036"/>
    <w:rsid w:val="07A5520D"/>
    <w:rsid w:val="07E94D14"/>
    <w:rsid w:val="081567C0"/>
    <w:rsid w:val="084542FA"/>
    <w:rsid w:val="08525996"/>
    <w:rsid w:val="08793FA4"/>
    <w:rsid w:val="088A3C0C"/>
    <w:rsid w:val="08DB055E"/>
    <w:rsid w:val="08E2382D"/>
    <w:rsid w:val="08F513DA"/>
    <w:rsid w:val="09140EB1"/>
    <w:rsid w:val="093F6086"/>
    <w:rsid w:val="09414AC1"/>
    <w:rsid w:val="095346F3"/>
    <w:rsid w:val="095B4B22"/>
    <w:rsid w:val="097452BC"/>
    <w:rsid w:val="09A514F4"/>
    <w:rsid w:val="09A61ADA"/>
    <w:rsid w:val="09A73232"/>
    <w:rsid w:val="09CD45A7"/>
    <w:rsid w:val="09D803DC"/>
    <w:rsid w:val="09EB0ED1"/>
    <w:rsid w:val="0A0916CC"/>
    <w:rsid w:val="0A1F3B2F"/>
    <w:rsid w:val="0A2D14EA"/>
    <w:rsid w:val="0A446676"/>
    <w:rsid w:val="0A6273E5"/>
    <w:rsid w:val="0A6A631C"/>
    <w:rsid w:val="0A8665B7"/>
    <w:rsid w:val="0A904FBD"/>
    <w:rsid w:val="0AC97464"/>
    <w:rsid w:val="0AD020DC"/>
    <w:rsid w:val="0AE0724A"/>
    <w:rsid w:val="0AFA42C5"/>
    <w:rsid w:val="0AFB2E7F"/>
    <w:rsid w:val="0B3806D8"/>
    <w:rsid w:val="0B3D5FCB"/>
    <w:rsid w:val="0BEB51B8"/>
    <w:rsid w:val="0C1F65B3"/>
    <w:rsid w:val="0C7B02EA"/>
    <w:rsid w:val="0D1A24E3"/>
    <w:rsid w:val="0D286510"/>
    <w:rsid w:val="0D3B5CCB"/>
    <w:rsid w:val="0D4F2B8B"/>
    <w:rsid w:val="0D553231"/>
    <w:rsid w:val="0D682F64"/>
    <w:rsid w:val="0D7B0568"/>
    <w:rsid w:val="0D7D30A3"/>
    <w:rsid w:val="0DBE0DD6"/>
    <w:rsid w:val="0DFC6E71"/>
    <w:rsid w:val="0E436FED"/>
    <w:rsid w:val="0ED807A8"/>
    <w:rsid w:val="0EE4486D"/>
    <w:rsid w:val="0F0C3DC3"/>
    <w:rsid w:val="0F853A69"/>
    <w:rsid w:val="0F9C0423"/>
    <w:rsid w:val="0FE443F8"/>
    <w:rsid w:val="100735F1"/>
    <w:rsid w:val="10234F21"/>
    <w:rsid w:val="102C4054"/>
    <w:rsid w:val="10967DE9"/>
    <w:rsid w:val="10A342B4"/>
    <w:rsid w:val="10BA3E29"/>
    <w:rsid w:val="10C83D1A"/>
    <w:rsid w:val="10F95DF7"/>
    <w:rsid w:val="114570F3"/>
    <w:rsid w:val="117C4C32"/>
    <w:rsid w:val="117D45F3"/>
    <w:rsid w:val="11916802"/>
    <w:rsid w:val="11943BFC"/>
    <w:rsid w:val="119A473B"/>
    <w:rsid w:val="11E44B84"/>
    <w:rsid w:val="122136E2"/>
    <w:rsid w:val="123664E8"/>
    <w:rsid w:val="126F6B43"/>
    <w:rsid w:val="128505D7"/>
    <w:rsid w:val="129C766D"/>
    <w:rsid w:val="12A366F5"/>
    <w:rsid w:val="12CA21B0"/>
    <w:rsid w:val="12D405A0"/>
    <w:rsid w:val="13007405"/>
    <w:rsid w:val="130167D3"/>
    <w:rsid w:val="130628D8"/>
    <w:rsid w:val="13166FBF"/>
    <w:rsid w:val="13254054"/>
    <w:rsid w:val="13356C36"/>
    <w:rsid w:val="133D487F"/>
    <w:rsid w:val="134F427F"/>
    <w:rsid w:val="136B6D03"/>
    <w:rsid w:val="13746B1F"/>
    <w:rsid w:val="13905BC1"/>
    <w:rsid w:val="13985C26"/>
    <w:rsid w:val="13B53264"/>
    <w:rsid w:val="14107D1A"/>
    <w:rsid w:val="14107EB2"/>
    <w:rsid w:val="143C6801"/>
    <w:rsid w:val="145C30F7"/>
    <w:rsid w:val="14891876"/>
    <w:rsid w:val="148B7538"/>
    <w:rsid w:val="149779B1"/>
    <w:rsid w:val="14AB7BDB"/>
    <w:rsid w:val="14AD2F64"/>
    <w:rsid w:val="14E629C1"/>
    <w:rsid w:val="14E87377"/>
    <w:rsid w:val="14EF7A8C"/>
    <w:rsid w:val="14F926F4"/>
    <w:rsid w:val="150D3199"/>
    <w:rsid w:val="15373CDD"/>
    <w:rsid w:val="154176C4"/>
    <w:rsid w:val="154A4DA1"/>
    <w:rsid w:val="15A00DC2"/>
    <w:rsid w:val="15B45EF5"/>
    <w:rsid w:val="15EA3AD5"/>
    <w:rsid w:val="15F64E85"/>
    <w:rsid w:val="161923D2"/>
    <w:rsid w:val="161F6358"/>
    <w:rsid w:val="16344267"/>
    <w:rsid w:val="163A7468"/>
    <w:rsid w:val="16491459"/>
    <w:rsid w:val="166958B5"/>
    <w:rsid w:val="16704C38"/>
    <w:rsid w:val="167364D6"/>
    <w:rsid w:val="16767C95"/>
    <w:rsid w:val="169A1CB5"/>
    <w:rsid w:val="16C84A74"/>
    <w:rsid w:val="1702695E"/>
    <w:rsid w:val="17035AAC"/>
    <w:rsid w:val="173A4837"/>
    <w:rsid w:val="173E7BAD"/>
    <w:rsid w:val="17435EA8"/>
    <w:rsid w:val="1744610B"/>
    <w:rsid w:val="1754074B"/>
    <w:rsid w:val="176B26F1"/>
    <w:rsid w:val="176F465F"/>
    <w:rsid w:val="179340C0"/>
    <w:rsid w:val="1798232A"/>
    <w:rsid w:val="17AE032B"/>
    <w:rsid w:val="17B47B13"/>
    <w:rsid w:val="17BB0135"/>
    <w:rsid w:val="17FA2967"/>
    <w:rsid w:val="18025D64"/>
    <w:rsid w:val="1819481A"/>
    <w:rsid w:val="18502FFE"/>
    <w:rsid w:val="185C7304"/>
    <w:rsid w:val="186B4E30"/>
    <w:rsid w:val="189C7F66"/>
    <w:rsid w:val="18AB4E55"/>
    <w:rsid w:val="18AD3F21"/>
    <w:rsid w:val="18DD55B5"/>
    <w:rsid w:val="1907573A"/>
    <w:rsid w:val="19224F6E"/>
    <w:rsid w:val="1931657F"/>
    <w:rsid w:val="193208CA"/>
    <w:rsid w:val="19407906"/>
    <w:rsid w:val="19A277FE"/>
    <w:rsid w:val="19A35324"/>
    <w:rsid w:val="19C13A96"/>
    <w:rsid w:val="1A165B79"/>
    <w:rsid w:val="1A257974"/>
    <w:rsid w:val="1A2A114C"/>
    <w:rsid w:val="1A2F6BB8"/>
    <w:rsid w:val="1A3E5F99"/>
    <w:rsid w:val="1A4A4004"/>
    <w:rsid w:val="1A5C63C4"/>
    <w:rsid w:val="1A8F74CF"/>
    <w:rsid w:val="1AAE3F81"/>
    <w:rsid w:val="1ADE7ECC"/>
    <w:rsid w:val="1AE25F25"/>
    <w:rsid w:val="1AF36B7D"/>
    <w:rsid w:val="1AF916A0"/>
    <w:rsid w:val="1B261D69"/>
    <w:rsid w:val="1B361E84"/>
    <w:rsid w:val="1B520DB0"/>
    <w:rsid w:val="1B8B1502"/>
    <w:rsid w:val="1BB03099"/>
    <w:rsid w:val="1BD47A17"/>
    <w:rsid w:val="1BF10299"/>
    <w:rsid w:val="1C931680"/>
    <w:rsid w:val="1CA92C52"/>
    <w:rsid w:val="1CCD4C51"/>
    <w:rsid w:val="1CDD0B4D"/>
    <w:rsid w:val="1CF13CFA"/>
    <w:rsid w:val="1CF934E4"/>
    <w:rsid w:val="1D11090B"/>
    <w:rsid w:val="1D183933"/>
    <w:rsid w:val="1D1F4CC2"/>
    <w:rsid w:val="1D3A7D4E"/>
    <w:rsid w:val="1D594678"/>
    <w:rsid w:val="1D6F3E9B"/>
    <w:rsid w:val="1E1A5FA1"/>
    <w:rsid w:val="1E1C7862"/>
    <w:rsid w:val="1E2819A6"/>
    <w:rsid w:val="1E370CF6"/>
    <w:rsid w:val="1E5315D0"/>
    <w:rsid w:val="1EC12AD3"/>
    <w:rsid w:val="1F0B5C89"/>
    <w:rsid w:val="1F161A53"/>
    <w:rsid w:val="1F1D7927"/>
    <w:rsid w:val="1F576995"/>
    <w:rsid w:val="1FA12928"/>
    <w:rsid w:val="1FC5753E"/>
    <w:rsid w:val="1FE84E43"/>
    <w:rsid w:val="2004198F"/>
    <w:rsid w:val="201B0BB3"/>
    <w:rsid w:val="201B7029"/>
    <w:rsid w:val="2020322B"/>
    <w:rsid w:val="20783067"/>
    <w:rsid w:val="209E05F3"/>
    <w:rsid w:val="20BD6CCC"/>
    <w:rsid w:val="20CB3BDB"/>
    <w:rsid w:val="211A3227"/>
    <w:rsid w:val="213351E0"/>
    <w:rsid w:val="21532BAD"/>
    <w:rsid w:val="218D48F0"/>
    <w:rsid w:val="219F6BD1"/>
    <w:rsid w:val="21B92876"/>
    <w:rsid w:val="21DC1180"/>
    <w:rsid w:val="22123047"/>
    <w:rsid w:val="22165FC1"/>
    <w:rsid w:val="22237002"/>
    <w:rsid w:val="222E6F7B"/>
    <w:rsid w:val="224677CF"/>
    <w:rsid w:val="224D7A95"/>
    <w:rsid w:val="22757192"/>
    <w:rsid w:val="22934188"/>
    <w:rsid w:val="22EC1AEA"/>
    <w:rsid w:val="233D2346"/>
    <w:rsid w:val="235C5FCA"/>
    <w:rsid w:val="2370007A"/>
    <w:rsid w:val="23864A5D"/>
    <w:rsid w:val="23A572CA"/>
    <w:rsid w:val="23DF73E5"/>
    <w:rsid w:val="23EE53EE"/>
    <w:rsid w:val="240E783E"/>
    <w:rsid w:val="241636EE"/>
    <w:rsid w:val="241C1DA2"/>
    <w:rsid w:val="244135E2"/>
    <w:rsid w:val="244D4992"/>
    <w:rsid w:val="24757D5C"/>
    <w:rsid w:val="248D10AB"/>
    <w:rsid w:val="24920434"/>
    <w:rsid w:val="249C309C"/>
    <w:rsid w:val="24A8700F"/>
    <w:rsid w:val="24B36813"/>
    <w:rsid w:val="24BA0C41"/>
    <w:rsid w:val="24BB6DB1"/>
    <w:rsid w:val="24BE27F3"/>
    <w:rsid w:val="24C148B0"/>
    <w:rsid w:val="24EB3156"/>
    <w:rsid w:val="25046A4F"/>
    <w:rsid w:val="2524556B"/>
    <w:rsid w:val="252E43BF"/>
    <w:rsid w:val="25357778"/>
    <w:rsid w:val="25445C0D"/>
    <w:rsid w:val="25606D56"/>
    <w:rsid w:val="256164A7"/>
    <w:rsid w:val="257E5872"/>
    <w:rsid w:val="25A8619C"/>
    <w:rsid w:val="25BD776E"/>
    <w:rsid w:val="25E03157"/>
    <w:rsid w:val="26127ABA"/>
    <w:rsid w:val="262A4E03"/>
    <w:rsid w:val="26543C2E"/>
    <w:rsid w:val="26695716"/>
    <w:rsid w:val="27053614"/>
    <w:rsid w:val="27550294"/>
    <w:rsid w:val="276B56D3"/>
    <w:rsid w:val="279413C6"/>
    <w:rsid w:val="279A1B15"/>
    <w:rsid w:val="27E965F8"/>
    <w:rsid w:val="280E1ADD"/>
    <w:rsid w:val="28210439"/>
    <w:rsid w:val="282D5314"/>
    <w:rsid w:val="2891502C"/>
    <w:rsid w:val="28BA1D43"/>
    <w:rsid w:val="28D904FE"/>
    <w:rsid w:val="28E514B5"/>
    <w:rsid w:val="290167D3"/>
    <w:rsid w:val="292518B2"/>
    <w:rsid w:val="29351F07"/>
    <w:rsid w:val="293C70E8"/>
    <w:rsid w:val="29B33B88"/>
    <w:rsid w:val="29F86FC6"/>
    <w:rsid w:val="2A1F27A5"/>
    <w:rsid w:val="2A262DDF"/>
    <w:rsid w:val="2A3C0690"/>
    <w:rsid w:val="2A3C7810"/>
    <w:rsid w:val="2A5A1A2F"/>
    <w:rsid w:val="2AB04F58"/>
    <w:rsid w:val="2AC82FD4"/>
    <w:rsid w:val="2AD02EB1"/>
    <w:rsid w:val="2AD03A9F"/>
    <w:rsid w:val="2AF66D70"/>
    <w:rsid w:val="2AF849C9"/>
    <w:rsid w:val="2B230073"/>
    <w:rsid w:val="2B2F07C6"/>
    <w:rsid w:val="2B360074"/>
    <w:rsid w:val="2B43287F"/>
    <w:rsid w:val="2B471FB3"/>
    <w:rsid w:val="2B6D12EE"/>
    <w:rsid w:val="2BA14CDC"/>
    <w:rsid w:val="2BDD5797"/>
    <w:rsid w:val="2C194708"/>
    <w:rsid w:val="2C536736"/>
    <w:rsid w:val="2C7963E8"/>
    <w:rsid w:val="2C8D43A0"/>
    <w:rsid w:val="2CA43435"/>
    <w:rsid w:val="2CC331FD"/>
    <w:rsid w:val="2CD83A18"/>
    <w:rsid w:val="2D0054ED"/>
    <w:rsid w:val="2D1C2FCC"/>
    <w:rsid w:val="2D39592C"/>
    <w:rsid w:val="2D550D9D"/>
    <w:rsid w:val="2D6C2CA7"/>
    <w:rsid w:val="2DAA6FC6"/>
    <w:rsid w:val="2DB05DB4"/>
    <w:rsid w:val="2DB651CE"/>
    <w:rsid w:val="2DD24D42"/>
    <w:rsid w:val="2DE9470A"/>
    <w:rsid w:val="2DED0D1F"/>
    <w:rsid w:val="2DEE09C8"/>
    <w:rsid w:val="2E0D2D76"/>
    <w:rsid w:val="2E15390D"/>
    <w:rsid w:val="2E17441C"/>
    <w:rsid w:val="2E1A575D"/>
    <w:rsid w:val="2E451FD1"/>
    <w:rsid w:val="2E501652"/>
    <w:rsid w:val="2E5310EA"/>
    <w:rsid w:val="2E6311CC"/>
    <w:rsid w:val="2E6E7A46"/>
    <w:rsid w:val="2E8928E3"/>
    <w:rsid w:val="2EC43793"/>
    <w:rsid w:val="2EC77BCD"/>
    <w:rsid w:val="2ED77E99"/>
    <w:rsid w:val="2EDD4A44"/>
    <w:rsid w:val="2EFF2BA5"/>
    <w:rsid w:val="2F2A3BB5"/>
    <w:rsid w:val="2F486363"/>
    <w:rsid w:val="2F666343"/>
    <w:rsid w:val="2F8D01B1"/>
    <w:rsid w:val="2F930E80"/>
    <w:rsid w:val="2FA82F80"/>
    <w:rsid w:val="2FB219C5"/>
    <w:rsid w:val="2FD81D74"/>
    <w:rsid w:val="2FDD486F"/>
    <w:rsid w:val="2FEF6776"/>
    <w:rsid w:val="2FF124EE"/>
    <w:rsid w:val="2FF41FDE"/>
    <w:rsid w:val="2FF7387C"/>
    <w:rsid w:val="301B756B"/>
    <w:rsid w:val="303845C1"/>
    <w:rsid w:val="30640F12"/>
    <w:rsid w:val="30681392"/>
    <w:rsid w:val="307F3F9D"/>
    <w:rsid w:val="308C0468"/>
    <w:rsid w:val="30BB7FBB"/>
    <w:rsid w:val="30ED6442"/>
    <w:rsid w:val="30F009F7"/>
    <w:rsid w:val="30F32296"/>
    <w:rsid w:val="30F549E6"/>
    <w:rsid w:val="30FF6E8C"/>
    <w:rsid w:val="317174A6"/>
    <w:rsid w:val="3175714F"/>
    <w:rsid w:val="31AD68E8"/>
    <w:rsid w:val="31D37F2A"/>
    <w:rsid w:val="31F005E4"/>
    <w:rsid w:val="31F0501F"/>
    <w:rsid w:val="32157AFE"/>
    <w:rsid w:val="322F72FD"/>
    <w:rsid w:val="327B0A59"/>
    <w:rsid w:val="32CC7242"/>
    <w:rsid w:val="32D459FD"/>
    <w:rsid w:val="32FF5E98"/>
    <w:rsid w:val="33003623"/>
    <w:rsid w:val="33181316"/>
    <w:rsid w:val="3364747B"/>
    <w:rsid w:val="336A38E6"/>
    <w:rsid w:val="33945FB2"/>
    <w:rsid w:val="33B026C0"/>
    <w:rsid w:val="33BD47D7"/>
    <w:rsid w:val="33F97BC3"/>
    <w:rsid w:val="343A22CA"/>
    <w:rsid w:val="345614B9"/>
    <w:rsid w:val="34766F70"/>
    <w:rsid w:val="34880F47"/>
    <w:rsid w:val="34AA710F"/>
    <w:rsid w:val="34FD4E2A"/>
    <w:rsid w:val="35247840"/>
    <w:rsid w:val="354F32F4"/>
    <w:rsid w:val="355E0625"/>
    <w:rsid w:val="35650A59"/>
    <w:rsid w:val="35845BB2"/>
    <w:rsid w:val="35CD2498"/>
    <w:rsid w:val="35D501BC"/>
    <w:rsid w:val="35E548A3"/>
    <w:rsid w:val="360F36CE"/>
    <w:rsid w:val="362C24D2"/>
    <w:rsid w:val="367D2A73"/>
    <w:rsid w:val="3684230E"/>
    <w:rsid w:val="36E374B2"/>
    <w:rsid w:val="3702065F"/>
    <w:rsid w:val="371B0D28"/>
    <w:rsid w:val="37294BDE"/>
    <w:rsid w:val="373C4996"/>
    <w:rsid w:val="375941C7"/>
    <w:rsid w:val="37887BDC"/>
    <w:rsid w:val="37950385"/>
    <w:rsid w:val="37A50775"/>
    <w:rsid w:val="37AF40B3"/>
    <w:rsid w:val="37F92931"/>
    <w:rsid w:val="37FE05E4"/>
    <w:rsid w:val="380A75AC"/>
    <w:rsid w:val="3810372D"/>
    <w:rsid w:val="38352256"/>
    <w:rsid w:val="386D5023"/>
    <w:rsid w:val="3870241E"/>
    <w:rsid w:val="38E724B8"/>
    <w:rsid w:val="38FE1FBD"/>
    <w:rsid w:val="392A24E0"/>
    <w:rsid w:val="3962620A"/>
    <w:rsid w:val="396C7089"/>
    <w:rsid w:val="39721AED"/>
    <w:rsid w:val="39BC1DBE"/>
    <w:rsid w:val="39BF365D"/>
    <w:rsid w:val="39DD3AE3"/>
    <w:rsid w:val="3A156ACB"/>
    <w:rsid w:val="3A3D50E8"/>
    <w:rsid w:val="3A7243F8"/>
    <w:rsid w:val="3A86400A"/>
    <w:rsid w:val="3A885DF8"/>
    <w:rsid w:val="3AFB06C4"/>
    <w:rsid w:val="3B12471E"/>
    <w:rsid w:val="3B2220F5"/>
    <w:rsid w:val="3B252B62"/>
    <w:rsid w:val="3B2A5086"/>
    <w:rsid w:val="3B471B5C"/>
    <w:rsid w:val="3BCB0097"/>
    <w:rsid w:val="3C3B3899"/>
    <w:rsid w:val="3C700C3E"/>
    <w:rsid w:val="3C7B487F"/>
    <w:rsid w:val="3CC80A7A"/>
    <w:rsid w:val="3CD94A35"/>
    <w:rsid w:val="3CFB49AC"/>
    <w:rsid w:val="3D255ECD"/>
    <w:rsid w:val="3D65276D"/>
    <w:rsid w:val="3D665594"/>
    <w:rsid w:val="3D7125F1"/>
    <w:rsid w:val="3D7A6218"/>
    <w:rsid w:val="3D7F0546"/>
    <w:rsid w:val="3D9D3CB5"/>
    <w:rsid w:val="3DE73182"/>
    <w:rsid w:val="3DEB4A20"/>
    <w:rsid w:val="3DF53AF1"/>
    <w:rsid w:val="3E3C050B"/>
    <w:rsid w:val="3E57209F"/>
    <w:rsid w:val="3E600908"/>
    <w:rsid w:val="3EDB2CE7"/>
    <w:rsid w:val="3EE3506A"/>
    <w:rsid w:val="3EEC4EF4"/>
    <w:rsid w:val="3F60143E"/>
    <w:rsid w:val="3F656A54"/>
    <w:rsid w:val="3F9614BE"/>
    <w:rsid w:val="3FA21EB8"/>
    <w:rsid w:val="3FDF0D9C"/>
    <w:rsid w:val="3FF96622"/>
    <w:rsid w:val="40591F07"/>
    <w:rsid w:val="407056B1"/>
    <w:rsid w:val="415E7BFF"/>
    <w:rsid w:val="4162149D"/>
    <w:rsid w:val="417E28EA"/>
    <w:rsid w:val="41807B75"/>
    <w:rsid w:val="41C102A8"/>
    <w:rsid w:val="41C23CEA"/>
    <w:rsid w:val="41E33C60"/>
    <w:rsid w:val="42031661"/>
    <w:rsid w:val="420460B1"/>
    <w:rsid w:val="42084379"/>
    <w:rsid w:val="422B5D33"/>
    <w:rsid w:val="42666D6B"/>
    <w:rsid w:val="42A06A3C"/>
    <w:rsid w:val="42A954B6"/>
    <w:rsid w:val="432D1637"/>
    <w:rsid w:val="435272F0"/>
    <w:rsid w:val="435D160E"/>
    <w:rsid w:val="436D5ACF"/>
    <w:rsid w:val="43803E5D"/>
    <w:rsid w:val="43947908"/>
    <w:rsid w:val="43B40C00"/>
    <w:rsid w:val="43E47813"/>
    <w:rsid w:val="43E837B0"/>
    <w:rsid w:val="444D4EF7"/>
    <w:rsid w:val="44693E99"/>
    <w:rsid w:val="447079F7"/>
    <w:rsid w:val="44827761"/>
    <w:rsid w:val="44890AEF"/>
    <w:rsid w:val="449F6696"/>
    <w:rsid w:val="44B00772"/>
    <w:rsid w:val="44FE41E7"/>
    <w:rsid w:val="451A5F22"/>
    <w:rsid w:val="451F3698"/>
    <w:rsid w:val="4530540F"/>
    <w:rsid w:val="45356766"/>
    <w:rsid w:val="454C355D"/>
    <w:rsid w:val="45561F04"/>
    <w:rsid w:val="45614EB8"/>
    <w:rsid w:val="45765517"/>
    <w:rsid w:val="45975BC2"/>
    <w:rsid w:val="459B31D0"/>
    <w:rsid w:val="45B6577B"/>
    <w:rsid w:val="45DD7344"/>
    <w:rsid w:val="4613396A"/>
    <w:rsid w:val="4614088C"/>
    <w:rsid w:val="46283A22"/>
    <w:rsid w:val="4645243B"/>
    <w:rsid w:val="46480E02"/>
    <w:rsid w:val="46642713"/>
    <w:rsid w:val="466501EA"/>
    <w:rsid w:val="4678706D"/>
    <w:rsid w:val="468278E6"/>
    <w:rsid w:val="4690085B"/>
    <w:rsid w:val="46957C1F"/>
    <w:rsid w:val="46BD2CD2"/>
    <w:rsid w:val="46C40099"/>
    <w:rsid w:val="476475F1"/>
    <w:rsid w:val="47881532"/>
    <w:rsid w:val="47C37B5D"/>
    <w:rsid w:val="47C85DD2"/>
    <w:rsid w:val="47EA3F9B"/>
    <w:rsid w:val="47ED5839"/>
    <w:rsid w:val="47F24BFD"/>
    <w:rsid w:val="48735D3E"/>
    <w:rsid w:val="489A776F"/>
    <w:rsid w:val="48A71E8C"/>
    <w:rsid w:val="48BB1493"/>
    <w:rsid w:val="48E43155"/>
    <w:rsid w:val="490B5F77"/>
    <w:rsid w:val="492C17F1"/>
    <w:rsid w:val="492C413F"/>
    <w:rsid w:val="493041AC"/>
    <w:rsid w:val="493556E9"/>
    <w:rsid w:val="496164DE"/>
    <w:rsid w:val="49793828"/>
    <w:rsid w:val="498A0F3C"/>
    <w:rsid w:val="499C38AC"/>
    <w:rsid w:val="49A328EF"/>
    <w:rsid w:val="49AE3884"/>
    <w:rsid w:val="49F93B20"/>
    <w:rsid w:val="4A070A66"/>
    <w:rsid w:val="4A104E30"/>
    <w:rsid w:val="4A227E42"/>
    <w:rsid w:val="4A315EB1"/>
    <w:rsid w:val="4A5A3B51"/>
    <w:rsid w:val="4A673681"/>
    <w:rsid w:val="4A8E0D19"/>
    <w:rsid w:val="4AAF6DD6"/>
    <w:rsid w:val="4AB443EC"/>
    <w:rsid w:val="4AC24414"/>
    <w:rsid w:val="4AD14F9E"/>
    <w:rsid w:val="4AD6495A"/>
    <w:rsid w:val="4B3F510C"/>
    <w:rsid w:val="4B58121B"/>
    <w:rsid w:val="4B5D12AD"/>
    <w:rsid w:val="4B7E5126"/>
    <w:rsid w:val="4B81576F"/>
    <w:rsid w:val="4B91219E"/>
    <w:rsid w:val="4BB33B4B"/>
    <w:rsid w:val="4BB65798"/>
    <w:rsid w:val="4BBC17AA"/>
    <w:rsid w:val="4BF10A2C"/>
    <w:rsid w:val="4BFC24EE"/>
    <w:rsid w:val="4C2537F3"/>
    <w:rsid w:val="4C325F10"/>
    <w:rsid w:val="4C4208EE"/>
    <w:rsid w:val="4C9E7DEF"/>
    <w:rsid w:val="4D510618"/>
    <w:rsid w:val="4D612F58"/>
    <w:rsid w:val="4D800D3B"/>
    <w:rsid w:val="4D875DE8"/>
    <w:rsid w:val="4D9F3131"/>
    <w:rsid w:val="4DB14BCF"/>
    <w:rsid w:val="4DCC2E9C"/>
    <w:rsid w:val="4DEE642A"/>
    <w:rsid w:val="4DF97B48"/>
    <w:rsid w:val="4DFA1815"/>
    <w:rsid w:val="4E0503FC"/>
    <w:rsid w:val="4E164964"/>
    <w:rsid w:val="4E1E499E"/>
    <w:rsid w:val="4E3819D6"/>
    <w:rsid w:val="4E3C6BD2"/>
    <w:rsid w:val="4E40254C"/>
    <w:rsid w:val="4E8F764A"/>
    <w:rsid w:val="4E946A0E"/>
    <w:rsid w:val="4EA2737D"/>
    <w:rsid w:val="4EBD5F65"/>
    <w:rsid w:val="4F211687"/>
    <w:rsid w:val="4F426946"/>
    <w:rsid w:val="4F796605"/>
    <w:rsid w:val="4F8244F9"/>
    <w:rsid w:val="4F8B7E11"/>
    <w:rsid w:val="4F933D0F"/>
    <w:rsid w:val="4F952A3E"/>
    <w:rsid w:val="4F964A80"/>
    <w:rsid w:val="4F9B02BD"/>
    <w:rsid w:val="4FFE4A87"/>
    <w:rsid w:val="50447FC0"/>
    <w:rsid w:val="504D156B"/>
    <w:rsid w:val="506D4592"/>
    <w:rsid w:val="50887115"/>
    <w:rsid w:val="50F90771"/>
    <w:rsid w:val="512C1180"/>
    <w:rsid w:val="5172738F"/>
    <w:rsid w:val="51826FF2"/>
    <w:rsid w:val="51910044"/>
    <w:rsid w:val="519A433C"/>
    <w:rsid w:val="519B6306"/>
    <w:rsid w:val="51B60C07"/>
    <w:rsid w:val="51C13FBE"/>
    <w:rsid w:val="51C6120B"/>
    <w:rsid w:val="51C846F3"/>
    <w:rsid w:val="51D53635"/>
    <w:rsid w:val="51D54531"/>
    <w:rsid w:val="52042243"/>
    <w:rsid w:val="52385729"/>
    <w:rsid w:val="523B415E"/>
    <w:rsid w:val="52584BD7"/>
    <w:rsid w:val="527A23D6"/>
    <w:rsid w:val="52831274"/>
    <w:rsid w:val="5285409D"/>
    <w:rsid w:val="529E5892"/>
    <w:rsid w:val="52A31916"/>
    <w:rsid w:val="52DA52F6"/>
    <w:rsid w:val="531B76FE"/>
    <w:rsid w:val="532E1E14"/>
    <w:rsid w:val="53307101"/>
    <w:rsid w:val="534B7B80"/>
    <w:rsid w:val="537B7E7C"/>
    <w:rsid w:val="5382777D"/>
    <w:rsid w:val="53915C12"/>
    <w:rsid w:val="53B316E5"/>
    <w:rsid w:val="53B80121"/>
    <w:rsid w:val="53C65239"/>
    <w:rsid w:val="53EB5322"/>
    <w:rsid w:val="53EE096F"/>
    <w:rsid w:val="540029D4"/>
    <w:rsid w:val="5415414D"/>
    <w:rsid w:val="54286CFD"/>
    <w:rsid w:val="54680C9E"/>
    <w:rsid w:val="548076E2"/>
    <w:rsid w:val="54A31759"/>
    <w:rsid w:val="54E564A4"/>
    <w:rsid w:val="551E160F"/>
    <w:rsid w:val="5536081F"/>
    <w:rsid w:val="55545149"/>
    <w:rsid w:val="556E7FB9"/>
    <w:rsid w:val="557F77F3"/>
    <w:rsid w:val="55BF0815"/>
    <w:rsid w:val="55C7591B"/>
    <w:rsid w:val="55E34CE0"/>
    <w:rsid w:val="55EB785C"/>
    <w:rsid w:val="560721BC"/>
    <w:rsid w:val="564B6219"/>
    <w:rsid w:val="565558D1"/>
    <w:rsid w:val="567E247E"/>
    <w:rsid w:val="56C64DC4"/>
    <w:rsid w:val="56F40992"/>
    <w:rsid w:val="57057D36"/>
    <w:rsid w:val="570D18EF"/>
    <w:rsid w:val="571E156B"/>
    <w:rsid w:val="572728F4"/>
    <w:rsid w:val="57354C81"/>
    <w:rsid w:val="5738418D"/>
    <w:rsid w:val="574036C7"/>
    <w:rsid w:val="574F7976"/>
    <w:rsid w:val="575C2093"/>
    <w:rsid w:val="57770C7B"/>
    <w:rsid w:val="57830141"/>
    <w:rsid w:val="57AF2B0B"/>
    <w:rsid w:val="57B41ECF"/>
    <w:rsid w:val="57B503D9"/>
    <w:rsid w:val="57E427B4"/>
    <w:rsid w:val="57E722A5"/>
    <w:rsid w:val="58053921"/>
    <w:rsid w:val="58197612"/>
    <w:rsid w:val="582C7CB7"/>
    <w:rsid w:val="58B8154B"/>
    <w:rsid w:val="58D42829"/>
    <w:rsid w:val="58D50AA5"/>
    <w:rsid w:val="58D91320"/>
    <w:rsid w:val="590803BD"/>
    <w:rsid w:val="590C30CF"/>
    <w:rsid w:val="590C3AC5"/>
    <w:rsid w:val="591E2269"/>
    <w:rsid w:val="591F662B"/>
    <w:rsid w:val="5943350B"/>
    <w:rsid w:val="595D173E"/>
    <w:rsid w:val="59AD4E28"/>
    <w:rsid w:val="59C77C98"/>
    <w:rsid w:val="59CA5A20"/>
    <w:rsid w:val="59FD5DAF"/>
    <w:rsid w:val="5A596738"/>
    <w:rsid w:val="5A64590F"/>
    <w:rsid w:val="5A7F67C4"/>
    <w:rsid w:val="5A8C0EE1"/>
    <w:rsid w:val="5AC31CBB"/>
    <w:rsid w:val="5ACA6DB3"/>
    <w:rsid w:val="5B016795"/>
    <w:rsid w:val="5B040ECB"/>
    <w:rsid w:val="5B0B44FC"/>
    <w:rsid w:val="5B316936"/>
    <w:rsid w:val="5B687259"/>
    <w:rsid w:val="5B7C0F56"/>
    <w:rsid w:val="5C6A7000"/>
    <w:rsid w:val="5CB34F40"/>
    <w:rsid w:val="5CED41B0"/>
    <w:rsid w:val="5D1C6C66"/>
    <w:rsid w:val="5D2E2DF3"/>
    <w:rsid w:val="5D3E32F4"/>
    <w:rsid w:val="5D3F048D"/>
    <w:rsid w:val="5D4220C0"/>
    <w:rsid w:val="5D4D06C3"/>
    <w:rsid w:val="5D5552CD"/>
    <w:rsid w:val="5D5F6439"/>
    <w:rsid w:val="5D8B6EF7"/>
    <w:rsid w:val="5DA01CE6"/>
    <w:rsid w:val="5DAD53F7"/>
    <w:rsid w:val="5DBD392A"/>
    <w:rsid w:val="5DD913BA"/>
    <w:rsid w:val="5DE352BC"/>
    <w:rsid w:val="5DF9063C"/>
    <w:rsid w:val="5E0F7E5F"/>
    <w:rsid w:val="5E6131AA"/>
    <w:rsid w:val="5E622685"/>
    <w:rsid w:val="5E652175"/>
    <w:rsid w:val="5E653F23"/>
    <w:rsid w:val="5EC724E8"/>
    <w:rsid w:val="5ECD5376"/>
    <w:rsid w:val="5F4C6560"/>
    <w:rsid w:val="5F780FF4"/>
    <w:rsid w:val="5F7A51A8"/>
    <w:rsid w:val="5F8D4569"/>
    <w:rsid w:val="5F9745B0"/>
    <w:rsid w:val="5FB827D3"/>
    <w:rsid w:val="5FE64E23"/>
    <w:rsid w:val="5FF473EE"/>
    <w:rsid w:val="60014FB6"/>
    <w:rsid w:val="60086116"/>
    <w:rsid w:val="60213E7A"/>
    <w:rsid w:val="60326087"/>
    <w:rsid w:val="60430294"/>
    <w:rsid w:val="60716BAF"/>
    <w:rsid w:val="61061269"/>
    <w:rsid w:val="61266058"/>
    <w:rsid w:val="615800B9"/>
    <w:rsid w:val="61634383"/>
    <w:rsid w:val="61786E15"/>
    <w:rsid w:val="61931AD5"/>
    <w:rsid w:val="61965A39"/>
    <w:rsid w:val="61C40F61"/>
    <w:rsid w:val="61C927D1"/>
    <w:rsid w:val="61E01FB9"/>
    <w:rsid w:val="6223212B"/>
    <w:rsid w:val="622A1BC3"/>
    <w:rsid w:val="62353C0D"/>
    <w:rsid w:val="623C143F"/>
    <w:rsid w:val="62403F00"/>
    <w:rsid w:val="624B5B3C"/>
    <w:rsid w:val="625C0C79"/>
    <w:rsid w:val="625D2A79"/>
    <w:rsid w:val="62727400"/>
    <w:rsid w:val="62B40D3D"/>
    <w:rsid w:val="62C76440"/>
    <w:rsid w:val="62EB342A"/>
    <w:rsid w:val="63174ACA"/>
    <w:rsid w:val="6320666B"/>
    <w:rsid w:val="633A597E"/>
    <w:rsid w:val="63416D0D"/>
    <w:rsid w:val="63471E49"/>
    <w:rsid w:val="639A4212"/>
    <w:rsid w:val="63BA086D"/>
    <w:rsid w:val="63BD68CB"/>
    <w:rsid w:val="63C416EC"/>
    <w:rsid w:val="63D87E03"/>
    <w:rsid w:val="63F97123"/>
    <w:rsid w:val="6416146D"/>
    <w:rsid w:val="64202DC6"/>
    <w:rsid w:val="643F6D26"/>
    <w:rsid w:val="645C7B76"/>
    <w:rsid w:val="64794284"/>
    <w:rsid w:val="647A73BB"/>
    <w:rsid w:val="647B7FFD"/>
    <w:rsid w:val="6493693E"/>
    <w:rsid w:val="64B21544"/>
    <w:rsid w:val="64F337E4"/>
    <w:rsid w:val="64F953C5"/>
    <w:rsid w:val="651E6BDA"/>
    <w:rsid w:val="655F4BD9"/>
    <w:rsid w:val="65660CAD"/>
    <w:rsid w:val="656C3DE9"/>
    <w:rsid w:val="65994B7C"/>
    <w:rsid w:val="659B10A9"/>
    <w:rsid w:val="65BD28E4"/>
    <w:rsid w:val="65C72CDF"/>
    <w:rsid w:val="65D04378"/>
    <w:rsid w:val="65DA6FA5"/>
    <w:rsid w:val="65E814B5"/>
    <w:rsid w:val="66091638"/>
    <w:rsid w:val="660F2DA7"/>
    <w:rsid w:val="66533FE7"/>
    <w:rsid w:val="6655487D"/>
    <w:rsid w:val="666106F4"/>
    <w:rsid w:val="66886796"/>
    <w:rsid w:val="66EA3218"/>
    <w:rsid w:val="67001B4B"/>
    <w:rsid w:val="671C4CE5"/>
    <w:rsid w:val="672C3830"/>
    <w:rsid w:val="67672D81"/>
    <w:rsid w:val="67E76BFB"/>
    <w:rsid w:val="67EE0225"/>
    <w:rsid w:val="68103613"/>
    <w:rsid w:val="68AD274F"/>
    <w:rsid w:val="68BD4D50"/>
    <w:rsid w:val="68D47C61"/>
    <w:rsid w:val="68DD007A"/>
    <w:rsid w:val="68FE744E"/>
    <w:rsid w:val="69384FEB"/>
    <w:rsid w:val="69565452"/>
    <w:rsid w:val="69726339"/>
    <w:rsid w:val="69807E63"/>
    <w:rsid w:val="69823BDB"/>
    <w:rsid w:val="69845BA5"/>
    <w:rsid w:val="69AD6EF9"/>
    <w:rsid w:val="69DC1C5D"/>
    <w:rsid w:val="69DD3507"/>
    <w:rsid w:val="6A413A96"/>
    <w:rsid w:val="6A63194C"/>
    <w:rsid w:val="6A8A4544"/>
    <w:rsid w:val="6A975464"/>
    <w:rsid w:val="6AF42ACD"/>
    <w:rsid w:val="6AFA59F3"/>
    <w:rsid w:val="6B373FE9"/>
    <w:rsid w:val="6B7638B3"/>
    <w:rsid w:val="6B7C4F42"/>
    <w:rsid w:val="6B807728"/>
    <w:rsid w:val="6B8455B2"/>
    <w:rsid w:val="6B85074F"/>
    <w:rsid w:val="6B915026"/>
    <w:rsid w:val="6BA449DC"/>
    <w:rsid w:val="6BB169FA"/>
    <w:rsid w:val="6BCA3618"/>
    <w:rsid w:val="6BDF5F73"/>
    <w:rsid w:val="6BE83DFD"/>
    <w:rsid w:val="6BE87C52"/>
    <w:rsid w:val="6C00528B"/>
    <w:rsid w:val="6C336835"/>
    <w:rsid w:val="6C3B5886"/>
    <w:rsid w:val="6C690350"/>
    <w:rsid w:val="6CA80624"/>
    <w:rsid w:val="6CC717F3"/>
    <w:rsid w:val="6CD01102"/>
    <w:rsid w:val="6CFB48B3"/>
    <w:rsid w:val="6D0E226E"/>
    <w:rsid w:val="6D153EF8"/>
    <w:rsid w:val="6D174A55"/>
    <w:rsid w:val="6D4A2BEE"/>
    <w:rsid w:val="6D582400"/>
    <w:rsid w:val="6D7A1AA2"/>
    <w:rsid w:val="6D8A174E"/>
    <w:rsid w:val="6D940B27"/>
    <w:rsid w:val="6DA700C4"/>
    <w:rsid w:val="6DAC795D"/>
    <w:rsid w:val="6DD21EDE"/>
    <w:rsid w:val="6DFE6A84"/>
    <w:rsid w:val="6E05302D"/>
    <w:rsid w:val="6E0C6169"/>
    <w:rsid w:val="6E275E4D"/>
    <w:rsid w:val="6E672A38"/>
    <w:rsid w:val="6E7C0E27"/>
    <w:rsid w:val="6E9C531E"/>
    <w:rsid w:val="6E9F0A80"/>
    <w:rsid w:val="6EAB5C0E"/>
    <w:rsid w:val="6EE601AB"/>
    <w:rsid w:val="6EFA06B8"/>
    <w:rsid w:val="6F283DC0"/>
    <w:rsid w:val="6F3109D8"/>
    <w:rsid w:val="6F4F2504"/>
    <w:rsid w:val="6F5140F5"/>
    <w:rsid w:val="6F715C7B"/>
    <w:rsid w:val="6F747EDB"/>
    <w:rsid w:val="6F7E184F"/>
    <w:rsid w:val="6FAF14A2"/>
    <w:rsid w:val="6FB27E63"/>
    <w:rsid w:val="6FBF2B9C"/>
    <w:rsid w:val="6FE21452"/>
    <w:rsid w:val="6FEA072C"/>
    <w:rsid w:val="70103B63"/>
    <w:rsid w:val="702552C0"/>
    <w:rsid w:val="7027521C"/>
    <w:rsid w:val="706311B6"/>
    <w:rsid w:val="70687A06"/>
    <w:rsid w:val="70D91FB4"/>
    <w:rsid w:val="710B095A"/>
    <w:rsid w:val="716F0B64"/>
    <w:rsid w:val="717958C4"/>
    <w:rsid w:val="71836CDA"/>
    <w:rsid w:val="71CF7BDA"/>
    <w:rsid w:val="71D945B4"/>
    <w:rsid w:val="71F72C8D"/>
    <w:rsid w:val="72080AD4"/>
    <w:rsid w:val="721E450C"/>
    <w:rsid w:val="72271FE2"/>
    <w:rsid w:val="726E2F4F"/>
    <w:rsid w:val="727017A2"/>
    <w:rsid w:val="727D3192"/>
    <w:rsid w:val="72C174C2"/>
    <w:rsid w:val="72C47013"/>
    <w:rsid w:val="72D354A8"/>
    <w:rsid w:val="72D6655E"/>
    <w:rsid w:val="72E0289A"/>
    <w:rsid w:val="72E43211"/>
    <w:rsid w:val="72EB2B55"/>
    <w:rsid w:val="72F53670"/>
    <w:rsid w:val="72F571CC"/>
    <w:rsid w:val="72FA0078"/>
    <w:rsid w:val="72FD2525"/>
    <w:rsid w:val="72FD6FCD"/>
    <w:rsid w:val="730613D9"/>
    <w:rsid w:val="73171838"/>
    <w:rsid w:val="734865BD"/>
    <w:rsid w:val="735A34D3"/>
    <w:rsid w:val="738D3A52"/>
    <w:rsid w:val="73B72B30"/>
    <w:rsid w:val="73F2195D"/>
    <w:rsid w:val="73F676A0"/>
    <w:rsid w:val="740D49E9"/>
    <w:rsid w:val="7421181D"/>
    <w:rsid w:val="74363F40"/>
    <w:rsid w:val="74416441"/>
    <w:rsid w:val="749837D1"/>
    <w:rsid w:val="74B81834"/>
    <w:rsid w:val="74D908CB"/>
    <w:rsid w:val="74F6387A"/>
    <w:rsid w:val="750C6A4F"/>
    <w:rsid w:val="750E0A19"/>
    <w:rsid w:val="751C396C"/>
    <w:rsid w:val="75864340"/>
    <w:rsid w:val="75E81314"/>
    <w:rsid w:val="75E942E5"/>
    <w:rsid w:val="760D2CAF"/>
    <w:rsid w:val="762D19E3"/>
    <w:rsid w:val="76377AFB"/>
    <w:rsid w:val="76432269"/>
    <w:rsid w:val="764E3D4E"/>
    <w:rsid w:val="766308F1"/>
    <w:rsid w:val="769149E0"/>
    <w:rsid w:val="76D25986"/>
    <w:rsid w:val="76D46F31"/>
    <w:rsid w:val="76D87398"/>
    <w:rsid w:val="771630A2"/>
    <w:rsid w:val="77414B04"/>
    <w:rsid w:val="77463779"/>
    <w:rsid w:val="77670EFF"/>
    <w:rsid w:val="77AD62C7"/>
    <w:rsid w:val="77B30FB2"/>
    <w:rsid w:val="77F47B34"/>
    <w:rsid w:val="77F739E6"/>
    <w:rsid w:val="780A371A"/>
    <w:rsid w:val="782701E9"/>
    <w:rsid w:val="783C764B"/>
    <w:rsid w:val="785C6E37"/>
    <w:rsid w:val="786B5CE9"/>
    <w:rsid w:val="78813C7A"/>
    <w:rsid w:val="78B2790D"/>
    <w:rsid w:val="7908577F"/>
    <w:rsid w:val="790A76D6"/>
    <w:rsid w:val="79200D1B"/>
    <w:rsid w:val="79214144"/>
    <w:rsid w:val="792E3438"/>
    <w:rsid w:val="796C3F60"/>
    <w:rsid w:val="796E7CD8"/>
    <w:rsid w:val="7973709D"/>
    <w:rsid w:val="79786860"/>
    <w:rsid w:val="79A22D49"/>
    <w:rsid w:val="79D20F2B"/>
    <w:rsid w:val="79D52367"/>
    <w:rsid w:val="79D73ACF"/>
    <w:rsid w:val="79E9735F"/>
    <w:rsid w:val="7A803E13"/>
    <w:rsid w:val="7A951295"/>
    <w:rsid w:val="7AD94113"/>
    <w:rsid w:val="7ADA6E5C"/>
    <w:rsid w:val="7ADC59C0"/>
    <w:rsid w:val="7AE75F94"/>
    <w:rsid w:val="7AE91D0C"/>
    <w:rsid w:val="7B136D89"/>
    <w:rsid w:val="7B2A4351"/>
    <w:rsid w:val="7B2C18C4"/>
    <w:rsid w:val="7B4D4751"/>
    <w:rsid w:val="7B582EEB"/>
    <w:rsid w:val="7B776EB0"/>
    <w:rsid w:val="7B7A265C"/>
    <w:rsid w:val="7B9A4DB4"/>
    <w:rsid w:val="7BA50FE7"/>
    <w:rsid w:val="7BB3231A"/>
    <w:rsid w:val="7C037D98"/>
    <w:rsid w:val="7C136915"/>
    <w:rsid w:val="7C727ADF"/>
    <w:rsid w:val="7C7750F6"/>
    <w:rsid w:val="7C813895"/>
    <w:rsid w:val="7C8B11D7"/>
    <w:rsid w:val="7CD97B5E"/>
    <w:rsid w:val="7CDB5685"/>
    <w:rsid w:val="7D0B0319"/>
    <w:rsid w:val="7D0F532E"/>
    <w:rsid w:val="7D133070"/>
    <w:rsid w:val="7D511DEB"/>
    <w:rsid w:val="7D6E7A51"/>
    <w:rsid w:val="7D7E4745"/>
    <w:rsid w:val="7E010708"/>
    <w:rsid w:val="7E4360FD"/>
    <w:rsid w:val="7E6065D4"/>
    <w:rsid w:val="7E6E586D"/>
    <w:rsid w:val="7ED66A06"/>
    <w:rsid w:val="7F0D1EF0"/>
    <w:rsid w:val="7F201A75"/>
    <w:rsid w:val="7F2D7CEE"/>
    <w:rsid w:val="7F3472CE"/>
    <w:rsid w:val="7F352976"/>
    <w:rsid w:val="7F413799"/>
    <w:rsid w:val="7F4C286A"/>
    <w:rsid w:val="7F5C4AE6"/>
    <w:rsid w:val="7F870B16"/>
    <w:rsid w:val="7FAC3308"/>
    <w:rsid w:val="7FD3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nhideWhenUsed="0" w:uiPriority="0" w:semiHidden="0" w:name="List"/>
    <w:lsdException w:qFormat="1"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7"/>
    <w:next w:val="8"/>
    <w:qFormat/>
    <w:uiPriority w:val="0"/>
    <w:pPr>
      <w:keepNext/>
      <w:keepLines/>
      <w:spacing w:before="260" w:after="260" w:line="415" w:lineRule="auto"/>
      <w:outlineLvl w:val="1"/>
    </w:pPr>
    <w:rPr>
      <w:rFonts w:eastAsia="黑体"/>
      <w:b/>
      <w:bCs/>
      <w:sz w:val="32"/>
      <w:szCs w:val="32"/>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0"/>
    <w:pPr>
      <w:ind w:firstLine="420" w:firstLineChars="100"/>
    </w:pPr>
    <w:rPr>
      <w:rFonts w:eastAsia="仿宋_GB2312"/>
    </w:rPr>
  </w:style>
  <w:style w:type="paragraph" w:styleId="3">
    <w:name w:val="Body Text"/>
    <w:basedOn w:val="1"/>
    <w:next w:val="2"/>
    <w:link w:val="49"/>
    <w:qFormat/>
    <w:uiPriority w:val="99"/>
    <w:pPr>
      <w:spacing w:after="120"/>
    </w:pPr>
    <w:rPr>
      <w:sz w:val="21"/>
    </w:rPr>
  </w:style>
  <w:style w:type="paragraph" w:styleId="4">
    <w:name w:val="toc 6"/>
    <w:basedOn w:val="1"/>
    <w:next w:val="1"/>
    <w:qFormat/>
    <w:uiPriority w:val="39"/>
    <w:pPr>
      <w:widowControl/>
      <w:ind w:left="1000"/>
      <w:jc w:val="left"/>
    </w:pPr>
    <w:rPr>
      <w:kern w:val="0"/>
      <w:sz w:val="18"/>
      <w:szCs w:val="20"/>
    </w:rPr>
  </w:style>
  <w:style w:type="paragraph" w:styleId="7">
    <w:name w:val="toa heading"/>
    <w:basedOn w:val="1"/>
    <w:next w:val="1"/>
    <w:semiHidden/>
    <w:qFormat/>
    <w:uiPriority w:val="0"/>
    <w:pPr>
      <w:spacing w:before="120"/>
    </w:pPr>
    <w:rPr>
      <w:rFonts w:ascii="Arial" w:hAnsi="Arial" w:cs="Arial"/>
      <w:sz w:val="24"/>
    </w:rPr>
  </w:style>
  <w:style w:type="paragraph" w:styleId="8">
    <w:name w:val="Title"/>
    <w:basedOn w:val="1"/>
    <w:next w:val="1"/>
    <w:link w:val="57"/>
    <w:qFormat/>
    <w:uiPriority w:val="0"/>
    <w:pPr>
      <w:spacing w:before="240" w:after="60"/>
      <w:jc w:val="center"/>
      <w:outlineLvl w:val="0"/>
    </w:pPr>
    <w:rPr>
      <w:rFonts w:ascii="Arial" w:hAnsi="Arial" w:cs="Arial"/>
      <w:b/>
      <w:bCs/>
      <w:sz w:val="32"/>
      <w:szCs w:val="32"/>
    </w:rPr>
  </w:style>
  <w:style w:type="paragraph" w:styleId="9">
    <w:name w:val="List Number"/>
    <w:basedOn w:val="1"/>
    <w:qFormat/>
    <w:uiPriority w:val="0"/>
    <w:pPr>
      <w:widowControl/>
      <w:tabs>
        <w:tab w:val="left" w:pos="454"/>
        <w:tab w:val="left" w:pos="720"/>
        <w:tab w:val="left" w:pos="900"/>
      </w:tabs>
      <w:spacing w:after="156" w:afterLines="50"/>
      <w:ind w:left="454" w:hanging="284"/>
      <w:jc w:val="left"/>
    </w:pPr>
    <w:rPr>
      <w:kern w:val="0"/>
      <w:sz w:val="24"/>
      <w:szCs w:val="20"/>
    </w:rPr>
  </w:style>
  <w:style w:type="paragraph" w:styleId="10">
    <w:name w:val="Normal Indent"/>
    <w:basedOn w:val="1"/>
    <w:next w:val="1"/>
    <w:qFormat/>
    <w:uiPriority w:val="0"/>
    <w:pPr>
      <w:ind w:firstLine="420"/>
    </w:pPr>
    <w:rPr>
      <w:sz w:val="21"/>
      <w:szCs w:val="20"/>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List Bullet"/>
    <w:basedOn w:val="1"/>
    <w:next w:val="1"/>
    <w:semiHidden/>
    <w:unhideWhenUsed/>
    <w:qFormat/>
    <w:uiPriority w:val="99"/>
    <w:pPr>
      <w:numPr>
        <w:ilvl w:val="0"/>
        <w:numId w:val="1"/>
      </w:numPr>
    </w:pPr>
  </w:style>
  <w:style w:type="paragraph" w:styleId="13">
    <w:name w:val="annotation text"/>
    <w:basedOn w:val="1"/>
    <w:link w:val="50"/>
    <w:unhideWhenUsed/>
    <w:qFormat/>
    <w:uiPriority w:val="99"/>
    <w:pPr>
      <w:jc w:val="left"/>
    </w:pPr>
  </w:style>
  <w:style w:type="paragraph" w:styleId="14">
    <w:name w:val="Body Text 3"/>
    <w:basedOn w:val="1"/>
    <w:qFormat/>
    <w:uiPriority w:val="0"/>
    <w:pPr>
      <w:snapToGrid w:val="0"/>
      <w:spacing w:before="50" w:after="50"/>
    </w:pPr>
    <w:rPr>
      <w:rFonts w:hAnsi="宋体" w:eastAsia="仿宋_GB2312"/>
      <w:b/>
      <w:bCs/>
      <w:sz w:val="24"/>
      <w:szCs w:val="20"/>
    </w:rPr>
  </w:style>
  <w:style w:type="paragraph" w:styleId="15">
    <w:name w:val="Body Text Indent"/>
    <w:basedOn w:val="1"/>
    <w:next w:val="1"/>
    <w:link w:val="51"/>
    <w:qFormat/>
    <w:uiPriority w:val="0"/>
    <w:pPr>
      <w:spacing w:line="200" w:lineRule="atLeast"/>
      <w:ind w:firstLine="301"/>
    </w:pPr>
    <w:rPr>
      <w:sz w:val="21"/>
    </w:rPr>
  </w:style>
  <w:style w:type="paragraph" w:styleId="16">
    <w:name w:val="List Number 3"/>
    <w:basedOn w:val="1"/>
    <w:qFormat/>
    <w:uiPriority w:val="0"/>
    <w:pPr>
      <w:numPr>
        <w:ilvl w:val="0"/>
        <w:numId w:val="2"/>
      </w:numPr>
      <w:tabs>
        <w:tab w:val="left" w:pos="1200"/>
      </w:tabs>
      <w:ind w:left="720"/>
    </w:pPr>
    <w:rPr>
      <w:sz w:val="21"/>
    </w:rPr>
  </w:style>
  <w:style w:type="paragraph" w:styleId="17">
    <w:name w:val="List 2"/>
    <w:basedOn w:val="1"/>
    <w:qFormat/>
    <w:uiPriority w:val="0"/>
    <w:pPr>
      <w:ind w:left="200" w:leftChars="200" w:hanging="200" w:hangingChars="200"/>
    </w:pPr>
  </w:style>
  <w:style w:type="paragraph" w:styleId="18">
    <w:name w:val="Block Text"/>
    <w:basedOn w:val="1"/>
    <w:qFormat/>
    <w:uiPriority w:val="0"/>
    <w:pPr>
      <w:autoSpaceDE w:val="0"/>
      <w:autoSpaceDN w:val="0"/>
      <w:adjustRightInd w:val="0"/>
      <w:spacing w:line="240" w:lineRule="atLeast"/>
      <w:ind w:left="1797" w:right="857" w:rightChars="857" w:firstLine="542" w:firstLineChars="226"/>
      <w:jc w:val="left"/>
    </w:pPr>
    <w:rPr>
      <w:rFonts w:hint="eastAsia" w:ascii="宋体"/>
      <w:color w:val="000000"/>
      <w:kern w:val="0"/>
      <w:sz w:val="24"/>
    </w:rPr>
  </w:style>
  <w:style w:type="paragraph" w:styleId="19">
    <w:name w:val="List Bullet 2"/>
    <w:basedOn w:val="1"/>
    <w:next w:val="12"/>
    <w:semiHidden/>
    <w:unhideWhenUsed/>
    <w:qFormat/>
    <w:uiPriority w:val="99"/>
    <w:pPr>
      <w:numPr>
        <w:ilvl w:val="0"/>
        <w:numId w:val="3"/>
      </w:numPr>
    </w:pPr>
  </w:style>
  <w:style w:type="paragraph" w:styleId="20">
    <w:name w:val="Plain Text"/>
    <w:basedOn w:val="1"/>
    <w:link w:val="52"/>
    <w:qFormat/>
    <w:uiPriority w:val="0"/>
    <w:pPr>
      <w:spacing w:before="156" w:beforeLines="50" w:after="156" w:afterLines="50" w:line="400" w:lineRule="atLeast"/>
    </w:pPr>
    <w:rPr>
      <w:rFonts w:hint="eastAsia" w:ascii="宋体" w:hAnsi="Courier New"/>
      <w:b/>
      <w:sz w:val="24"/>
    </w:rPr>
  </w:style>
  <w:style w:type="paragraph" w:styleId="21">
    <w:name w:val="Date"/>
    <w:basedOn w:val="1"/>
    <w:next w:val="1"/>
    <w:qFormat/>
    <w:uiPriority w:val="0"/>
    <w:pPr>
      <w:ind w:left="2500" w:leftChars="2500"/>
    </w:pPr>
    <w:rPr>
      <w:rFonts w:eastAsia="楷体_GB2312"/>
      <w:sz w:val="32"/>
      <w:szCs w:val="20"/>
    </w:rPr>
  </w:style>
  <w:style w:type="paragraph" w:styleId="22">
    <w:name w:val="Body Text Indent 2"/>
    <w:basedOn w:val="1"/>
    <w:qFormat/>
    <w:uiPriority w:val="0"/>
    <w:pPr>
      <w:snapToGrid w:val="0"/>
      <w:ind w:firstLine="542" w:firstLineChars="225"/>
    </w:pPr>
    <w:rPr>
      <w:rFonts w:ascii="仿宋_GB2312" w:hAnsi="宋体" w:cs="Arial"/>
      <w:b/>
      <w:bCs/>
      <w:color w:val="000000"/>
      <w:sz w:val="24"/>
    </w:rPr>
  </w:style>
  <w:style w:type="paragraph" w:styleId="23">
    <w:name w:val="Balloon Text"/>
    <w:basedOn w:val="1"/>
    <w:link w:val="53"/>
    <w:qFormat/>
    <w:uiPriority w:val="0"/>
    <w:rPr>
      <w:sz w:val="18"/>
      <w:szCs w:val="18"/>
    </w:rPr>
  </w:style>
  <w:style w:type="paragraph" w:styleId="24">
    <w:name w:val="footer"/>
    <w:basedOn w:val="1"/>
    <w:link w:val="54"/>
    <w:qFormat/>
    <w:uiPriority w:val="99"/>
    <w:pPr>
      <w:tabs>
        <w:tab w:val="center" w:pos="4153"/>
        <w:tab w:val="right" w:pos="8306"/>
      </w:tabs>
      <w:snapToGrid w:val="0"/>
      <w:jc w:val="left"/>
    </w:pPr>
    <w:rPr>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rPr>
      <w:sz w:val="21"/>
    </w:rPr>
  </w:style>
  <w:style w:type="paragraph" w:styleId="28">
    <w:name w:val="Subtitle"/>
    <w:basedOn w:val="1"/>
    <w:next w:val="1"/>
    <w:qFormat/>
    <w:uiPriority w:val="11"/>
    <w:pPr>
      <w:spacing w:after="60"/>
      <w:jc w:val="center"/>
      <w:outlineLvl w:val="1"/>
    </w:pPr>
    <w:rPr>
      <w:rFonts w:ascii="Cambria" w:hAnsi="Cambria"/>
    </w:rPr>
  </w:style>
  <w:style w:type="paragraph" w:styleId="29">
    <w:name w:val="List"/>
    <w:basedOn w:val="1"/>
    <w:qFormat/>
    <w:uiPriority w:val="0"/>
    <w:pPr>
      <w:ind w:left="200" w:hanging="200" w:hangingChars="200"/>
    </w:pPr>
  </w:style>
  <w:style w:type="paragraph" w:styleId="30">
    <w:name w:val="footnote text"/>
    <w:basedOn w:val="1"/>
    <w:qFormat/>
    <w:uiPriority w:val="0"/>
    <w:pPr>
      <w:snapToGrid w:val="0"/>
      <w:jc w:val="left"/>
    </w:pPr>
    <w:rPr>
      <w:rFonts w:eastAsia="仿宋_GB2312"/>
      <w:sz w:val="18"/>
      <w:szCs w:val="20"/>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widowControl/>
      <w:snapToGrid w:val="0"/>
      <w:spacing w:before="50" w:after="156" w:afterLines="50" w:line="400" w:lineRule="atLeast"/>
      <w:jc w:val="left"/>
    </w:pPr>
    <w:rPr>
      <w:rFonts w:hint="eastAsia" w:ascii="宋体" w:hAnsi="宋体"/>
      <w:color w:val="000000"/>
      <w:sz w:val="24"/>
    </w:r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4">
    <w:name w:val="Normal (Web)"/>
    <w:basedOn w:val="1"/>
    <w:link w:val="56"/>
    <w:qFormat/>
    <w:uiPriority w:val="0"/>
    <w:pPr>
      <w:widowControl/>
      <w:spacing w:before="100" w:beforeAutospacing="1" w:after="100" w:afterAutospacing="1"/>
      <w:jc w:val="left"/>
    </w:pPr>
    <w:rPr>
      <w:rFonts w:hint="eastAsia" w:ascii="宋体" w:hAnsi="宋体"/>
      <w:kern w:val="0"/>
      <w:sz w:val="24"/>
    </w:rPr>
  </w:style>
  <w:style w:type="paragraph" w:styleId="35">
    <w:name w:val="annotation subject"/>
    <w:basedOn w:val="13"/>
    <w:next w:val="13"/>
    <w:link w:val="58"/>
    <w:unhideWhenUsed/>
    <w:qFormat/>
    <w:uiPriority w:val="99"/>
    <w:rPr>
      <w:b/>
      <w:bCs/>
    </w:rPr>
  </w:style>
  <w:style w:type="paragraph" w:styleId="36">
    <w:name w:val="Body Text First Indent 2"/>
    <w:basedOn w:val="15"/>
    <w:next w:val="1"/>
    <w:qFormat/>
    <w:uiPriority w:val="0"/>
    <w:pPr>
      <w:spacing w:after="120" w:line="240" w:lineRule="auto"/>
      <w:ind w:left="420" w:leftChars="200" w:firstLine="420" w:firstLineChars="200"/>
    </w:pPr>
    <w:rPr>
      <w:rFonts w:ascii="等线" w:hAnsi="等线" w:eastAsia="等线"/>
    </w:rPr>
  </w:style>
  <w:style w:type="table" w:styleId="38">
    <w:name w:val="Table Grid"/>
    <w:basedOn w:val="3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uiPriority w:val="22"/>
    <w:rPr>
      <w:b/>
      <w:color w:val="000000"/>
    </w:rPr>
  </w:style>
  <w:style w:type="character" w:styleId="41">
    <w:name w:val="page number"/>
    <w:qFormat/>
    <w:uiPriority w:val="0"/>
  </w:style>
  <w:style w:type="character" w:styleId="42">
    <w:name w:val="FollowedHyperlink"/>
    <w:unhideWhenUsed/>
    <w:qFormat/>
    <w:uiPriority w:val="99"/>
    <w:rPr>
      <w:color w:val="800080"/>
      <w:u w:val="single"/>
    </w:rPr>
  </w:style>
  <w:style w:type="character" w:styleId="43">
    <w:name w:val="Hyperlink"/>
    <w:qFormat/>
    <w:uiPriority w:val="99"/>
    <w:rPr>
      <w:color w:val="0000FF"/>
      <w:u w:val="single"/>
    </w:rPr>
  </w:style>
  <w:style w:type="character" w:styleId="44">
    <w:name w:val="annotation reference"/>
    <w:unhideWhenUsed/>
    <w:qFormat/>
    <w:uiPriority w:val="99"/>
    <w:rPr>
      <w:sz w:val="21"/>
      <w:szCs w:val="21"/>
    </w:rPr>
  </w:style>
  <w:style w:type="character" w:styleId="45">
    <w:name w:val="footnote reference"/>
    <w:qFormat/>
    <w:uiPriority w:val="0"/>
    <w:rPr>
      <w:vertAlign w:val="superscript"/>
    </w:rPr>
  </w:style>
  <w:style w:type="paragraph" w:customStyle="1" w:styleId="46">
    <w:name w:val="BodyText1I"/>
    <w:basedOn w:val="47"/>
    <w:next w:val="48"/>
    <w:qFormat/>
    <w:uiPriority w:val="0"/>
    <w:pPr>
      <w:spacing w:after="120"/>
      <w:ind w:firstLine="100" w:firstLineChars="100"/>
      <w:jc w:val="both"/>
      <w:textAlignment w:val="baseline"/>
    </w:pPr>
  </w:style>
  <w:style w:type="paragraph" w:customStyle="1" w:styleId="47">
    <w:name w:val="BodyText"/>
    <w:basedOn w:val="1"/>
    <w:next w:val="46"/>
    <w:qFormat/>
    <w:uiPriority w:val="0"/>
    <w:rPr>
      <w:rFonts w:ascii="Times New Roman" w:hAnsi="Times New Roman" w:eastAsia="宋体"/>
      <w:kern w:val="2"/>
      <w:sz w:val="21"/>
      <w:szCs w:val="24"/>
      <w:lang w:val="en-US" w:eastAsia="zh-CN" w:bidi="ar-SA"/>
    </w:rPr>
  </w:style>
  <w:style w:type="paragraph" w:customStyle="1" w:styleId="48">
    <w:name w:val="TOC6"/>
    <w:basedOn w:val="1"/>
    <w:next w:val="1"/>
    <w:qFormat/>
    <w:uiPriority w:val="0"/>
    <w:pPr>
      <w:ind w:left="2100" w:leftChars="1000"/>
      <w:jc w:val="both"/>
      <w:textAlignment w:val="baseline"/>
    </w:pPr>
  </w:style>
  <w:style w:type="character" w:customStyle="1" w:styleId="49">
    <w:name w:val="正文文本 Char"/>
    <w:link w:val="3"/>
    <w:qFormat/>
    <w:uiPriority w:val="99"/>
    <w:rPr>
      <w:kern w:val="2"/>
      <w:sz w:val="21"/>
      <w:szCs w:val="24"/>
    </w:rPr>
  </w:style>
  <w:style w:type="character" w:customStyle="1" w:styleId="50">
    <w:name w:val="批注文字 Char"/>
    <w:link w:val="13"/>
    <w:semiHidden/>
    <w:qFormat/>
    <w:uiPriority w:val="99"/>
    <w:rPr>
      <w:kern w:val="2"/>
      <w:sz w:val="28"/>
      <w:szCs w:val="24"/>
    </w:rPr>
  </w:style>
  <w:style w:type="character" w:customStyle="1" w:styleId="51">
    <w:name w:val="正文文本缩进 Char"/>
    <w:link w:val="15"/>
    <w:qFormat/>
    <w:uiPriority w:val="0"/>
    <w:rPr>
      <w:kern w:val="2"/>
      <w:sz w:val="21"/>
      <w:szCs w:val="24"/>
    </w:rPr>
  </w:style>
  <w:style w:type="character" w:customStyle="1" w:styleId="52">
    <w:name w:val="纯文本 Char2"/>
    <w:link w:val="20"/>
    <w:qFormat/>
    <w:uiPriority w:val="0"/>
    <w:rPr>
      <w:rFonts w:hint="eastAsia" w:ascii="宋体" w:hAnsi="Courier New" w:eastAsia="宋体" w:cs="宋体"/>
      <w:b/>
      <w:kern w:val="2"/>
      <w:sz w:val="24"/>
      <w:szCs w:val="24"/>
    </w:rPr>
  </w:style>
  <w:style w:type="character" w:customStyle="1" w:styleId="53">
    <w:name w:val="批注框文本 Char"/>
    <w:link w:val="23"/>
    <w:qFormat/>
    <w:uiPriority w:val="0"/>
    <w:rPr>
      <w:kern w:val="2"/>
      <w:sz w:val="18"/>
      <w:szCs w:val="18"/>
    </w:rPr>
  </w:style>
  <w:style w:type="character" w:customStyle="1" w:styleId="54">
    <w:name w:val="页脚 Char"/>
    <w:link w:val="24"/>
    <w:qFormat/>
    <w:uiPriority w:val="99"/>
    <w:rPr>
      <w:kern w:val="2"/>
      <w:sz w:val="18"/>
      <w:szCs w:val="18"/>
    </w:rPr>
  </w:style>
  <w:style w:type="character" w:customStyle="1" w:styleId="55">
    <w:name w:val="页眉 Char"/>
    <w:link w:val="26"/>
    <w:qFormat/>
    <w:uiPriority w:val="0"/>
    <w:rPr>
      <w:kern w:val="2"/>
      <w:sz w:val="18"/>
      <w:szCs w:val="18"/>
    </w:rPr>
  </w:style>
  <w:style w:type="character" w:customStyle="1" w:styleId="56">
    <w:name w:val="普通(网站) Char"/>
    <w:link w:val="34"/>
    <w:qFormat/>
    <w:uiPriority w:val="0"/>
    <w:rPr>
      <w:rFonts w:hint="eastAsia" w:ascii="宋体" w:hAnsi="宋体" w:eastAsia="宋体" w:cs="宋体"/>
      <w:sz w:val="24"/>
      <w:szCs w:val="24"/>
    </w:rPr>
  </w:style>
  <w:style w:type="character" w:customStyle="1" w:styleId="57">
    <w:name w:val="标题 Char"/>
    <w:link w:val="8"/>
    <w:qFormat/>
    <w:uiPriority w:val="0"/>
    <w:rPr>
      <w:rFonts w:ascii="Cambria" w:hAnsi="Cambria" w:eastAsia="Cambria" w:cs="Times New Roman"/>
      <w:b/>
      <w:kern w:val="2"/>
      <w:sz w:val="32"/>
      <w:szCs w:val="32"/>
    </w:rPr>
  </w:style>
  <w:style w:type="character" w:customStyle="1" w:styleId="58">
    <w:name w:val="批注主题 Char"/>
    <w:link w:val="35"/>
    <w:semiHidden/>
    <w:qFormat/>
    <w:uiPriority w:val="99"/>
    <w:rPr>
      <w:b/>
      <w:bCs/>
      <w:kern w:val="2"/>
      <w:sz w:val="28"/>
      <w:szCs w:val="24"/>
    </w:rPr>
  </w:style>
  <w:style w:type="character" w:customStyle="1" w:styleId="59">
    <w:name w:val="font01"/>
    <w:basedOn w:val="39"/>
    <w:qFormat/>
    <w:uiPriority w:val="0"/>
    <w:rPr>
      <w:rFonts w:hint="eastAsia" w:ascii="宋体" w:hAnsi="宋体" w:eastAsia="宋体" w:cs="宋体"/>
      <w:b/>
      <w:color w:val="FF0000"/>
      <w:sz w:val="18"/>
      <w:szCs w:val="18"/>
      <w:u w:val="none"/>
    </w:rPr>
  </w:style>
  <w:style w:type="character" w:customStyle="1" w:styleId="60">
    <w:name w:val="正文文本缩进 Char1"/>
    <w:qFormat/>
    <w:uiPriority w:val="0"/>
    <w:rPr>
      <w:kern w:val="2"/>
      <w:sz w:val="21"/>
      <w:szCs w:val="24"/>
    </w:rPr>
  </w:style>
  <w:style w:type="character" w:customStyle="1" w:styleId="61">
    <w:name w:val="无"/>
    <w:qFormat/>
    <w:uiPriority w:val="0"/>
  </w:style>
  <w:style w:type="character" w:customStyle="1" w:styleId="62">
    <w:name w:val="font31"/>
    <w:qFormat/>
    <w:uiPriority w:val="0"/>
    <w:rPr>
      <w:rFonts w:hint="eastAsia" w:ascii="宋体" w:hAnsi="宋体" w:eastAsia="宋体" w:cs="宋体"/>
      <w:color w:val="FF0000"/>
      <w:sz w:val="18"/>
      <w:szCs w:val="18"/>
      <w:u w:val="none"/>
    </w:rPr>
  </w:style>
  <w:style w:type="character" w:customStyle="1" w:styleId="63">
    <w:name w:val="纯文本 Char"/>
    <w:qFormat/>
    <w:uiPriority w:val="0"/>
    <w:rPr>
      <w:rFonts w:hint="eastAsia" w:ascii="宋体" w:hAnsi="Courier New" w:eastAsia="宋体" w:cs="宋体"/>
      <w:sz w:val="24"/>
      <w:szCs w:val="24"/>
    </w:rPr>
  </w:style>
  <w:style w:type="character" w:customStyle="1" w:styleId="64">
    <w:name w:val="font51"/>
    <w:qFormat/>
    <w:uiPriority w:val="0"/>
    <w:rPr>
      <w:rFonts w:hint="eastAsia" w:ascii="宋体" w:hAnsi="宋体" w:eastAsia="宋体" w:cs="宋体"/>
      <w:color w:val="000000"/>
      <w:sz w:val="20"/>
      <w:szCs w:val="20"/>
      <w:u w:val="none"/>
    </w:rPr>
  </w:style>
  <w:style w:type="character" w:customStyle="1" w:styleId="65">
    <w:name w:val="标题 字符"/>
    <w:qFormat/>
    <w:uiPriority w:val="0"/>
    <w:rPr>
      <w:rFonts w:ascii="Arial" w:hAnsi="Arial" w:eastAsia="宋体" w:cs="Arial"/>
      <w:b/>
      <w:bCs/>
      <w:kern w:val="2"/>
      <w:sz w:val="32"/>
      <w:szCs w:val="32"/>
      <w:lang w:val="en-US" w:eastAsia="zh-CN" w:bidi="ar-SA"/>
    </w:rPr>
  </w:style>
  <w:style w:type="character" w:customStyle="1" w:styleId="66">
    <w:name w:val="纯文本 Char1"/>
    <w:qFormat/>
    <w:uiPriority w:val="0"/>
    <w:rPr>
      <w:rFonts w:ascii="宋体" w:hAnsi="Courier New" w:eastAsia="宋体"/>
      <w:kern w:val="2"/>
      <w:sz w:val="24"/>
      <w:szCs w:val="24"/>
      <w:lang w:val="en-US" w:eastAsia="zh-CN" w:bidi="ar-SA"/>
    </w:rPr>
  </w:style>
  <w:style w:type="character" w:customStyle="1" w:styleId="67">
    <w:name w:val="标题 1 Char Char"/>
    <w:qFormat/>
    <w:uiPriority w:val="0"/>
    <w:rPr>
      <w:rFonts w:eastAsia="宋体"/>
      <w:b/>
      <w:spacing w:val="-2"/>
      <w:sz w:val="24"/>
      <w:lang w:val="en-US" w:eastAsia="zh-CN" w:bidi="ar-SA"/>
    </w:rPr>
  </w:style>
  <w:style w:type="character" w:customStyle="1" w:styleId="68">
    <w:name w:val="font61"/>
    <w:qFormat/>
    <w:uiPriority w:val="0"/>
    <w:rPr>
      <w:rFonts w:hint="eastAsia" w:ascii="宋体" w:hAnsi="宋体" w:eastAsia="宋体" w:cs="宋体"/>
      <w:b/>
      <w:color w:val="FF0000"/>
      <w:sz w:val="20"/>
      <w:szCs w:val="20"/>
      <w:u w:val="none"/>
    </w:rPr>
  </w:style>
  <w:style w:type="character" w:customStyle="1" w:styleId="69">
    <w:name w:val="纯文本 Char11"/>
    <w:qFormat/>
    <w:uiPriority w:val="0"/>
    <w:rPr>
      <w:rFonts w:hint="eastAsia" w:ascii="宋体" w:hAnsi="Courier New" w:eastAsia="宋体" w:cs="Courier New"/>
      <w:kern w:val="2"/>
      <w:sz w:val="21"/>
      <w:szCs w:val="21"/>
    </w:rPr>
  </w:style>
  <w:style w:type="character" w:customStyle="1" w:styleId="70">
    <w:name w:val="font11"/>
    <w:basedOn w:val="39"/>
    <w:qFormat/>
    <w:uiPriority w:val="0"/>
    <w:rPr>
      <w:rFonts w:hint="eastAsia" w:ascii="宋体" w:hAnsi="宋体" w:eastAsia="宋体" w:cs="宋体"/>
      <w:color w:val="000000"/>
      <w:sz w:val="20"/>
      <w:szCs w:val="20"/>
      <w:u w:val="none"/>
    </w:rPr>
  </w:style>
  <w:style w:type="character" w:customStyle="1" w:styleId="71">
    <w:name w:val="正文文本 字符"/>
    <w:qFormat/>
    <w:uiPriority w:val="99"/>
    <w:rPr>
      <w:kern w:val="2"/>
      <w:sz w:val="21"/>
      <w:szCs w:val="24"/>
    </w:rPr>
  </w:style>
  <w:style w:type="character" w:customStyle="1" w:styleId="72">
    <w:name w:val="font41"/>
    <w:qFormat/>
    <w:uiPriority w:val="0"/>
    <w:rPr>
      <w:rFonts w:hint="eastAsia" w:ascii="宋体" w:hAnsi="宋体" w:eastAsia="宋体" w:cs="宋体"/>
      <w:color w:val="000000"/>
      <w:sz w:val="18"/>
      <w:szCs w:val="18"/>
      <w:u w:val="none"/>
    </w:rPr>
  </w:style>
  <w:style w:type="character" w:customStyle="1" w:styleId="73">
    <w:name w:val="正文缩进 Char"/>
    <w:qFormat/>
    <w:uiPriority w:val="0"/>
  </w:style>
  <w:style w:type="character" w:customStyle="1" w:styleId="74">
    <w:name w:val="纯文本 Char3"/>
    <w:qFormat/>
    <w:uiPriority w:val="0"/>
    <w:rPr>
      <w:rFonts w:ascii="宋体" w:hAnsi="Courier New" w:eastAsia="宋体"/>
      <w:kern w:val="2"/>
      <w:sz w:val="24"/>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qFormat/>
    <w:uiPriority w:val="0"/>
    <w:pPr>
      <w:ind w:firstLine="420" w:firstLineChars="200"/>
    </w:pPr>
    <w:rPr>
      <w:rFonts w:ascii="Calibri" w:hAnsi="Calibri"/>
      <w:szCs w:val="22"/>
    </w:rPr>
  </w:style>
  <w:style w:type="paragraph" w:customStyle="1" w:styleId="77">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
    <w:name w:val="Char Char Char1"/>
    <w:basedOn w:val="1"/>
    <w:qFormat/>
    <w:uiPriority w:val="0"/>
    <w:rPr>
      <w:sz w:val="21"/>
    </w:rPr>
  </w:style>
  <w:style w:type="paragraph" w:customStyle="1" w:styleId="7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_Style 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纯文本1"/>
    <w:basedOn w:val="82"/>
    <w:qFormat/>
    <w:uiPriority w:val="0"/>
    <w:pPr>
      <w:widowControl/>
      <w:jc w:val="left"/>
    </w:pPr>
    <w:rPr>
      <w:rFonts w:ascii="宋体" w:hAnsi="Courier New"/>
    </w:rPr>
  </w:style>
  <w:style w:type="paragraph" w:customStyle="1" w:styleId="82">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3">
    <w:name w:val="表格文字"/>
    <w:basedOn w:val="1"/>
    <w:next w:val="3"/>
    <w:qFormat/>
    <w:uiPriority w:val="0"/>
    <w:pPr>
      <w:adjustRightInd w:val="0"/>
      <w:spacing w:line="420" w:lineRule="atLeast"/>
      <w:jc w:val="left"/>
      <w:textAlignment w:val="baseline"/>
    </w:pPr>
    <w:rPr>
      <w:kern w:val="0"/>
    </w:rPr>
  </w:style>
  <w:style w:type="paragraph" w:customStyle="1" w:styleId="8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5">
    <w:name w:val="标准中文版式_正文"/>
    <w:basedOn w:val="1"/>
    <w:qFormat/>
    <w:uiPriority w:val="0"/>
    <w:pPr>
      <w:spacing w:before="30" w:line="360" w:lineRule="auto"/>
      <w:ind w:firstLine="200" w:firstLineChars="200"/>
    </w:pPr>
    <w:rPr>
      <w:rFonts w:ascii="Arial" w:hAnsi="Arial"/>
      <w:sz w:val="24"/>
    </w:rPr>
  </w:style>
  <w:style w:type="paragraph" w:customStyle="1" w:styleId="86">
    <w:name w:val="正文（首行缩进2字符）"/>
    <w:basedOn w:val="1"/>
    <w:qFormat/>
    <w:uiPriority w:val="0"/>
    <w:pPr>
      <w:spacing w:line="360" w:lineRule="auto"/>
      <w:ind w:firstLine="420" w:firstLineChars="200"/>
    </w:pPr>
    <w:rPr>
      <w:szCs w:val="21"/>
    </w:rPr>
  </w:style>
  <w:style w:type="paragraph" w:customStyle="1" w:styleId="87">
    <w:name w:val="_Style 1"/>
    <w:qFormat/>
    <w:uiPriority w:val="99"/>
    <w:rPr>
      <w:rFonts w:ascii="Calibri" w:hAnsi="Calibri" w:eastAsia="宋体" w:cs="Times New Roman"/>
      <w:kern w:val="2"/>
      <w:sz w:val="28"/>
      <w:szCs w:val="22"/>
      <w:lang w:val="en-US" w:eastAsia="zh-CN" w:bidi="ar-SA"/>
    </w:rPr>
  </w:style>
  <w:style w:type="paragraph" w:customStyle="1" w:styleId="88">
    <w:name w:val="Char1"/>
    <w:basedOn w:val="1"/>
    <w:qFormat/>
    <w:uiPriority w:val="0"/>
    <w:rPr>
      <w:rFonts w:ascii="Tahoma" w:hAnsi="Tahoma"/>
      <w:sz w:val="24"/>
      <w:szCs w:val="20"/>
    </w:rPr>
  </w:style>
  <w:style w:type="paragraph" w:customStyle="1" w:styleId="89">
    <w:name w:val="Char"/>
    <w:basedOn w:val="1"/>
    <w:qFormat/>
    <w:uiPriority w:val="0"/>
    <w:rPr>
      <w:sz w:val="21"/>
    </w:rPr>
  </w:style>
  <w:style w:type="paragraph" w:customStyle="1" w:styleId="90">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91">
    <w:name w:val="默认"/>
    <w:qFormat/>
    <w:uiPriority w:val="0"/>
    <w:rPr>
      <w:rFonts w:hint="eastAsia" w:ascii="Arial Unicode MS" w:hAnsi="Arial Unicode MS" w:eastAsia="Helvetica" w:cs="Arial Unicode MS"/>
      <w:color w:val="000000"/>
      <w:sz w:val="22"/>
      <w:szCs w:val="22"/>
      <w:lang w:val="zh-CN" w:eastAsia="zh-CN" w:bidi="ar-SA"/>
    </w:rPr>
  </w:style>
  <w:style w:type="paragraph" w:customStyle="1" w:styleId="92">
    <w:name w:val="_Style 10"/>
    <w:basedOn w:val="1"/>
    <w:qFormat/>
    <w:uiPriority w:val="0"/>
    <w:rPr>
      <w:rFonts w:ascii="Tahoma" w:hAnsi="Tahoma"/>
      <w:sz w:val="24"/>
      <w:szCs w:val="20"/>
    </w:rPr>
  </w:style>
  <w:style w:type="paragraph" w:customStyle="1" w:styleId="9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4">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95">
    <w:name w:val="正文_1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96">
    <w:name w:val="Char11"/>
    <w:basedOn w:val="1"/>
    <w:qFormat/>
    <w:uiPriority w:val="0"/>
    <w:pPr>
      <w:jc w:val="center"/>
    </w:pPr>
    <w:rPr>
      <w:rFonts w:ascii="仿宋_GB2312" w:eastAsia="仿宋_GB2312"/>
      <w:b/>
      <w:kern w:val="0"/>
      <w:sz w:val="32"/>
      <w:szCs w:val="32"/>
      <w:lang w:val="en-GB"/>
    </w:rPr>
  </w:style>
  <w:style w:type="paragraph" w:customStyle="1" w:styleId="97">
    <w:name w:val="Char2"/>
    <w:basedOn w:val="1"/>
    <w:next w:val="1"/>
    <w:qFormat/>
    <w:uiPriority w:val="0"/>
    <w:pPr>
      <w:spacing w:before="120" w:line="360" w:lineRule="auto"/>
      <w:ind w:firstLine="425"/>
    </w:pPr>
    <w:rPr>
      <w:sz w:val="24"/>
    </w:rPr>
  </w:style>
  <w:style w:type="paragraph" w:customStyle="1" w:styleId="98">
    <w:name w:val="Char3"/>
    <w:basedOn w:val="1"/>
    <w:qFormat/>
    <w:uiPriority w:val="0"/>
    <w:rPr>
      <w:sz w:val="24"/>
    </w:rPr>
  </w:style>
  <w:style w:type="paragraph" w:customStyle="1" w:styleId="99">
    <w:name w:val="默认段落字体 Para Char Char Char Char Char Char Char Char Char1 Char Char Char Char"/>
    <w:basedOn w:val="1"/>
    <w:qFormat/>
    <w:uiPriority w:val="0"/>
    <w:rPr>
      <w:rFonts w:ascii="Tahoma" w:hAnsi="Tahoma"/>
      <w:sz w:val="24"/>
      <w:szCs w:val="20"/>
    </w:rPr>
  </w:style>
  <w:style w:type="paragraph" w:customStyle="1" w:styleId="100">
    <w:name w:val="无间隔1"/>
    <w:basedOn w:val="1"/>
    <w:qFormat/>
    <w:uiPriority w:val="0"/>
    <w:pPr>
      <w:widowControl/>
      <w:adjustRightInd w:val="0"/>
      <w:snapToGrid w:val="0"/>
      <w:jc w:val="left"/>
    </w:pPr>
    <w:rPr>
      <w:rFonts w:ascii="Tahoma" w:hAnsi="Tahoma" w:eastAsia="微软雅黑"/>
      <w:kern w:val="0"/>
      <w:sz w:val="22"/>
      <w:szCs w:val="22"/>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3">
    <w:name w:val="正文段"/>
    <w:basedOn w:val="1"/>
    <w:qFormat/>
    <w:uiPriority w:val="0"/>
    <w:pPr>
      <w:widowControl/>
      <w:snapToGrid w:val="0"/>
      <w:spacing w:after="156" w:afterLines="50"/>
      <w:ind w:firstLine="200" w:firstLineChars="200"/>
    </w:pPr>
    <w:rPr>
      <w:kern w:val="0"/>
      <w:sz w:val="24"/>
      <w:szCs w:val="20"/>
    </w:rPr>
  </w:style>
  <w:style w:type="paragraph" w:customStyle="1" w:styleId="104">
    <w:name w:val="正文_14"/>
    <w:qFormat/>
    <w:uiPriority w:val="0"/>
    <w:rPr>
      <w:rFonts w:ascii="Times New Roman" w:hAnsi="Times New Roman" w:eastAsia="宋体" w:cs="Times New Roman"/>
      <w:sz w:val="21"/>
      <w:szCs w:val="22"/>
      <w:lang w:val="en-US" w:eastAsia="zh-CN" w:bidi="ar-SA"/>
    </w:rPr>
  </w:style>
  <w:style w:type="paragraph" w:customStyle="1" w:styleId="10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7">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8">
    <w:name w:val="xl68"/>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0">
    <w:name w:val="xl70"/>
    <w:basedOn w:val="1"/>
    <w:qFormat/>
    <w:uiPriority w:val="0"/>
    <w:pPr>
      <w:widowControl/>
      <w:spacing w:before="100" w:beforeAutospacing="1" w:after="100" w:afterAutospacing="1"/>
      <w:jc w:val="left"/>
    </w:pPr>
    <w:rPr>
      <w:rFonts w:ascii="宋体" w:hAnsi="宋体" w:cs="宋体"/>
      <w:kern w:val="0"/>
      <w:sz w:val="24"/>
    </w:rPr>
  </w:style>
  <w:style w:type="paragraph" w:customStyle="1" w:styleId="111">
    <w:name w:val="xl71"/>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11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13">
    <w:name w:val="xl73"/>
    <w:basedOn w:val="1"/>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11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1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1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1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Cs w:val="28"/>
    </w:rPr>
  </w:style>
  <w:style w:type="paragraph" w:customStyle="1" w:styleId="12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2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26">
    <w:name w:val="xl86"/>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27">
    <w:name w:val="xl87"/>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2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129">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3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1">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3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94"/>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3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3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3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3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4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14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paragraph" w:customStyle="1" w:styleId="14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4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FF0000"/>
      <w:kern w:val="0"/>
      <w:sz w:val="24"/>
    </w:rPr>
  </w:style>
  <w:style w:type="paragraph" w:customStyle="1" w:styleId="147">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4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50">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51">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152">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53">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0"/>
      <w:szCs w:val="20"/>
    </w:rPr>
  </w:style>
  <w:style w:type="paragraph" w:customStyle="1" w:styleId="156">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57">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color w:val="000000"/>
      <w:kern w:val="0"/>
      <w:sz w:val="24"/>
    </w:rPr>
  </w:style>
  <w:style w:type="paragraph" w:customStyle="1" w:styleId="158">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9">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60">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61">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6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63">
    <w:name w:val="xl121"/>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4">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0"/>
      <w:szCs w:val="20"/>
    </w:rPr>
  </w:style>
  <w:style w:type="paragraph" w:customStyle="1" w:styleId="165">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66">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67">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0"/>
      <w:szCs w:val="20"/>
    </w:rPr>
  </w:style>
  <w:style w:type="paragraph" w:customStyle="1" w:styleId="16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169">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0">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92D050"/>
      <w:kern w:val="0"/>
      <w:sz w:val="20"/>
      <w:szCs w:val="20"/>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黑体" w:hAnsi="黑体" w:eastAsia="黑体" w:cs="宋体"/>
      <w:kern w:val="0"/>
      <w:sz w:val="24"/>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2"/>
      <w:szCs w:val="22"/>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185">
    <w:name w:val="font81"/>
    <w:basedOn w:val="39"/>
    <w:qFormat/>
    <w:uiPriority w:val="0"/>
    <w:rPr>
      <w:rFonts w:hint="eastAsia" w:ascii="宋体" w:hAnsi="宋体" w:eastAsia="宋体" w:cs="宋体"/>
      <w:color w:val="000000"/>
      <w:sz w:val="20"/>
      <w:szCs w:val="20"/>
      <w:u w:val="none"/>
    </w:rPr>
  </w:style>
  <w:style w:type="character" w:customStyle="1" w:styleId="186">
    <w:name w:val="font141"/>
    <w:basedOn w:val="39"/>
    <w:qFormat/>
    <w:uiPriority w:val="0"/>
    <w:rPr>
      <w:rFonts w:hint="eastAsia" w:ascii="宋体" w:hAnsi="宋体" w:eastAsia="宋体" w:cs="宋体"/>
      <w:color w:val="FF0000"/>
      <w:sz w:val="20"/>
      <w:szCs w:val="20"/>
      <w:u w:val="none"/>
    </w:rPr>
  </w:style>
  <w:style w:type="character" w:customStyle="1" w:styleId="187">
    <w:name w:val="font101"/>
    <w:basedOn w:val="39"/>
    <w:qFormat/>
    <w:uiPriority w:val="0"/>
    <w:rPr>
      <w:rFonts w:hint="eastAsia" w:ascii="宋体" w:hAnsi="宋体" w:eastAsia="宋体" w:cs="宋体"/>
      <w:color w:val="000000"/>
      <w:sz w:val="22"/>
      <w:szCs w:val="22"/>
      <w:u w:val="none"/>
    </w:rPr>
  </w:style>
  <w:style w:type="character" w:customStyle="1" w:styleId="188">
    <w:name w:val="font71"/>
    <w:basedOn w:val="39"/>
    <w:qFormat/>
    <w:uiPriority w:val="0"/>
    <w:rPr>
      <w:rFonts w:hint="eastAsia" w:ascii="宋体" w:hAnsi="宋体" w:eastAsia="宋体" w:cs="宋体"/>
      <w:color w:val="000000"/>
      <w:sz w:val="20"/>
      <w:szCs w:val="20"/>
      <w:u w:val="none"/>
    </w:rPr>
  </w:style>
  <w:style w:type="character" w:customStyle="1" w:styleId="189">
    <w:name w:val="font121"/>
    <w:basedOn w:val="39"/>
    <w:qFormat/>
    <w:uiPriority w:val="0"/>
    <w:rPr>
      <w:rFonts w:hint="eastAsia" w:ascii="宋体" w:hAnsi="宋体" w:eastAsia="宋体" w:cs="宋体"/>
      <w:color w:val="FF0000"/>
      <w:sz w:val="20"/>
      <w:szCs w:val="20"/>
      <w:u w:val="none"/>
    </w:rPr>
  </w:style>
  <w:style w:type="character" w:customStyle="1" w:styleId="190">
    <w:name w:val="font212"/>
    <w:basedOn w:val="39"/>
    <w:qFormat/>
    <w:uiPriority w:val="0"/>
    <w:rPr>
      <w:rFonts w:hint="eastAsia" w:ascii="宋体" w:hAnsi="宋体" w:eastAsia="宋体" w:cs="宋体"/>
      <w:color w:val="000000"/>
      <w:sz w:val="22"/>
      <w:szCs w:val="22"/>
      <w:u w:val="none"/>
    </w:rPr>
  </w:style>
  <w:style w:type="paragraph" w:customStyle="1" w:styleId="191">
    <w:name w:val="正文缩进1"/>
    <w:basedOn w:val="1"/>
    <w:qFormat/>
    <w:uiPriority w:val="0"/>
    <w:pPr>
      <w:ind w:firstLine="420"/>
    </w:pPr>
  </w:style>
  <w:style w:type="character" w:customStyle="1" w:styleId="192">
    <w:name w:val="font21"/>
    <w:basedOn w:val="39"/>
    <w:qFormat/>
    <w:uiPriority w:val="0"/>
    <w:rPr>
      <w:rFonts w:hint="eastAsia" w:ascii="宋体" w:hAnsi="宋体" w:eastAsia="宋体" w:cs="宋体"/>
      <w:color w:val="000000"/>
      <w:sz w:val="18"/>
      <w:szCs w:val="18"/>
      <w:u w:val="none"/>
    </w:rPr>
  </w:style>
  <w:style w:type="paragraph" w:customStyle="1" w:styleId="193">
    <w:name w:val="[Normal]"/>
    <w:autoRedefine/>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522B5-7BF7-4DAB-9DDA-0FC0E851E18E}">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48</Pages>
  <Words>29998</Words>
  <Characters>31909</Characters>
  <Lines>320</Lines>
  <Paragraphs>90</Paragraphs>
  <TotalTime>28</TotalTime>
  <ScaleCrop>false</ScaleCrop>
  <LinksUpToDate>false</LinksUpToDate>
  <CharactersWithSpaces>33337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2023-03-24T03:02:00Z</dcterms:created>
  <dc:creator>费国炎</dc:creator>
  <cp:lastModifiedBy>Nothing</cp:lastModifiedBy>
  <cp:lastPrinted>2024-08-27T03:27:00Z</cp:lastPrinted>
  <dcterms:modified xsi:type="dcterms:W3CDTF">2024-09-19T02:09:54Z</dcterms:modified>
  <dc:title>浙江省政府采购招标文件（范本）</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538CDE14FC8A4E9FBCF11919C540D737_13</vt:lpwstr>
  </property>
</Properties>
</file>