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9F06">
      <w:pPr>
        <w:autoSpaceDE w:val="0"/>
        <w:autoSpaceDN w:val="0"/>
        <w:spacing w:line="500" w:lineRule="atLeast"/>
        <w:jc w:val="center"/>
        <w:textAlignment w:val="bottom"/>
        <w:rPr>
          <w:rFonts w:hint="eastAsia" w:ascii="新宋体" w:hAnsi="新宋体" w:eastAsia="新宋体" w:cs="新宋体"/>
          <w:b/>
          <w:bCs w:val="0"/>
          <w:color w:val="auto"/>
          <w:sz w:val="84"/>
          <w:szCs w:val="84"/>
          <w:highlight w:val="none"/>
        </w:rPr>
      </w:pPr>
      <w:r>
        <w:rPr>
          <w:rFonts w:hint="eastAsia" w:ascii="新宋体" w:hAnsi="新宋体" w:cs="新宋体"/>
          <w:b/>
          <w:bCs w:val="0"/>
          <w:color w:val="auto"/>
          <w:sz w:val="84"/>
          <w:szCs w:val="84"/>
          <w:highlight w:val="none"/>
          <w:lang w:val="en-US" w:eastAsia="zh-CN"/>
        </w:rPr>
        <w:t>港理大（温州）技术创新研究院有限公司</w:t>
      </w:r>
    </w:p>
    <w:p w14:paraId="4A6CCD98">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62BA3147">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7DA5205B">
      <w:pPr>
        <w:autoSpaceDE w:val="0"/>
        <w:autoSpaceDN w:val="0"/>
        <w:adjustRightInd w:val="0"/>
        <w:spacing w:line="500" w:lineRule="atLeast"/>
        <w:ind w:left="-202" w:right="-202" w:firstLine="60"/>
        <w:jc w:val="center"/>
        <w:rPr>
          <w:rFonts w:cs="新宋体" w:asciiTheme="majorEastAsia" w:hAnsiTheme="majorEastAsia" w:eastAsiaTheme="majorEastAsia"/>
          <w:b/>
          <w:bCs/>
          <w:color w:val="auto"/>
          <w:kern w:val="0"/>
          <w:sz w:val="72"/>
          <w:szCs w:val="72"/>
          <w:highlight w:val="none"/>
          <w:lang w:val="zh-CN"/>
        </w:rPr>
      </w:pPr>
      <w:r>
        <w:rPr>
          <w:rFonts w:hint="eastAsia" w:cs="新宋体" w:asciiTheme="majorEastAsia" w:hAnsiTheme="majorEastAsia" w:eastAsiaTheme="majorEastAsia"/>
          <w:b/>
          <w:bCs/>
          <w:color w:val="auto"/>
          <w:kern w:val="0"/>
          <w:sz w:val="72"/>
          <w:szCs w:val="72"/>
          <w:highlight w:val="none"/>
          <w:lang w:val="zh-CN"/>
        </w:rPr>
        <w:t>采</w:t>
      </w:r>
      <w:r>
        <w:rPr>
          <w:rFonts w:hint="eastAsia" w:cs="新宋体" w:asciiTheme="majorEastAsia" w:hAnsiTheme="majorEastAsia" w:eastAsiaTheme="majorEastAsia"/>
          <w:b/>
          <w:bCs/>
          <w:color w:val="auto"/>
          <w:kern w:val="0"/>
          <w:sz w:val="72"/>
          <w:szCs w:val="72"/>
          <w:highlight w:val="none"/>
        </w:rPr>
        <w:t xml:space="preserve"> </w:t>
      </w:r>
      <w:r>
        <w:rPr>
          <w:rFonts w:hint="eastAsia" w:cs="新宋体" w:asciiTheme="majorEastAsia" w:hAnsiTheme="majorEastAsia" w:eastAsiaTheme="majorEastAsia"/>
          <w:b/>
          <w:bCs/>
          <w:color w:val="auto"/>
          <w:kern w:val="0"/>
          <w:sz w:val="72"/>
          <w:szCs w:val="72"/>
          <w:highlight w:val="none"/>
          <w:lang w:val="zh-CN"/>
        </w:rPr>
        <w:t>购</w:t>
      </w:r>
      <w:r>
        <w:rPr>
          <w:rFonts w:hint="eastAsia" w:cs="新宋体" w:asciiTheme="majorEastAsia" w:hAnsiTheme="majorEastAsia" w:eastAsiaTheme="majorEastAsia"/>
          <w:b/>
          <w:bCs/>
          <w:color w:val="auto"/>
          <w:kern w:val="0"/>
          <w:sz w:val="72"/>
          <w:szCs w:val="72"/>
          <w:highlight w:val="none"/>
        </w:rPr>
        <w:t xml:space="preserve"> </w:t>
      </w:r>
      <w:r>
        <w:rPr>
          <w:rFonts w:hint="eastAsia" w:cs="新宋体" w:asciiTheme="majorEastAsia" w:hAnsiTheme="majorEastAsia" w:eastAsiaTheme="majorEastAsia"/>
          <w:b/>
          <w:bCs/>
          <w:color w:val="auto"/>
          <w:kern w:val="0"/>
          <w:sz w:val="72"/>
          <w:szCs w:val="72"/>
          <w:highlight w:val="none"/>
          <w:lang w:val="zh-CN"/>
        </w:rPr>
        <w:t>文</w:t>
      </w:r>
      <w:r>
        <w:rPr>
          <w:rFonts w:hint="eastAsia" w:cs="新宋体" w:asciiTheme="majorEastAsia" w:hAnsiTheme="majorEastAsia" w:eastAsiaTheme="majorEastAsia"/>
          <w:b/>
          <w:bCs/>
          <w:color w:val="auto"/>
          <w:kern w:val="0"/>
          <w:sz w:val="72"/>
          <w:szCs w:val="72"/>
          <w:highlight w:val="none"/>
        </w:rPr>
        <w:t xml:space="preserve"> </w:t>
      </w:r>
      <w:r>
        <w:rPr>
          <w:rFonts w:hint="eastAsia" w:cs="新宋体" w:asciiTheme="majorEastAsia" w:hAnsiTheme="majorEastAsia" w:eastAsiaTheme="majorEastAsia"/>
          <w:b/>
          <w:bCs/>
          <w:color w:val="auto"/>
          <w:kern w:val="0"/>
          <w:sz w:val="72"/>
          <w:szCs w:val="72"/>
          <w:highlight w:val="none"/>
          <w:lang w:val="zh-CN"/>
        </w:rPr>
        <w:t>件</w:t>
      </w:r>
    </w:p>
    <w:p w14:paraId="10F194EF">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5BC481CC">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79E49D31">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tbl>
      <w:tblPr>
        <w:tblStyle w:val="29"/>
        <w:tblW w:w="5600" w:type="dxa"/>
        <w:jc w:val="center"/>
        <w:tblLayout w:type="fixed"/>
        <w:tblCellMar>
          <w:top w:w="0" w:type="dxa"/>
          <w:left w:w="108" w:type="dxa"/>
          <w:bottom w:w="0" w:type="dxa"/>
          <w:right w:w="108" w:type="dxa"/>
        </w:tblCellMar>
      </w:tblPr>
      <w:tblGrid>
        <w:gridCol w:w="1515"/>
        <w:gridCol w:w="4085"/>
      </w:tblGrid>
      <w:tr w14:paraId="59640528">
        <w:tblPrEx>
          <w:tblCellMar>
            <w:top w:w="0" w:type="dxa"/>
            <w:left w:w="108" w:type="dxa"/>
            <w:bottom w:w="0" w:type="dxa"/>
            <w:right w:w="108" w:type="dxa"/>
          </w:tblCellMar>
        </w:tblPrEx>
        <w:trPr>
          <w:trHeight w:val="707" w:hRule="atLeast"/>
          <w:jc w:val="center"/>
        </w:trPr>
        <w:tc>
          <w:tcPr>
            <w:tcW w:w="1515" w:type="dxa"/>
            <w:vAlign w:val="center"/>
          </w:tcPr>
          <w:p w14:paraId="4055C056">
            <w:pPr>
              <w:tabs>
                <w:tab w:val="left" w:pos="1100"/>
              </w:tabs>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项目编号：</w:t>
            </w:r>
          </w:p>
        </w:tc>
        <w:tc>
          <w:tcPr>
            <w:tcW w:w="4085" w:type="dxa"/>
            <w:vAlign w:val="center"/>
          </w:tcPr>
          <w:p w14:paraId="62C694F2">
            <w:pPr>
              <w:ind w:right="92" w:rightChars="42"/>
              <w:rPr>
                <w:rFonts w:hint="eastAsia" w:cs="新宋体" w:asciiTheme="majorEastAsia" w:hAnsiTheme="majorEastAsia" w:eastAsiaTheme="majorEastAsia"/>
                <w:b/>
                <w:color w:val="auto"/>
                <w:sz w:val="28"/>
                <w:szCs w:val="28"/>
                <w:highlight w:val="none"/>
                <w:lang w:eastAsia="zh-CN"/>
              </w:rPr>
            </w:pPr>
            <w:r>
              <w:rPr>
                <w:rFonts w:hint="eastAsia" w:cs="新宋体" w:asciiTheme="majorEastAsia" w:hAnsiTheme="majorEastAsia" w:eastAsiaTheme="majorEastAsia"/>
                <w:b/>
                <w:color w:val="auto"/>
                <w:sz w:val="28"/>
                <w:szCs w:val="28"/>
                <w:highlight w:val="none"/>
                <w:lang w:eastAsia="zh-CN"/>
              </w:rPr>
              <w:t>ZXZB-H20241226-JM</w:t>
            </w:r>
          </w:p>
        </w:tc>
      </w:tr>
      <w:tr w14:paraId="0F4192EE">
        <w:tblPrEx>
          <w:tblCellMar>
            <w:top w:w="0" w:type="dxa"/>
            <w:left w:w="108" w:type="dxa"/>
            <w:bottom w:w="0" w:type="dxa"/>
            <w:right w:w="108" w:type="dxa"/>
          </w:tblCellMar>
        </w:tblPrEx>
        <w:trPr>
          <w:trHeight w:val="795" w:hRule="atLeast"/>
          <w:jc w:val="center"/>
        </w:trPr>
        <w:tc>
          <w:tcPr>
            <w:tcW w:w="1515" w:type="dxa"/>
            <w:vAlign w:val="center"/>
          </w:tcPr>
          <w:p w14:paraId="571BAA4B">
            <w:pPr>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项目名称：</w:t>
            </w:r>
          </w:p>
        </w:tc>
        <w:tc>
          <w:tcPr>
            <w:tcW w:w="4085" w:type="dxa"/>
            <w:vAlign w:val="center"/>
          </w:tcPr>
          <w:p w14:paraId="027912AF">
            <w:pPr>
              <w:ind w:right="92" w:rightChars="42"/>
              <w:rPr>
                <w:rFonts w:hint="eastAsia" w:asciiTheme="majorEastAsia" w:hAnsiTheme="majorEastAsia" w:eastAsiaTheme="majorEastAsia"/>
                <w:b/>
                <w:color w:val="auto"/>
                <w:kern w:val="0"/>
                <w:sz w:val="30"/>
                <w:szCs w:val="30"/>
                <w:highlight w:val="none"/>
                <w:lang w:eastAsia="zh-CN"/>
              </w:rPr>
            </w:pPr>
            <w:r>
              <w:rPr>
                <w:rFonts w:hint="eastAsia" w:asciiTheme="majorEastAsia" w:hAnsiTheme="majorEastAsia" w:eastAsiaTheme="majorEastAsia"/>
                <w:b/>
                <w:color w:val="auto"/>
                <w:kern w:val="0"/>
                <w:sz w:val="30"/>
                <w:szCs w:val="30"/>
                <w:highlight w:val="none"/>
                <w:lang w:eastAsia="zh-CN"/>
              </w:rPr>
              <w:t>超精密中心实验室设备采购</w:t>
            </w:r>
          </w:p>
        </w:tc>
      </w:tr>
      <w:tr w14:paraId="6E9746FF">
        <w:tblPrEx>
          <w:tblCellMar>
            <w:top w:w="0" w:type="dxa"/>
            <w:left w:w="108" w:type="dxa"/>
            <w:bottom w:w="0" w:type="dxa"/>
            <w:right w:w="108" w:type="dxa"/>
          </w:tblCellMar>
        </w:tblPrEx>
        <w:trPr>
          <w:trHeight w:val="707" w:hRule="atLeast"/>
          <w:jc w:val="center"/>
        </w:trPr>
        <w:tc>
          <w:tcPr>
            <w:tcW w:w="1515" w:type="dxa"/>
            <w:vAlign w:val="center"/>
          </w:tcPr>
          <w:p w14:paraId="3ABC4E3B">
            <w:pPr>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采购方式：</w:t>
            </w:r>
          </w:p>
        </w:tc>
        <w:tc>
          <w:tcPr>
            <w:tcW w:w="4085" w:type="dxa"/>
            <w:vAlign w:val="center"/>
          </w:tcPr>
          <w:p w14:paraId="047167F5">
            <w:pPr>
              <w:ind w:right="92" w:rightChars="42"/>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公开招标</w:t>
            </w:r>
          </w:p>
        </w:tc>
      </w:tr>
    </w:tbl>
    <w:p w14:paraId="217EF898">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46492A5E">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tbl>
      <w:tblPr>
        <w:tblStyle w:val="29"/>
        <w:tblW w:w="4999" w:type="pct"/>
        <w:jc w:val="center"/>
        <w:tblLayout w:type="autofit"/>
        <w:tblCellMar>
          <w:top w:w="0" w:type="dxa"/>
          <w:left w:w="108" w:type="dxa"/>
          <w:bottom w:w="0" w:type="dxa"/>
          <w:right w:w="108" w:type="dxa"/>
        </w:tblCellMar>
      </w:tblPr>
      <w:tblGrid>
        <w:gridCol w:w="2248"/>
        <w:gridCol w:w="6470"/>
      </w:tblGrid>
      <w:tr w14:paraId="11F845B9">
        <w:tblPrEx>
          <w:tblCellMar>
            <w:top w:w="0" w:type="dxa"/>
            <w:left w:w="108" w:type="dxa"/>
            <w:bottom w:w="0" w:type="dxa"/>
            <w:right w:w="108" w:type="dxa"/>
          </w:tblCellMar>
        </w:tblPrEx>
        <w:trPr>
          <w:trHeight w:val="707" w:hRule="atLeast"/>
          <w:jc w:val="center"/>
        </w:trPr>
        <w:tc>
          <w:tcPr>
            <w:tcW w:w="1289" w:type="pct"/>
            <w:noWrap w:val="0"/>
            <w:vAlign w:val="center"/>
          </w:tcPr>
          <w:p w14:paraId="04F80938">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采购人</w:t>
            </w:r>
            <w:r>
              <w:rPr>
                <w:rFonts w:hint="eastAsia" w:ascii="新宋体" w:hAnsi="新宋体" w:eastAsia="新宋体" w:cs="新宋体"/>
                <w:b/>
                <w:color w:val="auto"/>
                <w:sz w:val="28"/>
                <w:szCs w:val="28"/>
                <w:highlight w:val="none"/>
              </w:rPr>
              <w:t>：</w:t>
            </w:r>
          </w:p>
        </w:tc>
        <w:tc>
          <w:tcPr>
            <w:tcW w:w="3710" w:type="pct"/>
            <w:noWrap w:val="0"/>
            <w:vAlign w:val="center"/>
          </w:tcPr>
          <w:p w14:paraId="6F01F1C2">
            <w:pPr>
              <w:jc w:val="distribute"/>
              <w:rPr>
                <w:rFonts w:hint="eastAsia" w:ascii="新宋体" w:hAnsi="新宋体" w:eastAsia="新宋体" w:cs="新宋体"/>
                <w:b/>
                <w:color w:val="auto"/>
                <w:sz w:val="28"/>
                <w:szCs w:val="28"/>
                <w:highlight w:val="none"/>
                <w:lang w:eastAsia="zh-CN"/>
              </w:rPr>
            </w:pPr>
            <w:r>
              <w:rPr>
                <w:rFonts w:hint="eastAsia" w:ascii="新宋体" w:hAnsi="新宋体"/>
                <w:b/>
                <w:color w:val="auto"/>
                <w:sz w:val="28"/>
                <w:szCs w:val="28"/>
                <w:highlight w:val="none"/>
                <w:lang w:val="en-US" w:eastAsia="zh-CN"/>
              </w:rPr>
              <w:t>港理大（温州）技术创新研究院有限公司</w:t>
            </w:r>
          </w:p>
        </w:tc>
      </w:tr>
      <w:tr w14:paraId="0A6C9523">
        <w:tblPrEx>
          <w:tblCellMar>
            <w:top w:w="0" w:type="dxa"/>
            <w:left w:w="108" w:type="dxa"/>
            <w:bottom w:w="0" w:type="dxa"/>
            <w:right w:w="108" w:type="dxa"/>
          </w:tblCellMar>
        </w:tblPrEx>
        <w:trPr>
          <w:trHeight w:val="707" w:hRule="atLeast"/>
          <w:jc w:val="center"/>
        </w:trPr>
        <w:tc>
          <w:tcPr>
            <w:tcW w:w="1289" w:type="pct"/>
            <w:noWrap w:val="0"/>
            <w:vAlign w:val="center"/>
          </w:tcPr>
          <w:p w14:paraId="2FC77077">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采购代理机构：</w:t>
            </w:r>
          </w:p>
        </w:tc>
        <w:tc>
          <w:tcPr>
            <w:tcW w:w="3710" w:type="pct"/>
            <w:noWrap w:val="0"/>
            <w:vAlign w:val="center"/>
          </w:tcPr>
          <w:p w14:paraId="6566A5D6">
            <w:pPr>
              <w:jc w:val="distribute"/>
              <w:rPr>
                <w:rFonts w:hint="eastAsia" w:ascii="新宋体" w:hAnsi="新宋体" w:eastAsia="新宋体" w:cs="新宋体"/>
                <w:b/>
                <w:color w:val="auto"/>
                <w:sz w:val="28"/>
                <w:szCs w:val="28"/>
                <w:highlight w:val="none"/>
              </w:rPr>
            </w:pPr>
            <w:r>
              <w:rPr>
                <w:rFonts w:hint="eastAsia" w:ascii="新宋体" w:hAnsi="新宋体" w:eastAsia="新宋体"/>
                <w:b/>
                <w:color w:val="auto"/>
                <w:sz w:val="28"/>
                <w:szCs w:val="28"/>
                <w:highlight w:val="none"/>
              </w:rPr>
              <w:t>温州市智信招标代理有限公司</w:t>
            </w:r>
          </w:p>
        </w:tc>
      </w:tr>
    </w:tbl>
    <w:p w14:paraId="6928252A">
      <w:pPr>
        <w:ind w:right="-202"/>
        <w:jc w:val="center"/>
        <w:rPr>
          <w:rFonts w:cs="新宋体" w:asciiTheme="majorEastAsia" w:hAnsiTheme="majorEastAsia" w:eastAsiaTheme="majorEastAsia"/>
          <w:b/>
          <w:bCs/>
          <w:color w:val="auto"/>
          <w:spacing w:val="12"/>
          <w:kern w:val="0"/>
          <w:sz w:val="30"/>
          <w:szCs w:val="30"/>
          <w:highlight w:val="none"/>
          <w:lang w:val="zh-CN"/>
        </w:rPr>
      </w:pPr>
      <w:r>
        <w:rPr>
          <w:rFonts w:hint="eastAsia" w:cs="新宋体" w:asciiTheme="majorEastAsia" w:hAnsiTheme="majorEastAsia" w:eastAsiaTheme="majorEastAsia"/>
          <w:b/>
          <w:bCs/>
          <w:color w:val="auto"/>
          <w:spacing w:val="12"/>
          <w:kern w:val="0"/>
          <w:sz w:val="30"/>
          <w:szCs w:val="30"/>
          <w:highlight w:val="none"/>
          <w:lang w:val="zh-CN"/>
        </w:rPr>
        <w:t>二〇二</w:t>
      </w:r>
      <w:r>
        <w:rPr>
          <w:rFonts w:hint="eastAsia" w:cs="新宋体" w:asciiTheme="majorEastAsia" w:hAnsiTheme="majorEastAsia" w:eastAsiaTheme="majorEastAsia"/>
          <w:b/>
          <w:bCs/>
          <w:color w:val="auto"/>
          <w:spacing w:val="12"/>
          <w:kern w:val="0"/>
          <w:sz w:val="30"/>
          <w:szCs w:val="30"/>
          <w:highlight w:val="none"/>
          <w:lang w:val="en-US" w:eastAsia="zh-CN"/>
        </w:rPr>
        <w:t>五</w:t>
      </w:r>
      <w:r>
        <w:rPr>
          <w:rFonts w:hint="eastAsia" w:cs="新宋体" w:asciiTheme="majorEastAsia" w:hAnsiTheme="majorEastAsia" w:eastAsiaTheme="majorEastAsia"/>
          <w:b/>
          <w:bCs/>
          <w:color w:val="auto"/>
          <w:spacing w:val="12"/>
          <w:kern w:val="0"/>
          <w:sz w:val="30"/>
          <w:szCs w:val="30"/>
          <w:highlight w:val="none"/>
          <w:lang w:val="zh-CN"/>
        </w:rPr>
        <w:t>年</w:t>
      </w:r>
      <w:r>
        <w:rPr>
          <w:rFonts w:hint="eastAsia" w:cs="新宋体" w:asciiTheme="majorEastAsia" w:hAnsiTheme="majorEastAsia" w:eastAsiaTheme="majorEastAsia"/>
          <w:b/>
          <w:bCs/>
          <w:color w:val="auto"/>
          <w:spacing w:val="12"/>
          <w:kern w:val="0"/>
          <w:sz w:val="30"/>
          <w:szCs w:val="30"/>
          <w:highlight w:val="none"/>
          <w:lang w:val="en-US" w:eastAsia="zh-CN"/>
        </w:rPr>
        <w:t>二</w:t>
      </w:r>
      <w:r>
        <w:rPr>
          <w:rFonts w:hint="eastAsia" w:cs="新宋体" w:asciiTheme="majorEastAsia" w:hAnsiTheme="majorEastAsia" w:eastAsiaTheme="majorEastAsia"/>
          <w:b/>
          <w:bCs/>
          <w:color w:val="auto"/>
          <w:spacing w:val="12"/>
          <w:kern w:val="0"/>
          <w:sz w:val="30"/>
          <w:szCs w:val="30"/>
          <w:highlight w:val="none"/>
          <w:lang w:val="zh-CN"/>
        </w:rPr>
        <w:t>月</w:t>
      </w:r>
    </w:p>
    <w:p w14:paraId="192E26B9">
      <w:pPr>
        <w:widowControl/>
        <w:jc w:val="center"/>
        <w:rPr>
          <w:rFonts w:cs="新宋体" w:asciiTheme="majorEastAsia" w:hAnsiTheme="majorEastAsia" w:eastAsiaTheme="majorEastAsia"/>
          <w:b/>
          <w:bCs/>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134" w:right="1701" w:bottom="1134" w:left="1701" w:header="851" w:footer="851" w:gutter="0"/>
          <w:pgBorders>
            <w:top w:val="none" w:sz="0" w:space="0"/>
            <w:left w:val="none" w:sz="0" w:space="0"/>
            <w:bottom w:val="none" w:sz="0" w:space="0"/>
            <w:right w:val="none" w:sz="0" w:space="0"/>
          </w:pgBorders>
          <w:pgNumType w:start="0"/>
          <w:cols w:space="425" w:num="1"/>
          <w:titlePg/>
          <w:docGrid w:type="lines" w:linePitch="312" w:charSpace="0"/>
        </w:sectPr>
      </w:pPr>
    </w:p>
    <w:p w14:paraId="2624F506">
      <w:pPr>
        <w:widowControl/>
        <w:jc w:val="center"/>
        <w:rPr>
          <w:rFonts w:cs="新宋体" w:asciiTheme="majorEastAsia" w:hAnsiTheme="majorEastAsia" w:eastAsiaTheme="majorEastAsia"/>
          <w:b/>
          <w:bCs/>
          <w:color w:val="auto"/>
          <w:kern w:val="0"/>
          <w:sz w:val="32"/>
          <w:szCs w:val="32"/>
          <w:highlight w:val="none"/>
          <w:lang w:val="zh-CN"/>
        </w:rPr>
      </w:pPr>
      <w:r>
        <w:rPr>
          <w:rFonts w:hint="eastAsia" w:cs="新宋体" w:asciiTheme="majorEastAsia" w:hAnsiTheme="majorEastAsia" w:eastAsiaTheme="majorEastAsia"/>
          <w:b/>
          <w:bCs/>
          <w:color w:val="auto"/>
          <w:kern w:val="0"/>
          <w:sz w:val="32"/>
          <w:szCs w:val="32"/>
          <w:highlight w:val="none"/>
          <w:lang w:val="zh-CN"/>
        </w:rPr>
        <w:t>目</w:t>
      </w:r>
      <w:r>
        <w:rPr>
          <w:rFonts w:cs="新宋体" w:asciiTheme="majorEastAsia" w:hAnsiTheme="majorEastAsia" w:eastAsiaTheme="majorEastAsia"/>
          <w:b/>
          <w:bCs/>
          <w:color w:val="auto"/>
          <w:kern w:val="0"/>
          <w:sz w:val="32"/>
          <w:szCs w:val="32"/>
          <w:highlight w:val="none"/>
          <w:lang w:val="zh-CN"/>
        </w:rPr>
        <w:t xml:space="preserve">    </w:t>
      </w:r>
      <w:r>
        <w:rPr>
          <w:rFonts w:hint="eastAsia" w:cs="新宋体" w:asciiTheme="majorEastAsia" w:hAnsiTheme="majorEastAsia" w:eastAsiaTheme="majorEastAsia"/>
          <w:b/>
          <w:bCs/>
          <w:color w:val="auto"/>
          <w:kern w:val="0"/>
          <w:sz w:val="32"/>
          <w:szCs w:val="32"/>
          <w:highlight w:val="none"/>
          <w:lang w:val="zh-CN"/>
        </w:rPr>
        <w:t>录</w:t>
      </w:r>
    </w:p>
    <w:p w14:paraId="782867FC">
      <w:pPr>
        <w:autoSpaceDE w:val="0"/>
        <w:autoSpaceDN w:val="0"/>
        <w:adjustRightInd w:val="0"/>
        <w:spacing w:line="600" w:lineRule="atLeast"/>
        <w:ind w:left="-202" w:right="-202" w:firstLine="803"/>
        <w:jc w:val="center"/>
        <w:rPr>
          <w:rFonts w:cs="新宋体" w:asciiTheme="majorEastAsia" w:hAnsiTheme="majorEastAsia" w:eastAsiaTheme="majorEastAsia"/>
          <w:b/>
          <w:bCs/>
          <w:color w:val="auto"/>
          <w:kern w:val="0"/>
          <w:sz w:val="32"/>
          <w:szCs w:val="32"/>
          <w:highlight w:val="none"/>
          <w:lang w:val="zh-CN"/>
        </w:rPr>
      </w:pPr>
    </w:p>
    <w:p w14:paraId="0D2E80F6">
      <w:pPr>
        <w:pStyle w:val="25"/>
        <w:tabs>
          <w:tab w:val="right" w:leader="dot" w:pos="9628"/>
        </w:tabs>
        <w:spacing w:line="480" w:lineRule="auto"/>
        <w:rPr>
          <w:rFonts w:ascii="宋体" w:hAnsi="宋体" w:cstheme="minorBidi"/>
          <w:color w:val="auto"/>
          <w:kern w:val="2"/>
          <w:sz w:val="21"/>
          <w:highlight w:val="none"/>
        </w:rPr>
      </w:pPr>
      <w:r>
        <w:rPr>
          <w:rFonts w:asciiTheme="majorEastAsia" w:hAnsiTheme="majorEastAsia" w:eastAsiaTheme="majorEastAsia"/>
          <w:color w:val="auto"/>
          <w:sz w:val="24"/>
          <w:szCs w:val="24"/>
          <w:highlight w:val="none"/>
        </w:rPr>
        <w:fldChar w:fldCharType="begin"/>
      </w:r>
      <w:r>
        <w:rPr>
          <w:rFonts w:asciiTheme="majorEastAsia" w:hAnsiTheme="majorEastAsia" w:eastAsiaTheme="majorEastAsia"/>
          <w:color w:val="auto"/>
          <w:sz w:val="24"/>
          <w:szCs w:val="24"/>
          <w:highlight w:val="none"/>
        </w:rPr>
        <w:instrText xml:space="preserve"> TOC \o "1-3" \h \z \u </w:instrText>
      </w:r>
      <w:r>
        <w:rPr>
          <w:rFonts w:asciiTheme="majorEastAsia" w:hAnsiTheme="majorEastAsia" w:eastAsiaTheme="maj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"_Toc78294245" </w:instrText>
      </w:r>
      <w:r>
        <w:rPr>
          <w:color w:val="auto"/>
          <w:highlight w:val="none"/>
        </w:rPr>
        <w:fldChar w:fldCharType="separate"/>
      </w:r>
      <w:r>
        <w:rPr>
          <w:rStyle w:val="32"/>
          <w:rFonts w:hint="eastAsia" w:ascii="宋体" w:hAnsi="宋体"/>
          <w:color w:val="auto"/>
          <w:highlight w:val="none"/>
        </w:rPr>
        <w:t>温州市智信招标代理有限公司关于</w:t>
      </w:r>
      <w:r>
        <w:rPr>
          <w:rStyle w:val="32"/>
          <w:rFonts w:hint="eastAsia" w:ascii="宋体" w:hAnsi="宋体"/>
          <w:color w:val="auto"/>
          <w:highlight w:val="none"/>
          <w:lang w:eastAsia="zh-CN"/>
        </w:rPr>
        <w:t>超精密中心实验室设备采购</w:t>
      </w:r>
      <w:r>
        <w:rPr>
          <w:rStyle w:val="32"/>
          <w:rFonts w:hint="eastAsia" w:ascii="宋体" w:hAnsi="宋体"/>
          <w:color w:val="auto"/>
          <w:highlight w:val="none"/>
        </w:rPr>
        <w:t>项目的公开招标公告（非政府采购）</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_Toc78294245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14:paraId="734F3380">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"_Toc78294246" </w:instrText>
      </w:r>
      <w:r>
        <w:rPr>
          <w:color w:val="auto"/>
          <w:highlight w:val="none"/>
        </w:rPr>
        <w:fldChar w:fldCharType="separate"/>
      </w:r>
      <w:r>
        <w:rPr>
          <w:rStyle w:val="32"/>
          <w:rFonts w:hint="eastAsia" w:ascii="宋体" w:hAnsi="宋体"/>
          <w:color w:val="auto"/>
          <w:highlight w:val="none"/>
          <w:lang w:eastAsia="zh-CN"/>
        </w:rPr>
        <w:t>供应商</w:t>
      </w:r>
      <w:r>
        <w:rPr>
          <w:rStyle w:val="32"/>
          <w:rFonts w:hint="eastAsia" w:ascii="宋体" w:hAnsi="宋体"/>
          <w:color w:val="auto"/>
          <w:highlight w:val="none"/>
        </w:rPr>
        <w:t>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_Toc78294246 \h </w:instrText>
      </w:r>
      <w:r>
        <w:rPr>
          <w:rFonts w:ascii="宋体" w:hAnsi="宋体"/>
          <w:color w:val="auto"/>
          <w:highlight w:val="none"/>
        </w:rPr>
        <w:fldChar w:fldCharType="separate"/>
      </w:r>
      <w:r>
        <w:rPr>
          <w:rFonts w:ascii="宋体" w:hAnsi="宋体"/>
          <w:color w:val="auto"/>
          <w:highlight w:val="none"/>
        </w:rPr>
        <w:t>4</w:t>
      </w:r>
      <w:r>
        <w:rPr>
          <w:rFonts w:ascii="宋体" w:hAnsi="宋体"/>
          <w:color w:val="auto"/>
          <w:highlight w:val="none"/>
        </w:rPr>
        <w:fldChar w:fldCharType="end"/>
      </w:r>
      <w:r>
        <w:rPr>
          <w:rFonts w:ascii="宋体" w:hAnsi="宋体"/>
          <w:color w:val="auto"/>
          <w:highlight w:val="none"/>
        </w:rPr>
        <w:fldChar w:fldCharType="end"/>
      </w:r>
    </w:p>
    <w:p w14:paraId="2CD6A509">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"_Toc78294247" </w:instrText>
      </w:r>
      <w:r>
        <w:rPr>
          <w:color w:val="auto"/>
          <w:highlight w:val="none"/>
        </w:rPr>
        <w:fldChar w:fldCharType="separate"/>
      </w:r>
      <w:r>
        <w:rPr>
          <w:rStyle w:val="32"/>
          <w:rFonts w:hint="eastAsia" w:ascii="宋体" w:hAnsi="宋体"/>
          <w:color w:val="auto"/>
          <w:highlight w:val="none"/>
        </w:rPr>
        <w:t>第一部分</w:t>
      </w:r>
      <w:r>
        <w:rPr>
          <w:rStyle w:val="32"/>
          <w:rFonts w:ascii="宋体" w:hAnsi="宋体"/>
          <w:color w:val="auto"/>
          <w:highlight w:val="none"/>
        </w:rPr>
        <w:t xml:space="preserve">   </w:t>
      </w:r>
      <w:r>
        <w:rPr>
          <w:rStyle w:val="32"/>
          <w:rFonts w:hint="eastAsia" w:ascii="宋体" w:hAnsi="宋体"/>
          <w:color w:val="auto"/>
          <w:highlight w:val="none"/>
          <w:lang w:eastAsia="zh-CN"/>
        </w:rPr>
        <w:t>供应商</w:t>
      </w:r>
      <w:r>
        <w:rPr>
          <w:rStyle w:val="32"/>
          <w:rFonts w:hint="eastAsia" w:ascii="宋体" w:hAnsi="宋体"/>
          <w:color w:val="auto"/>
          <w:highlight w:val="none"/>
        </w:rPr>
        <w:t>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_Toc78294247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417CF9C2">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"_Toc78294248" </w:instrText>
      </w:r>
      <w:r>
        <w:rPr>
          <w:color w:val="auto"/>
          <w:highlight w:val="none"/>
        </w:rPr>
        <w:fldChar w:fldCharType="separate"/>
      </w:r>
      <w:r>
        <w:rPr>
          <w:rStyle w:val="32"/>
          <w:rFonts w:hint="eastAsia" w:ascii="宋体" w:hAnsi="宋体" w:cs="hakuyoxingshu7000"/>
          <w:b/>
          <w:bCs/>
          <w:color w:val="auto"/>
          <w:highlight w:val="none"/>
        </w:rPr>
        <w:t>一、</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说明</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_Toc78294248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79134F30">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"_Toc78294249" </w:instrText>
      </w:r>
      <w:r>
        <w:rPr>
          <w:color w:val="auto"/>
          <w:highlight w:val="none"/>
        </w:rPr>
        <w:fldChar w:fldCharType="separate"/>
      </w:r>
      <w:r>
        <w:rPr>
          <w:rStyle w:val="32"/>
          <w:rFonts w:hint="eastAsia" w:ascii="宋体" w:hAnsi="宋体" w:cs="hakuyoxingshu7000"/>
          <w:b/>
          <w:bCs/>
          <w:color w:val="auto"/>
          <w:highlight w:val="none"/>
        </w:rPr>
        <w:t>二、</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采购文件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_Toc78294249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413F24A4">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"_Toc78294250" </w:instrText>
      </w:r>
      <w:r>
        <w:rPr>
          <w:color w:val="auto"/>
          <w:highlight w:val="none"/>
        </w:rPr>
        <w:fldChar w:fldCharType="separate"/>
      </w:r>
      <w:r>
        <w:rPr>
          <w:rStyle w:val="32"/>
          <w:rFonts w:hint="eastAsia" w:ascii="宋体" w:hAnsi="宋体" w:cs="hakuyoxingshu7000"/>
          <w:b/>
          <w:bCs/>
          <w:color w:val="auto"/>
          <w:highlight w:val="none"/>
        </w:rPr>
        <w:t>三、</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_Toc78294250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263B5F6E">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"_Toc78294251" </w:instrText>
      </w:r>
      <w:r>
        <w:rPr>
          <w:color w:val="auto"/>
          <w:highlight w:val="none"/>
        </w:rPr>
        <w:fldChar w:fldCharType="separate"/>
      </w:r>
      <w:r>
        <w:rPr>
          <w:rStyle w:val="32"/>
          <w:rFonts w:hint="eastAsia" w:ascii="宋体" w:hAnsi="宋体" w:cs="hakuyoxingshu7000"/>
          <w:b/>
          <w:bCs/>
          <w:color w:val="auto"/>
          <w:highlight w:val="none"/>
        </w:rPr>
        <w:t>四、</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投标文件的递交</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_Toc78294251 \h </w:instrText>
      </w:r>
      <w:r>
        <w:rPr>
          <w:rFonts w:ascii="宋体" w:hAnsi="宋体"/>
          <w:color w:val="auto"/>
          <w:highlight w:val="none"/>
        </w:rPr>
        <w:fldChar w:fldCharType="separate"/>
      </w:r>
      <w:r>
        <w:rPr>
          <w:rFonts w:ascii="宋体" w:hAnsi="宋体"/>
          <w:color w:val="auto"/>
          <w:highlight w:val="none"/>
        </w:rPr>
        <w:t>11</w:t>
      </w:r>
      <w:r>
        <w:rPr>
          <w:rFonts w:ascii="宋体" w:hAnsi="宋体"/>
          <w:color w:val="auto"/>
          <w:highlight w:val="none"/>
        </w:rPr>
        <w:fldChar w:fldCharType="end"/>
      </w:r>
      <w:r>
        <w:rPr>
          <w:rFonts w:ascii="宋体" w:hAnsi="宋体"/>
          <w:color w:val="auto"/>
          <w:highlight w:val="none"/>
        </w:rPr>
        <w:fldChar w:fldCharType="end"/>
      </w:r>
    </w:p>
    <w:p w14:paraId="22EED1C0">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"_Toc78294252" </w:instrText>
      </w:r>
      <w:r>
        <w:rPr>
          <w:color w:val="auto"/>
          <w:highlight w:val="none"/>
        </w:rPr>
        <w:fldChar w:fldCharType="separate"/>
      </w:r>
      <w:r>
        <w:rPr>
          <w:rStyle w:val="32"/>
          <w:rFonts w:hint="eastAsia" w:ascii="宋体" w:hAnsi="宋体" w:cs="hakuyoxingshu7000"/>
          <w:b/>
          <w:bCs/>
          <w:color w:val="auto"/>
          <w:highlight w:val="none"/>
        </w:rPr>
        <w:t>五、</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开标和评标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_Toc78294252 \h </w:instrText>
      </w:r>
      <w:r>
        <w:rPr>
          <w:rFonts w:ascii="宋体" w:hAnsi="宋体"/>
          <w:color w:val="auto"/>
          <w:highlight w:val="none"/>
        </w:rPr>
        <w:fldChar w:fldCharType="separate"/>
      </w:r>
      <w:r>
        <w:rPr>
          <w:rFonts w:ascii="宋体" w:hAnsi="宋体"/>
          <w:color w:val="auto"/>
          <w:highlight w:val="none"/>
        </w:rPr>
        <w:t>12</w:t>
      </w:r>
      <w:r>
        <w:rPr>
          <w:rFonts w:ascii="宋体" w:hAnsi="宋体"/>
          <w:color w:val="auto"/>
          <w:highlight w:val="none"/>
        </w:rPr>
        <w:fldChar w:fldCharType="end"/>
      </w:r>
      <w:r>
        <w:rPr>
          <w:rFonts w:ascii="宋体" w:hAnsi="宋体"/>
          <w:color w:val="auto"/>
          <w:highlight w:val="none"/>
        </w:rPr>
        <w:fldChar w:fldCharType="end"/>
      </w:r>
    </w:p>
    <w:p w14:paraId="41E7EF5A">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"_Toc78294253" </w:instrText>
      </w:r>
      <w:r>
        <w:rPr>
          <w:color w:val="auto"/>
          <w:highlight w:val="none"/>
        </w:rPr>
        <w:fldChar w:fldCharType="separate"/>
      </w:r>
      <w:r>
        <w:rPr>
          <w:rStyle w:val="32"/>
          <w:rFonts w:hint="eastAsia" w:ascii="宋体" w:hAnsi="宋体" w:cs="hakuyoxingshu7000"/>
          <w:b/>
          <w:bCs/>
          <w:color w:val="auto"/>
          <w:highlight w:val="none"/>
        </w:rPr>
        <w:t>六、</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授予合同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_Toc78294253 \h </w:instrText>
      </w:r>
      <w:r>
        <w:rPr>
          <w:rFonts w:ascii="宋体" w:hAnsi="宋体"/>
          <w:color w:val="auto"/>
          <w:highlight w:val="none"/>
        </w:rPr>
        <w:fldChar w:fldCharType="separate"/>
      </w:r>
      <w:r>
        <w:rPr>
          <w:rFonts w:ascii="宋体" w:hAnsi="宋体"/>
          <w:color w:val="auto"/>
          <w:highlight w:val="none"/>
        </w:rPr>
        <w:t>15</w:t>
      </w:r>
      <w:r>
        <w:rPr>
          <w:rFonts w:ascii="宋体" w:hAnsi="宋体"/>
          <w:color w:val="auto"/>
          <w:highlight w:val="none"/>
        </w:rPr>
        <w:fldChar w:fldCharType="end"/>
      </w:r>
      <w:r>
        <w:rPr>
          <w:rFonts w:ascii="宋体" w:hAnsi="宋体"/>
          <w:color w:val="auto"/>
          <w:highlight w:val="none"/>
        </w:rPr>
        <w:fldChar w:fldCharType="end"/>
      </w:r>
    </w:p>
    <w:p w14:paraId="375B7CD7">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"_Toc78294254" </w:instrText>
      </w:r>
      <w:r>
        <w:rPr>
          <w:color w:val="auto"/>
          <w:highlight w:val="none"/>
        </w:rPr>
        <w:fldChar w:fldCharType="separate"/>
      </w:r>
      <w:r>
        <w:rPr>
          <w:rStyle w:val="32"/>
          <w:rFonts w:hint="eastAsia" w:ascii="宋体" w:hAnsi="宋体"/>
          <w:color w:val="auto"/>
          <w:highlight w:val="none"/>
        </w:rPr>
        <w:t>第二部分</w:t>
      </w:r>
      <w:r>
        <w:rPr>
          <w:rStyle w:val="32"/>
          <w:rFonts w:ascii="宋体" w:hAnsi="宋体"/>
          <w:color w:val="auto"/>
          <w:highlight w:val="none"/>
        </w:rPr>
        <w:t xml:space="preserve">  </w:t>
      </w:r>
      <w:r>
        <w:rPr>
          <w:rStyle w:val="32"/>
          <w:rFonts w:hint="eastAsia" w:ascii="宋体" w:hAnsi="宋体"/>
          <w:color w:val="auto"/>
          <w:highlight w:val="none"/>
        </w:rPr>
        <w:t>合同</w:t>
      </w:r>
      <w:r>
        <w:rPr>
          <w:rStyle w:val="32"/>
          <w:rFonts w:hint="eastAsia" w:ascii="宋体" w:hAnsi="宋体"/>
          <w:color w:val="auto"/>
          <w:highlight w:val="none"/>
          <w:lang w:val="en-US" w:eastAsia="zh-CN"/>
        </w:rPr>
        <w:t>条款及</w:t>
      </w:r>
      <w:r>
        <w:rPr>
          <w:rStyle w:val="32"/>
          <w:rFonts w:hint="eastAsia" w:ascii="宋体" w:hAnsi="宋体"/>
          <w:color w:val="auto"/>
          <w:highlight w:val="none"/>
        </w:rPr>
        <w:t>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_Toc78294254 \h </w:instrText>
      </w:r>
      <w:r>
        <w:rPr>
          <w:rFonts w:ascii="宋体" w:hAnsi="宋体"/>
          <w:color w:val="auto"/>
          <w:highlight w:val="none"/>
        </w:rPr>
        <w:fldChar w:fldCharType="separate"/>
      </w:r>
      <w:r>
        <w:rPr>
          <w:rFonts w:ascii="宋体" w:hAnsi="宋体"/>
          <w:color w:val="auto"/>
          <w:highlight w:val="none"/>
        </w:rPr>
        <w:t>17</w:t>
      </w:r>
      <w:r>
        <w:rPr>
          <w:rFonts w:ascii="宋体" w:hAnsi="宋体"/>
          <w:color w:val="auto"/>
          <w:highlight w:val="none"/>
        </w:rPr>
        <w:fldChar w:fldCharType="end"/>
      </w:r>
      <w:r>
        <w:rPr>
          <w:rFonts w:ascii="宋体" w:hAnsi="宋体"/>
          <w:color w:val="auto"/>
          <w:highlight w:val="none"/>
        </w:rPr>
        <w:fldChar w:fldCharType="end"/>
      </w:r>
    </w:p>
    <w:p w14:paraId="4AC3F4EF">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"_Toc78294255" </w:instrText>
      </w:r>
      <w:r>
        <w:rPr>
          <w:color w:val="auto"/>
          <w:highlight w:val="none"/>
        </w:rPr>
        <w:fldChar w:fldCharType="separate"/>
      </w:r>
      <w:r>
        <w:rPr>
          <w:rStyle w:val="32"/>
          <w:rFonts w:hint="eastAsia" w:ascii="宋体" w:hAnsi="宋体"/>
          <w:color w:val="auto"/>
          <w:highlight w:val="none"/>
        </w:rPr>
        <w:t>第三部分</w:t>
      </w:r>
      <w:r>
        <w:rPr>
          <w:rStyle w:val="32"/>
          <w:rFonts w:ascii="宋体" w:hAnsi="宋体"/>
          <w:color w:val="auto"/>
          <w:highlight w:val="none"/>
        </w:rPr>
        <w:t xml:space="preserve">  </w:t>
      </w:r>
      <w:r>
        <w:rPr>
          <w:rStyle w:val="32"/>
          <w:rFonts w:hint="eastAsia" w:ascii="宋体" w:hAnsi="宋体"/>
          <w:color w:val="auto"/>
          <w:highlight w:val="none"/>
        </w:rPr>
        <w:t>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_Toc78294255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ascii="宋体" w:hAnsi="宋体"/>
          <w:color w:val="auto"/>
          <w:highlight w:val="none"/>
        </w:rPr>
        <w:fldChar w:fldCharType="end"/>
      </w:r>
    </w:p>
    <w:p w14:paraId="559729DC">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"_Toc78294259" </w:instrText>
      </w:r>
      <w:r>
        <w:rPr>
          <w:color w:val="auto"/>
          <w:highlight w:val="none"/>
        </w:rPr>
        <w:fldChar w:fldCharType="separate"/>
      </w:r>
      <w:r>
        <w:rPr>
          <w:rStyle w:val="32"/>
          <w:rFonts w:hint="eastAsia" w:ascii="宋体" w:hAnsi="宋体"/>
          <w:bCs/>
          <w:color w:val="auto"/>
          <w:highlight w:val="none"/>
        </w:rPr>
        <w:t>第四部分</w:t>
      </w:r>
      <w:r>
        <w:rPr>
          <w:rStyle w:val="32"/>
          <w:rFonts w:ascii="宋体" w:hAnsi="宋体"/>
          <w:bCs/>
          <w:color w:val="auto"/>
          <w:highlight w:val="none"/>
        </w:rPr>
        <w:t xml:space="preserve">  </w:t>
      </w:r>
      <w:r>
        <w:rPr>
          <w:rStyle w:val="32"/>
          <w:rFonts w:hint="eastAsia" w:ascii="宋体" w:hAnsi="宋体"/>
          <w:bCs/>
          <w:color w:val="auto"/>
          <w:highlight w:val="none"/>
          <w:lang w:eastAsia="zh-CN"/>
        </w:rPr>
        <w:t>采购内容及要求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_Toc78294259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14:paraId="617FA8FD">
      <w:pPr>
        <w:pStyle w:val="25"/>
        <w:tabs>
          <w:tab w:val="right" w:leader="dot" w:pos="9628"/>
        </w:tabs>
        <w:spacing w:line="480" w:lineRule="auto"/>
        <w:rPr>
          <w:rFonts w:hint="eastAsia" w:ascii="宋体" w:hAnsi="宋体" w:eastAsia="宋体" w:cstheme="minorBidi"/>
          <w:color w:val="auto"/>
          <w:kern w:val="2"/>
          <w:sz w:val="21"/>
          <w:highlight w:val="none"/>
          <w:lang w:val="en-US" w:eastAsia="zh-CN"/>
        </w:rPr>
      </w:pPr>
      <w:r>
        <w:rPr>
          <w:color w:val="auto"/>
          <w:highlight w:val="none"/>
        </w:rPr>
        <w:fldChar w:fldCharType="begin"/>
      </w:r>
      <w:r>
        <w:rPr>
          <w:color w:val="auto"/>
          <w:highlight w:val="none"/>
        </w:rPr>
        <w:instrText xml:space="preserve"> HYPERLINK \l "_Toc78294260" </w:instrText>
      </w:r>
      <w:r>
        <w:rPr>
          <w:color w:val="auto"/>
          <w:highlight w:val="none"/>
        </w:rPr>
        <w:fldChar w:fldCharType="separate"/>
      </w:r>
      <w:r>
        <w:rPr>
          <w:rStyle w:val="32"/>
          <w:rFonts w:hint="eastAsia" w:ascii="宋体" w:hAnsi="宋体"/>
          <w:bCs/>
          <w:color w:val="auto"/>
          <w:highlight w:val="none"/>
        </w:rPr>
        <w:t>第五部分</w:t>
      </w:r>
      <w:r>
        <w:rPr>
          <w:rStyle w:val="32"/>
          <w:rFonts w:ascii="宋体" w:hAnsi="宋体"/>
          <w:bCs/>
          <w:color w:val="auto"/>
          <w:highlight w:val="none"/>
        </w:rPr>
        <w:t xml:space="preserve">  </w:t>
      </w:r>
      <w:r>
        <w:rPr>
          <w:rStyle w:val="32"/>
          <w:rFonts w:hint="eastAsia" w:ascii="宋体" w:hAnsi="宋体"/>
          <w:bCs/>
          <w:color w:val="auto"/>
          <w:highlight w:val="none"/>
        </w:rPr>
        <w:t>评标原则及方法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9</w:t>
      </w:r>
    </w:p>
    <w:p w14:paraId="4EA10A1C">
      <w:pPr>
        <w:spacing w:line="480" w:lineRule="auto"/>
        <w:ind w:left="-202" w:right="-202"/>
        <w:rPr>
          <w:rFonts w:cs="新宋体" w:asciiTheme="majorEastAsia" w:hAnsiTheme="majorEastAsia" w:eastAsiaTheme="majorEastAsia"/>
          <w:caps/>
          <w:color w:val="auto"/>
          <w:kern w:val="0"/>
          <w:sz w:val="24"/>
          <w:highlight w:val="none"/>
          <w:lang w:val="zh-CN"/>
        </w:rPr>
      </w:pPr>
      <w:r>
        <w:rPr>
          <w:rFonts w:asciiTheme="majorEastAsia" w:hAnsiTheme="majorEastAsia" w:eastAsiaTheme="majorEastAsia"/>
          <w:color w:val="auto"/>
          <w:highlight w:val="none"/>
        </w:rPr>
        <w:fldChar w:fldCharType="end"/>
      </w:r>
    </w:p>
    <w:p w14:paraId="5FEEA10B">
      <w:pPr>
        <w:autoSpaceDE w:val="0"/>
        <w:autoSpaceDN w:val="0"/>
        <w:adjustRightInd w:val="0"/>
        <w:spacing w:line="480" w:lineRule="auto"/>
        <w:ind w:left="-202" w:right="-202" w:firstLine="552"/>
        <w:rPr>
          <w:rFonts w:hint="eastAsia"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注：采购文件中加</w:t>
      </w:r>
      <w:r>
        <w:rPr>
          <w:rFonts w:cs="新宋体" w:asciiTheme="majorEastAsia" w:hAnsiTheme="majorEastAsia" w:eastAsiaTheme="majorEastAsia"/>
          <w:b/>
          <w:bCs/>
          <w:color w:val="auto"/>
          <w:kern w:val="0"/>
          <w:szCs w:val="22"/>
          <w:highlight w:val="none"/>
          <w:lang w:val="zh-CN"/>
        </w:rPr>
        <w:t>“</w:t>
      </w:r>
      <w:r>
        <w:rPr>
          <w:rFonts w:cs="Segoe UI Symbol" w:asciiTheme="majorEastAsia" w:hAnsiTheme="majorEastAsia" w:eastAsiaTheme="majorEastAsia"/>
          <w:b/>
          <w:bCs/>
          <w:color w:val="auto"/>
          <w:kern w:val="0"/>
          <w:szCs w:val="22"/>
          <w:highlight w:val="none"/>
          <w:lang w:val="zh-CN"/>
        </w:rPr>
        <w:t>▲”</w:t>
      </w:r>
      <w:r>
        <w:rPr>
          <w:rFonts w:hint="eastAsia" w:cs="新宋体" w:asciiTheme="majorEastAsia" w:hAnsiTheme="majorEastAsia" w:eastAsiaTheme="majorEastAsia"/>
          <w:b/>
          <w:bCs/>
          <w:color w:val="auto"/>
          <w:kern w:val="0"/>
          <w:szCs w:val="22"/>
          <w:highlight w:val="none"/>
          <w:lang w:val="zh-CN"/>
        </w:rPr>
        <w:t>且加下划线条款，为招标的实质性要求和条件，着重提醒各供应</w:t>
      </w:r>
      <w:bookmarkStart w:id="35" w:name="_GoBack"/>
      <w:bookmarkEnd w:id="35"/>
      <w:r>
        <w:rPr>
          <w:rFonts w:hint="eastAsia" w:cs="新宋体" w:asciiTheme="majorEastAsia" w:hAnsiTheme="majorEastAsia" w:eastAsiaTheme="majorEastAsia"/>
          <w:b/>
          <w:bCs/>
          <w:color w:val="auto"/>
          <w:kern w:val="0"/>
          <w:szCs w:val="22"/>
          <w:highlight w:val="none"/>
          <w:lang w:val="zh-CN"/>
        </w:rPr>
        <w:t>商注意，并认真查看采购文件中的每一个条款及要求，因误读采购文件而造成的后果，采购人概不负责。</w:t>
      </w:r>
      <w:bookmarkStart w:id="0" w:name="_Toc78294245"/>
    </w:p>
    <w:p w14:paraId="3267F122">
      <w:pPr>
        <w:pStyle w:val="13"/>
        <w:rPr>
          <w:rFonts w:hint="eastAsia"/>
          <w:color w:val="auto"/>
          <w:highlight w:val="none"/>
        </w:rPr>
      </w:pPr>
    </w:p>
    <w:p w14:paraId="3144955D">
      <w:pPr>
        <w:pStyle w:val="14"/>
        <w:rPr>
          <w:rFonts w:hint="eastAsia"/>
          <w:color w:val="auto"/>
          <w:highlight w:val="none"/>
        </w:rPr>
      </w:pPr>
    </w:p>
    <w:p w14:paraId="52DBFAE2">
      <w:pPr>
        <w:pStyle w:val="14"/>
        <w:rPr>
          <w:rFonts w:hint="eastAsia"/>
          <w:color w:val="auto"/>
          <w:highlight w:val="none"/>
        </w:rPr>
      </w:pPr>
    </w:p>
    <w:p w14:paraId="4A2CE083">
      <w:pPr>
        <w:pStyle w:val="2"/>
        <w:keepNext/>
        <w:keepLines/>
        <w:pageBreakBefore w:val="0"/>
        <w:widowControl w:val="0"/>
        <w:numPr>
          <w:ilvl w:val="0"/>
          <w:numId w:val="0"/>
        </w:numPr>
        <w:kinsoku/>
        <w:wordWrap/>
        <w:overflowPunct/>
        <w:topLinePunct w:val="0"/>
        <w:autoSpaceDE/>
        <w:autoSpaceDN/>
        <w:bidi w:val="0"/>
        <w:adjustRightInd w:val="0"/>
        <w:snapToGrid w:val="0"/>
        <w:spacing w:line="360" w:lineRule="auto"/>
        <w:ind w:left="113" w:right="-204"/>
        <w:jc w:val="center"/>
        <w:textAlignment w:val="auto"/>
        <w:rPr>
          <w:rFonts w:asciiTheme="majorEastAsia" w:hAnsiTheme="majorEastAsia" w:eastAsiaTheme="majorEastAsia"/>
          <w:color w:val="auto"/>
          <w:sz w:val="30"/>
          <w:szCs w:val="30"/>
          <w:highlight w:val="none"/>
        </w:rPr>
      </w:pPr>
      <w:r>
        <w:rPr>
          <w:rStyle w:val="78"/>
          <w:rFonts w:hint="eastAsia"/>
          <w:b/>
          <w:bCs/>
          <w:color w:val="auto"/>
          <w:sz w:val="30"/>
          <w:szCs w:val="30"/>
          <w:highlight w:val="none"/>
        </w:rPr>
        <w:t>温州市智信招标代理有限公司关于</w:t>
      </w:r>
      <w:r>
        <w:rPr>
          <w:rFonts w:hint="eastAsia" w:asciiTheme="majorEastAsia" w:hAnsiTheme="majorEastAsia" w:eastAsiaTheme="majorEastAsia"/>
          <w:color w:val="auto"/>
          <w:sz w:val="30"/>
          <w:szCs w:val="30"/>
          <w:highlight w:val="none"/>
          <w:lang w:eastAsia="zh-CN"/>
        </w:rPr>
        <w:t>超精密中心实验室设备采购</w:t>
      </w:r>
      <w:r>
        <w:rPr>
          <w:rFonts w:hint="eastAsia" w:asciiTheme="majorEastAsia" w:hAnsiTheme="majorEastAsia" w:eastAsiaTheme="majorEastAsia"/>
          <w:color w:val="auto"/>
          <w:sz w:val="30"/>
          <w:szCs w:val="30"/>
          <w:highlight w:val="none"/>
        </w:rPr>
        <w:t>项目的公开招标公告（非政府采购）</w:t>
      </w:r>
      <w:bookmarkEnd w:id="0"/>
    </w:p>
    <w:p w14:paraId="1A659C9E">
      <w:pPr>
        <w:keepNext w:val="0"/>
        <w:keepLines w:val="0"/>
        <w:pageBreakBefore w:val="0"/>
        <w:kinsoku/>
        <w:wordWrap/>
        <w:overflowPunct/>
        <w:topLinePunct w:val="0"/>
        <w:bidi w:val="0"/>
        <w:snapToGrid/>
        <w:spacing w:line="360" w:lineRule="auto"/>
        <w:ind w:firstLine="440" w:firstLineChars="200"/>
        <w:textAlignment w:val="auto"/>
        <w:rPr>
          <w:rFonts w:asciiTheme="majorEastAsia" w:hAnsiTheme="majorEastAsia" w:eastAsiaTheme="majorEastAsia"/>
          <w:color w:val="auto"/>
          <w:szCs w:val="22"/>
          <w:highlight w:val="none"/>
        </w:rPr>
      </w:pPr>
      <w:r>
        <w:rPr>
          <w:rFonts w:hint="eastAsia" w:cs="新宋体" w:asciiTheme="majorEastAsia" w:hAnsiTheme="majorEastAsia" w:eastAsiaTheme="majorEastAsia"/>
          <w:color w:val="auto"/>
          <w:kern w:val="0"/>
          <w:szCs w:val="22"/>
          <w:highlight w:val="none"/>
          <w:lang w:val="zh-CN"/>
        </w:rPr>
        <w:t>参照</w:t>
      </w:r>
      <w:r>
        <w:rPr>
          <w:rFonts w:hint="eastAsia" w:asciiTheme="majorEastAsia" w:hAnsiTheme="majorEastAsia" w:eastAsiaTheme="majorEastAsia"/>
          <w:color w:val="auto"/>
          <w:szCs w:val="22"/>
          <w:highlight w:val="none"/>
        </w:rPr>
        <w:t>《中华人民共和国政府采购法》、《政府采购货物和服务招标投标管理办法》和《中华人民共和国政府采购法实施条例》等</w:t>
      </w:r>
      <w:r>
        <w:rPr>
          <w:rFonts w:hint="eastAsia" w:cs="新宋体" w:asciiTheme="majorEastAsia" w:hAnsiTheme="majorEastAsia" w:eastAsiaTheme="majorEastAsia"/>
          <w:color w:val="auto"/>
          <w:kern w:val="0"/>
          <w:szCs w:val="22"/>
          <w:highlight w:val="none"/>
          <w:lang w:val="zh-CN"/>
        </w:rPr>
        <w:t>有关规定，</w:t>
      </w:r>
      <w:r>
        <w:rPr>
          <w:rFonts w:hint="eastAsia" w:asciiTheme="majorEastAsia" w:hAnsiTheme="majorEastAsia" w:eastAsiaTheme="majorEastAsia"/>
          <w:color w:val="auto"/>
          <w:szCs w:val="22"/>
          <w:highlight w:val="none"/>
        </w:rPr>
        <w:t>温州市智信招标代理有限公司受</w:t>
      </w:r>
      <w:r>
        <w:rPr>
          <w:rFonts w:hint="eastAsia" w:ascii="宋体" w:hAnsi="宋体"/>
          <w:color w:val="auto"/>
          <w:sz w:val="22"/>
          <w:szCs w:val="22"/>
          <w:highlight w:val="none"/>
          <w:lang w:val="en-US" w:eastAsia="zh-CN"/>
        </w:rPr>
        <w:t>港理大（温州）技术创新研究院有限公司</w:t>
      </w:r>
      <w:r>
        <w:rPr>
          <w:rFonts w:hint="eastAsia" w:asciiTheme="majorEastAsia" w:hAnsiTheme="majorEastAsia" w:eastAsiaTheme="majorEastAsia"/>
          <w:color w:val="auto"/>
          <w:szCs w:val="22"/>
          <w:highlight w:val="none"/>
        </w:rPr>
        <w:t>委托，就</w:t>
      </w:r>
      <w:r>
        <w:rPr>
          <w:rFonts w:hint="eastAsia" w:asciiTheme="majorEastAsia" w:hAnsiTheme="majorEastAsia" w:eastAsiaTheme="majorEastAsia"/>
          <w:color w:val="auto"/>
          <w:szCs w:val="22"/>
          <w:highlight w:val="none"/>
          <w:lang w:eastAsia="zh-CN"/>
        </w:rPr>
        <w:t>超精密中心实验室设备采购</w:t>
      </w:r>
      <w:r>
        <w:rPr>
          <w:rFonts w:hint="eastAsia" w:asciiTheme="majorEastAsia" w:hAnsiTheme="majorEastAsia" w:eastAsiaTheme="majorEastAsia"/>
          <w:color w:val="auto"/>
          <w:szCs w:val="22"/>
          <w:highlight w:val="none"/>
        </w:rPr>
        <w:t>项目以公开招标方式进行采购，欢迎国内合格的供应商前来投标。</w:t>
      </w:r>
    </w:p>
    <w:p w14:paraId="6F6C7CB8">
      <w:pPr>
        <w:keepNext w:val="0"/>
        <w:keepLines w:val="0"/>
        <w:pageBreakBefore w:val="0"/>
        <w:numPr>
          <w:ilvl w:val="0"/>
          <w:numId w:val="3"/>
        </w:numPr>
        <w:kinsoku/>
        <w:wordWrap/>
        <w:overflowPunct/>
        <w:topLinePunct w:val="0"/>
        <w:autoSpaceDE w:val="0"/>
        <w:autoSpaceDN w:val="0"/>
        <w:bidi w:val="0"/>
        <w:adjustRightInd w:val="0"/>
        <w:snapToGrid/>
        <w:spacing w:before="60" w:after="60" w:line="360" w:lineRule="auto"/>
        <w:ind w:left="-202" w:right="-202" w:firstLine="552"/>
        <w:jc w:val="left"/>
        <w:textAlignment w:val="auto"/>
        <w:rPr>
          <w:rFonts w:hint="eastAsia" w:asciiTheme="majorEastAsia" w:hAnsiTheme="majorEastAsia" w:eastAsiaTheme="majorEastAsia"/>
          <w:color w:val="auto"/>
          <w:szCs w:val="22"/>
          <w:highlight w:val="none"/>
          <w:lang w:eastAsia="zh-CN"/>
        </w:rPr>
      </w:pPr>
      <w:r>
        <w:rPr>
          <w:rFonts w:hint="eastAsia" w:cs="新宋体" w:asciiTheme="majorEastAsia" w:hAnsiTheme="majorEastAsia" w:eastAsiaTheme="majorEastAsia"/>
          <w:b/>
          <w:bCs/>
          <w:color w:val="auto"/>
          <w:kern w:val="0"/>
          <w:szCs w:val="22"/>
          <w:highlight w:val="none"/>
          <w:lang w:val="zh-CN"/>
        </w:rPr>
        <w:t>采购项目编号</w:t>
      </w:r>
      <w:r>
        <w:rPr>
          <w:rFonts w:cs="新宋体" w:asciiTheme="majorEastAsia" w:hAnsiTheme="majorEastAsia" w:eastAsiaTheme="majorEastAsia"/>
          <w:b/>
          <w:bCs/>
          <w:color w:val="auto"/>
          <w:kern w:val="0"/>
          <w:szCs w:val="22"/>
          <w:highlight w:val="none"/>
          <w:lang w:val="zh-CN"/>
        </w:rPr>
        <w:t>:</w:t>
      </w:r>
      <w:r>
        <w:rPr>
          <w:rFonts w:asciiTheme="majorEastAsia" w:hAnsiTheme="majorEastAsia" w:eastAsiaTheme="majorEastAsia"/>
          <w:color w:val="auto"/>
          <w:szCs w:val="22"/>
          <w:highlight w:val="none"/>
        </w:rPr>
        <w:t xml:space="preserve"> </w:t>
      </w:r>
      <w:r>
        <w:rPr>
          <w:rFonts w:hint="eastAsia" w:asciiTheme="majorEastAsia" w:hAnsiTheme="majorEastAsia" w:eastAsiaTheme="majorEastAsia"/>
          <w:color w:val="auto"/>
          <w:szCs w:val="22"/>
          <w:highlight w:val="none"/>
          <w:lang w:eastAsia="zh-CN"/>
        </w:rPr>
        <w:t>ZXZB-H20241226-JM</w:t>
      </w:r>
    </w:p>
    <w:p w14:paraId="6CB7B63C">
      <w:pPr>
        <w:keepNext w:val="0"/>
        <w:keepLines w:val="0"/>
        <w:pageBreakBefore w:val="0"/>
        <w:numPr>
          <w:ilvl w:val="0"/>
          <w:numId w:val="3"/>
        </w:numPr>
        <w:kinsoku/>
        <w:wordWrap/>
        <w:overflowPunct/>
        <w:topLinePunct w:val="0"/>
        <w:autoSpaceDE w:val="0"/>
        <w:autoSpaceDN w:val="0"/>
        <w:bidi w:val="0"/>
        <w:adjustRightInd w:val="0"/>
        <w:snapToGrid/>
        <w:spacing w:before="60" w:after="60" w:line="360" w:lineRule="auto"/>
        <w:ind w:left="-202" w:right="-202" w:firstLine="552"/>
        <w:jc w:val="left"/>
        <w:textAlignment w:val="auto"/>
        <w:rPr>
          <w:rFonts w:asciiTheme="majorEastAsia" w:hAnsiTheme="majorEastAsia" w:eastAsiaTheme="majorEastAsia"/>
          <w:color w:val="auto"/>
          <w:highlight w:val="none"/>
          <w:lang w:val="zh-CN"/>
        </w:rPr>
      </w:pPr>
      <w:r>
        <w:rPr>
          <w:rFonts w:hint="eastAsia" w:asciiTheme="majorEastAsia" w:hAnsiTheme="majorEastAsia" w:eastAsiaTheme="majorEastAsia"/>
          <w:b/>
          <w:bCs/>
          <w:color w:val="auto"/>
          <w:highlight w:val="none"/>
          <w:lang w:val="zh-CN"/>
        </w:rPr>
        <w:t>采购组织类型：</w:t>
      </w:r>
      <w:r>
        <w:rPr>
          <w:rFonts w:hint="eastAsia" w:asciiTheme="majorEastAsia" w:hAnsiTheme="majorEastAsia" w:eastAsiaTheme="majorEastAsia"/>
          <w:color w:val="auto"/>
          <w:highlight w:val="none"/>
          <w:lang w:val="zh-CN"/>
        </w:rPr>
        <w:t>自行采购委托代理</w:t>
      </w:r>
      <w:r>
        <w:rPr>
          <w:rFonts w:hint="eastAsia" w:asciiTheme="majorEastAsia" w:hAnsiTheme="majorEastAsia" w:eastAsiaTheme="majorEastAsia"/>
          <w:color w:val="auto"/>
          <w:highlight w:val="none"/>
        </w:rPr>
        <w:t>（非政府采购项目）</w:t>
      </w:r>
    </w:p>
    <w:p w14:paraId="14718F3F">
      <w:pPr>
        <w:keepNext w:val="0"/>
        <w:keepLines w:val="0"/>
        <w:pageBreakBefore w:val="0"/>
        <w:kinsoku/>
        <w:wordWrap/>
        <w:overflowPunct/>
        <w:topLinePunct w:val="0"/>
        <w:autoSpaceDE w:val="0"/>
        <w:autoSpaceDN w:val="0"/>
        <w:bidi w:val="0"/>
        <w:adjustRightInd w:val="0"/>
        <w:snapToGrid/>
        <w:spacing w:before="60" w:after="60" w:line="360" w:lineRule="auto"/>
        <w:ind w:left="-202" w:right="-202" w:firstLine="552"/>
        <w:jc w:val="left"/>
        <w:textAlignment w:val="auto"/>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三、采购项目概况</w:t>
      </w:r>
      <w:r>
        <w:rPr>
          <w:rFonts w:hint="eastAsia" w:cs="新宋体" w:asciiTheme="majorEastAsia" w:hAnsiTheme="majorEastAsia" w:eastAsiaTheme="majorEastAsia"/>
          <w:color w:val="auto"/>
          <w:kern w:val="0"/>
          <w:szCs w:val="22"/>
          <w:highlight w:val="none"/>
          <w:lang w:val="zh-CN"/>
        </w:rPr>
        <w:t>（内容、用途、数量、简要技术要求等）：</w:t>
      </w:r>
    </w:p>
    <w:tbl>
      <w:tblPr>
        <w:tblStyle w:val="29"/>
        <w:tblW w:w="5051" w:type="pct"/>
        <w:tblInd w:w="-142" w:type="dxa"/>
        <w:tblLayout w:type="autofit"/>
        <w:tblCellMar>
          <w:top w:w="0" w:type="dxa"/>
          <w:left w:w="108" w:type="dxa"/>
          <w:bottom w:w="0" w:type="dxa"/>
          <w:right w:w="108" w:type="dxa"/>
        </w:tblCellMar>
      </w:tblPr>
      <w:tblGrid>
        <w:gridCol w:w="789"/>
        <w:gridCol w:w="2263"/>
        <w:gridCol w:w="815"/>
        <w:gridCol w:w="918"/>
        <w:gridCol w:w="1225"/>
        <w:gridCol w:w="3945"/>
      </w:tblGrid>
      <w:tr w14:paraId="7899D7C2">
        <w:tblPrEx>
          <w:tblCellMar>
            <w:top w:w="0" w:type="dxa"/>
            <w:left w:w="108" w:type="dxa"/>
            <w:bottom w:w="0" w:type="dxa"/>
            <w:right w:w="108" w:type="dxa"/>
          </w:tblCellMar>
        </w:tblPrEx>
        <w:trPr>
          <w:trHeight w:val="1" w:hRule="atLeast"/>
        </w:trPr>
        <w:tc>
          <w:tcPr>
            <w:tcW w:w="39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45ECB6">
            <w:pPr>
              <w:keepNext w:val="0"/>
              <w:keepLines w:val="0"/>
              <w:pageBreakBefore w:val="0"/>
              <w:kinsoku/>
              <w:wordWrap/>
              <w:overflowPunct/>
              <w:topLinePunct w:val="0"/>
              <w:bidi w:val="0"/>
              <w:snapToGrid/>
              <w:spacing w:line="360" w:lineRule="auto"/>
              <w:jc w:val="center"/>
              <w:textAlignment w:val="auto"/>
              <w:rPr>
                <w:rFonts w:hint="default" w:ascii="新宋体" w:hAnsi="新宋体" w:eastAsia="新宋体"/>
                <w:color w:val="auto"/>
                <w:szCs w:val="22"/>
                <w:highlight w:val="none"/>
                <w:lang w:val="en-US" w:eastAsia="zh-CN"/>
              </w:rPr>
            </w:pPr>
            <w:r>
              <w:rPr>
                <w:rFonts w:hint="eastAsia" w:ascii="新宋体" w:hAnsi="新宋体"/>
                <w:color w:val="auto"/>
                <w:szCs w:val="22"/>
                <w:highlight w:val="none"/>
                <w:lang w:val="en-US" w:eastAsia="zh-CN"/>
              </w:rPr>
              <w:t>标段</w:t>
            </w:r>
          </w:p>
        </w:tc>
        <w:tc>
          <w:tcPr>
            <w:tcW w:w="113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8DEDC2">
            <w:pPr>
              <w:keepNext w:val="0"/>
              <w:keepLines w:val="0"/>
              <w:pageBreakBefore w:val="0"/>
              <w:kinsoku/>
              <w:wordWrap/>
              <w:overflowPunct/>
              <w:topLinePunct w:val="0"/>
              <w:bidi w:val="0"/>
              <w:snapToGrid/>
              <w:spacing w:line="360" w:lineRule="auto"/>
              <w:jc w:val="center"/>
              <w:textAlignment w:val="auto"/>
              <w:rPr>
                <w:rFonts w:ascii="新宋体" w:hAnsi="新宋体"/>
                <w:color w:val="auto"/>
                <w:szCs w:val="22"/>
                <w:highlight w:val="none"/>
              </w:rPr>
            </w:pPr>
            <w:r>
              <w:rPr>
                <w:rFonts w:hint="eastAsia" w:ascii="新宋体" w:hAnsi="新宋体"/>
                <w:color w:val="auto"/>
                <w:szCs w:val="22"/>
                <w:highlight w:val="none"/>
              </w:rPr>
              <w:t>标项内容</w:t>
            </w:r>
          </w:p>
        </w:tc>
        <w:tc>
          <w:tcPr>
            <w:tcW w:w="40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1D8505">
            <w:pPr>
              <w:keepNext w:val="0"/>
              <w:keepLines w:val="0"/>
              <w:pageBreakBefore w:val="0"/>
              <w:kinsoku/>
              <w:wordWrap/>
              <w:overflowPunct/>
              <w:topLinePunct w:val="0"/>
              <w:bidi w:val="0"/>
              <w:snapToGrid/>
              <w:spacing w:line="360" w:lineRule="auto"/>
              <w:jc w:val="center"/>
              <w:textAlignment w:val="auto"/>
              <w:rPr>
                <w:rFonts w:hint="default" w:ascii="新宋体" w:hAnsi="新宋体" w:eastAsia="新宋体"/>
                <w:color w:val="auto"/>
                <w:szCs w:val="22"/>
                <w:highlight w:val="none"/>
                <w:lang w:val="en-US" w:eastAsia="zh-CN"/>
              </w:rPr>
            </w:pPr>
            <w:r>
              <w:rPr>
                <w:rFonts w:hint="eastAsia" w:ascii="新宋体" w:hAnsi="新宋体"/>
                <w:color w:val="auto"/>
                <w:szCs w:val="22"/>
                <w:highlight w:val="none"/>
              </w:rPr>
              <w:t>数量</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50FA88">
            <w:pPr>
              <w:keepNext w:val="0"/>
              <w:keepLines w:val="0"/>
              <w:pageBreakBefore w:val="0"/>
              <w:kinsoku/>
              <w:wordWrap/>
              <w:overflowPunct/>
              <w:topLinePunct w:val="0"/>
              <w:bidi w:val="0"/>
              <w:snapToGrid/>
              <w:spacing w:line="360" w:lineRule="auto"/>
              <w:jc w:val="center"/>
              <w:textAlignment w:val="auto"/>
              <w:rPr>
                <w:rFonts w:ascii="新宋体" w:hAnsi="新宋体"/>
                <w:color w:val="auto"/>
                <w:szCs w:val="22"/>
                <w:highlight w:val="none"/>
              </w:rPr>
            </w:pPr>
            <w:r>
              <w:rPr>
                <w:rFonts w:hint="eastAsia" w:ascii="新宋体" w:hAnsi="新宋体"/>
                <w:color w:val="auto"/>
                <w:szCs w:val="22"/>
                <w:highlight w:val="none"/>
                <w:lang w:val="en-US" w:eastAsia="zh-CN"/>
              </w:rPr>
              <w:t>单位</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057F07">
            <w:pPr>
              <w:keepNext w:val="0"/>
              <w:keepLines w:val="0"/>
              <w:pageBreakBefore w:val="0"/>
              <w:kinsoku/>
              <w:wordWrap/>
              <w:overflowPunct/>
              <w:topLinePunct w:val="0"/>
              <w:bidi w:val="0"/>
              <w:snapToGrid/>
              <w:spacing w:line="360" w:lineRule="auto"/>
              <w:jc w:val="center"/>
              <w:textAlignment w:val="auto"/>
              <w:rPr>
                <w:rFonts w:ascii="新宋体" w:hAnsi="新宋体"/>
                <w:color w:val="auto"/>
                <w:szCs w:val="22"/>
                <w:highlight w:val="none"/>
              </w:rPr>
            </w:pPr>
            <w:r>
              <w:rPr>
                <w:rFonts w:hint="eastAsia" w:ascii="新宋体" w:hAnsi="新宋体"/>
                <w:color w:val="auto"/>
                <w:szCs w:val="22"/>
                <w:highlight w:val="none"/>
              </w:rPr>
              <w:t>预算金额</w:t>
            </w:r>
          </w:p>
          <w:p w14:paraId="482CB054">
            <w:pPr>
              <w:keepNext w:val="0"/>
              <w:keepLines w:val="0"/>
              <w:pageBreakBefore w:val="0"/>
              <w:kinsoku/>
              <w:wordWrap/>
              <w:overflowPunct/>
              <w:topLinePunct w:val="0"/>
              <w:bidi w:val="0"/>
              <w:snapToGrid/>
              <w:spacing w:line="360" w:lineRule="auto"/>
              <w:jc w:val="center"/>
              <w:textAlignment w:val="auto"/>
              <w:rPr>
                <w:rFonts w:ascii="新宋体" w:hAnsi="新宋体"/>
                <w:color w:val="auto"/>
                <w:szCs w:val="22"/>
                <w:highlight w:val="none"/>
              </w:rPr>
            </w:pPr>
            <w:r>
              <w:rPr>
                <w:rFonts w:ascii="新宋体" w:hAnsi="新宋体"/>
                <w:color w:val="auto"/>
                <w:szCs w:val="22"/>
                <w:highlight w:val="none"/>
              </w:rPr>
              <w:t>(</w:t>
            </w:r>
            <w:r>
              <w:rPr>
                <w:rFonts w:hint="eastAsia" w:ascii="新宋体" w:hAnsi="新宋体"/>
                <w:color w:val="auto"/>
                <w:szCs w:val="22"/>
                <w:highlight w:val="none"/>
              </w:rPr>
              <w:t>万元</w:t>
            </w:r>
            <w:r>
              <w:rPr>
                <w:rFonts w:ascii="新宋体" w:hAnsi="新宋体"/>
                <w:color w:val="auto"/>
                <w:szCs w:val="22"/>
                <w:highlight w:val="none"/>
              </w:rPr>
              <w:t>)</w:t>
            </w:r>
          </w:p>
        </w:tc>
        <w:tc>
          <w:tcPr>
            <w:tcW w:w="198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37B462">
            <w:pPr>
              <w:keepNext w:val="0"/>
              <w:keepLines w:val="0"/>
              <w:pageBreakBefore w:val="0"/>
              <w:kinsoku/>
              <w:wordWrap/>
              <w:overflowPunct/>
              <w:topLinePunct w:val="0"/>
              <w:bidi w:val="0"/>
              <w:snapToGrid/>
              <w:spacing w:line="360" w:lineRule="auto"/>
              <w:jc w:val="center"/>
              <w:textAlignment w:val="auto"/>
              <w:rPr>
                <w:rFonts w:ascii="新宋体" w:hAnsi="新宋体"/>
                <w:color w:val="auto"/>
                <w:szCs w:val="22"/>
                <w:highlight w:val="none"/>
              </w:rPr>
            </w:pPr>
            <w:r>
              <w:rPr>
                <w:rFonts w:hint="eastAsia" w:ascii="新宋体" w:hAnsi="新宋体"/>
                <w:color w:val="auto"/>
                <w:szCs w:val="22"/>
                <w:highlight w:val="none"/>
              </w:rPr>
              <w:t>简要技术要求、用途</w:t>
            </w:r>
          </w:p>
        </w:tc>
      </w:tr>
      <w:tr w14:paraId="742800BD">
        <w:tblPrEx>
          <w:tblCellMar>
            <w:top w:w="0" w:type="dxa"/>
            <w:left w:w="108" w:type="dxa"/>
            <w:bottom w:w="0" w:type="dxa"/>
            <w:right w:w="108" w:type="dxa"/>
          </w:tblCellMar>
        </w:tblPrEx>
        <w:trPr>
          <w:trHeight w:val="1" w:hRule="atLeast"/>
        </w:trPr>
        <w:tc>
          <w:tcPr>
            <w:tcW w:w="39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389DF3">
            <w:pPr>
              <w:keepNext w:val="0"/>
              <w:keepLines w:val="0"/>
              <w:pageBreakBefore w:val="0"/>
              <w:kinsoku/>
              <w:wordWrap/>
              <w:overflowPunct/>
              <w:topLinePunct w:val="0"/>
              <w:bidi w:val="0"/>
              <w:snapToGrid/>
              <w:spacing w:line="360"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w:t>
            </w:r>
          </w:p>
        </w:tc>
        <w:tc>
          <w:tcPr>
            <w:tcW w:w="113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30112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新宋体" w:hAnsi="新宋体"/>
                <w:color w:val="auto"/>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光学轮廓测量系统</w:t>
            </w:r>
          </w:p>
        </w:tc>
        <w:tc>
          <w:tcPr>
            <w:tcW w:w="40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E74BE1">
            <w:pPr>
              <w:keepNext w:val="0"/>
              <w:keepLines w:val="0"/>
              <w:pageBreakBefore w:val="0"/>
              <w:kinsoku/>
              <w:wordWrap/>
              <w:overflowPunct/>
              <w:topLinePunct w:val="0"/>
              <w:bidi w:val="0"/>
              <w:snapToGrid/>
              <w:spacing w:line="360"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9D5553">
            <w:pPr>
              <w:keepNext w:val="0"/>
              <w:keepLines w:val="0"/>
              <w:pageBreakBefore w:val="0"/>
              <w:kinsoku/>
              <w:wordWrap/>
              <w:overflowPunct/>
              <w:topLinePunct w:val="0"/>
              <w:bidi w:val="0"/>
              <w:snapToGrid/>
              <w:spacing w:line="360" w:lineRule="auto"/>
              <w:jc w:val="center"/>
              <w:textAlignment w:val="auto"/>
              <w:rPr>
                <w:rFonts w:hint="eastAsia" w:ascii="新宋体" w:hAnsi="新宋体"/>
                <w:color w:val="auto"/>
                <w:szCs w:val="22"/>
                <w:highlight w:val="none"/>
                <w:lang w:val="en-US" w:eastAsia="zh-CN"/>
              </w:rPr>
            </w:pPr>
            <w:r>
              <w:rPr>
                <w:rFonts w:hint="eastAsia" w:ascii="新宋体" w:hAnsi="新宋体"/>
                <w:color w:val="auto"/>
                <w:szCs w:val="22"/>
                <w:highlight w:val="none"/>
                <w:lang w:val="en-US" w:eastAsia="zh-CN"/>
              </w:rPr>
              <w:t>套</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505C23">
            <w:pPr>
              <w:widowControl/>
              <w:jc w:val="center"/>
              <w:textAlignment w:val="center"/>
              <w:rPr>
                <w:rFonts w:hint="default" w:ascii="新宋体" w:hAnsi="新宋体"/>
                <w:color w:val="auto"/>
                <w:szCs w:val="22"/>
                <w:highlight w:val="none"/>
                <w:lang w:val="en-US" w:eastAsia="zh-CN"/>
              </w:rPr>
            </w:pPr>
            <w:r>
              <w:rPr>
                <w:rFonts w:hint="eastAsia" w:ascii="宋体" w:hAnsi="宋体" w:eastAsia="宋体" w:cs="宋体"/>
                <w:color w:val="auto"/>
                <w:kern w:val="0"/>
                <w:szCs w:val="22"/>
                <w:highlight w:val="none"/>
                <w:lang w:val="en-US" w:eastAsia="zh-CN" w:bidi="ar"/>
              </w:rPr>
              <w:t>295</w:t>
            </w:r>
          </w:p>
        </w:tc>
        <w:tc>
          <w:tcPr>
            <w:tcW w:w="198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AACC46">
            <w:pPr>
              <w:keepNext w:val="0"/>
              <w:keepLines w:val="0"/>
              <w:pageBreakBefore w:val="0"/>
              <w:kinsoku/>
              <w:wordWrap/>
              <w:overflowPunct/>
              <w:topLinePunct w:val="0"/>
              <w:bidi w:val="0"/>
              <w:snapToGrid/>
              <w:spacing w:line="360" w:lineRule="auto"/>
              <w:jc w:val="left"/>
              <w:textAlignment w:val="auto"/>
              <w:rPr>
                <w:rFonts w:hint="eastAsia" w:ascii="新宋体" w:hAnsi="新宋体"/>
                <w:color w:val="auto"/>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光学轮廓测量系统</w:t>
            </w:r>
            <w:r>
              <w:rPr>
                <w:rFonts w:hint="eastAsia" w:ascii="新宋体" w:hAnsi="新宋体"/>
                <w:color w:val="auto"/>
                <w:szCs w:val="22"/>
                <w:highlight w:val="none"/>
                <w:lang w:val="en-US" w:eastAsia="zh-CN"/>
              </w:rPr>
              <w:t>一套，具体要求</w:t>
            </w:r>
            <w:r>
              <w:rPr>
                <w:rFonts w:hint="eastAsia" w:ascii="新宋体" w:hAnsi="新宋体"/>
                <w:color w:val="auto"/>
                <w:szCs w:val="22"/>
                <w:highlight w:val="none"/>
              </w:rPr>
              <w:t>详见采购文件</w:t>
            </w:r>
            <w:r>
              <w:rPr>
                <w:rFonts w:hint="eastAsia" w:ascii="新宋体" w:hAnsi="新宋体"/>
                <w:color w:val="auto"/>
                <w:szCs w:val="22"/>
                <w:highlight w:val="none"/>
                <w:lang w:val="en-US" w:eastAsia="zh-CN"/>
              </w:rPr>
              <w:t>第四部分</w:t>
            </w:r>
            <w:r>
              <w:rPr>
                <w:rFonts w:hint="eastAsia" w:ascii="新宋体" w:hAnsi="新宋体"/>
                <w:color w:val="auto"/>
                <w:szCs w:val="22"/>
                <w:highlight w:val="none"/>
              </w:rPr>
              <w:t>。</w:t>
            </w:r>
          </w:p>
        </w:tc>
      </w:tr>
      <w:tr w14:paraId="1F265BD5">
        <w:tblPrEx>
          <w:tblCellMar>
            <w:top w:w="0" w:type="dxa"/>
            <w:left w:w="108" w:type="dxa"/>
            <w:bottom w:w="0" w:type="dxa"/>
            <w:right w:w="108" w:type="dxa"/>
          </w:tblCellMar>
        </w:tblPrEx>
        <w:trPr>
          <w:trHeight w:val="1" w:hRule="atLeast"/>
        </w:trPr>
        <w:tc>
          <w:tcPr>
            <w:tcW w:w="39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06F6B3">
            <w:pPr>
              <w:keepNext w:val="0"/>
              <w:keepLines w:val="0"/>
              <w:pageBreakBefore w:val="0"/>
              <w:kinsoku/>
              <w:wordWrap/>
              <w:overflowPunct/>
              <w:topLinePunct w:val="0"/>
              <w:bidi w:val="0"/>
              <w:snapToGrid/>
              <w:spacing w:line="360"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2</w:t>
            </w:r>
          </w:p>
        </w:tc>
        <w:tc>
          <w:tcPr>
            <w:tcW w:w="113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C1421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新宋体" w:hAnsi="新宋体"/>
                <w:color w:val="auto"/>
                <w:szCs w:val="22"/>
                <w:highlight w:val="none"/>
                <w:lang w:eastAsia="zh-CN"/>
              </w:rPr>
            </w:pPr>
            <w:r>
              <w:rPr>
                <w:rFonts w:hint="eastAsia" w:ascii="新宋体" w:hAnsi="新宋体" w:eastAsia="新宋体" w:cs="新宋体"/>
                <w:i w:val="0"/>
                <w:iCs w:val="0"/>
                <w:color w:val="000000"/>
                <w:kern w:val="0"/>
                <w:sz w:val="22"/>
                <w:szCs w:val="22"/>
                <w:highlight w:val="none"/>
                <w:u w:val="none"/>
                <w:lang w:val="en-US" w:eastAsia="zh-CN" w:bidi="ar"/>
              </w:rPr>
              <w:t>注塑机</w:t>
            </w:r>
          </w:p>
        </w:tc>
        <w:tc>
          <w:tcPr>
            <w:tcW w:w="40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AACAA3">
            <w:pPr>
              <w:keepNext w:val="0"/>
              <w:keepLines w:val="0"/>
              <w:pageBreakBefore w:val="0"/>
              <w:kinsoku/>
              <w:wordWrap/>
              <w:overflowPunct/>
              <w:topLinePunct w:val="0"/>
              <w:bidi w:val="0"/>
              <w:snapToGrid/>
              <w:spacing w:line="360"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2</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DD54FF">
            <w:pPr>
              <w:keepNext w:val="0"/>
              <w:keepLines w:val="0"/>
              <w:pageBreakBefore w:val="0"/>
              <w:kinsoku/>
              <w:wordWrap/>
              <w:overflowPunct/>
              <w:topLinePunct w:val="0"/>
              <w:bidi w:val="0"/>
              <w:snapToGrid/>
              <w:spacing w:line="360" w:lineRule="auto"/>
              <w:jc w:val="center"/>
              <w:textAlignment w:val="auto"/>
              <w:rPr>
                <w:rFonts w:hint="eastAsia" w:ascii="新宋体" w:hAnsi="新宋体"/>
                <w:color w:val="auto"/>
                <w:szCs w:val="22"/>
                <w:highlight w:val="none"/>
                <w:lang w:val="en-US" w:eastAsia="zh-CN"/>
              </w:rPr>
            </w:pPr>
            <w:r>
              <w:rPr>
                <w:rFonts w:hint="eastAsia" w:ascii="新宋体" w:hAnsi="新宋体"/>
                <w:color w:val="auto"/>
                <w:szCs w:val="22"/>
                <w:highlight w:val="none"/>
                <w:lang w:val="en-US" w:eastAsia="zh-CN"/>
              </w:rPr>
              <w:t>套</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7B52A4">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新宋体" w:hAnsi="新宋体"/>
                <w:color w:val="auto"/>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140</w:t>
            </w:r>
          </w:p>
        </w:tc>
        <w:tc>
          <w:tcPr>
            <w:tcW w:w="198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ECDD87">
            <w:pPr>
              <w:keepNext w:val="0"/>
              <w:keepLines w:val="0"/>
              <w:pageBreakBefore w:val="0"/>
              <w:kinsoku/>
              <w:wordWrap/>
              <w:overflowPunct/>
              <w:topLinePunct w:val="0"/>
              <w:bidi w:val="0"/>
              <w:snapToGrid/>
              <w:spacing w:line="360" w:lineRule="auto"/>
              <w:jc w:val="left"/>
              <w:textAlignment w:val="auto"/>
              <w:rPr>
                <w:rFonts w:hint="eastAsia" w:ascii="新宋体" w:hAnsi="新宋体"/>
                <w:color w:val="auto"/>
                <w:szCs w:val="22"/>
                <w:highlight w:val="none"/>
                <w:lang w:eastAsia="zh-CN"/>
              </w:rPr>
            </w:pPr>
            <w:r>
              <w:rPr>
                <w:rFonts w:hint="eastAsia" w:ascii="新宋体" w:hAnsi="新宋体" w:eastAsia="新宋体" w:cs="新宋体"/>
                <w:i w:val="0"/>
                <w:iCs w:val="0"/>
                <w:color w:val="000000"/>
                <w:kern w:val="0"/>
                <w:sz w:val="22"/>
                <w:szCs w:val="22"/>
                <w:highlight w:val="none"/>
                <w:u w:val="none"/>
                <w:lang w:val="en-US" w:eastAsia="zh-CN" w:bidi="ar"/>
              </w:rPr>
              <w:t>注塑机</w:t>
            </w:r>
            <w:r>
              <w:rPr>
                <w:rFonts w:hint="eastAsia" w:ascii="新宋体" w:hAnsi="新宋体"/>
                <w:color w:val="auto"/>
                <w:szCs w:val="22"/>
                <w:highlight w:val="none"/>
                <w:lang w:val="en-US" w:eastAsia="zh-CN"/>
              </w:rPr>
              <w:t>二套，具体要求</w:t>
            </w:r>
            <w:r>
              <w:rPr>
                <w:rFonts w:hint="eastAsia" w:ascii="新宋体" w:hAnsi="新宋体"/>
                <w:color w:val="auto"/>
                <w:szCs w:val="22"/>
                <w:highlight w:val="none"/>
              </w:rPr>
              <w:t>详见采购文件</w:t>
            </w:r>
            <w:r>
              <w:rPr>
                <w:rFonts w:hint="eastAsia" w:ascii="新宋体" w:hAnsi="新宋体"/>
                <w:color w:val="auto"/>
                <w:szCs w:val="22"/>
                <w:highlight w:val="none"/>
                <w:lang w:val="en-US" w:eastAsia="zh-CN"/>
              </w:rPr>
              <w:t>第四部分</w:t>
            </w:r>
            <w:r>
              <w:rPr>
                <w:rFonts w:hint="eastAsia" w:ascii="新宋体" w:hAnsi="新宋体"/>
                <w:color w:val="auto"/>
                <w:szCs w:val="22"/>
                <w:highlight w:val="none"/>
              </w:rPr>
              <w:t>。</w:t>
            </w:r>
          </w:p>
        </w:tc>
      </w:tr>
    </w:tbl>
    <w:p w14:paraId="0DADB02E">
      <w:pPr>
        <w:keepNext w:val="0"/>
        <w:keepLines w:val="0"/>
        <w:pageBreakBefore w:val="0"/>
        <w:kinsoku/>
        <w:wordWrap/>
        <w:overflowPunct/>
        <w:topLinePunct w:val="0"/>
        <w:autoSpaceDE w:val="0"/>
        <w:autoSpaceDN w:val="0"/>
        <w:bidi w:val="0"/>
        <w:snapToGrid/>
        <w:spacing w:line="360" w:lineRule="auto"/>
        <w:ind w:left="-202" w:right="-202" w:firstLine="552"/>
        <w:jc w:val="left"/>
        <w:textAlignment w:val="auto"/>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四、供应商资格要求：</w:t>
      </w:r>
    </w:p>
    <w:p w14:paraId="4322B923">
      <w:pPr>
        <w:keepNext w:val="0"/>
        <w:keepLines w:val="0"/>
        <w:pageBreakBefore w:val="0"/>
        <w:widowControl/>
        <w:numPr>
          <w:ilvl w:val="0"/>
          <w:numId w:val="4"/>
        </w:numPr>
        <w:kinsoku/>
        <w:wordWrap/>
        <w:overflowPunct/>
        <w:topLinePunct w:val="0"/>
        <w:bidi w:val="0"/>
        <w:snapToGrid/>
        <w:spacing w:line="360" w:lineRule="auto"/>
        <w:ind w:left="-202" w:right="-202" w:firstLine="55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一般资格条件：</w:t>
      </w:r>
    </w:p>
    <w:p w14:paraId="07182C0B">
      <w:pPr>
        <w:keepNext w:val="0"/>
        <w:keepLines w:val="0"/>
        <w:pageBreakBefore w:val="0"/>
        <w:widowControl/>
        <w:kinsoku/>
        <w:wordWrap/>
        <w:overflowPunct/>
        <w:topLinePunct w:val="0"/>
        <w:bidi w:val="0"/>
        <w:snapToGrid/>
        <w:spacing w:line="360" w:lineRule="auto"/>
        <w:ind w:left="-202" w:right="-202" w:firstLine="440" w:firstLineChars="200"/>
        <w:jc w:val="left"/>
        <w:textAlignment w:val="auto"/>
        <w:rPr>
          <w:rFonts w:cs="新宋体" w:asciiTheme="majorEastAsia" w:hAnsiTheme="majorEastAsia" w:eastAsiaTheme="majorEastAsia"/>
          <w:color w:val="auto"/>
          <w:kern w:val="0"/>
          <w:sz w:val="24"/>
          <w:highlight w:val="none"/>
          <w:lang w:bidi="en-US"/>
        </w:rPr>
      </w:pPr>
      <w:r>
        <w:rPr>
          <w:rFonts w:hint="eastAsia" w:cs="新宋体" w:asciiTheme="majorEastAsia" w:hAnsiTheme="majorEastAsia" w:eastAsiaTheme="majorEastAsia"/>
          <w:color w:val="auto"/>
          <w:kern w:val="0"/>
          <w:szCs w:val="22"/>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759C02C">
      <w:pPr>
        <w:keepNext w:val="0"/>
        <w:keepLines w:val="0"/>
        <w:pageBreakBefore w:val="0"/>
        <w:widowControl/>
        <w:numPr>
          <w:ilvl w:val="0"/>
          <w:numId w:val="4"/>
        </w:numPr>
        <w:kinsoku/>
        <w:wordWrap/>
        <w:overflowPunct/>
        <w:topLinePunct w:val="0"/>
        <w:bidi w:val="0"/>
        <w:snapToGrid/>
        <w:spacing w:line="360" w:lineRule="auto"/>
        <w:ind w:left="-202" w:right="-202" w:firstLine="55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特殊资格条件：</w:t>
      </w:r>
      <w:r>
        <w:rPr>
          <w:rFonts w:hint="eastAsia" w:cs="新宋体" w:asciiTheme="majorEastAsia" w:hAnsiTheme="majorEastAsia" w:eastAsiaTheme="majorEastAsia"/>
          <w:color w:val="auto"/>
          <w:kern w:val="0"/>
          <w:szCs w:val="22"/>
          <w:highlight w:val="none"/>
          <w:lang w:val="en-US" w:eastAsia="zh-CN"/>
        </w:rPr>
        <w:t>无</w:t>
      </w:r>
    </w:p>
    <w:p w14:paraId="0077A3CA">
      <w:pPr>
        <w:keepNext w:val="0"/>
        <w:keepLines w:val="0"/>
        <w:pageBreakBefore w:val="0"/>
        <w:widowControl/>
        <w:numPr>
          <w:ilvl w:val="0"/>
          <w:numId w:val="4"/>
        </w:numPr>
        <w:kinsoku/>
        <w:wordWrap/>
        <w:overflowPunct/>
        <w:topLinePunct w:val="0"/>
        <w:bidi w:val="0"/>
        <w:snapToGrid/>
        <w:spacing w:line="360" w:lineRule="auto"/>
        <w:ind w:left="-202" w:right="-202" w:firstLine="55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lang w:val="zh-CN"/>
        </w:rPr>
        <w:t>本项目不接受联合体投标。</w:t>
      </w:r>
    </w:p>
    <w:p w14:paraId="10C83E3A">
      <w:pPr>
        <w:keepNext w:val="0"/>
        <w:keepLines w:val="0"/>
        <w:pageBreakBefore w:val="0"/>
        <w:widowControl/>
        <w:kinsoku/>
        <w:wordWrap/>
        <w:overflowPunct/>
        <w:topLinePunct w:val="0"/>
        <w:autoSpaceDE w:val="0"/>
        <w:autoSpaceDN w:val="0"/>
        <w:bidi w:val="0"/>
        <w:snapToGrid/>
        <w:spacing w:line="360" w:lineRule="auto"/>
        <w:ind w:left="-202" w:right="-202" w:firstLine="552"/>
        <w:jc w:val="left"/>
        <w:textAlignment w:val="auto"/>
        <w:rPr>
          <w:rFonts w:cs="新宋体" w:asciiTheme="majorEastAsia" w:hAnsiTheme="majorEastAsia" w:eastAsiaTheme="majorEastAsia"/>
          <w:b/>
          <w:color w:val="auto"/>
          <w:kern w:val="0"/>
          <w:szCs w:val="22"/>
          <w:highlight w:val="none"/>
        </w:rPr>
      </w:pPr>
      <w:r>
        <w:rPr>
          <w:rFonts w:hint="eastAsia" w:cs="新宋体" w:asciiTheme="majorEastAsia" w:hAnsiTheme="majorEastAsia" w:eastAsiaTheme="majorEastAsia"/>
          <w:b/>
          <w:color w:val="auto"/>
          <w:kern w:val="0"/>
          <w:szCs w:val="22"/>
          <w:highlight w:val="none"/>
        </w:rPr>
        <w:t>五、获取采购文件时间及地点：</w:t>
      </w:r>
    </w:p>
    <w:p w14:paraId="61DF4FFA">
      <w:pPr>
        <w:keepNext w:val="0"/>
        <w:keepLines w:val="0"/>
        <w:pageBreakBefore w:val="0"/>
        <w:widowControl/>
        <w:kinsoku/>
        <w:wordWrap/>
        <w:overflowPunct/>
        <w:topLinePunct w:val="0"/>
        <w:bidi w:val="0"/>
        <w:snapToGrid/>
        <w:spacing w:line="360" w:lineRule="auto"/>
        <w:ind w:right="60" w:firstLine="440" w:firstLineChars="200"/>
        <w:jc w:val="left"/>
        <w:textAlignment w:val="auto"/>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1．申请获取采购文件方式：</w:t>
      </w:r>
    </w:p>
    <w:p w14:paraId="61964527">
      <w:pPr>
        <w:keepNext w:val="0"/>
        <w:keepLines w:val="0"/>
        <w:pageBreakBefore w:val="0"/>
        <w:widowControl/>
        <w:kinsoku/>
        <w:wordWrap/>
        <w:overflowPunct/>
        <w:topLinePunct w:val="0"/>
        <w:bidi w:val="0"/>
        <w:snapToGrid/>
        <w:spacing w:line="360" w:lineRule="auto"/>
        <w:ind w:firstLine="440" w:firstLineChars="200"/>
        <w:jc w:val="left"/>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1）现场报名或快递方式报名。通过现场报名的，供应商将报名资料送至代理机构地址；通过快递方式报名的，请在报名资料上注明联系人和联系方式并邮寄至代理机构地址，代理机构将在收到报名资料后1个工作日内与供应商联系标书购买事项。</w:t>
      </w:r>
    </w:p>
    <w:p w14:paraId="6B408E7F">
      <w:pPr>
        <w:keepNext w:val="0"/>
        <w:keepLines w:val="0"/>
        <w:pageBreakBefore w:val="0"/>
        <w:widowControl/>
        <w:kinsoku/>
        <w:wordWrap/>
        <w:overflowPunct/>
        <w:topLinePunct w:val="0"/>
        <w:bidi w:val="0"/>
        <w:snapToGrid/>
        <w:spacing w:line="360" w:lineRule="auto"/>
        <w:ind w:right="60" w:firstLine="534" w:firstLineChars="243"/>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①　法定代表人（单位负责人）授权委托书/公司介绍信；</w:t>
      </w:r>
    </w:p>
    <w:p w14:paraId="2261C517">
      <w:pPr>
        <w:keepNext w:val="0"/>
        <w:keepLines w:val="0"/>
        <w:pageBreakBefore w:val="0"/>
        <w:widowControl/>
        <w:kinsoku/>
        <w:wordWrap/>
        <w:overflowPunct/>
        <w:topLinePunct w:val="0"/>
        <w:bidi w:val="0"/>
        <w:snapToGrid/>
        <w:spacing w:line="360" w:lineRule="auto"/>
        <w:ind w:right="60" w:firstLine="534" w:firstLineChars="243"/>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②　被授权人身份证复印件；</w:t>
      </w:r>
    </w:p>
    <w:p w14:paraId="68932312">
      <w:pPr>
        <w:keepNext w:val="0"/>
        <w:keepLines w:val="0"/>
        <w:pageBreakBefore w:val="0"/>
        <w:widowControl/>
        <w:kinsoku/>
        <w:wordWrap/>
        <w:overflowPunct/>
        <w:topLinePunct w:val="0"/>
        <w:bidi w:val="0"/>
        <w:snapToGrid/>
        <w:spacing w:line="360" w:lineRule="auto"/>
        <w:ind w:firstLine="550" w:firstLineChars="250"/>
        <w:jc w:val="left"/>
        <w:textAlignment w:val="auto"/>
        <w:rPr>
          <w:rFonts w:ascii="宋体" w:hAnsi="宋体"/>
          <w:color w:val="auto"/>
          <w:kern w:val="0"/>
          <w:sz w:val="22"/>
          <w:szCs w:val="22"/>
          <w:highlight w:val="none"/>
        </w:rPr>
      </w:pPr>
      <w:r>
        <w:rPr>
          <w:rFonts w:hint="eastAsia" w:ascii="宋体" w:hAnsi="宋体" w:cs="新宋体"/>
          <w:snapToGrid w:val="0"/>
          <w:color w:val="auto"/>
          <w:sz w:val="22"/>
          <w:szCs w:val="22"/>
          <w:highlight w:val="none"/>
        </w:rPr>
        <w:t>③　加盖有效公章的营业执照副本复印件</w:t>
      </w:r>
      <w:r>
        <w:rPr>
          <w:rFonts w:hint="eastAsia" w:ascii="宋体" w:hAnsi="宋体"/>
          <w:color w:val="auto"/>
          <w:kern w:val="0"/>
          <w:sz w:val="22"/>
          <w:szCs w:val="22"/>
          <w:highlight w:val="none"/>
        </w:rPr>
        <w:t>。</w:t>
      </w:r>
    </w:p>
    <w:p w14:paraId="3DB4D125">
      <w:pPr>
        <w:keepNext w:val="0"/>
        <w:keepLines w:val="0"/>
        <w:pageBreakBefore w:val="0"/>
        <w:widowControl/>
        <w:kinsoku/>
        <w:wordWrap/>
        <w:overflowPunct/>
        <w:topLinePunct w:val="0"/>
        <w:bidi w:val="0"/>
        <w:snapToGrid/>
        <w:spacing w:line="360" w:lineRule="auto"/>
        <w:ind w:firstLine="440" w:firstLineChars="200"/>
        <w:jc w:val="left"/>
        <w:textAlignment w:val="auto"/>
        <w:rPr>
          <w:rFonts w:hint="eastAsia" w:ascii="宋体" w:hAnsi="宋体"/>
          <w:color w:val="auto"/>
          <w:szCs w:val="22"/>
          <w:highlight w:val="none"/>
        </w:rPr>
      </w:pPr>
      <w:r>
        <w:rPr>
          <w:rFonts w:hint="eastAsia" w:ascii="宋体" w:hAnsi="宋体"/>
          <w:color w:val="auto"/>
          <w:kern w:val="0"/>
          <w:sz w:val="22"/>
          <w:szCs w:val="22"/>
          <w:highlight w:val="none"/>
        </w:rPr>
        <w:t>（2）网上报名。投标人将报名资料扫描件发送到代理机构邮箱：</w:t>
      </w:r>
      <w:r>
        <w:rPr>
          <w:rFonts w:hint="eastAsia" w:ascii="宋体" w:hAnsi="宋体"/>
          <w:color w:val="auto"/>
          <w:kern w:val="0"/>
          <w:sz w:val="22"/>
          <w:szCs w:val="22"/>
          <w:highlight w:val="none"/>
        </w:rPr>
        <w:fldChar w:fldCharType="begin"/>
      </w:r>
      <w:r>
        <w:rPr>
          <w:rFonts w:ascii="宋体" w:hAnsi="宋体"/>
          <w:color w:val="auto"/>
          <w:kern w:val="0"/>
          <w:sz w:val="22"/>
          <w:szCs w:val="22"/>
          <w:highlight w:val="none"/>
        </w:rPr>
        <w:instrText xml:space="preserve"> HYPERLINK "mailto:8549204@qq.com。代理机构经过审核后回复标书购买费汇入账户，投标人缴纳报名费后将缴费截图发回代理机构电子邮箱。代理机构发送电子版招标文件给投标人" </w:instrText>
      </w:r>
      <w:r>
        <w:rPr>
          <w:rFonts w:hint="eastAsia" w:ascii="宋体" w:hAnsi="宋体"/>
          <w:color w:val="auto"/>
          <w:kern w:val="0"/>
          <w:sz w:val="22"/>
          <w:szCs w:val="22"/>
          <w:highlight w:val="none"/>
        </w:rPr>
        <w:fldChar w:fldCharType="separate"/>
      </w:r>
      <w:r>
        <w:rPr>
          <w:rFonts w:ascii="宋体" w:hAnsi="宋体"/>
          <w:color w:val="auto"/>
          <w:szCs w:val="22"/>
          <w:highlight w:val="none"/>
        </w:rPr>
        <w:t>342487104@qq.com</w:t>
      </w:r>
      <w:r>
        <w:rPr>
          <w:rFonts w:hint="eastAsia" w:ascii="宋体" w:hAnsi="宋体"/>
          <w:color w:val="auto"/>
          <w:szCs w:val="22"/>
          <w:highlight w:val="none"/>
        </w:rPr>
        <w:t>。</w:t>
      </w:r>
      <w:r>
        <w:rPr>
          <w:rFonts w:hint="eastAsia" w:ascii="宋体" w:hAnsi="宋体"/>
          <w:color w:val="auto"/>
          <w:szCs w:val="22"/>
          <w:highlight w:val="none"/>
        </w:rPr>
        <w:fldChar w:fldCharType="end"/>
      </w:r>
    </w:p>
    <w:p w14:paraId="6E53A9DF">
      <w:pPr>
        <w:keepNext w:val="0"/>
        <w:keepLines w:val="0"/>
        <w:pageBreakBefore w:val="0"/>
        <w:widowControl/>
        <w:kinsoku/>
        <w:wordWrap/>
        <w:overflowPunct/>
        <w:topLinePunct w:val="0"/>
        <w:bidi w:val="0"/>
        <w:snapToGrid/>
        <w:spacing w:line="360" w:lineRule="auto"/>
        <w:ind w:right="60" w:firstLine="440" w:firstLineChars="200"/>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2．申请获取采购文件时间：公告发布之日起至</w:t>
      </w:r>
      <w:r>
        <w:rPr>
          <w:rFonts w:hint="eastAsia" w:ascii="宋体" w:hAnsi="宋体" w:cs="新宋体"/>
          <w:snapToGrid w:val="0"/>
          <w:color w:val="auto"/>
          <w:sz w:val="22"/>
          <w:szCs w:val="22"/>
          <w:highlight w:val="none"/>
          <w:lang w:eastAsia="zh-CN"/>
        </w:rPr>
        <w:t>投标响应</w:t>
      </w:r>
      <w:r>
        <w:rPr>
          <w:rFonts w:hint="eastAsia" w:ascii="宋体" w:hAnsi="宋体" w:cs="新宋体"/>
          <w:snapToGrid w:val="0"/>
          <w:color w:val="auto"/>
          <w:sz w:val="22"/>
          <w:szCs w:val="22"/>
          <w:highlight w:val="none"/>
        </w:rPr>
        <w:t>文件递交截止时间前（节假日除外），上午：08:30－11:30，下午：14:00－16:30。</w:t>
      </w:r>
    </w:p>
    <w:p w14:paraId="0BBE6A5C">
      <w:pPr>
        <w:keepNext w:val="0"/>
        <w:keepLines w:val="0"/>
        <w:pageBreakBefore w:val="0"/>
        <w:widowControl/>
        <w:kinsoku/>
        <w:wordWrap/>
        <w:overflowPunct/>
        <w:topLinePunct w:val="0"/>
        <w:bidi w:val="0"/>
        <w:snapToGrid/>
        <w:spacing w:line="360" w:lineRule="auto"/>
        <w:ind w:right="60" w:firstLine="440" w:firstLineChars="200"/>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3</w:t>
      </w:r>
      <w:r>
        <w:rPr>
          <w:rFonts w:hint="eastAsia" w:ascii="宋体" w:hAnsi="宋体" w:cs="新宋体"/>
          <w:snapToGrid w:val="0"/>
          <w:color w:val="auto"/>
          <w:sz w:val="22"/>
          <w:szCs w:val="22"/>
          <w:highlight w:val="none"/>
          <w:lang w:val="en-US" w:eastAsia="zh-CN"/>
        </w:rPr>
        <w:t>. 购领采购文件时间和地点：温州市智信招标代理有限公司（温州市瓯海区新桥街道高昂路1号牛山广场2号楼1409室）。采购代理机构将拒收未购领采购文件的潜在供应商递交的投标响应文件，</w:t>
      </w:r>
      <w:r>
        <w:rPr>
          <w:rFonts w:hint="eastAsia" w:ascii="宋体" w:hAnsi="宋体" w:cs="新宋体"/>
          <w:b w:val="0"/>
          <w:bCs w:val="0"/>
          <w:snapToGrid w:val="0"/>
          <w:color w:val="auto"/>
          <w:sz w:val="22"/>
          <w:szCs w:val="22"/>
          <w:highlight w:val="none"/>
          <w:lang w:val="en-US" w:eastAsia="zh-CN"/>
        </w:rPr>
        <w:t>采购文件费用每标段500元整，售后不退。</w:t>
      </w:r>
    </w:p>
    <w:p w14:paraId="7785E30A">
      <w:pPr>
        <w:keepNext w:val="0"/>
        <w:keepLines w:val="0"/>
        <w:pageBreakBefore w:val="0"/>
        <w:widowControl/>
        <w:kinsoku/>
        <w:wordWrap/>
        <w:overflowPunct/>
        <w:topLinePunct w:val="0"/>
        <w:bidi w:val="0"/>
        <w:snapToGrid/>
        <w:spacing w:line="360" w:lineRule="auto"/>
        <w:ind w:left="-202" w:right="-202" w:firstLine="552"/>
        <w:jc w:val="left"/>
        <w:textAlignment w:val="auto"/>
        <w:rPr>
          <w:rFonts w:cs="新宋体" w:asciiTheme="majorEastAsia" w:hAnsiTheme="majorEastAsia" w:eastAsiaTheme="majorEastAsia"/>
          <w:b/>
          <w:bCs/>
          <w:color w:val="auto"/>
          <w:kern w:val="0"/>
          <w:szCs w:val="22"/>
          <w:highlight w:val="none"/>
        </w:rPr>
      </w:pPr>
      <w:r>
        <w:rPr>
          <w:rFonts w:hint="eastAsia" w:cs="新宋体" w:asciiTheme="majorEastAsia" w:hAnsiTheme="majorEastAsia" w:eastAsiaTheme="majorEastAsia"/>
          <w:b/>
          <w:color w:val="auto"/>
          <w:kern w:val="0"/>
          <w:szCs w:val="22"/>
          <w:highlight w:val="none"/>
        </w:rPr>
        <w:t>六、投标文件递交截止时间：</w:t>
      </w:r>
      <w:bookmarkStart w:id="1" w:name="B23_谈判响应文件提交截止日期"/>
      <w:bookmarkEnd w:id="1"/>
      <w:r>
        <w:rPr>
          <w:rFonts w:hint="eastAsia" w:cs="新宋体" w:asciiTheme="majorEastAsia" w:hAnsiTheme="majorEastAsia" w:eastAsiaTheme="majorEastAsia"/>
          <w:color w:val="auto"/>
          <w:szCs w:val="21"/>
          <w:highlight w:val="none"/>
          <w:lang w:eastAsia="zh-CN"/>
        </w:rPr>
        <w:t>2025年2月26日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r>
        <w:rPr>
          <w:rFonts w:hint="eastAsia" w:cs="新宋体" w:asciiTheme="majorEastAsia" w:hAnsiTheme="majorEastAsia" w:eastAsiaTheme="majorEastAsia"/>
          <w:b w:val="0"/>
          <w:bCs w:val="0"/>
          <w:color w:val="auto"/>
          <w:kern w:val="0"/>
          <w:szCs w:val="22"/>
          <w:highlight w:val="none"/>
        </w:rPr>
        <w:t>。</w:t>
      </w:r>
    </w:p>
    <w:p w14:paraId="502B02FE">
      <w:pPr>
        <w:keepNext w:val="0"/>
        <w:keepLines w:val="0"/>
        <w:pageBreakBefore w:val="0"/>
        <w:widowControl/>
        <w:kinsoku/>
        <w:wordWrap/>
        <w:overflowPunct/>
        <w:topLinePunct w:val="0"/>
        <w:bidi w:val="0"/>
        <w:snapToGrid/>
        <w:spacing w:line="360" w:lineRule="auto"/>
        <w:ind w:left="-202" w:right="-202" w:firstLine="552"/>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七、投标文件递交地点：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p w14:paraId="6E5A4971">
      <w:pPr>
        <w:keepNext w:val="0"/>
        <w:keepLines w:val="0"/>
        <w:pageBreakBefore w:val="0"/>
        <w:widowControl/>
        <w:kinsoku/>
        <w:wordWrap/>
        <w:overflowPunct/>
        <w:topLinePunct w:val="0"/>
        <w:bidi w:val="0"/>
        <w:snapToGrid/>
        <w:spacing w:line="360" w:lineRule="auto"/>
        <w:ind w:left="-202" w:right="-202" w:firstLine="552"/>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八、开标时间：</w:t>
      </w:r>
      <w:bookmarkStart w:id="2" w:name="B26_谈判时间日期"/>
      <w:bookmarkEnd w:id="2"/>
      <w:r>
        <w:rPr>
          <w:rFonts w:hint="eastAsia" w:cs="新宋体" w:asciiTheme="majorEastAsia" w:hAnsiTheme="majorEastAsia" w:eastAsiaTheme="majorEastAsia"/>
          <w:color w:val="auto"/>
          <w:szCs w:val="21"/>
          <w:highlight w:val="none"/>
          <w:lang w:eastAsia="zh-CN"/>
        </w:rPr>
        <w:t>2025年2月26日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r>
        <w:rPr>
          <w:rFonts w:hint="eastAsia" w:cs="新宋体" w:asciiTheme="majorEastAsia" w:hAnsiTheme="majorEastAsia" w:eastAsiaTheme="majorEastAsia"/>
          <w:color w:val="auto"/>
          <w:szCs w:val="21"/>
          <w:highlight w:val="none"/>
        </w:rPr>
        <w:t>。</w:t>
      </w:r>
    </w:p>
    <w:p w14:paraId="0A115A02">
      <w:pPr>
        <w:keepNext w:val="0"/>
        <w:keepLines w:val="0"/>
        <w:pageBreakBefore w:val="0"/>
        <w:widowControl/>
        <w:kinsoku/>
        <w:wordWrap/>
        <w:overflowPunct/>
        <w:topLinePunct w:val="0"/>
        <w:bidi w:val="0"/>
        <w:snapToGrid/>
        <w:spacing w:line="360" w:lineRule="auto"/>
        <w:ind w:left="-202" w:right="-202" w:firstLine="552"/>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九、开标地点：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p w14:paraId="755C0915">
      <w:pPr>
        <w:keepNext w:val="0"/>
        <w:keepLines w:val="0"/>
        <w:pageBreakBefore w:val="0"/>
        <w:widowControl/>
        <w:kinsoku/>
        <w:wordWrap/>
        <w:overflowPunct/>
        <w:topLinePunct w:val="0"/>
        <w:bidi w:val="0"/>
        <w:snapToGrid/>
        <w:spacing w:line="360" w:lineRule="auto"/>
        <w:ind w:left="-202" w:right="-202" w:firstLine="552"/>
        <w:jc w:val="left"/>
        <w:textAlignment w:val="auto"/>
        <w:rPr>
          <w:rFonts w:cs="新宋体" w:asciiTheme="majorEastAsia" w:hAnsiTheme="majorEastAsia" w:eastAsiaTheme="majorEastAsia"/>
          <w:b/>
          <w:color w:val="auto"/>
          <w:kern w:val="0"/>
          <w:szCs w:val="22"/>
          <w:highlight w:val="none"/>
        </w:rPr>
      </w:pPr>
      <w:r>
        <w:rPr>
          <w:rFonts w:hint="eastAsia" w:cs="新宋体" w:asciiTheme="majorEastAsia" w:hAnsiTheme="majorEastAsia" w:eastAsiaTheme="majorEastAsia"/>
          <w:b/>
          <w:color w:val="auto"/>
          <w:kern w:val="0"/>
          <w:szCs w:val="22"/>
          <w:highlight w:val="none"/>
        </w:rPr>
        <w:t>十、投标保证金：无需提交。</w:t>
      </w:r>
    </w:p>
    <w:p w14:paraId="7C79FDDD">
      <w:pPr>
        <w:keepNext w:val="0"/>
        <w:keepLines w:val="0"/>
        <w:pageBreakBefore w:val="0"/>
        <w:widowControl/>
        <w:kinsoku/>
        <w:wordWrap/>
        <w:overflowPunct/>
        <w:topLinePunct w:val="0"/>
        <w:bidi w:val="0"/>
        <w:snapToGrid/>
        <w:spacing w:line="360" w:lineRule="auto"/>
        <w:ind w:left="-202" w:right="-202" w:firstLine="552"/>
        <w:jc w:val="left"/>
        <w:textAlignment w:val="auto"/>
        <w:rPr>
          <w:rFonts w:cs="新宋体" w:asciiTheme="majorEastAsia" w:hAnsiTheme="majorEastAsia" w:eastAsiaTheme="majorEastAsia"/>
          <w:b/>
          <w:color w:val="auto"/>
          <w:kern w:val="0"/>
          <w:szCs w:val="22"/>
          <w:highlight w:val="none"/>
        </w:rPr>
      </w:pPr>
      <w:bookmarkStart w:id="3" w:name="B29_谈判保证金"/>
      <w:bookmarkEnd w:id="3"/>
      <w:r>
        <w:rPr>
          <w:rFonts w:hint="eastAsia" w:cs="新宋体" w:asciiTheme="majorEastAsia" w:hAnsiTheme="majorEastAsia" w:eastAsiaTheme="majorEastAsia"/>
          <w:b/>
          <w:color w:val="auto"/>
          <w:kern w:val="0"/>
          <w:szCs w:val="22"/>
          <w:highlight w:val="none"/>
        </w:rPr>
        <w:t>十一、其他事项：</w:t>
      </w:r>
    </w:p>
    <w:p w14:paraId="611AFDED">
      <w:pPr>
        <w:keepNext w:val="0"/>
        <w:keepLines w:val="0"/>
        <w:pageBreakBefore w:val="0"/>
        <w:widowControl/>
        <w:numPr>
          <w:ilvl w:val="0"/>
          <w:numId w:val="5"/>
        </w:numPr>
        <w:kinsoku/>
        <w:wordWrap/>
        <w:overflowPunct/>
        <w:topLinePunct w:val="0"/>
        <w:bidi w:val="0"/>
        <w:snapToGrid/>
        <w:spacing w:line="360" w:lineRule="auto"/>
        <w:ind w:left="-202" w:right="-202" w:firstLine="550"/>
        <w:jc w:val="left"/>
        <w:textAlignment w:val="auto"/>
        <w:rPr>
          <w:rFonts w:cs="新宋体" w:asciiTheme="majorEastAsia" w:hAnsiTheme="majorEastAsia" w:eastAsiaTheme="majorEastAsia"/>
          <w:bCs/>
          <w:color w:val="auto"/>
          <w:kern w:val="0"/>
          <w:szCs w:val="22"/>
          <w:highlight w:val="none"/>
        </w:rPr>
      </w:pPr>
      <w:r>
        <w:rPr>
          <w:rFonts w:hint="eastAsia" w:ascii="新宋体" w:hAnsi="新宋体" w:cs="仿宋_GB2312"/>
          <w:color w:val="auto"/>
          <w:kern w:val="0"/>
          <w:szCs w:val="22"/>
          <w:highlight w:val="none"/>
        </w:rPr>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采购监督部门投诉</w:t>
      </w:r>
      <w:r>
        <w:rPr>
          <w:rFonts w:hint="eastAsia" w:cs="新宋体" w:asciiTheme="majorEastAsia" w:hAnsiTheme="majorEastAsia" w:eastAsiaTheme="majorEastAsia"/>
          <w:bCs/>
          <w:color w:val="auto"/>
          <w:kern w:val="0"/>
          <w:szCs w:val="22"/>
          <w:highlight w:val="none"/>
        </w:rPr>
        <w:t>。</w:t>
      </w:r>
    </w:p>
    <w:p w14:paraId="40F05577">
      <w:pPr>
        <w:keepNext w:val="0"/>
        <w:keepLines w:val="0"/>
        <w:pageBreakBefore w:val="0"/>
        <w:widowControl/>
        <w:numPr>
          <w:ilvl w:val="0"/>
          <w:numId w:val="5"/>
        </w:numPr>
        <w:kinsoku/>
        <w:wordWrap/>
        <w:overflowPunct/>
        <w:topLinePunct w:val="0"/>
        <w:bidi w:val="0"/>
        <w:snapToGrid/>
        <w:spacing w:line="360" w:lineRule="auto"/>
        <w:ind w:left="-202" w:right="-202" w:firstLine="550"/>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Cs/>
          <w:color w:val="auto"/>
          <w:kern w:val="0"/>
          <w:szCs w:val="22"/>
          <w:highlight w:val="none"/>
        </w:rPr>
        <w:t>书面质疑受理地点：</w:t>
      </w:r>
      <w:r>
        <w:rPr>
          <w:rFonts w:hint="eastAsia" w:cs="新宋体" w:asciiTheme="majorEastAsia" w:hAnsiTheme="majorEastAsia" w:eastAsiaTheme="majorEastAsia"/>
          <w:bCs/>
          <w:color w:val="auto"/>
          <w:kern w:val="0"/>
          <w:szCs w:val="22"/>
          <w:highlight w:val="none"/>
          <w:lang w:eastAsia="zh-CN"/>
        </w:rPr>
        <w:t>温州市瓯海区新桥街道高昂路1号牛山广场2号楼1409室</w:t>
      </w:r>
      <w:r>
        <w:rPr>
          <w:rFonts w:hint="eastAsia" w:cs="新宋体" w:asciiTheme="majorEastAsia" w:hAnsiTheme="majorEastAsia" w:eastAsiaTheme="majorEastAsia"/>
          <w:bCs/>
          <w:color w:val="auto"/>
          <w:kern w:val="0"/>
          <w:szCs w:val="22"/>
          <w:highlight w:val="none"/>
        </w:rPr>
        <w:t>，联系人：熊先生，联系电话：13676780329</w:t>
      </w:r>
    </w:p>
    <w:p w14:paraId="3BFA596A">
      <w:pPr>
        <w:keepNext w:val="0"/>
        <w:keepLines w:val="0"/>
        <w:pageBreakBefore w:val="0"/>
        <w:kinsoku/>
        <w:wordWrap/>
        <w:overflowPunct/>
        <w:topLinePunct w:val="0"/>
        <w:autoSpaceDE w:val="0"/>
        <w:autoSpaceDN w:val="0"/>
        <w:bidi w:val="0"/>
        <w:snapToGrid/>
        <w:spacing w:line="360" w:lineRule="auto"/>
        <w:ind w:left="-202" w:right="-202" w:firstLine="552"/>
        <w:jc w:val="left"/>
        <w:textAlignment w:val="auto"/>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十二、联系方式</w:t>
      </w:r>
    </w:p>
    <w:p w14:paraId="6021F27C">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rPr>
        <w:t>1.</w:t>
      </w:r>
      <w:r>
        <w:rPr>
          <w:rFonts w:hint="eastAsia" w:cs="新宋体" w:asciiTheme="majorEastAsia" w:hAnsiTheme="majorEastAsia" w:eastAsiaTheme="majorEastAsia"/>
          <w:bCs/>
          <w:color w:val="auto"/>
          <w:kern w:val="0"/>
          <w:szCs w:val="22"/>
          <w:highlight w:val="none"/>
          <w:lang w:val="zh-CN" w:eastAsia="zh-CN"/>
        </w:rPr>
        <w:t>采购人名称：港理大（温州）技术创新研究院有限公司</w:t>
      </w:r>
    </w:p>
    <w:p w14:paraId="06CFFB34">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eastAsia="zh-CN"/>
        </w:rPr>
        <w:t>地址：温州市龙湾区金石路浙南海创城2号楼六层</w:t>
      </w:r>
    </w:p>
    <w:p w14:paraId="195C5F27">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eastAsia="zh-CN"/>
        </w:rPr>
        <w:t>项目联系人：赖女士</w:t>
      </w:r>
    </w:p>
    <w:p w14:paraId="13B6318A">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eastAsia="zh-CN"/>
        </w:rPr>
        <w:t>项目联系方式：13957725027</w:t>
      </w:r>
    </w:p>
    <w:p w14:paraId="77B05EDC">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rPr>
        <w:t>2.</w:t>
      </w:r>
      <w:r>
        <w:rPr>
          <w:rFonts w:hint="eastAsia" w:cs="新宋体" w:asciiTheme="majorEastAsia" w:hAnsiTheme="majorEastAsia" w:eastAsiaTheme="majorEastAsia"/>
          <w:bCs/>
          <w:color w:val="auto"/>
          <w:kern w:val="0"/>
          <w:szCs w:val="22"/>
          <w:highlight w:val="none"/>
          <w:lang w:val="zh-CN"/>
        </w:rPr>
        <w:t>采购代理机构名称：温州市智信招标代理有限公司</w:t>
      </w:r>
    </w:p>
    <w:p w14:paraId="6F94D0F3">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地</w:t>
      </w:r>
      <w:r>
        <w:rPr>
          <w:rFonts w:cs="新宋体" w:asciiTheme="majorEastAsia" w:hAnsiTheme="majorEastAsia" w:eastAsiaTheme="majorEastAsia"/>
          <w:bCs/>
          <w:color w:val="auto"/>
          <w:kern w:val="0"/>
          <w:szCs w:val="22"/>
          <w:highlight w:val="none"/>
          <w:lang w:val="zh-CN"/>
        </w:rPr>
        <w:t xml:space="preserve"> </w:t>
      </w:r>
      <w:r>
        <w:rPr>
          <w:rFonts w:hint="eastAsia" w:cs="新宋体" w:asciiTheme="majorEastAsia" w:hAnsiTheme="majorEastAsia" w:eastAsiaTheme="majorEastAsia"/>
          <w:bCs/>
          <w:color w:val="auto"/>
          <w:kern w:val="0"/>
          <w:szCs w:val="22"/>
          <w:highlight w:val="none"/>
          <w:lang w:val="zh-CN"/>
        </w:rPr>
        <w:t>址：温州市瓯海区新桥街道高昂路1号牛山广场2号楼1409室</w:t>
      </w:r>
    </w:p>
    <w:p w14:paraId="49766C0B">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联系人：苏先生</w:t>
      </w:r>
      <w:r>
        <w:rPr>
          <w:rFonts w:hint="eastAsia" w:cs="新宋体" w:asciiTheme="majorEastAsia" w:hAnsiTheme="majorEastAsia" w:eastAsiaTheme="majorEastAsia"/>
          <w:bCs/>
          <w:color w:val="auto"/>
          <w:kern w:val="0"/>
          <w:szCs w:val="22"/>
          <w:highlight w:val="none"/>
          <w:lang w:val="en-US" w:eastAsia="zh-CN"/>
        </w:rPr>
        <w:t>/叶先生</w:t>
      </w:r>
      <w:r>
        <w:rPr>
          <w:rFonts w:hint="eastAsia" w:cs="新宋体" w:asciiTheme="majorEastAsia" w:hAnsiTheme="majorEastAsia" w:eastAsiaTheme="majorEastAsia"/>
          <w:bCs/>
          <w:color w:val="auto"/>
          <w:kern w:val="0"/>
          <w:szCs w:val="22"/>
          <w:highlight w:val="none"/>
          <w:lang w:val="zh-CN"/>
        </w:rPr>
        <w:t xml:space="preserve">   </w:t>
      </w:r>
    </w:p>
    <w:p w14:paraId="5AE5AA9C">
      <w:pPr>
        <w:keepNext w:val="0"/>
        <w:keepLines w:val="0"/>
        <w:pageBreakBefore w:val="0"/>
        <w:kinsoku/>
        <w:wordWrap/>
        <w:overflowPunct/>
        <w:topLinePunct w:val="0"/>
        <w:autoSpaceDE w:val="0"/>
        <w:autoSpaceDN w:val="0"/>
        <w:bidi w:val="0"/>
        <w:snapToGrid/>
        <w:spacing w:line="360" w:lineRule="auto"/>
        <w:ind w:left="-202" w:right="-202" w:firstLine="550"/>
        <w:jc w:val="left"/>
        <w:textAlignment w:val="auto"/>
        <w:rPr>
          <w:rFonts w:hint="default" w:cs="新宋体" w:asciiTheme="majorEastAsia" w:hAnsiTheme="majorEastAsia" w:eastAsiaTheme="majorEastAsia"/>
          <w:bCs/>
          <w:color w:val="auto"/>
          <w:kern w:val="0"/>
          <w:szCs w:val="22"/>
          <w:highlight w:val="none"/>
          <w:lang w:val="en-US" w:eastAsia="zh-CN"/>
        </w:rPr>
      </w:pPr>
      <w:r>
        <w:rPr>
          <w:rFonts w:hint="eastAsia" w:cs="新宋体" w:asciiTheme="majorEastAsia" w:hAnsiTheme="majorEastAsia" w:eastAsiaTheme="majorEastAsia"/>
          <w:bCs/>
          <w:color w:val="auto"/>
          <w:kern w:val="0"/>
          <w:szCs w:val="22"/>
          <w:highlight w:val="none"/>
          <w:lang w:val="zh-CN"/>
        </w:rPr>
        <w:t>电话：13626506308</w:t>
      </w:r>
      <w:r>
        <w:rPr>
          <w:rFonts w:hint="eastAsia" w:cs="新宋体" w:asciiTheme="majorEastAsia" w:hAnsiTheme="majorEastAsia" w:eastAsiaTheme="majorEastAsia"/>
          <w:bCs/>
          <w:color w:val="auto"/>
          <w:kern w:val="0"/>
          <w:szCs w:val="22"/>
          <w:highlight w:val="none"/>
          <w:lang w:val="en-US" w:eastAsia="zh-CN"/>
        </w:rPr>
        <w:t>/13958779970</w:t>
      </w:r>
    </w:p>
    <w:p w14:paraId="10C7CF8C">
      <w:pPr>
        <w:rPr>
          <w:rFonts w:hint="eastAsia"/>
          <w:lang w:eastAsia="zh-CN"/>
        </w:rPr>
      </w:pPr>
      <w:bookmarkStart w:id="4" w:name="_Toc78294246"/>
    </w:p>
    <w:p w14:paraId="14C72A4B">
      <w:pPr>
        <w:pStyle w:val="2"/>
        <w:numPr>
          <w:ilvl w:val="0"/>
          <w:numId w:val="0"/>
        </w:numPr>
        <w:ind w:left="113" w:right="-202"/>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lang w:eastAsia="zh-CN"/>
        </w:rPr>
        <w:t>供应商</w:t>
      </w:r>
      <w:r>
        <w:rPr>
          <w:rFonts w:hint="eastAsia" w:asciiTheme="majorEastAsia" w:hAnsiTheme="majorEastAsia" w:eastAsiaTheme="majorEastAsia"/>
          <w:color w:val="auto"/>
          <w:sz w:val="28"/>
          <w:szCs w:val="28"/>
          <w:highlight w:val="none"/>
        </w:rPr>
        <w:t>须知前附表</w:t>
      </w:r>
      <w:bookmarkEnd w:id="4"/>
    </w:p>
    <w:tbl>
      <w:tblPr>
        <w:tblStyle w:val="29"/>
        <w:tblW w:w="9854" w:type="dxa"/>
        <w:tblInd w:w="108" w:type="dxa"/>
        <w:tblLayout w:type="fixed"/>
        <w:tblCellMar>
          <w:top w:w="0" w:type="dxa"/>
          <w:left w:w="108" w:type="dxa"/>
          <w:bottom w:w="0" w:type="dxa"/>
          <w:right w:w="108" w:type="dxa"/>
        </w:tblCellMar>
      </w:tblPr>
      <w:tblGrid>
        <w:gridCol w:w="652"/>
        <w:gridCol w:w="1866"/>
        <w:gridCol w:w="721"/>
        <w:gridCol w:w="4133"/>
        <w:gridCol w:w="1307"/>
        <w:gridCol w:w="1175"/>
      </w:tblGrid>
      <w:tr w14:paraId="534C5324">
        <w:tblPrEx>
          <w:tblCellMar>
            <w:top w:w="0" w:type="dxa"/>
            <w:left w:w="108" w:type="dxa"/>
            <w:bottom w:w="0" w:type="dxa"/>
            <w:right w:w="108" w:type="dxa"/>
          </w:tblCellMar>
        </w:tblPrEx>
        <w:trPr>
          <w:trHeight w:val="567" w:hRule="atLeast"/>
          <w:tblHead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033945">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b/>
                <w:color w:val="auto"/>
                <w:kern w:val="0"/>
                <w:szCs w:val="21"/>
                <w:highlight w:val="none"/>
                <w:lang w:val="zh-CN"/>
              </w:rPr>
            </w:pPr>
            <w:r>
              <w:rPr>
                <w:rFonts w:hint="eastAsia" w:cs="新宋体" w:asciiTheme="majorEastAsia" w:hAnsiTheme="majorEastAsia" w:eastAsiaTheme="majorEastAsia"/>
                <w:b/>
                <w:color w:val="auto"/>
                <w:kern w:val="0"/>
                <w:szCs w:val="21"/>
                <w:highlight w:val="none"/>
                <w:lang w:val="zh-CN"/>
              </w:rPr>
              <w:t>序号</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D0E39F">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b/>
                <w:color w:val="auto"/>
                <w:kern w:val="0"/>
                <w:szCs w:val="21"/>
                <w:highlight w:val="none"/>
                <w:lang w:val="zh-CN"/>
              </w:rPr>
            </w:pPr>
            <w:r>
              <w:rPr>
                <w:rFonts w:hint="eastAsia" w:cs="新宋体" w:asciiTheme="majorEastAsia" w:hAnsiTheme="majorEastAsia" w:eastAsiaTheme="majorEastAsia"/>
                <w:b/>
                <w:color w:val="auto"/>
                <w:kern w:val="0"/>
                <w:szCs w:val="21"/>
                <w:highlight w:val="none"/>
                <w:lang w:val="zh-CN"/>
              </w:rPr>
              <w:t>条款名称</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3403C969">
            <w:pPr>
              <w:keepNext w:val="0"/>
              <w:keepLines w:val="0"/>
              <w:pageBreakBefore w:val="0"/>
              <w:kinsoku/>
              <w:wordWrap/>
              <w:overflowPunct/>
              <w:topLinePunct w:val="0"/>
              <w:autoSpaceDE w:val="0"/>
              <w:autoSpaceDN w:val="0"/>
              <w:bidi w:val="0"/>
              <w:adjustRightInd w:val="0"/>
              <w:spacing w:line="360" w:lineRule="auto"/>
              <w:ind w:right="71"/>
              <w:jc w:val="center"/>
              <w:textAlignment w:val="auto"/>
              <w:rPr>
                <w:rFonts w:cs="宋体" w:asciiTheme="majorEastAsia" w:hAnsiTheme="majorEastAsia" w:eastAsiaTheme="majorEastAsia"/>
                <w:b/>
                <w:color w:val="auto"/>
                <w:kern w:val="0"/>
                <w:szCs w:val="21"/>
                <w:highlight w:val="none"/>
                <w:lang w:val="zh-CN"/>
              </w:rPr>
            </w:pPr>
            <w:r>
              <w:rPr>
                <w:rFonts w:hint="eastAsia" w:cs="新宋体" w:asciiTheme="majorEastAsia" w:hAnsiTheme="majorEastAsia" w:eastAsiaTheme="majorEastAsia"/>
                <w:b/>
                <w:color w:val="auto"/>
                <w:kern w:val="0"/>
                <w:szCs w:val="21"/>
                <w:highlight w:val="none"/>
                <w:lang w:val="zh-CN"/>
              </w:rPr>
              <w:t>编列内容</w:t>
            </w:r>
          </w:p>
        </w:tc>
      </w:tr>
      <w:tr w14:paraId="123B9FFA">
        <w:tblPrEx>
          <w:tblCellMar>
            <w:top w:w="0" w:type="dxa"/>
            <w:left w:w="108" w:type="dxa"/>
            <w:bottom w:w="0" w:type="dxa"/>
            <w:right w:w="108" w:type="dxa"/>
          </w:tblCellMar>
        </w:tblPrEx>
        <w:trPr>
          <w:trHeight w:val="9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83EDC4">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61E41D">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采购人</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AB0695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采购人名称：港理大（温州）技术创新研究院有限公司</w:t>
            </w:r>
          </w:p>
          <w:p w14:paraId="7F109CA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地址：温州市龙湾区金石路浙南海创城2号楼六层</w:t>
            </w:r>
          </w:p>
          <w:p w14:paraId="3E32FC8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项目联系人：赖女士</w:t>
            </w:r>
          </w:p>
          <w:p w14:paraId="02EE68D0">
            <w:pPr>
              <w:keepNext w:val="0"/>
              <w:keepLines w:val="0"/>
              <w:pageBreakBefore w:val="0"/>
              <w:kinsoku/>
              <w:wordWrap/>
              <w:overflowPunct/>
              <w:topLinePunct w:val="0"/>
              <w:bidi w:val="0"/>
              <w:snapToGrid/>
              <w:spacing w:line="288" w:lineRule="auto"/>
              <w:textAlignment w:val="auto"/>
              <w:rPr>
                <w:lang w:val="zh-CN"/>
              </w:rPr>
            </w:pPr>
            <w:r>
              <w:rPr>
                <w:rFonts w:hint="eastAsia" w:ascii="宋体" w:hAnsi="宋体" w:eastAsia="宋体" w:cs="宋体"/>
                <w:color w:val="auto"/>
                <w:sz w:val="22"/>
                <w:szCs w:val="22"/>
                <w:highlight w:val="none"/>
                <w:lang w:val="en-US" w:eastAsia="zh-CN"/>
              </w:rPr>
              <w:t>项目联系方式：13957725027</w:t>
            </w:r>
          </w:p>
        </w:tc>
      </w:tr>
      <w:tr w14:paraId="3D3D707B">
        <w:tblPrEx>
          <w:tblCellMar>
            <w:top w:w="0" w:type="dxa"/>
            <w:left w:w="108" w:type="dxa"/>
            <w:bottom w:w="0" w:type="dxa"/>
            <w:right w:w="108" w:type="dxa"/>
          </w:tblCellMar>
        </w:tblPrEx>
        <w:trPr>
          <w:trHeight w:val="98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50BEE7">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2</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872F64">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采购代理机构</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34DC7136">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代理机构名称：温州市智信招标代理有限公司</w:t>
            </w:r>
          </w:p>
          <w:p w14:paraId="7FA6024F">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地址：温州市瓯海区新桥街道高昂路1号牛山广场2号楼1409室</w:t>
            </w:r>
          </w:p>
          <w:p w14:paraId="0ADA3D0C">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宋体" w:asciiTheme="majorEastAsia" w:hAnsiTheme="majorEastAsia" w:eastAsiaTheme="majorEastAsia"/>
                <w:color w:val="auto"/>
                <w:kern w:val="0"/>
                <w:szCs w:val="21"/>
                <w:highlight w:val="none"/>
                <w:lang w:val="zh-CN"/>
              </w:rPr>
            </w:pPr>
            <w:r>
              <w:rPr>
                <w:rFonts w:hint="eastAsia" w:cs="宋体" w:asciiTheme="majorEastAsia" w:hAnsiTheme="majorEastAsia" w:eastAsiaTheme="majorEastAsia"/>
                <w:color w:val="auto"/>
                <w:kern w:val="0"/>
                <w:szCs w:val="21"/>
                <w:highlight w:val="none"/>
                <w:lang w:val="zh-CN"/>
              </w:rPr>
              <w:t>联系人：苏先生</w:t>
            </w:r>
            <w:r>
              <w:rPr>
                <w:rFonts w:hint="eastAsia" w:cs="宋体" w:asciiTheme="majorEastAsia" w:hAnsiTheme="majorEastAsia" w:eastAsiaTheme="majorEastAsia"/>
                <w:color w:val="auto"/>
                <w:kern w:val="0"/>
                <w:szCs w:val="21"/>
                <w:highlight w:val="none"/>
                <w:lang w:val="zh-CN" w:eastAsia="zh-CN"/>
              </w:rPr>
              <w:t>/叶先生</w:t>
            </w:r>
            <w:r>
              <w:rPr>
                <w:rFonts w:hint="eastAsia" w:cs="宋体" w:asciiTheme="majorEastAsia" w:hAnsiTheme="majorEastAsia" w:eastAsiaTheme="majorEastAsia"/>
                <w:color w:val="auto"/>
                <w:kern w:val="0"/>
                <w:szCs w:val="21"/>
                <w:highlight w:val="none"/>
                <w:lang w:val="zh-CN"/>
              </w:rPr>
              <w:t xml:space="preserve">  </w:t>
            </w:r>
            <w:r>
              <w:rPr>
                <w:rFonts w:hint="eastAsia" w:cs="宋体" w:asciiTheme="majorEastAsia" w:hAnsiTheme="majorEastAsia" w:eastAsiaTheme="majorEastAsia"/>
                <w:color w:val="auto"/>
                <w:kern w:val="0"/>
                <w:szCs w:val="21"/>
                <w:highlight w:val="none"/>
                <w:lang w:val="en-US" w:eastAsia="zh-CN"/>
              </w:rPr>
              <w:t xml:space="preserve"> </w:t>
            </w:r>
            <w:r>
              <w:rPr>
                <w:rFonts w:hint="eastAsia" w:cs="宋体" w:asciiTheme="majorEastAsia" w:hAnsiTheme="majorEastAsia" w:eastAsiaTheme="majorEastAsia"/>
                <w:color w:val="auto"/>
                <w:kern w:val="0"/>
                <w:szCs w:val="21"/>
                <w:highlight w:val="none"/>
                <w:lang w:val="zh-CN"/>
              </w:rPr>
              <w:t xml:space="preserve"> </w:t>
            </w:r>
          </w:p>
          <w:p w14:paraId="5C0C083F">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宋体" w:asciiTheme="majorEastAsia" w:hAnsiTheme="majorEastAsia" w:eastAsiaTheme="majorEastAsia"/>
                <w:color w:val="auto"/>
                <w:kern w:val="0"/>
                <w:szCs w:val="21"/>
                <w:highlight w:val="none"/>
                <w:lang w:val="zh-CN"/>
              </w:rPr>
              <w:t>电话：13626506308</w:t>
            </w:r>
            <w:r>
              <w:rPr>
                <w:rFonts w:hint="eastAsia" w:cs="宋体" w:asciiTheme="majorEastAsia" w:hAnsiTheme="majorEastAsia" w:eastAsiaTheme="majorEastAsia"/>
                <w:color w:val="auto"/>
                <w:kern w:val="0"/>
                <w:szCs w:val="21"/>
                <w:highlight w:val="none"/>
                <w:lang w:val="zh-CN" w:eastAsia="zh-CN"/>
              </w:rPr>
              <w:t>/13958779970</w:t>
            </w:r>
          </w:p>
        </w:tc>
      </w:tr>
      <w:tr w14:paraId="0C191A62">
        <w:tblPrEx>
          <w:tblCellMar>
            <w:top w:w="0" w:type="dxa"/>
            <w:left w:w="108" w:type="dxa"/>
            <w:bottom w:w="0" w:type="dxa"/>
            <w:right w:w="108" w:type="dxa"/>
          </w:tblCellMar>
        </w:tblPrEx>
        <w:trPr>
          <w:trHeight w:val="75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CF0EEF8">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3</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4DC482">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cs="宋体" w:asciiTheme="majorEastAsia" w:hAnsiTheme="majorEastAsia" w:eastAsiaTheme="majorEastAsia"/>
                <w:color w:val="auto"/>
                <w:kern w:val="0"/>
                <w:szCs w:val="21"/>
                <w:highlight w:val="none"/>
                <w:lang w:val="en-US" w:eastAsia="zh-CN"/>
              </w:rPr>
            </w:pPr>
            <w:r>
              <w:rPr>
                <w:rFonts w:hint="eastAsia" w:cs="新宋体" w:asciiTheme="majorEastAsia" w:hAnsiTheme="majorEastAsia" w:eastAsiaTheme="majorEastAsia"/>
                <w:color w:val="auto"/>
                <w:kern w:val="0"/>
                <w:szCs w:val="21"/>
                <w:highlight w:val="none"/>
                <w:lang w:val="zh-CN"/>
              </w:rPr>
              <w:t>项目名称</w:t>
            </w:r>
            <w:r>
              <w:rPr>
                <w:rFonts w:hint="eastAsia" w:cs="新宋体" w:asciiTheme="majorEastAsia" w:hAnsiTheme="majorEastAsia" w:eastAsiaTheme="majorEastAsia"/>
                <w:color w:val="auto"/>
                <w:kern w:val="0"/>
                <w:szCs w:val="21"/>
                <w:highlight w:val="none"/>
                <w:lang w:val="en-US" w:eastAsia="zh-CN"/>
              </w:rPr>
              <w:t>及编号</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10C658AC">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asciiTheme="majorEastAsia" w:hAnsiTheme="majorEastAsia" w:eastAsiaTheme="majorEastAsia"/>
                <w:color w:val="auto"/>
                <w:szCs w:val="22"/>
                <w:highlight w:val="none"/>
                <w:lang w:eastAsia="zh-CN"/>
              </w:rPr>
            </w:pPr>
            <w:r>
              <w:rPr>
                <w:rFonts w:hint="eastAsia" w:asciiTheme="majorEastAsia" w:hAnsiTheme="majorEastAsia" w:eastAsiaTheme="majorEastAsia"/>
                <w:color w:val="auto"/>
                <w:szCs w:val="22"/>
                <w:highlight w:val="none"/>
              </w:rPr>
              <w:t>项目名称：</w:t>
            </w:r>
            <w:r>
              <w:rPr>
                <w:rFonts w:hint="eastAsia" w:asciiTheme="majorEastAsia" w:hAnsiTheme="majorEastAsia" w:eastAsiaTheme="majorEastAsia"/>
                <w:color w:val="auto"/>
                <w:szCs w:val="22"/>
                <w:highlight w:val="none"/>
                <w:lang w:eastAsia="zh-CN"/>
              </w:rPr>
              <w:t>超精密中心实验室设备采购</w:t>
            </w:r>
          </w:p>
          <w:p w14:paraId="3D3C49BB">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项目编号：ZXZB-H20241226-JM</w:t>
            </w:r>
            <w:r>
              <w:rPr>
                <w:rFonts w:cs="新宋体" w:asciiTheme="majorEastAsia" w:hAnsiTheme="majorEastAsia" w:eastAsiaTheme="majorEastAsia"/>
                <w:color w:val="auto"/>
                <w:kern w:val="0"/>
                <w:szCs w:val="21"/>
                <w:highlight w:val="none"/>
                <w:lang w:val="zh-CN"/>
              </w:rPr>
              <w:t xml:space="preserve"> </w:t>
            </w:r>
          </w:p>
        </w:tc>
      </w:tr>
      <w:tr w14:paraId="36CA9E4F">
        <w:tblPrEx>
          <w:tblCellMar>
            <w:top w:w="0" w:type="dxa"/>
            <w:left w:w="108" w:type="dxa"/>
            <w:bottom w:w="0" w:type="dxa"/>
            <w:right w:w="108" w:type="dxa"/>
          </w:tblCellMar>
        </w:tblPrEx>
        <w:trPr>
          <w:trHeight w:val="795" w:hRule="atLeast"/>
        </w:trPr>
        <w:tc>
          <w:tcPr>
            <w:tcW w:w="652" w:type="dxa"/>
            <w:vMerge w:val="restart"/>
            <w:tcBorders>
              <w:top w:val="single" w:color="000000" w:sz="2" w:space="0"/>
              <w:left w:val="single" w:color="000000" w:sz="2" w:space="0"/>
              <w:right w:val="single" w:color="000000" w:sz="2" w:space="0"/>
            </w:tcBorders>
            <w:shd w:val="clear" w:color="000000" w:fill="FFFFFF"/>
            <w:vAlign w:val="center"/>
          </w:tcPr>
          <w:p w14:paraId="56EB7BE8">
            <w:pPr>
              <w:jc w:val="center"/>
              <w:rPr>
                <w:rFonts w:cs="宋体" w:asciiTheme="majorEastAsia" w:hAnsiTheme="majorEastAsia" w:eastAsiaTheme="majorEastAsia"/>
                <w:color w:val="auto"/>
                <w:kern w:val="0"/>
                <w:szCs w:val="21"/>
                <w:highlight w:val="none"/>
                <w:lang w:val="zh-CN"/>
              </w:rPr>
            </w:pPr>
            <w:r>
              <w:rPr>
                <w:rFonts w:hint="eastAsia" w:ascii="新宋体" w:hAnsi="新宋体" w:eastAsia="新宋体" w:cs="新宋体"/>
                <w:color w:val="auto"/>
                <w:kern w:val="0"/>
                <w:sz w:val="22"/>
                <w:szCs w:val="22"/>
                <w:highlight w:val="none"/>
              </w:rPr>
              <w:t>4</w:t>
            </w:r>
          </w:p>
        </w:tc>
        <w:tc>
          <w:tcPr>
            <w:tcW w:w="1866" w:type="dxa"/>
            <w:vMerge w:val="restart"/>
            <w:tcBorders>
              <w:top w:val="single" w:color="000000" w:sz="2" w:space="0"/>
              <w:left w:val="single" w:color="000000" w:sz="2" w:space="0"/>
              <w:right w:val="single" w:color="000000" w:sz="2" w:space="0"/>
            </w:tcBorders>
            <w:shd w:val="clear" w:color="000000" w:fill="FFFFFF"/>
            <w:vAlign w:val="center"/>
          </w:tcPr>
          <w:p w14:paraId="549F6C19">
            <w:pPr>
              <w:jc w:val="center"/>
              <w:rPr>
                <w:rFonts w:cs="宋体" w:asciiTheme="majorEastAsia" w:hAnsiTheme="majorEastAsia" w:eastAsiaTheme="majorEastAsia"/>
                <w:color w:val="auto"/>
                <w:kern w:val="0"/>
                <w:szCs w:val="21"/>
                <w:highlight w:val="none"/>
                <w:lang w:val="zh-CN"/>
              </w:rPr>
            </w:pPr>
            <w:r>
              <w:rPr>
                <w:rFonts w:hint="eastAsia" w:ascii="新宋体" w:hAnsi="新宋体" w:eastAsia="新宋体" w:cs="新宋体"/>
                <w:color w:val="auto"/>
                <w:kern w:val="0"/>
                <w:sz w:val="22"/>
                <w:szCs w:val="22"/>
                <w:highlight w:val="none"/>
              </w:rPr>
              <w:t>采购内容</w:t>
            </w:r>
          </w:p>
        </w:tc>
        <w:tc>
          <w:tcPr>
            <w:tcW w:w="721" w:type="dxa"/>
            <w:tcBorders>
              <w:top w:val="single" w:color="000000" w:sz="2" w:space="0"/>
              <w:left w:val="single" w:color="000000" w:sz="2" w:space="0"/>
              <w:bottom w:val="single" w:color="auto" w:sz="4" w:space="0"/>
              <w:right w:val="single" w:color="auto" w:sz="4" w:space="0"/>
            </w:tcBorders>
            <w:shd w:val="clear" w:color="000000" w:fill="FFFFFF"/>
            <w:vAlign w:val="center"/>
          </w:tcPr>
          <w:p w14:paraId="24203ABD">
            <w:pPr>
              <w:widowControl/>
              <w:spacing w:before="60" w:after="60"/>
              <w:jc w:val="center"/>
              <w:rPr>
                <w:rFonts w:ascii="新宋体" w:hAnsi="新宋体" w:cs="新宋体"/>
                <w:color w:val="auto"/>
                <w:kern w:val="0"/>
                <w:szCs w:val="22"/>
                <w:highlight w:val="none"/>
                <w:lang w:val="zh-CN"/>
              </w:rPr>
            </w:pPr>
            <w:r>
              <w:rPr>
                <w:rFonts w:hint="eastAsia" w:ascii="新宋体" w:hAnsi="新宋体" w:eastAsia="新宋体" w:cs="新宋体"/>
                <w:b/>
                <w:kern w:val="0"/>
                <w:sz w:val="22"/>
                <w:szCs w:val="22"/>
                <w:highlight w:val="none"/>
              </w:rPr>
              <w:t>标项</w:t>
            </w:r>
          </w:p>
        </w:tc>
        <w:tc>
          <w:tcPr>
            <w:tcW w:w="4133" w:type="dxa"/>
            <w:tcBorders>
              <w:top w:val="single" w:color="000000" w:sz="2" w:space="0"/>
              <w:left w:val="single" w:color="auto" w:sz="4" w:space="0"/>
              <w:bottom w:val="single" w:color="auto" w:sz="4" w:space="0"/>
              <w:right w:val="single" w:color="auto" w:sz="4" w:space="0"/>
            </w:tcBorders>
            <w:shd w:val="clear" w:color="000000" w:fill="FFFFFF"/>
            <w:vAlign w:val="center"/>
          </w:tcPr>
          <w:p w14:paraId="6DAE0F1B">
            <w:pPr>
              <w:widowControl/>
              <w:spacing w:before="60" w:after="60"/>
              <w:jc w:val="center"/>
              <w:rPr>
                <w:rFonts w:hint="eastAsia" w:ascii="新宋体" w:hAnsi="新宋体"/>
                <w:color w:val="auto"/>
                <w:szCs w:val="22"/>
                <w:highlight w:val="none"/>
                <w:lang w:eastAsia="zh-CN"/>
              </w:rPr>
            </w:pPr>
            <w:r>
              <w:rPr>
                <w:rFonts w:hint="eastAsia" w:ascii="新宋体" w:hAnsi="新宋体" w:eastAsia="新宋体" w:cs="新宋体"/>
                <w:b/>
                <w:kern w:val="0"/>
                <w:sz w:val="22"/>
                <w:szCs w:val="22"/>
                <w:highlight w:val="none"/>
              </w:rPr>
              <w:t>采购内容</w:t>
            </w:r>
          </w:p>
        </w:tc>
        <w:tc>
          <w:tcPr>
            <w:tcW w:w="1307" w:type="dxa"/>
            <w:tcBorders>
              <w:top w:val="single" w:color="000000" w:sz="2" w:space="0"/>
              <w:left w:val="single" w:color="auto" w:sz="4" w:space="0"/>
              <w:bottom w:val="single" w:color="auto" w:sz="4" w:space="0"/>
              <w:right w:val="single" w:color="auto" w:sz="4" w:space="0"/>
            </w:tcBorders>
            <w:shd w:val="clear" w:color="000000" w:fill="FFFFFF"/>
            <w:vAlign w:val="center"/>
          </w:tcPr>
          <w:p w14:paraId="7A238180">
            <w:pPr>
              <w:widowControl/>
              <w:spacing w:before="60" w:after="60"/>
              <w:jc w:val="center"/>
              <w:rPr>
                <w:rFonts w:hint="eastAsia" w:ascii="新宋体" w:hAnsi="新宋体"/>
                <w:color w:val="auto"/>
                <w:szCs w:val="22"/>
                <w:highlight w:val="none"/>
                <w:lang w:eastAsia="zh-CN"/>
              </w:rPr>
            </w:pPr>
            <w:r>
              <w:rPr>
                <w:rFonts w:hint="eastAsia" w:ascii="新宋体" w:hAnsi="新宋体" w:eastAsia="新宋体" w:cs="新宋体"/>
                <w:b/>
                <w:kern w:val="0"/>
                <w:sz w:val="22"/>
                <w:szCs w:val="22"/>
                <w:highlight w:val="none"/>
                <w:lang w:val="en-US" w:eastAsia="zh-CN"/>
              </w:rPr>
              <w:t>数量</w:t>
            </w:r>
          </w:p>
        </w:tc>
        <w:tc>
          <w:tcPr>
            <w:tcW w:w="1175" w:type="dxa"/>
            <w:tcBorders>
              <w:top w:val="single" w:color="000000" w:sz="2" w:space="0"/>
              <w:left w:val="single" w:color="auto" w:sz="4" w:space="0"/>
              <w:bottom w:val="single" w:color="auto" w:sz="4" w:space="0"/>
              <w:right w:val="single" w:color="000000" w:sz="2" w:space="0"/>
            </w:tcBorders>
            <w:shd w:val="clear" w:color="000000" w:fill="FFFFFF"/>
            <w:vAlign w:val="center"/>
          </w:tcPr>
          <w:p w14:paraId="74C18398">
            <w:pPr>
              <w:widowControl/>
              <w:spacing w:before="60" w:after="60"/>
              <w:jc w:val="center"/>
              <w:rPr>
                <w:rFonts w:hint="eastAsia" w:ascii="新宋体" w:hAnsi="新宋体"/>
                <w:color w:val="auto"/>
                <w:szCs w:val="22"/>
                <w:highlight w:val="none"/>
                <w:lang w:eastAsia="zh-CN"/>
              </w:rPr>
            </w:pPr>
            <w:r>
              <w:rPr>
                <w:rFonts w:hint="eastAsia" w:ascii="新宋体" w:hAnsi="新宋体" w:eastAsia="新宋体" w:cs="新宋体"/>
                <w:b/>
                <w:kern w:val="0"/>
                <w:sz w:val="22"/>
                <w:szCs w:val="22"/>
                <w:highlight w:val="none"/>
                <w:lang w:val="en-US" w:eastAsia="zh-CN"/>
              </w:rPr>
              <w:t>预算金额（</w:t>
            </w:r>
            <w:r>
              <w:rPr>
                <w:rFonts w:hint="eastAsia" w:ascii="新宋体" w:hAnsi="新宋体" w:cs="新宋体"/>
                <w:b/>
                <w:kern w:val="0"/>
                <w:sz w:val="22"/>
                <w:szCs w:val="22"/>
                <w:highlight w:val="none"/>
                <w:lang w:val="en-US" w:eastAsia="zh-CN"/>
              </w:rPr>
              <w:t>万</w:t>
            </w:r>
            <w:r>
              <w:rPr>
                <w:rFonts w:hint="eastAsia" w:ascii="新宋体" w:hAnsi="新宋体" w:eastAsia="新宋体" w:cs="新宋体"/>
                <w:b/>
                <w:kern w:val="0"/>
                <w:sz w:val="22"/>
                <w:szCs w:val="22"/>
                <w:highlight w:val="none"/>
                <w:lang w:val="en-US" w:eastAsia="zh-CN"/>
              </w:rPr>
              <w:t>元）</w:t>
            </w:r>
          </w:p>
        </w:tc>
      </w:tr>
      <w:tr w14:paraId="288F98DA">
        <w:tblPrEx>
          <w:tblCellMar>
            <w:top w:w="0" w:type="dxa"/>
            <w:left w:w="108" w:type="dxa"/>
            <w:bottom w:w="0" w:type="dxa"/>
            <w:right w:w="108" w:type="dxa"/>
          </w:tblCellMar>
        </w:tblPrEx>
        <w:trPr>
          <w:trHeight w:val="563" w:hRule="atLeast"/>
        </w:trPr>
        <w:tc>
          <w:tcPr>
            <w:tcW w:w="652" w:type="dxa"/>
            <w:vMerge w:val="continue"/>
            <w:tcBorders>
              <w:left w:val="single" w:color="000000" w:sz="2" w:space="0"/>
              <w:right w:val="single" w:color="000000" w:sz="2" w:space="0"/>
            </w:tcBorders>
            <w:shd w:val="clear" w:color="000000" w:fill="FFFFFF"/>
            <w:vAlign w:val="center"/>
          </w:tcPr>
          <w:p w14:paraId="24CFB58F">
            <w:pPr>
              <w:jc w:val="center"/>
              <w:rPr>
                <w:rFonts w:cs="新宋体" w:asciiTheme="majorEastAsia" w:hAnsiTheme="majorEastAsia" w:eastAsiaTheme="majorEastAsia"/>
                <w:color w:val="auto"/>
                <w:kern w:val="0"/>
                <w:szCs w:val="21"/>
                <w:highlight w:val="none"/>
                <w:lang w:val="zh-CN"/>
              </w:rPr>
            </w:pPr>
          </w:p>
        </w:tc>
        <w:tc>
          <w:tcPr>
            <w:tcW w:w="1866" w:type="dxa"/>
            <w:vMerge w:val="continue"/>
            <w:tcBorders>
              <w:left w:val="single" w:color="000000" w:sz="2" w:space="0"/>
              <w:right w:val="single" w:color="000000" w:sz="2" w:space="0"/>
            </w:tcBorders>
            <w:shd w:val="clear" w:color="000000" w:fill="FFFFFF"/>
            <w:vAlign w:val="center"/>
          </w:tcPr>
          <w:p w14:paraId="2462996E">
            <w:pPr>
              <w:jc w:val="center"/>
              <w:rPr>
                <w:rFonts w:hint="eastAsia" w:cs="新宋体" w:asciiTheme="majorEastAsia" w:hAnsiTheme="majorEastAsia" w:eastAsiaTheme="majorEastAsia"/>
                <w:color w:val="auto"/>
                <w:kern w:val="0"/>
                <w:szCs w:val="21"/>
                <w:highlight w:val="none"/>
                <w:lang w:val="zh-CN"/>
              </w:rPr>
            </w:pPr>
          </w:p>
        </w:tc>
        <w:tc>
          <w:tcPr>
            <w:tcW w:w="721" w:type="dxa"/>
            <w:tcBorders>
              <w:top w:val="single" w:color="auto" w:sz="4" w:space="0"/>
              <w:left w:val="single" w:color="000000" w:sz="2" w:space="0"/>
              <w:bottom w:val="single" w:color="auto" w:sz="4" w:space="0"/>
              <w:right w:val="single" w:color="auto" w:sz="4" w:space="0"/>
            </w:tcBorders>
            <w:shd w:val="clear" w:color="000000" w:fill="FFFFFF"/>
            <w:vAlign w:val="center"/>
          </w:tcPr>
          <w:p w14:paraId="5B480943">
            <w:pPr>
              <w:keepNext w:val="0"/>
              <w:keepLines w:val="0"/>
              <w:pageBreakBefore w:val="0"/>
              <w:kinsoku/>
              <w:wordWrap/>
              <w:overflowPunct/>
              <w:topLinePunct w:val="0"/>
              <w:bidi w:val="0"/>
              <w:snapToGrid/>
              <w:spacing w:line="360" w:lineRule="auto"/>
              <w:jc w:val="center"/>
              <w:textAlignment w:val="auto"/>
              <w:rPr>
                <w:rFonts w:hint="default" w:ascii="新宋体" w:hAnsi="新宋体" w:eastAsia="新宋体" w:cstheme="minorBidi"/>
                <w:color w:val="auto"/>
                <w:kern w:val="2"/>
                <w:sz w:val="22"/>
                <w:szCs w:val="22"/>
                <w:highlight w:val="none"/>
                <w:lang w:val="en-US" w:eastAsia="zh-CN" w:bidi="ar-SA"/>
              </w:rPr>
            </w:pPr>
            <w:r>
              <w:rPr>
                <w:rFonts w:hint="eastAsia" w:ascii="新宋体" w:hAnsi="新宋体"/>
                <w:color w:val="auto"/>
                <w:szCs w:val="22"/>
                <w:highlight w:val="none"/>
                <w:lang w:val="en-US" w:eastAsia="zh-CN"/>
              </w:rPr>
              <w:t>1</w:t>
            </w:r>
          </w:p>
        </w:tc>
        <w:tc>
          <w:tcPr>
            <w:tcW w:w="4133" w:type="dxa"/>
            <w:tcBorders>
              <w:top w:val="single" w:color="auto" w:sz="4" w:space="0"/>
              <w:left w:val="single" w:color="auto" w:sz="4" w:space="0"/>
              <w:bottom w:val="single" w:color="auto" w:sz="4" w:space="0"/>
              <w:right w:val="single" w:color="auto" w:sz="4" w:space="0"/>
            </w:tcBorders>
            <w:shd w:val="clear" w:color="000000" w:fill="FFFFFF"/>
            <w:vAlign w:val="center"/>
          </w:tcPr>
          <w:p w14:paraId="0C20DCE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新宋体" w:hAnsi="新宋体" w:eastAsia="新宋体" w:cstheme="minorBidi"/>
                <w:color w:val="auto"/>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光学轮廓测量系统</w:t>
            </w: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44B3FFF2">
            <w:pPr>
              <w:keepNext w:val="0"/>
              <w:keepLines w:val="0"/>
              <w:pageBreakBefore w:val="0"/>
              <w:kinsoku/>
              <w:wordWrap/>
              <w:overflowPunct/>
              <w:topLinePunct w:val="0"/>
              <w:bidi w:val="0"/>
              <w:snapToGrid/>
              <w:spacing w:line="360" w:lineRule="auto"/>
              <w:jc w:val="center"/>
              <w:textAlignment w:val="auto"/>
              <w:rPr>
                <w:rFonts w:hint="default" w:ascii="新宋体" w:hAnsi="新宋体" w:eastAsia="新宋体" w:cstheme="minorBidi"/>
                <w:color w:val="auto"/>
                <w:kern w:val="2"/>
                <w:sz w:val="22"/>
                <w:szCs w:val="22"/>
                <w:highlight w:val="none"/>
                <w:lang w:val="en-US" w:eastAsia="zh-CN" w:bidi="ar-SA"/>
              </w:rPr>
            </w:pPr>
            <w:r>
              <w:rPr>
                <w:rFonts w:hint="eastAsia" w:ascii="新宋体" w:hAnsi="新宋体"/>
                <w:color w:val="auto"/>
                <w:szCs w:val="22"/>
                <w:highlight w:val="none"/>
                <w:lang w:val="en-US" w:eastAsia="zh-CN"/>
              </w:rPr>
              <w:t>1套</w:t>
            </w:r>
          </w:p>
        </w:tc>
        <w:tc>
          <w:tcPr>
            <w:tcW w:w="1175" w:type="dxa"/>
            <w:tcBorders>
              <w:top w:val="single" w:color="auto" w:sz="4" w:space="0"/>
              <w:left w:val="single" w:color="auto" w:sz="4" w:space="0"/>
              <w:bottom w:val="single" w:color="auto" w:sz="4" w:space="0"/>
              <w:right w:val="single" w:color="000000" w:sz="2" w:space="0"/>
            </w:tcBorders>
            <w:shd w:val="clear" w:color="000000" w:fill="FFFFFF"/>
            <w:vAlign w:val="center"/>
          </w:tcPr>
          <w:p w14:paraId="4593D304">
            <w:pPr>
              <w:widowControl/>
              <w:jc w:val="center"/>
              <w:textAlignment w:val="center"/>
              <w:rPr>
                <w:rFonts w:hint="default" w:ascii="新宋体" w:hAnsi="新宋体" w:eastAsia="新宋体" w:cstheme="minorBidi"/>
                <w:color w:val="auto"/>
                <w:kern w:val="2"/>
                <w:sz w:val="22"/>
                <w:szCs w:val="22"/>
                <w:highlight w:val="none"/>
                <w:lang w:val="en-US" w:eastAsia="zh-CN" w:bidi="ar-SA"/>
              </w:rPr>
            </w:pPr>
            <w:r>
              <w:rPr>
                <w:rFonts w:hint="eastAsia" w:ascii="新宋体" w:hAnsi="新宋体" w:cstheme="minorBidi"/>
                <w:color w:val="auto"/>
                <w:kern w:val="2"/>
                <w:sz w:val="22"/>
                <w:szCs w:val="22"/>
                <w:highlight w:val="none"/>
                <w:lang w:val="en-US" w:eastAsia="zh-CN" w:bidi="ar-SA"/>
              </w:rPr>
              <w:t>295</w:t>
            </w:r>
          </w:p>
        </w:tc>
      </w:tr>
      <w:tr w14:paraId="788B899F">
        <w:tblPrEx>
          <w:tblCellMar>
            <w:top w:w="0" w:type="dxa"/>
            <w:left w:w="108" w:type="dxa"/>
            <w:bottom w:w="0" w:type="dxa"/>
            <w:right w:w="108" w:type="dxa"/>
          </w:tblCellMar>
        </w:tblPrEx>
        <w:trPr>
          <w:trHeight w:val="563" w:hRule="atLeast"/>
        </w:trPr>
        <w:tc>
          <w:tcPr>
            <w:tcW w:w="652" w:type="dxa"/>
            <w:vMerge w:val="continue"/>
            <w:tcBorders>
              <w:left w:val="single" w:color="000000" w:sz="2" w:space="0"/>
              <w:right w:val="single" w:color="000000" w:sz="2" w:space="0"/>
            </w:tcBorders>
            <w:shd w:val="clear" w:color="000000" w:fill="FFFFFF"/>
            <w:vAlign w:val="center"/>
          </w:tcPr>
          <w:p w14:paraId="2A05E951">
            <w:pPr>
              <w:jc w:val="center"/>
              <w:rPr>
                <w:rFonts w:cs="新宋体" w:asciiTheme="majorEastAsia" w:hAnsiTheme="majorEastAsia" w:eastAsiaTheme="majorEastAsia"/>
                <w:color w:val="auto"/>
                <w:kern w:val="0"/>
                <w:szCs w:val="21"/>
                <w:highlight w:val="none"/>
                <w:lang w:val="zh-CN"/>
              </w:rPr>
            </w:pPr>
          </w:p>
        </w:tc>
        <w:tc>
          <w:tcPr>
            <w:tcW w:w="1866" w:type="dxa"/>
            <w:vMerge w:val="continue"/>
            <w:tcBorders>
              <w:left w:val="single" w:color="000000" w:sz="2" w:space="0"/>
              <w:right w:val="single" w:color="000000" w:sz="2" w:space="0"/>
            </w:tcBorders>
            <w:shd w:val="clear" w:color="000000" w:fill="FFFFFF"/>
            <w:vAlign w:val="center"/>
          </w:tcPr>
          <w:p w14:paraId="6EC4CA56">
            <w:pPr>
              <w:jc w:val="center"/>
              <w:rPr>
                <w:rFonts w:hint="eastAsia" w:cs="新宋体" w:asciiTheme="majorEastAsia" w:hAnsiTheme="majorEastAsia" w:eastAsiaTheme="majorEastAsia"/>
                <w:color w:val="auto"/>
                <w:kern w:val="0"/>
                <w:szCs w:val="21"/>
                <w:highlight w:val="none"/>
                <w:lang w:val="zh-CN"/>
              </w:rPr>
            </w:pPr>
          </w:p>
        </w:tc>
        <w:tc>
          <w:tcPr>
            <w:tcW w:w="721" w:type="dxa"/>
            <w:tcBorders>
              <w:top w:val="single" w:color="auto" w:sz="4" w:space="0"/>
              <w:left w:val="single" w:color="000000" w:sz="2" w:space="0"/>
              <w:bottom w:val="single" w:color="auto" w:sz="4" w:space="0"/>
              <w:right w:val="single" w:color="auto" w:sz="4" w:space="0"/>
            </w:tcBorders>
            <w:shd w:val="clear" w:color="000000" w:fill="FFFFFF"/>
            <w:vAlign w:val="center"/>
          </w:tcPr>
          <w:p w14:paraId="6978EC6C">
            <w:pPr>
              <w:keepNext w:val="0"/>
              <w:keepLines w:val="0"/>
              <w:pageBreakBefore w:val="0"/>
              <w:kinsoku/>
              <w:wordWrap/>
              <w:overflowPunct/>
              <w:topLinePunct w:val="0"/>
              <w:bidi w:val="0"/>
              <w:snapToGrid/>
              <w:spacing w:line="360" w:lineRule="auto"/>
              <w:jc w:val="center"/>
              <w:textAlignment w:val="auto"/>
              <w:rPr>
                <w:rFonts w:hint="default" w:ascii="新宋体" w:hAnsi="新宋体" w:eastAsia="新宋体" w:cstheme="minorBidi"/>
                <w:color w:val="auto"/>
                <w:kern w:val="2"/>
                <w:sz w:val="22"/>
                <w:szCs w:val="22"/>
                <w:highlight w:val="none"/>
                <w:lang w:val="en-US" w:eastAsia="zh-CN" w:bidi="ar-SA"/>
              </w:rPr>
            </w:pPr>
            <w:r>
              <w:rPr>
                <w:rFonts w:hint="eastAsia" w:ascii="新宋体" w:hAnsi="新宋体"/>
                <w:color w:val="auto"/>
                <w:szCs w:val="22"/>
                <w:highlight w:val="none"/>
                <w:lang w:val="en-US" w:eastAsia="zh-CN"/>
              </w:rPr>
              <w:t>2</w:t>
            </w:r>
          </w:p>
        </w:tc>
        <w:tc>
          <w:tcPr>
            <w:tcW w:w="4133" w:type="dxa"/>
            <w:tcBorders>
              <w:top w:val="single" w:color="auto" w:sz="4" w:space="0"/>
              <w:left w:val="single" w:color="auto" w:sz="4" w:space="0"/>
              <w:bottom w:val="single" w:color="auto" w:sz="4" w:space="0"/>
              <w:right w:val="single" w:color="auto" w:sz="4" w:space="0"/>
            </w:tcBorders>
            <w:shd w:val="clear" w:color="000000" w:fill="FFFFFF"/>
            <w:vAlign w:val="center"/>
          </w:tcPr>
          <w:p w14:paraId="0F97AAC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新宋体" w:hAnsi="新宋体" w:eastAsia="新宋体" w:cstheme="minorBidi"/>
                <w:color w:val="auto"/>
                <w:kern w:val="2"/>
                <w:sz w:val="22"/>
                <w:szCs w:val="22"/>
                <w:highlight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注塑机</w:t>
            </w: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2C23878D">
            <w:pPr>
              <w:keepNext w:val="0"/>
              <w:keepLines w:val="0"/>
              <w:pageBreakBefore w:val="0"/>
              <w:kinsoku/>
              <w:wordWrap/>
              <w:overflowPunct/>
              <w:topLinePunct w:val="0"/>
              <w:bidi w:val="0"/>
              <w:snapToGrid/>
              <w:spacing w:line="360" w:lineRule="auto"/>
              <w:jc w:val="center"/>
              <w:textAlignment w:val="auto"/>
              <w:rPr>
                <w:rFonts w:hint="eastAsia" w:ascii="新宋体" w:hAnsi="新宋体" w:eastAsia="新宋体" w:cstheme="minorBidi"/>
                <w:color w:val="auto"/>
                <w:kern w:val="2"/>
                <w:sz w:val="22"/>
                <w:szCs w:val="22"/>
                <w:highlight w:val="none"/>
                <w:lang w:val="en-US" w:eastAsia="zh-CN" w:bidi="ar-SA"/>
              </w:rPr>
            </w:pPr>
            <w:r>
              <w:rPr>
                <w:rFonts w:hint="eastAsia" w:ascii="新宋体" w:hAnsi="新宋体"/>
                <w:color w:val="auto"/>
                <w:szCs w:val="22"/>
                <w:highlight w:val="none"/>
                <w:lang w:val="en-US" w:eastAsia="zh-CN"/>
              </w:rPr>
              <w:t>2套</w:t>
            </w:r>
          </w:p>
        </w:tc>
        <w:tc>
          <w:tcPr>
            <w:tcW w:w="1175" w:type="dxa"/>
            <w:tcBorders>
              <w:top w:val="single" w:color="auto" w:sz="4" w:space="0"/>
              <w:left w:val="single" w:color="auto" w:sz="4" w:space="0"/>
              <w:bottom w:val="single" w:color="auto" w:sz="4" w:space="0"/>
              <w:right w:val="single" w:color="000000" w:sz="2" w:space="0"/>
            </w:tcBorders>
            <w:shd w:val="clear" w:color="000000" w:fill="FFFFFF"/>
            <w:vAlign w:val="center"/>
          </w:tcPr>
          <w:p w14:paraId="6E37968F">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新宋体" w:hAnsi="新宋体" w:eastAsia="新宋体" w:cstheme="minorBidi"/>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140</w:t>
            </w:r>
          </w:p>
        </w:tc>
      </w:tr>
      <w:tr w14:paraId="3B6AFA25">
        <w:tblPrEx>
          <w:tblCellMar>
            <w:top w:w="0" w:type="dxa"/>
            <w:left w:w="108" w:type="dxa"/>
            <w:bottom w:w="0" w:type="dxa"/>
            <w:right w:w="108" w:type="dxa"/>
          </w:tblCellMar>
        </w:tblPrEx>
        <w:trPr>
          <w:trHeight w:val="9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A5448C">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5</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F4D9F2">
            <w:pPr>
              <w:keepNext w:val="0"/>
              <w:keepLines w:val="0"/>
              <w:pageBreakBefore w:val="0"/>
              <w:kinsoku/>
              <w:wordWrap/>
              <w:overflowPunct/>
              <w:topLinePunct w:val="0"/>
              <w:bidi w:val="0"/>
              <w:snapToGrid/>
              <w:spacing w:line="288" w:lineRule="auto"/>
              <w:jc w:val="center"/>
              <w:textAlignment w:val="auto"/>
              <w:rPr>
                <w:rFonts w:hint="eastAsia" w:cs="宋体" w:asciiTheme="majorEastAsia" w:hAnsiTheme="majorEastAsia" w:eastAsiaTheme="majorEastAsia"/>
                <w:color w:val="auto"/>
                <w:kern w:val="0"/>
                <w:szCs w:val="21"/>
                <w:highlight w:val="none"/>
                <w:lang w:val="zh-CN" w:eastAsia="zh-CN"/>
              </w:rPr>
            </w:pPr>
            <w:r>
              <w:rPr>
                <w:rFonts w:hint="eastAsia" w:ascii="新宋体" w:hAnsi="新宋体" w:eastAsia="新宋体" w:cs="新宋体"/>
                <w:color w:val="auto"/>
                <w:kern w:val="0"/>
                <w:sz w:val="22"/>
                <w:szCs w:val="22"/>
                <w:highlight w:val="none"/>
              </w:rPr>
              <w:t>交货时间</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6057FB2">
            <w:pPr>
              <w:keepNext w:val="0"/>
              <w:keepLines w:val="0"/>
              <w:pageBreakBefore w:val="0"/>
              <w:kinsoku/>
              <w:wordWrap/>
              <w:overflowPunct/>
              <w:topLinePunct w:val="0"/>
              <w:bidi w:val="0"/>
              <w:snapToGrid/>
              <w:spacing w:line="288" w:lineRule="auto"/>
              <w:textAlignment w:val="auto"/>
              <w:rPr>
                <w:rFonts w:hint="default" w:eastAsia="宋体"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标段一：</w:t>
            </w:r>
            <w:r>
              <w:rPr>
                <w:rFonts w:hint="eastAsia" w:ascii="宋体" w:hAnsi="宋体" w:eastAsia="宋体" w:cs="宋体"/>
                <w:szCs w:val="22"/>
                <w:highlight w:val="none"/>
              </w:rPr>
              <w:t>合同生效后</w:t>
            </w:r>
            <w:r>
              <w:rPr>
                <w:rFonts w:hint="eastAsia" w:ascii="宋体" w:hAnsi="宋体" w:eastAsia="宋体" w:cs="宋体"/>
                <w:szCs w:val="22"/>
                <w:highlight w:val="none"/>
                <w:lang w:val="en-US" w:eastAsia="zh-CN"/>
              </w:rPr>
              <w:t>12周内完成供货、安装及调试。</w:t>
            </w:r>
          </w:p>
          <w:p w14:paraId="5750CCBA">
            <w:pPr>
              <w:keepNext w:val="0"/>
              <w:keepLines w:val="0"/>
              <w:pageBreakBefore w:val="0"/>
              <w:kinsoku/>
              <w:wordWrap/>
              <w:overflowPunct/>
              <w:topLinePunct w:val="0"/>
              <w:bidi w:val="0"/>
              <w:snapToGrid/>
              <w:spacing w:line="288" w:lineRule="auto"/>
              <w:textAlignment w:val="auto"/>
              <w:rPr>
                <w:rFonts w:hint="eastAsia" w:eastAsia="宋体" w:cs="新宋体" w:asciiTheme="majorEastAsia" w:hAnsiTheme="majorEastAsia"/>
                <w:b/>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标段二：</w:t>
            </w:r>
            <w:r>
              <w:rPr>
                <w:rFonts w:hint="eastAsia" w:ascii="宋体" w:hAnsi="宋体" w:eastAsia="宋体" w:cs="宋体"/>
                <w:szCs w:val="22"/>
                <w:highlight w:val="none"/>
              </w:rPr>
              <w:t>合同生效后</w:t>
            </w:r>
            <w:r>
              <w:rPr>
                <w:rFonts w:hint="eastAsia" w:ascii="宋体" w:hAnsi="宋体" w:eastAsia="PMingLiU" w:cs="宋体"/>
                <w:szCs w:val="22"/>
                <w:highlight w:val="none"/>
              </w:rPr>
              <w:t>2</w:t>
            </w:r>
            <w:r>
              <w:rPr>
                <w:rFonts w:hint="eastAsia" w:ascii="宋体" w:hAnsi="宋体" w:eastAsia="宋体" w:cs="宋体"/>
                <w:szCs w:val="22"/>
                <w:highlight w:val="none"/>
                <w:lang w:val="en-US" w:eastAsia="zh-CN"/>
              </w:rPr>
              <w:t>个</w:t>
            </w:r>
            <w:r>
              <w:rPr>
                <w:rFonts w:hint="eastAsia" w:ascii="宋体" w:hAnsi="宋体" w:eastAsia="PMingLiU" w:cs="宋体"/>
                <w:szCs w:val="22"/>
                <w:highlight w:val="none"/>
              </w:rPr>
              <w:t>月</w:t>
            </w:r>
            <w:r>
              <w:rPr>
                <w:rFonts w:hint="eastAsia" w:ascii="宋体" w:hAnsi="宋体" w:eastAsia="宋体" w:cs="宋体"/>
                <w:szCs w:val="22"/>
                <w:highlight w:val="none"/>
                <w:lang w:val="en-US" w:eastAsia="zh-CN"/>
              </w:rPr>
              <w:t>内完成供货、安装及调试。</w:t>
            </w:r>
          </w:p>
        </w:tc>
      </w:tr>
      <w:tr w14:paraId="1842A6ED">
        <w:tblPrEx>
          <w:tblCellMar>
            <w:top w:w="0" w:type="dxa"/>
            <w:left w:w="108" w:type="dxa"/>
            <w:bottom w:w="0" w:type="dxa"/>
            <w:right w:w="108" w:type="dxa"/>
          </w:tblCellMar>
        </w:tblPrEx>
        <w:trPr>
          <w:trHeight w:val="54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0350CB">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6</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59104F">
            <w:pPr>
              <w:keepNext w:val="0"/>
              <w:keepLines w:val="0"/>
              <w:pageBreakBefore w:val="0"/>
              <w:kinsoku/>
              <w:wordWrap/>
              <w:overflowPunct/>
              <w:topLinePunct w:val="0"/>
              <w:autoSpaceDE w:val="0"/>
              <w:autoSpaceDN w:val="0"/>
              <w:bidi w:val="0"/>
              <w:adjustRightInd w:val="0"/>
              <w:spacing w:line="360" w:lineRule="auto"/>
              <w:ind w:firstLine="2" w:firstLineChars="1"/>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b/>
                <w:bCs/>
                <w:color w:val="auto"/>
                <w:kern w:val="0"/>
                <w:szCs w:val="21"/>
                <w:highlight w:val="none"/>
                <w:u w:val="single"/>
                <w:lang w:val="zh-CN"/>
              </w:rPr>
              <w:t>供应商资格要求</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5B47965">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1.一般资格条件：</w:t>
            </w:r>
          </w:p>
          <w:p w14:paraId="71E72C0B">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59DEE754">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3239DA88">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en-US" w:eastAsia="zh-CN"/>
              </w:rPr>
            </w:pPr>
            <w:r>
              <w:rPr>
                <w:rFonts w:hint="eastAsia" w:cs="新宋体" w:asciiTheme="majorEastAsia" w:hAnsiTheme="majorEastAsia" w:eastAsiaTheme="majorEastAsia"/>
                <w:color w:val="auto"/>
                <w:kern w:val="0"/>
                <w:szCs w:val="21"/>
                <w:highlight w:val="none"/>
                <w:lang w:val="en-US" w:eastAsia="zh-CN"/>
              </w:rPr>
              <w:t>2</w:t>
            </w:r>
            <w:r>
              <w:rPr>
                <w:rFonts w:hint="eastAsia" w:cs="新宋体" w:asciiTheme="majorEastAsia" w:hAnsiTheme="majorEastAsia" w:eastAsiaTheme="majorEastAsia"/>
                <w:color w:val="auto"/>
                <w:kern w:val="0"/>
                <w:szCs w:val="21"/>
                <w:highlight w:val="none"/>
                <w:lang w:val="zh-CN" w:eastAsia="zh-CN"/>
              </w:rPr>
              <w:t>.</w:t>
            </w:r>
            <w:r>
              <w:rPr>
                <w:rFonts w:hint="eastAsia" w:cs="新宋体" w:asciiTheme="majorEastAsia" w:hAnsiTheme="majorEastAsia" w:eastAsiaTheme="majorEastAsia"/>
                <w:color w:val="auto"/>
                <w:kern w:val="0"/>
                <w:szCs w:val="21"/>
                <w:highlight w:val="none"/>
                <w:lang w:val="zh-CN"/>
              </w:rPr>
              <w:t>特殊资格条件：</w:t>
            </w:r>
            <w:r>
              <w:rPr>
                <w:rFonts w:hint="eastAsia" w:cs="新宋体" w:asciiTheme="majorEastAsia" w:hAnsiTheme="majorEastAsia" w:eastAsiaTheme="majorEastAsia"/>
                <w:color w:val="auto"/>
                <w:kern w:val="0"/>
                <w:szCs w:val="21"/>
                <w:highlight w:val="none"/>
                <w:lang w:val="en-US" w:eastAsia="zh-CN"/>
              </w:rPr>
              <w:t>无</w:t>
            </w:r>
          </w:p>
        </w:tc>
      </w:tr>
      <w:tr w14:paraId="50820A04">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02D725">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7</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A3864F">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是否接受联合体投标</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B0021CF">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b/>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不接受</w:t>
            </w:r>
          </w:p>
          <w:p w14:paraId="32C834D0">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接受</w:t>
            </w:r>
          </w:p>
        </w:tc>
      </w:tr>
      <w:tr w14:paraId="0301B08C">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1D013C">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8</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D36E0B">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踏勘现场</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9A39A3B">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组织</w:t>
            </w:r>
          </w:p>
          <w:p w14:paraId="3B2EB267">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不组织</w:t>
            </w:r>
          </w:p>
        </w:tc>
      </w:tr>
      <w:tr w14:paraId="7D3B0927">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17F876">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9</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0F7AD9">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投标预备会</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69CA7FC">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召开</w:t>
            </w:r>
          </w:p>
          <w:p w14:paraId="16E9A18B">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b/>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不召开</w:t>
            </w:r>
          </w:p>
        </w:tc>
      </w:tr>
      <w:tr w14:paraId="721AB21F">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670C30">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10</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48A572">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投标截止时间</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2CA4770">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宋体" w:asciiTheme="majorEastAsia" w:hAnsiTheme="majorEastAsia" w:eastAsiaTheme="majorEastAsia"/>
                <w:color w:val="auto"/>
                <w:kern w:val="0"/>
                <w:szCs w:val="21"/>
                <w:highlight w:val="none"/>
                <w:lang w:val="zh-CN" w:eastAsia="zh-CN"/>
              </w:rPr>
            </w:pPr>
            <w:r>
              <w:rPr>
                <w:rFonts w:hint="eastAsia" w:cs="新宋体" w:asciiTheme="majorEastAsia" w:hAnsiTheme="majorEastAsia" w:eastAsiaTheme="majorEastAsia"/>
                <w:color w:val="auto"/>
                <w:szCs w:val="21"/>
                <w:highlight w:val="none"/>
                <w:lang w:eastAsia="zh-CN"/>
              </w:rPr>
              <w:t>2025年2月26日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p>
        </w:tc>
      </w:tr>
      <w:tr w14:paraId="1101BEAA">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D0E3DB">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11</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DBB687">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分包</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B994666">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允许</w:t>
            </w:r>
          </w:p>
          <w:p w14:paraId="295C4B00">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b/>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不允许</w:t>
            </w:r>
          </w:p>
        </w:tc>
      </w:tr>
      <w:tr w14:paraId="35CDB60D">
        <w:tblPrEx>
          <w:tblCellMar>
            <w:top w:w="0" w:type="dxa"/>
            <w:left w:w="108" w:type="dxa"/>
            <w:bottom w:w="0" w:type="dxa"/>
            <w:right w:w="108" w:type="dxa"/>
          </w:tblCellMar>
        </w:tblPrEx>
        <w:trPr>
          <w:trHeight w:val="108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78117C">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12</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E29A70">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偏离</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7872529">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35CA762B">
        <w:tblPrEx>
          <w:tblCellMar>
            <w:top w:w="0" w:type="dxa"/>
            <w:left w:w="108" w:type="dxa"/>
            <w:bottom w:w="0" w:type="dxa"/>
            <w:right w:w="108" w:type="dxa"/>
          </w:tblCellMar>
        </w:tblPrEx>
        <w:trPr>
          <w:trHeight w:val="68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A4CD2C">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13</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40A575">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投标有效期</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E1BDFB5">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投标文件自投标截止时间起生效，有效期</w:t>
            </w:r>
            <w:r>
              <w:rPr>
                <w:rFonts w:cs="新宋体" w:asciiTheme="majorEastAsia" w:hAnsiTheme="majorEastAsia" w:eastAsiaTheme="majorEastAsia"/>
                <w:color w:val="auto"/>
                <w:kern w:val="0"/>
                <w:szCs w:val="21"/>
                <w:highlight w:val="none"/>
                <w:lang w:val="zh-CN"/>
              </w:rPr>
              <w:t>90</w:t>
            </w:r>
            <w:r>
              <w:rPr>
                <w:rFonts w:hint="eastAsia" w:cs="新宋体" w:asciiTheme="majorEastAsia" w:hAnsiTheme="majorEastAsia" w:eastAsiaTheme="majorEastAsia"/>
                <w:color w:val="auto"/>
                <w:kern w:val="0"/>
                <w:szCs w:val="21"/>
                <w:highlight w:val="none"/>
                <w:lang w:val="zh-CN"/>
              </w:rPr>
              <w:t>天。</w:t>
            </w:r>
          </w:p>
        </w:tc>
      </w:tr>
      <w:tr w14:paraId="362F6210">
        <w:tblPrEx>
          <w:tblCellMar>
            <w:top w:w="0" w:type="dxa"/>
            <w:left w:w="108" w:type="dxa"/>
            <w:bottom w:w="0" w:type="dxa"/>
            <w:right w:w="108" w:type="dxa"/>
          </w:tblCellMar>
        </w:tblPrEx>
        <w:trPr>
          <w:trHeight w:val="706"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0F274F">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14</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7EAB16">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投标保证金</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1B40B50A">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无需提交</w:t>
            </w:r>
          </w:p>
        </w:tc>
      </w:tr>
      <w:tr w14:paraId="665F4E2D">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598200">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15</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EA6738">
            <w:pPr>
              <w:keepNext w:val="0"/>
              <w:keepLines w:val="0"/>
              <w:pageBreakBefore w:val="0"/>
              <w:kinsoku/>
              <w:wordWrap/>
              <w:overflowPunct/>
              <w:topLinePunct w:val="0"/>
              <w:bidi w:val="0"/>
              <w:spacing w:line="360" w:lineRule="auto"/>
              <w:jc w:val="center"/>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kern w:val="0"/>
                <w:szCs w:val="22"/>
                <w:highlight w:val="none"/>
              </w:rPr>
              <w:t>投标文件装订及封装要求</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D9E7CA8">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（1）资格审查资料一式5份，正本1份，副本4份；</w:t>
            </w:r>
          </w:p>
          <w:p w14:paraId="0BF9D062">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（2）技术资信标一式5份，正本1份，副本4份；</w:t>
            </w:r>
          </w:p>
          <w:p w14:paraId="6CB6F408">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（3）商务报价标一式5份，正本1份，副本4份。</w:t>
            </w:r>
          </w:p>
          <w:p w14:paraId="2739E941">
            <w:pPr>
              <w:keepNext w:val="0"/>
              <w:keepLines w:val="0"/>
              <w:pageBreakBefore w:val="0"/>
              <w:kinsoku/>
              <w:wordWrap/>
              <w:overflowPunct/>
              <w:topLinePunct w:val="0"/>
              <w:bidi w:val="0"/>
              <w:spacing w:line="360" w:lineRule="auto"/>
              <w:ind w:right="71"/>
              <w:textAlignment w:val="auto"/>
              <w:rPr>
                <w:rFonts w:hint="eastAsia"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（4）投标文件“资格审查资料”、“技术资信标”、“商务报价标”</w:t>
            </w:r>
            <w:r>
              <w:rPr>
                <w:rFonts w:hint="eastAsia" w:cs="新宋体" w:asciiTheme="majorEastAsia" w:hAnsiTheme="majorEastAsia" w:eastAsiaTheme="majorEastAsia"/>
                <w:color w:val="auto"/>
                <w:szCs w:val="22"/>
                <w:highlight w:val="none"/>
                <w:lang w:val="en-US" w:eastAsia="zh-CN"/>
              </w:rPr>
              <w:t>分别装订成册</w:t>
            </w:r>
            <w:r>
              <w:rPr>
                <w:rFonts w:hint="eastAsia" w:cs="新宋体" w:asciiTheme="majorEastAsia" w:hAnsiTheme="majorEastAsia" w:eastAsiaTheme="majorEastAsia"/>
                <w:color w:val="auto"/>
                <w:szCs w:val="22"/>
                <w:highlight w:val="none"/>
              </w:rPr>
              <w:t>密封于各自包封袋中，并加盖密封印章，并在封套的封口处加盖供应商单位章，并由法定代表人（单位负责人）或其被授权人签字。</w:t>
            </w:r>
          </w:p>
          <w:p w14:paraId="3DF4FCCB">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szCs w:val="22"/>
                <w:highlight w:val="none"/>
              </w:rPr>
              <w:t>（</w:t>
            </w:r>
            <w:r>
              <w:rPr>
                <w:rFonts w:hint="eastAsia" w:cs="新宋体" w:asciiTheme="majorEastAsia" w:hAnsiTheme="majorEastAsia" w:eastAsiaTheme="majorEastAsia"/>
                <w:color w:val="auto"/>
                <w:szCs w:val="22"/>
                <w:highlight w:val="none"/>
                <w:lang w:val="en-US" w:eastAsia="zh-CN"/>
              </w:rPr>
              <w:t>5</w:t>
            </w:r>
            <w:r>
              <w:rPr>
                <w:rFonts w:hint="eastAsia" w:cs="新宋体" w:asciiTheme="majorEastAsia" w:hAnsiTheme="majorEastAsia" w:eastAsiaTheme="majorEastAsia"/>
                <w:color w:val="auto"/>
                <w:szCs w:val="22"/>
                <w:highlight w:val="none"/>
              </w:rPr>
              <w:t>）</w:t>
            </w:r>
            <w:r>
              <w:rPr>
                <w:rFonts w:hint="eastAsia" w:cs="新宋体" w:asciiTheme="majorEastAsia" w:hAnsiTheme="majorEastAsia" w:eastAsiaTheme="majorEastAsia"/>
                <w:color w:val="auto"/>
                <w:szCs w:val="22"/>
                <w:highlight w:val="none"/>
                <w:lang w:eastAsia="zh-CN"/>
              </w:rPr>
              <w:t>不同标段投标文件应分别制作</w:t>
            </w:r>
            <w:r>
              <w:rPr>
                <w:rFonts w:hint="eastAsia" w:cs="新宋体" w:asciiTheme="majorEastAsia" w:hAnsiTheme="majorEastAsia" w:eastAsiaTheme="majorEastAsia"/>
                <w:color w:val="auto"/>
                <w:szCs w:val="22"/>
                <w:highlight w:val="none"/>
                <w:lang w:val="en-US" w:eastAsia="zh-CN"/>
              </w:rPr>
              <w:t>编制、</w:t>
            </w:r>
            <w:r>
              <w:rPr>
                <w:rFonts w:hint="eastAsia" w:cs="新宋体" w:asciiTheme="majorEastAsia" w:hAnsiTheme="majorEastAsia" w:eastAsiaTheme="majorEastAsia"/>
                <w:color w:val="auto"/>
                <w:szCs w:val="22"/>
                <w:highlight w:val="none"/>
                <w:lang w:eastAsia="zh-CN"/>
              </w:rPr>
              <w:t>装订、</w:t>
            </w:r>
            <w:r>
              <w:rPr>
                <w:rFonts w:hint="eastAsia" w:cs="新宋体" w:asciiTheme="majorEastAsia" w:hAnsiTheme="majorEastAsia" w:eastAsiaTheme="majorEastAsia"/>
                <w:color w:val="auto"/>
                <w:szCs w:val="22"/>
                <w:highlight w:val="none"/>
                <w:lang w:val="en-US" w:eastAsia="zh-CN"/>
              </w:rPr>
              <w:t>密封</w:t>
            </w:r>
            <w:r>
              <w:rPr>
                <w:rFonts w:hint="eastAsia" w:cs="新宋体" w:asciiTheme="majorEastAsia" w:hAnsiTheme="majorEastAsia" w:eastAsiaTheme="majorEastAsia"/>
                <w:color w:val="auto"/>
                <w:szCs w:val="22"/>
                <w:highlight w:val="none"/>
                <w:lang w:eastAsia="zh-CN"/>
              </w:rPr>
              <w:t>。</w:t>
            </w:r>
          </w:p>
        </w:tc>
      </w:tr>
      <w:tr w14:paraId="4665093B">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B9FE94">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16</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63AF5F">
            <w:pPr>
              <w:keepNext w:val="0"/>
              <w:keepLines w:val="0"/>
              <w:pageBreakBefore w:val="0"/>
              <w:kinsoku/>
              <w:wordWrap/>
              <w:overflowPunct/>
              <w:topLinePunct w:val="0"/>
              <w:bidi w:val="0"/>
              <w:adjustRightInd w:val="0"/>
              <w:snapToGrid w:val="0"/>
              <w:spacing w:line="360" w:lineRule="auto"/>
              <w:jc w:val="center"/>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szCs w:val="22"/>
                <w:highlight w:val="none"/>
              </w:rPr>
              <w:t>签字或盖章要求</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8ABEA67">
            <w:pPr>
              <w:keepNext w:val="0"/>
              <w:keepLines w:val="0"/>
              <w:pageBreakBefore w:val="0"/>
              <w:kinsoku/>
              <w:wordWrap/>
              <w:overflowPunct/>
              <w:topLinePunct w:val="0"/>
              <w:bidi w:val="0"/>
              <w:adjustRightInd w:val="0"/>
              <w:snapToGrid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投标文件的相应位置应加盖：</w:t>
            </w:r>
          </w:p>
          <w:p w14:paraId="28AC156D">
            <w:pPr>
              <w:keepNext w:val="0"/>
              <w:keepLines w:val="0"/>
              <w:pageBreakBefore w:val="0"/>
              <w:kinsoku/>
              <w:wordWrap/>
              <w:overflowPunct/>
              <w:topLinePunct w:val="0"/>
              <w:bidi w:val="0"/>
              <w:adjustRightInd w:val="0"/>
              <w:snapToGrid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（1）单位公章；</w:t>
            </w:r>
          </w:p>
          <w:p w14:paraId="6FA1332D">
            <w:pPr>
              <w:keepNext w:val="0"/>
              <w:keepLines w:val="0"/>
              <w:pageBreakBefore w:val="0"/>
              <w:kinsoku/>
              <w:wordWrap/>
              <w:overflowPunct/>
              <w:topLinePunct w:val="0"/>
              <w:bidi w:val="0"/>
              <w:adjustRightInd w:val="0"/>
              <w:snapToGrid w:val="0"/>
              <w:spacing w:line="360" w:lineRule="auto"/>
              <w:ind w:right="71"/>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szCs w:val="22"/>
                <w:highlight w:val="none"/>
              </w:rPr>
              <w:t>（2）法定代表人（单位负责人）或被授权人签字或盖章（如为被授权人签字或盖章的须提供法定代表人（单位负责人）授权委托书）。</w:t>
            </w:r>
          </w:p>
        </w:tc>
      </w:tr>
      <w:tr w14:paraId="70E36518">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DE135B">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17</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52EBEF">
            <w:pPr>
              <w:keepNext w:val="0"/>
              <w:keepLines w:val="0"/>
              <w:pageBreakBefore w:val="0"/>
              <w:kinsoku/>
              <w:wordWrap/>
              <w:overflowPunct/>
              <w:topLinePunct w:val="0"/>
              <w:autoSpaceDE w:val="0"/>
              <w:autoSpaceDN w:val="0"/>
              <w:bidi w:val="0"/>
              <w:adjustRightInd w:val="0"/>
              <w:spacing w:line="360" w:lineRule="auto"/>
              <w:jc w:val="center"/>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递交投标</w:t>
            </w:r>
          </w:p>
          <w:p w14:paraId="749BDC8D">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文件地点</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8A12F6B">
            <w:pPr>
              <w:keepNext w:val="0"/>
              <w:keepLines w:val="0"/>
              <w:pageBreakBefore w:val="0"/>
              <w:kinsoku/>
              <w:wordWrap/>
              <w:overflowPunct/>
              <w:topLinePunct w:val="0"/>
              <w:autoSpaceDE w:val="0"/>
              <w:autoSpaceDN w:val="0"/>
              <w:bidi w:val="0"/>
              <w:adjustRightInd w:val="0"/>
              <w:spacing w:line="360" w:lineRule="auto"/>
              <w:ind w:right="71"/>
              <w:jc w:val="left"/>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tc>
      </w:tr>
      <w:tr w14:paraId="567A53B7">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EFC40F">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18</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BD8C3B">
            <w:pPr>
              <w:keepNext w:val="0"/>
              <w:keepLines w:val="0"/>
              <w:pageBreakBefore w:val="0"/>
              <w:kinsoku/>
              <w:wordWrap/>
              <w:overflowPunct/>
              <w:topLinePunct w:val="0"/>
              <w:autoSpaceDE w:val="0"/>
              <w:autoSpaceDN w:val="0"/>
              <w:bidi w:val="0"/>
              <w:adjustRightInd w:val="0"/>
              <w:spacing w:line="360" w:lineRule="auto"/>
              <w:jc w:val="center"/>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开</w:t>
            </w:r>
            <w:r>
              <w:rPr>
                <w:rFonts w:hint="eastAsia" w:cs="新宋体" w:asciiTheme="majorEastAsia" w:hAnsiTheme="majorEastAsia" w:eastAsiaTheme="majorEastAsia"/>
                <w:color w:val="auto"/>
                <w:kern w:val="0"/>
                <w:szCs w:val="21"/>
                <w:highlight w:val="none"/>
                <w:lang w:val="en-US" w:eastAsia="zh-CN"/>
              </w:rPr>
              <w:t>评</w:t>
            </w:r>
            <w:r>
              <w:rPr>
                <w:rFonts w:hint="eastAsia" w:cs="新宋体" w:asciiTheme="majorEastAsia" w:hAnsiTheme="majorEastAsia" w:eastAsiaTheme="majorEastAsia"/>
                <w:color w:val="auto"/>
                <w:kern w:val="0"/>
                <w:szCs w:val="21"/>
                <w:highlight w:val="none"/>
                <w:lang w:val="zh-CN"/>
              </w:rPr>
              <w:t>标时间</w:t>
            </w:r>
          </w:p>
          <w:p w14:paraId="6FB913B4">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和地点</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2878352">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eastAsia="zh-CN"/>
              </w:rPr>
            </w:pPr>
            <w:r>
              <w:rPr>
                <w:rFonts w:hint="eastAsia" w:cs="新宋体" w:asciiTheme="majorEastAsia" w:hAnsiTheme="majorEastAsia" w:eastAsiaTheme="majorEastAsia"/>
                <w:color w:val="auto"/>
                <w:kern w:val="0"/>
                <w:szCs w:val="21"/>
                <w:highlight w:val="none"/>
                <w:lang w:val="zh-CN"/>
              </w:rPr>
              <w:t>开</w:t>
            </w:r>
            <w:r>
              <w:rPr>
                <w:rFonts w:hint="eastAsia" w:cs="新宋体" w:asciiTheme="majorEastAsia" w:hAnsiTheme="majorEastAsia" w:eastAsiaTheme="majorEastAsia"/>
                <w:color w:val="auto"/>
                <w:kern w:val="0"/>
                <w:szCs w:val="21"/>
                <w:highlight w:val="none"/>
                <w:lang w:val="en-US" w:eastAsia="zh-CN"/>
              </w:rPr>
              <w:t>评</w:t>
            </w:r>
            <w:r>
              <w:rPr>
                <w:rFonts w:hint="eastAsia" w:cs="新宋体" w:asciiTheme="majorEastAsia" w:hAnsiTheme="majorEastAsia" w:eastAsiaTheme="majorEastAsia"/>
                <w:color w:val="auto"/>
                <w:kern w:val="0"/>
                <w:szCs w:val="21"/>
                <w:highlight w:val="none"/>
                <w:lang w:val="zh-CN"/>
              </w:rPr>
              <w:t>标时间：</w:t>
            </w:r>
            <w:r>
              <w:rPr>
                <w:rFonts w:hint="eastAsia" w:cs="新宋体" w:asciiTheme="majorEastAsia" w:hAnsiTheme="majorEastAsia" w:eastAsiaTheme="majorEastAsia"/>
                <w:color w:val="auto"/>
                <w:szCs w:val="21"/>
                <w:highlight w:val="none"/>
                <w:lang w:eastAsia="zh-CN"/>
              </w:rPr>
              <w:t>2025年2月26日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p>
          <w:p w14:paraId="5D964CCF">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开</w:t>
            </w:r>
            <w:r>
              <w:rPr>
                <w:rFonts w:hint="eastAsia" w:cs="新宋体" w:asciiTheme="majorEastAsia" w:hAnsiTheme="majorEastAsia" w:eastAsiaTheme="majorEastAsia"/>
                <w:color w:val="auto"/>
                <w:kern w:val="0"/>
                <w:szCs w:val="21"/>
                <w:highlight w:val="none"/>
                <w:lang w:val="en-US" w:eastAsia="zh-CN"/>
              </w:rPr>
              <w:t>评</w:t>
            </w:r>
            <w:r>
              <w:rPr>
                <w:rFonts w:hint="eastAsia" w:cs="新宋体" w:asciiTheme="majorEastAsia" w:hAnsiTheme="majorEastAsia" w:eastAsiaTheme="majorEastAsia"/>
                <w:color w:val="auto"/>
                <w:kern w:val="0"/>
                <w:szCs w:val="21"/>
                <w:highlight w:val="none"/>
                <w:lang w:val="zh-CN"/>
              </w:rPr>
              <w:t>标地点：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tc>
      </w:tr>
      <w:tr w14:paraId="3B5FFC4A">
        <w:tblPrEx>
          <w:tblCellMar>
            <w:top w:w="0" w:type="dxa"/>
            <w:left w:w="108" w:type="dxa"/>
            <w:bottom w:w="0" w:type="dxa"/>
            <w:right w:w="108" w:type="dxa"/>
          </w:tblCellMar>
        </w:tblPrEx>
        <w:trPr>
          <w:trHeight w:val="106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60C9C4">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19</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4F7E7A">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开评标程序</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3696F75B">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（1）宣布开标纪律；</w:t>
            </w:r>
          </w:p>
          <w:p w14:paraId="47D485A9">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（2）公布在投标截止时间前递交投标文件的供应商名称，并点名确认供应商是否派被授权人到场；</w:t>
            </w:r>
          </w:p>
          <w:p w14:paraId="1DE62ABA">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（3）宣布唱标人、记录人、监督人员等有关人员姓名；</w:t>
            </w:r>
          </w:p>
          <w:p w14:paraId="08485ED9">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（4）密封情况检查：由监督人员或供应商推选的代表检查投标文件密封情况；</w:t>
            </w:r>
          </w:p>
          <w:p w14:paraId="36B765F4">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（5）开标顺序：供应商送达投标文件的逆序；开启各供应商的投标文件；</w:t>
            </w:r>
          </w:p>
          <w:p w14:paraId="00B26A7E">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（6）确认开标结果：供应商被授权人对开标记录进行当场校核及勘误，并签字确认；并同时由记录人、监督人当场签字确认。</w:t>
            </w:r>
          </w:p>
          <w:p w14:paraId="0C41828B">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（7）宣布开标结束。</w:t>
            </w:r>
          </w:p>
          <w:p w14:paraId="76F80A2D">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（8）供应商被授权人未参加开标会议；未到场签字确认的，不影响开标，评标过程，视同认可开标结果；事后不得对采购相关人员、开标过程和开标结果提出异议。</w:t>
            </w:r>
          </w:p>
          <w:p w14:paraId="3065F28D">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（9）将开启的投标文件送交评标委员会评审。</w:t>
            </w:r>
          </w:p>
        </w:tc>
      </w:tr>
      <w:tr w14:paraId="6E331B79">
        <w:tblPrEx>
          <w:tblCellMar>
            <w:top w:w="0" w:type="dxa"/>
            <w:left w:w="108" w:type="dxa"/>
            <w:bottom w:w="0" w:type="dxa"/>
            <w:right w:w="108" w:type="dxa"/>
          </w:tblCellMar>
        </w:tblPrEx>
        <w:trPr>
          <w:trHeight w:val="954"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C1C323">
            <w:pPr>
              <w:keepNext w:val="0"/>
              <w:keepLines w:val="0"/>
              <w:pageBreakBefore w:val="0"/>
              <w:kinsoku/>
              <w:wordWrap/>
              <w:overflowPunct/>
              <w:topLinePunct w:val="0"/>
              <w:bidi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20</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C597C92">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评标委员会</w:t>
            </w:r>
          </w:p>
          <w:p w14:paraId="199E5BE4">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的组建</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F180A13">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评标委员会成员由采购人代表和有关技术、经济等方面的专家组成，有关技术、经济等方面的专家成员人数为5人及以上单数</w:t>
            </w:r>
            <w:r>
              <w:rPr>
                <w:rFonts w:hint="eastAsia" w:cs="新宋体" w:asciiTheme="majorEastAsia" w:hAnsiTheme="majorEastAsia" w:eastAsiaTheme="majorEastAsia"/>
                <w:bCs/>
                <w:color w:val="auto"/>
                <w:szCs w:val="22"/>
                <w:highlight w:val="none"/>
              </w:rPr>
              <w:t>。</w:t>
            </w:r>
          </w:p>
        </w:tc>
      </w:tr>
      <w:tr w14:paraId="44644DF6">
        <w:tblPrEx>
          <w:tblCellMar>
            <w:top w:w="0" w:type="dxa"/>
            <w:left w:w="108" w:type="dxa"/>
            <w:bottom w:w="0" w:type="dxa"/>
            <w:right w:w="108" w:type="dxa"/>
          </w:tblCellMar>
        </w:tblPrEx>
        <w:trPr>
          <w:trHeight w:val="106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8647EA">
            <w:pPr>
              <w:keepNext w:val="0"/>
              <w:keepLines w:val="0"/>
              <w:pageBreakBefore w:val="0"/>
              <w:kinsoku/>
              <w:wordWrap/>
              <w:overflowPunct/>
              <w:topLinePunct w:val="0"/>
              <w:bidi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21</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12714F">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原 件</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BC9362F">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□提交，具体要求见供应商须知</w:t>
            </w:r>
          </w:p>
          <w:p w14:paraId="65B31D44">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b/>
                <w:snapToGrid w:val="0"/>
                <w:color w:val="auto"/>
                <w:szCs w:val="22"/>
                <w:highlight w:val="none"/>
              </w:rPr>
              <w:sym w:font="Wingdings" w:char="F0FE"/>
            </w:r>
            <w:r>
              <w:rPr>
                <w:rFonts w:hint="eastAsia" w:cs="新宋体" w:asciiTheme="majorEastAsia" w:hAnsiTheme="majorEastAsia" w:eastAsiaTheme="majorEastAsia"/>
                <w:color w:val="auto"/>
                <w:kern w:val="0"/>
                <w:szCs w:val="22"/>
                <w:highlight w:val="none"/>
              </w:rPr>
              <w:t>不提交</w:t>
            </w:r>
          </w:p>
        </w:tc>
      </w:tr>
      <w:tr w14:paraId="5820B112">
        <w:tblPrEx>
          <w:tblCellMar>
            <w:top w:w="0" w:type="dxa"/>
            <w:left w:w="108" w:type="dxa"/>
            <w:bottom w:w="0" w:type="dxa"/>
            <w:right w:w="108" w:type="dxa"/>
          </w:tblCellMar>
        </w:tblPrEx>
        <w:trPr>
          <w:trHeight w:val="70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4B3615">
            <w:pPr>
              <w:keepNext w:val="0"/>
              <w:keepLines w:val="0"/>
              <w:pageBreakBefore w:val="0"/>
              <w:kinsoku/>
              <w:wordWrap/>
              <w:overflowPunct/>
              <w:topLinePunct w:val="0"/>
              <w:bidi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22</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4DADD0">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履约保证金</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DB09FE4">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snapToGrid w:val="0"/>
                <w:color w:val="auto"/>
                <w:szCs w:val="22"/>
                <w:highlight w:val="none"/>
              </w:rPr>
            </w:pPr>
            <w:r>
              <w:rPr>
                <w:rFonts w:hint="eastAsia" w:cs="新宋体" w:asciiTheme="majorEastAsia" w:hAnsiTheme="majorEastAsia" w:eastAsiaTheme="majorEastAsia"/>
                <w:snapToGrid w:val="0"/>
                <w:color w:val="auto"/>
                <w:szCs w:val="22"/>
                <w:highlight w:val="none"/>
              </w:rPr>
              <w:t>不提交</w:t>
            </w:r>
          </w:p>
        </w:tc>
      </w:tr>
      <w:tr w14:paraId="37F51E3D">
        <w:tblPrEx>
          <w:tblCellMar>
            <w:top w:w="0" w:type="dxa"/>
            <w:left w:w="108" w:type="dxa"/>
            <w:bottom w:w="0" w:type="dxa"/>
            <w:right w:w="108" w:type="dxa"/>
          </w:tblCellMar>
        </w:tblPrEx>
        <w:trPr>
          <w:trHeight w:val="42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F8DEEF">
            <w:pPr>
              <w:keepNext w:val="0"/>
              <w:keepLines w:val="0"/>
              <w:pageBreakBefore w:val="0"/>
              <w:kinsoku/>
              <w:wordWrap/>
              <w:overflowPunct/>
              <w:topLinePunct w:val="0"/>
              <w:bidi w:val="0"/>
              <w:spacing w:line="360" w:lineRule="auto"/>
              <w:ind w:right="-78"/>
              <w:jc w:val="center"/>
              <w:textAlignment w:val="auto"/>
              <w:rPr>
                <w:rFonts w:cs="新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23</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435003">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供应商信用查询</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905D21A">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新宋体" w:asciiTheme="majorEastAsia" w:hAnsiTheme="majorEastAsia" w:eastAsiaTheme="majorEastAsia"/>
                <w:color w:val="auto"/>
                <w:szCs w:val="22"/>
                <w:highlight w:val="none"/>
              </w:rPr>
              <w:t>www.creditchina.gov.cn</w:t>
            </w:r>
            <w:r>
              <w:rPr>
                <w:rFonts w:hint="eastAsia" w:cs="新宋体" w:asciiTheme="majorEastAsia" w:hAnsiTheme="majorEastAsia" w:eastAsiaTheme="majorEastAsia"/>
                <w:color w:val="auto"/>
                <w:szCs w:val="22"/>
                <w:highlight w:val="none"/>
              </w:rPr>
              <w:fldChar w:fldCharType="end"/>
            </w:r>
            <w:r>
              <w:rPr>
                <w:rFonts w:hint="eastAsia" w:cs="新宋体" w:asciiTheme="majorEastAsia" w:hAnsiTheme="majorEastAsia" w:eastAsiaTheme="majorEastAsia"/>
                <w:color w:val="auto"/>
                <w:szCs w:val="22"/>
                <w:highlight w:val="none"/>
              </w:rPr>
              <w:t>)；“中国政府采购网”（http://www.ccgp.gov.cn/）；</w:t>
            </w:r>
          </w:p>
          <w:p w14:paraId="1D6AF52B">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（2）供应商信用信息查询截止时点：本项目</w:t>
            </w:r>
            <w:r>
              <w:rPr>
                <w:rFonts w:hint="eastAsia" w:cs="新宋体" w:asciiTheme="majorEastAsia" w:hAnsiTheme="majorEastAsia" w:eastAsiaTheme="majorEastAsia"/>
                <w:color w:val="auto"/>
                <w:szCs w:val="22"/>
                <w:highlight w:val="none"/>
                <w:lang w:val="en-US" w:eastAsia="zh-CN"/>
              </w:rPr>
              <w:t>公告发布至</w:t>
            </w:r>
            <w:r>
              <w:rPr>
                <w:rFonts w:hint="eastAsia" w:cs="新宋体" w:asciiTheme="majorEastAsia" w:hAnsiTheme="majorEastAsia" w:eastAsiaTheme="majorEastAsia"/>
                <w:color w:val="auto"/>
                <w:szCs w:val="22"/>
                <w:highlight w:val="none"/>
              </w:rPr>
              <w:t>投标截止时间。</w:t>
            </w:r>
          </w:p>
          <w:p w14:paraId="3B806033">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（3）供应商信用信息查询记录和证据留存的具体方式：网页截图打印；</w:t>
            </w:r>
          </w:p>
          <w:p w14:paraId="1D8C778E">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（4）信用信息的使用规则：</w:t>
            </w:r>
          </w:p>
          <w:p w14:paraId="6DAE2E56">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①在“信用中国”具有负面记录：列入失信被执行人、重大税收违法案件当事人名单、政府采购严重违法失信行为名单；</w:t>
            </w:r>
          </w:p>
          <w:p w14:paraId="2A231DB9">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②被“中国政府采购网”(www.ccgp.gov.cn)列入政府采购严重违法失信行为记录名单。</w:t>
            </w:r>
          </w:p>
          <w:p w14:paraId="15B94BBF">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（5）具有以上（4）所述信息记录的供应商，其投标做无效投标处理。</w:t>
            </w:r>
          </w:p>
          <w:p w14:paraId="7B59E3D4">
            <w:pPr>
              <w:keepNext w:val="0"/>
              <w:keepLines w:val="0"/>
              <w:pageBreakBefore w:val="0"/>
              <w:kinsoku/>
              <w:wordWrap/>
              <w:overflowPunct/>
              <w:topLinePunct w:val="0"/>
              <w:bidi w:val="0"/>
              <w:spacing w:line="360" w:lineRule="auto"/>
              <w:textAlignment w:val="auto"/>
              <w:rPr>
                <w:rFonts w:cs="新宋体" w:asciiTheme="majorEastAsia" w:hAnsiTheme="majorEastAsia" w:eastAsiaTheme="majorEastAsia"/>
                <w:color w:val="auto"/>
                <w:highlight w:val="none"/>
              </w:rPr>
            </w:pPr>
            <w:r>
              <w:rPr>
                <w:rFonts w:hint="eastAsia" w:cs="新宋体" w:asciiTheme="majorEastAsia" w:hAnsiTheme="majorEastAsia" w:eastAsiaTheme="majorEastAsia"/>
                <w:b/>
                <w:bCs/>
                <w:color w:val="auto"/>
                <w:szCs w:val="21"/>
                <w:highlight w:val="none"/>
                <w:u w:val="single"/>
              </w:rPr>
              <w:t>（6）▲</w:t>
            </w:r>
            <w:r>
              <w:rPr>
                <w:rFonts w:hint="eastAsia" w:cs="新宋体" w:asciiTheme="majorEastAsia" w:hAnsiTheme="majorEastAsia" w:eastAsiaTheme="majorEastAsia"/>
                <w:b/>
                <w:color w:val="auto"/>
                <w:szCs w:val="22"/>
                <w:highlight w:val="none"/>
                <w:u w:val="single"/>
              </w:rPr>
              <w:t>关于</w:t>
            </w:r>
            <w:r>
              <w:rPr>
                <w:rFonts w:hint="eastAsia" w:cs="新宋体" w:asciiTheme="majorEastAsia" w:hAnsiTheme="majorEastAsia" w:eastAsiaTheme="majorEastAsia"/>
                <w:b/>
                <w:bCs/>
                <w:color w:val="auto"/>
                <w:szCs w:val="22"/>
                <w:highlight w:val="none"/>
                <w:u w:val="single"/>
              </w:rPr>
              <w:t>“信用中国”(www.creditchina.gov.cn) 信用记录网页截图相关说明</w:t>
            </w:r>
            <w:r>
              <w:rPr>
                <w:rFonts w:hint="eastAsia" w:cs="新宋体" w:asciiTheme="majorEastAsia" w:hAnsiTheme="majorEastAsia" w:eastAsiaTheme="majorEastAsia"/>
                <w:bCs/>
                <w:color w:val="auto"/>
                <w:szCs w:val="22"/>
                <w:highlight w:val="none"/>
              </w:rPr>
              <w:t>：</w:t>
            </w:r>
          </w:p>
          <w:p w14:paraId="2F18500A">
            <w:pPr>
              <w:keepNext w:val="0"/>
              <w:keepLines w:val="0"/>
              <w:pageBreakBefore w:val="0"/>
              <w:kinsoku/>
              <w:wordWrap/>
              <w:overflowPunct/>
              <w:topLinePunct w:val="0"/>
              <w:bidi w:val="0"/>
              <w:spacing w:line="360" w:lineRule="auto"/>
              <w:textAlignment w:val="auto"/>
              <w:rPr>
                <w:rFonts w:cs="新宋体" w:asciiTheme="majorEastAsia" w:hAnsiTheme="majorEastAsia" w:eastAsiaTheme="majorEastAsia"/>
                <w:bCs/>
                <w:color w:val="auto"/>
                <w:szCs w:val="22"/>
                <w:highlight w:val="none"/>
              </w:rPr>
            </w:pPr>
            <w:r>
              <w:rPr>
                <w:rFonts w:hint="eastAsia" w:cs="新宋体" w:asciiTheme="majorEastAsia" w:hAnsiTheme="majorEastAsia" w:eastAsiaTheme="majorEastAsia"/>
                <w:bCs/>
                <w:color w:val="auto"/>
                <w:szCs w:val="22"/>
                <w:highlight w:val="none"/>
              </w:rPr>
              <w:t>①若供应商查询页面“行政处罚”栏显示有行政处罚事项，须将所有行政处罚事项在“信用中国”网页上列出的明细一并打印，并附说明，是否属于“</w:t>
            </w:r>
            <w:r>
              <w:rPr>
                <w:rFonts w:hint="eastAsia" w:cs="新宋体" w:asciiTheme="majorEastAsia" w:hAnsiTheme="majorEastAsia" w:eastAsiaTheme="majorEastAsia"/>
                <w:color w:val="auto"/>
                <w:szCs w:val="22"/>
                <w:highlight w:val="none"/>
              </w:rPr>
              <w:t>经营活动中的重大违法记录</w:t>
            </w:r>
            <w:r>
              <w:rPr>
                <w:rFonts w:hint="eastAsia" w:cs="新宋体" w:asciiTheme="majorEastAsia" w:hAnsiTheme="majorEastAsia" w:eastAsiaTheme="majorEastAsia"/>
                <w:bCs/>
                <w:color w:val="auto"/>
                <w:szCs w:val="22"/>
                <w:highlight w:val="none"/>
              </w:rPr>
              <w:t>”。</w:t>
            </w:r>
          </w:p>
          <w:p w14:paraId="78E5DDB8">
            <w:pPr>
              <w:keepNext w:val="0"/>
              <w:keepLines w:val="0"/>
              <w:pageBreakBefore w:val="0"/>
              <w:kinsoku/>
              <w:wordWrap/>
              <w:overflowPunct/>
              <w:topLinePunct w:val="0"/>
              <w:bidi w:val="0"/>
              <w:spacing w:line="360" w:lineRule="auto"/>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bCs/>
                <w:color w:val="auto"/>
                <w:szCs w:val="22"/>
                <w:highlight w:val="none"/>
              </w:rPr>
              <w:t>②若供应商在“信用中国”无数据，亦须将搜索结果页面打印，并附说明。</w:t>
            </w:r>
          </w:p>
        </w:tc>
      </w:tr>
      <w:tr w14:paraId="1CE3B4EA">
        <w:tblPrEx>
          <w:tblCellMar>
            <w:top w:w="0" w:type="dxa"/>
            <w:left w:w="108" w:type="dxa"/>
            <w:bottom w:w="0" w:type="dxa"/>
            <w:right w:w="108" w:type="dxa"/>
          </w:tblCellMar>
        </w:tblPrEx>
        <w:trPr>
          <w:trHeight w:val="142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BA9124">
            <w:pPr>
              <w:keepNext w:val="0"/>
              <w:keepLines w:val="0"/>
              <w:pageBreakBefore w:val="0"/>
              <w:kinsoku/>
              <w:wordWrap/>
              <w:overflowPunct/>
              <w:topLinePunct w:val="0"/>
              <w:bidi w:val="0"/>
              <w:spacing w:line="360" w:lineRule="auto"/>
              <w:ind w:right="-78"/>
              <w:jc w:val="center"/>
              <w:textAlignment w:val="auto"/>
              <w:rPr>
                <w:rFonts w:cs="新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24</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B33710">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合同备案</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879D844">
            <w:pPr>
              <w:keepNext w:val="0"/>
              <w:keepLines w:val="0"/>
              <w:pageBreakBefore w:val="0"/>
              <w:kinsoku/>
              <w:wordWrap/>
              <w:overflowPunct/>
              <w:topLinePunct w:val="0"/>
              <w:bidi w:val="0"/>
              <w:spacing w:line="360" w:lineRule="auto"/>
              <w:ind w:right="71" w:firstLine="2" w:firstLineChars="1"/>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（1）中标供应商须在中标通知书发出之日起30日历天内与采购人签订合同。</w:t>
            </w:r>
          </w:p>
          <w:p w14:paraId="63440B99">
            <w:pPr>
              <w:keepNext w:val="0"/>
              <w:keepLines w:val="0"/>
              <w:pageBreakBefore w:val="0"/>
              <w:kinsoku/>
              <w:wordWrap/>
              <w:overflowPunct/>
              <w:topLinePunct w:val="0"/>
              <w:bidi w:val="0"/>
              <w:spacing w:line="360" w:lineRule="auto"/>
              <w:ind w:right="71" w:firstLine="2" w:firstLineChars="1"/>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（2）中标供应商与采购人签订合同后，2日历天内将合同扫描件电子版发给采购代理机构：邮箱：</w:t>
            </w:r>
            <w:r>
              <w:rPr>
                <w:rFonts w:hint="eastAsia" w:cs="新宋体" w:asciiTheme="majorEastAsia" w:hAnsiTheme="majorEastAsia" w:eastAsiaTheme="majorEastAsia"/>
                <w:b/>
                <w:color w:val="auto"/>
                <w:szCs w:val="22"/>
                <w:highlight w:val="none"/>
                <w:u w:val="single"/>
              </w:rPr>
              <w:t>ye462978466@qq.com</w:t>
            </w:r>
            <w:r>
              <w:rPr>
                <w:rFonts w:hint="eastAsia" w:cs="新宋体" w:asciiTheme="majorEastAsia" w:hAnsiTheme="majorEastAsia" w:eastAsiaTheme="majorEastAsia"/>
                <w:color w:val="auto"/>
                <w:szCs w:val="22"/>
                <w:highlight w:val="none"/>
              </w:rPr>
              <w:t>。</w:t>
            </w:r>
          </w:p>
        </w:tc>
      </w:tr>
      <w:tr w14:paraId="66085911">
        <w:tblPrEx>
          <w:tblCellMar>
            <w:top w:w="0" w:type="dxa"/>
            <w:left w:w="108" w:type="dxa"/>
            <w:bottom w:w="0" w:type="dxa"/>
            <w:right w:w="108" w:type="dxa"/>
          </w:tblCellMar>
        </w:tblPrEx>
        <w:trPr>
          <w:trHeight w:val="979"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02BEC2">
            <w:pPr>
              <w:keepNext w:val="0"/>
              <w:keepLines w:val="0"/>
              <w:pageBreakBefore w:val="0"/>
              <w:kinsoku/>
              <w:wordWrap/>
              <w:overflowPunct/>
              <w:topLinePunct w:val="0"/>
              <w:bidi w:val="0"/>
              <w:spacing w:line="360" w:lineRule="auto"/>
              <w:ind w:right="-78"/>
              <w:jc w:val="center"/>
              <w:textAlignment w:val="auto"/>
              <w:rPr>
                <w:rFonts w:cs="新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25</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7D0664">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合同履约管理</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E7EF193">
            <w:pPr>
              <w:keepNext w:val="0"/>
              <w:keepLines w:val="0"/>
              <w:pageBreakBefore w:val="0"/>
              <w:kinsoku/>
              <w:wordWrap/>
              <w:overflowPunct/>
              <w:topLinePunct w:val="0"/>
              <w:bidi w:val="0"/>
              <w:spacing w:line="360" w:lineRule="auto"/>
              <w:ind w:right="71" w:firstLine="2" w:firstLineChars="1"/>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合同签订后，采购人依法加强对合同履约进行管理，并在中标供应商服务、项目验收等重要关节，如实填写《合同验收报告》（或考核资料）。</w:t>
            </w:r>
          </w:p>
        </w:tc>
      </w:tr>
      <w:tr w14:paraId="112200F7">
        <w:tblPrEx>
          <w:tblCellMar>
            <w:top w:w="0" w:type="dxa"/>
            <w:left w:w="108" w:type="dxa"/>
            <w:bottom w:w="0" w:type="dxa"/>
            <w:right w:w="108" w:type="dxa"/>
          </w:tblCellMar>
        </w:tblPrEx>
        <w:trPr>
          <w:trHeight w:val="2448"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8FC9EA">
            <w:pPr>
              <w:keepNext w:val="0"/>
              <w:keepLines w:val="0"/>
              <w:pageBreakBefore w:val="0"/>
              <w:kinsoku/>
              <w:wordWrap/>
              <w:overflowPunct/>
              <w:topLinePunct w:val="0"/>
              <w:bidi w:val="0"/>
              <w:spacing w:line="360" w:lineRule="auto"/>
              <w:ind w:right="-78"/>
              <w:jc w:val="center"/>
              <w:textAlignment w:val="auto"/>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26</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001A00">
            <w:pPr>
              <w:keepNext w:val="0"/>
              <w:keepLines w:val="0"/>
              <w:pageBreakBefore w:val="0"/>
              <w:kinsoku/>
              <w:wordWrap/>
              <w:overflowPunct/>
              <w:topLinePunct w:val="0"/>
              <w:bidi w:val="0"/>
              <w:spacing w:line="360" w:lineRule="auto"/>
              <w:jc w:val="center"/>
              <w:textAlignment w:val="auto"/>
              <w:rPr>
                <w:rFonts w:ascii="新宋体" w:hAnsi="新宋体" w:cs="新宋体"/>
                <w:color w:val="auto"/>
                <w:szCs w:val="22"/>
                <w:highlight w:val="none"/>
              </w:rPr>
            </w:pPr>
            <w:r>
              <w:rPr>
                <w:rFonts w:hint="eastAsia" w:ascii="新宋体" w:hAnsi="新宋体" w:cs="新宋体"/>
                <w:color w:val="auto"/>
                <w:szCs w:val="22"/>
                <w:highlight w:val="none"/>
              </w:rPr>
              <w:t>解释权</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96B4B65">
            <w:pPr>
              <w:keepNext w:val="0"/>
              <w:keepLines w:val="0"/>
              <w:pageBreakBefore w:val="0"/>
              <w:kinsoku/>
              <w:wordWrap/>
              <w:overflowPunct/>
              <w:topLinePunct w:val="0"/>
              <w:bidi w:val="0"/>
              <w:spacing w:line="360" w:lineRule="auto"/>
              <w:textAlignment w:val="auto"/>
              <w:rPr>
                <w:rFonts w:ascii="新宋体" w:hAnsi="新宋体" w:cs="新宋体"/>
                <w:color w:val="auto"/>
                <w:szCs w:val="22"/>
                <w:highlight w:val="none"/>
              </w:rPr>
            </w:pPr>
            <w:r>
              <w:rPr>
                <w:rFonts w:hint="eastAsia" w:ascii="新宋体" w:hAnsi="新宋体" w:cs="新宋体"/>
                <w:color w:val="auto"/>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新宋体" w:hAnsi="新宋体" w:cs="新宋体"/>
                <w:color w:val="auto"/>
                <w:szCs w:val="22"/>
                <w:highlight w:val="none"/>
                <w:lang w:eastAsia="zh-CN"/>
              </w:rPr>
              <w:t>供应商</w:t>
            </w:r>
            <w:r>
              <w:rPr>
                <w:rFonts w:hint="eastAsia" w:ascii="新宋体" w:hAnsi="新宋体" w:cs="新宋体"/>
                <w:color w:val="auto"/>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53EFF58">
        <w:tblPrEx>
          <w:tblCellMar>
            <w:top w:w="0" w:type="dxa"/>
            <w:left w:w="108" w:type="dxa"/>
            <w:bottom w:w="0" w:type="dxa"/>
            <w:right w:w="108" w:type="dxa"/>
          </w:tblCellMar>
        </w:tblPrEx>
        <w:trPr>
          <w:trHeight w:val="2448"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23B96D">
            <w:pPr>
              <w:keepNext w:val="0"/>
              <w:keepLines w:val="0"/>
              <w:pageBreakBefore w:val="0"/>
              <w:kinsoku/>
              <w:wordWrap/>
              <w:overflowPunct/>
              <w:topLinePunct w:val="0"/>
              <w:bidi w:val="0"/>
              <w:spacing w:line="360" w:lineRule="auto"/>
              <w:ind w:right="-78"/>
              <w:jc w:val="center"/>
              <w:textAlignment w:val="auto"/>
              <w:rPr>
                <w:rFonts w:hint="default"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27</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EF4DB3">
            <w:pPr>
              <w:keepNext w:val="0"/>
              <w:keepLines w:val="0"/>
              <w:pageBreakBefore w:val="0"/>
              <w:kinsoku/>
              <w:wordWrap/>
              <w:overflowPunct/>
              <w:topLinePunct w:val="0"/>
              <w:bidi w:val="0"/>
              <w:snapToGrid/>
              <w:spacing w:line="288" w:lineRule="auto"/>
              <w:jc w:val="center"/>
              <w:textAlignment w:val="auto"/>
              <w:rPr>
                <w:rFonts w:hint="eastAsia" w:ascii="新宋体" w:hAnsi="新宋体" w:cs="新宋体"/>
                <w:color w:val="auto"/>
                <w:szCs w:val="22"/>
                <w:highlight w:val="none"/>
              </w:rPr>
            </w:pPr>
            <w:r>
              <w:rPr>
                <w:rFonts w:hint="eastAsia" w:ascii="新宋体" w:hAnsi="新宋体" w:eastAsia="新宋体" w:cs="新宋体"/>
                <w:color w:val="auto"/>
                <w:sz w:val="22"/>
                <w:szCs w:val="22"/>
                <w:highlight w:val="none"/>
              </w:rPr>
              <w:t>采购代理服务费</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6ABB44F">
            <w:pPr>
              <w:keepNext w:val="0"/>
              <w:keepLines w:val="0"/>
              <w:pageBreakBefore w:val="0"/>
              <w:kinsoku/>
              <w:wordWrap/>
              <w:overflowPunct/>
              <w:topLinePunct w:val="0"/>
              <w:bidi w:val="0"/>
              <w:snapToGrid/>
              <w:spacing w:line="288" w:lineRule="auto"/>
              <w:textAlignment w:val="auto"/>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宋体" w:hAnsi="宋体" w:cs="宋体"/>
                <w:color w:val="auto"/>
                <w:sz w:val="22"/>
                <w:szCs w:val="22"/>
                <w:highlight w:val="none"/>
              </w:rPr>
              <w:t>采购代理服务费按国家计委计价格【2002】1980号文件规定的</w:t>
            </w:r>
            <w:r>
              <w:rPr>
                <w:rFonts w:hint="eastAsia" w:ascii="宋体" w:hAnsi="宋体" w:cs="宋体"/>
                <w:color w:val="auto"/>
                <w:sz w:val="22"/>
                <w:szCs w:val="22"/>
                <w:highlight w:val="none"/>
                <w:lang w:val="en-US" w:eastAsia="zh-CN"/>
              </w:rPr>
              <w:t>货物</w:t>
            </w:r>
            <w:r>
              <w:rPr>
                <w:rFonts w:hint="eastAsia" w:ascii="宋体" w:hAnsi="宋体" w:cs="宋体"/>
                <w:color w:val="auto"/>
                <w:sz w:val="22"/>
                <w:szCs w:val="22"/>
                <w:highlight w:val="none"/>
              </w:rPr>
              <w:t>类收费标准计取，由中标供应商在领取中标通知书时向</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代理机构进行支付，该服务费须综合考虑在投标报价中。</w:t>
            </w:r>
          </w:p>
          <w:p w14:paraId="198E6566">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14:paraId="588F67D9">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收款账户户名：温州市智信招标代理有限公司</w:t>
            </w:r>
          </w:p>
          <w:p w14:paraId="0A75B29B">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收款账号：333504140018800009390</w:t>
            </w:r>
          </w:p>
          <w:p w14:paraId="004D983E">
            <w:pPr>
              <w:keepNext w:val="0"/>
              <w:keepLines w:val="0"/>
              <w:pageBreakBefore w:val="0"/>
              <w:kinsoku/>
              <w:wordWrap/>
              <w:overflowPunct/>
              <w:topLinePunct w:val="0"/>
              <w:bidi w:val="0"/>
              <w:snapToGrid/>
              <w:spacing w:line="288" w:lineRule="auto"/>
              <w:textAlignment w:val="auto"/>
              <w:rPr>
                <w:rFonts w:hint="eastAsia" w:ascii="新宋体" w:hAnsi="新宋体" w:cs="新宋体"/>
                <w:color w:val="auto"/>
                <w:szCs w:val="22"/>
                <w:highlight w:val="none"/>
              </w:rPr>
            </w:pPr>
            <w:r>
              <w:rPr>
                <w:rFonts w:hint="eastAsia" w:ascii="新宋体" w:hAnsi="新宋体" w:eastAsia="新宋体" w:cs="新宋体"/>
                <w:color w:val="auto"/>
                <w:sz w:val="22"/>
                <w:szCs w:val="22"/>
                <w:highlight w:val="none"/>
              </w:rPr>
              <w:t>开户行：交通银行温州分行瓯海支行</w:t>
            </w:r>
          </w:p>
        </w:tc>
      </w:tr>
      <w:tr w14:paraId="533EFFD7">
        <w:tblPrEx>
          <w:tblCellMar>
            <w:top w:w="0" w:type="dxa"/>
            <w:left w:w="108" w:type="dxa"/>
            <w:bottom w:w="0" w:type="dxa"/>
            <w:right w:w="108" w:type="dxa"/>
          </w:tblCellMar>
        </w:tblPrEx>
        <w:trPr>
          <w:trHeight w:val="92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EAF44A">
            <w:pPr>
              <w:keepNext w:val="0"/>
              <w:keepLines w:val="0"/>
              <w:pageBreakBefore w:val="0"/>
              <w:kinsoku/>
              <w:wordWrap/>
              <w:overflowPunct/>
              <w:topLinePunct w:val="0"/>
              <w:bidi w:val="0"/>
              <w:spacing w:line="360" w:lineRule="auto"/>
              <w:ind w:right="-78"/>
              <w:jc w:val="center"/>
              <w:textAlignment w:val="auto"/>
              <w:rPr>
                <w:rFonts w:hint="default" w:asciiTheme="majorEastAsia" w:hAnsiTheme="majorEastAsia" w:eastAsiaTheme="majorEastAsia"/>
                <w:b w:val="0"/>
                <w:bCs w:val="0"/>
                <w:color w:val="auto"/>
                <w:kern w:val="0"/>
                <w:szCs w:val="21"/>
                <w:highlight w:val="none"/>
                <w:lang w:val="en-US" w:eastAsia="zh-CN"/>
              </w:rPr>
            </w:pPr>
            <w:r>
              <w:rPr>
                <w:rFonts w:hint="eastAsia" w:asciiTheme="majorEastAsia" w:hAnsiTheme="majorEastAsia" w:eastAsiaTheme="majorEastAsia"/>
                <w:b w:val="0"/>
                <w:bCs w:val="0"/>
                <w:color w:val="auto"/>
                <w:kern w:val="0"/>
                <w:szCs w:val="21"/>
                <w:highlight w:val="none"/>
                <w:lang w:val="en-US" w:eastAsia="zh-CN"/>
              </w:rPr>
              <w:t>28</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C70423">
            <w:pPr>
              <w:keepNext w:val="0"/>
              <w:keepLines w:val="0"/>
              <w:pageBreakBefore w:val="0"/>
              <w:kinsoku/>
              <w:wordWrap/>
              <w:overflowPunct/>
              <w:topLinePunct w:val="0"/>
              <w:bidi w:val="0"/>
              <w:snapToGrid/>
              <w:spacing w:line="288" w:lineRule="auto"/>
              <w:jc w:val="center"/>
              <w:textAlignment w:val="auto"/>
              <w:rPr>
                <w:rFonts w:hint="eastAsia" w:ascii="新宋体" w:hAnsi="新宋体" w:cs="新宋体"/>
                <w:b w:val="0"/>
                <w:bCs w:val="0"/>
                <w:color w:val="auto"/>
                <w:szCs w:val="22"/>
                <w:highlight w:val="none"/>
              </w:rPr>
            </w:pPr>
            <w:r>
              <w:rPr>
                <w:rFonts w:hint="eastAsia" w:ascii="新宋体" w:hAnsi="新宋体" w:eastAsia="新宋体" w:cs="新宋体"/>
                <w:b w:val="0"/>
                <w:bCs w:val="0"/>
                <w:color w:val="auto"/>
                <w:sz w:val="22"/>
                <w:szCs w:val="22"/>
                <w:highlight w:val="none"/>
                <w:lang w:val="en-US" w:eastAsia="zh-CN"/>
              </w:rPr>
              <w:t>项目类型</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6B11631">
            <w:pPr>
              <w:keepNext w:val="0"/>
              <w:keepLines w:val="0"/>
              <w:pageBreakBefore w:val="0"/>
              <w:kinsoku/>
              <w:wordWrap/>
              <w:overflowPunct/>
              <w:topLinePunct w:val="0"/>
              <w:bidi w:val="0"/>
              <w:snapToGrid/>
              <w:spacing w:line="288" w:lineRule="auto"/>
              <w:textAlignment w:val="auto"/>
              <w:rPr>
                <w:rFonts w:hint="eastAsia" w:ascii="新宋体" w:hAnsi="新宋体" w:cs="新宋体"/>
                <w:b w:val="0"/>
                <w:bCs w:val="0"/>
                <w:color w:val="auto"/>
                <w:szCs w:val="22"/>
                <w:highlight w:val="none"/>
              </w:rPr>
            </w:pPr>
            <w:r>
              <w:rPr>
                <w:rFonts w:hint="eastAsia" w:ascii="新宋体" w:hAnsi="新宋体" w:eastAsia="新宋体" w:cs="新宋体"/>
                <w:b w:val="0"/>
                <w:bCs w:val="0"/>
                <w:color w:val="auto"/>
                <w:sz w:val="22"/>
                <w:szCs w:val="22"/>
                <w:highlight w:val="none"/>
                <w:lang w:val="en-US" w:eastAsia="zh-CN"/>
              </w:rPr>
              <w:t>货物类：工业</w:t>
            </w:r>
          </w:p>
        </w:tc>
      </w:tr>
    </w:tbl>
    <w:p w14:paraId="287DEA36">
      <w:pPr>
        <w:pStyle w:val="28"/>
        <w:ind w:left="-202" w:right="-202" w:firstLine="904"/>
        <w:rPr>
          <w:rFonts w:hint="eastAsia" w:asciiTheme="majorEastAsia" w:hAnsiTheme="majorEastAsia"/>
          <w:color w:val="auto"/>
          <w:sz w:val="36"/>
          <w:szCs w:val="36"/>
          <w:highlight w:val="none"/>
        </w:rPr>
      </w:pPr>
      <w:bookmarkStart w:id="5" w:name="_Toc78294247"/>
    </w:p>
    <w:p w14:paraId="03720A3E">
      <w:pPr>
        <w:pStyle w:val="28"/>
        <w:ind w:left="-202" w:right="-202" w:firstLine="904"/>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t>第一部分</w:t>
      </w:r>
      <w:r>
        <w:rPr>
          <w:rFonts w:asciiTheme="majorEastAsia" w:hAnsiTheme="majorEastAsia"/>
          <w:color w:val="auto"/>
          <w:sz w:val="36"/>
          <w:szCs w:val="36"/>
          <w:highlight w:val="none"/>
        </w:rPr>
        <w:t xml:space="preserve">    </w:t>
      </w:r>
      <w:r>
        <w:rPr>
          <w:rFonts w:hint="eastAsia" w:asciiTheme="majorEastAsia" w:hAnsiTheme="majorEastAsia"/>
          <w:color w:val="auto"/>
          <w:sz w:val="36"/>
          <w:szCs w:val="36"/>
          <w:highlight w:val="none"/>
          <w:lang w:eastAsia="zh-CN"/>
        </w:rPr>
        <w:t>供应商</w:t>
      </w:r>
      <w:r>
        <w:rPr>
          <w:rFonts w:hint="eastAsia" w:asciiTheme="majorEastAsia" w:hAnsiTheme="majorEastAsia"/>
          <w:color w:val="auto"/>
          <w:sz w:val="36"/>
          <w:szCs w:val="36"/>
          <w:highlight w:val="none"/>
        </w:rPr>
        <w:t>须知</w:t>
      </w:r>
      <w:bookmarkEnd w:id="5"/>
    </w:p>
    <w:p w14:paraId="332D81FE">
      <w:pPr>
        <w:spacing w:before="100" w:beforeAutospacing="1" w:after="100" w:afterAutospacing="1" w:line="440" w:lineRule="exact"/>
        <w:ind w:right="-202"/>
        <w:jc w:val="center"/>
        <w:outlineLvl w:val="0"/>
        <w:rPr>
          <w:rFonts w:cs="hakuyoxingshu7000" w:asciiTheme="majorEastAsia" w:hAnsiTheme="majorEastAsia" w:eastAsiaTheme="majorEastAsia"/>
          <w:b/>
          <w:bCs/>
          <w:color w:val="auto"/>
          <w:szCs w:val="22"/>
          <w:highlight w:val="none"/>
        </w:rPr>
      </w:pPr>
      <w:bookmarkStart w:id="6" w:name="_Toc78294248"/>
      <w:r>
        <w:rPr>
          <w:rFonts w:hint="eastAsia" w:cs="hakuyoxingshu7000" w:asciiTheme="majorEastAsia" w:hAnsiTheme="majorEastAsia" w:eastAsiaTheme="majorEastAsia"/>
          <w:b/>
          <w:bCs/>
          <w:color w:val="auto"/>
          <w:szCs w:val="22"/>
          <w:highlight w:val="none"/>
        </w:rPr>
        <w:t>一、</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说明</w:t>
      </w:r>
      <w:bookmarkEnd w:id="6"/>
    </w:p>
    <w:p w14:paraId="2DF9C34F">
      <w:pPr>
        <w:tabs>
          <w:tab w:val="left" w:pos="540"/>
          <w:tab w:val="left" w:pos="90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 </w:t>
      </w:r>
      <w:r>
        <w:rPr>
          <w:rFonts w:hint="eastAsia" w:ascii="新宋体" w:hAnsi="新宋体" w:cs="新宋体"/>
          <w:color w:val="auto"/>
          <w:szCs w:val="22"/>
          <w:highlight w:val="none"/>
        </w:rPr>
        <w:t>本次招标是参照《中华人民共和国政府采购法》、《政府采购货物和服务招标投标管理办法》和《关于进一步规范政府采购活动的若干意见》等法律及有关法规组织和实施的</w:t>
      </w:r>
      <w:r>
        <w:rPr>
          <w:rFonts w:hint="eastAsia" w:cs="新宋体" w:asciiTheme="majorEastAsia" w:hAnsiTheme="majorEastAsia" w:eastAsiaTheme="majorEastAsia"/>
          <w:color w:val="auto"/>
          <w:szCs w:val="22"/>
          <w:highlight w:val="none"/>
        </w:rPr>
        <w:t>。</w:t>
      </w:r>
    </w:p>
    <w:p w14:paraId="3105DD56">
      <w:pPr>
        <w:tabs>
          <w:tab w:val="left" w:pos="540"/>
          <w:tab w:val="left" w:pos="900"/>
        </w:tabs>
        <w:spacing w:line="460" w:lineRule="exact"/>
        <w:ind w:right="-202" w:firstLine="426" w:firstLineChars="193"/>
        <w:rPr>
          <w:rFonts w:cs="新宋体" w:asciiTheme="majorEastAsia" w:hAnsiTheme="majorEastAsia" w:eastAsiaTheme="majorEastAsia"/>
          <w:b/>
          <w:color w:val="auto"/>
          <w:szCs w:val="22"/>
          <w:highlight w:val="none"/>
        </w:rPr>
      </w:pPr>
      <w:r>
        <w:rPr>
          <w:rFonts w:hint="eastAsia" w:cs="新宋体" w:asciiTheme="majorEastAsia" w:hAnsiTheme="majorEastAsia" w:eastAsiaTheme="majorEastAsia"/>
          <w:b/>
          <w:color w:val="auto"/>
          <w:szCs w:val="22"/>
          <w:highlight w:val="none"/>
        </w:rPr>
        <w:t>2. 合格</w:t>
      </w:r>
      <w:r>
        <w:rPr>
          <w:rFonts w:hint="eastAsia" w:cs="新宋体" w:asciiTheme="majorEastAsia" w:hAnsiTheme="majorEastAsia" w:eastAsiaTheme="majorEastAsia"/>
          <w:b/>
          <w:color w:val="auto"/>
          <w:szCs w:val="22"/>
          <w:highlight w:val="none"/>
          <w:lang w:eastAsia="zh-CN"/>
        </w:rPr>
        <w:t>供应商</w:t>
      </w:r>
      <w:r>
        <w:rPr>
          <w:rFonts w:hint="eastAsia" w:cs="新宋体" w:asciiTheme="majorEastAsia" w:hAnsiTheme="majorEastAsia" w:eastAsiaTheme="majorEastAsia"/>
          <w:b/>
          <w:color w:val="auto"/>
          <w:szCs w:val="22"/>
          <w:highlight w:val="none"/>
        </w:rPr>
        <w:t>要求以招标公告对</w:t>
      </w:r>
      <w:r>
        <w:rPr>
          <w:rFonts w:hint="eastAsia" w:cs="新宋体" w:asciiTheme="majorEastAsia" w:hAnsiTheme="majorEastAsia" w:eastAsiaTheme="majorEastAsia"/>
          <w:b/>
          <w:color w:val="auto"/>
          <w:szCs w:val="22"/>
          <w:highlight w:val="none"/>
          <w:lang w:eastAsia="zh-CN"/>
        </w:rPr>
        <w:t>供应商</w:t>
      </w:r>
      <w:r>
        <w:rPr>
          <w:rFonts w:hint="eastAsia" w:cs="新宋体" w:asciiTheme="majorEastAsia" w:hAnsiTheme="majorEastAsia" w:eastAsiaTheme="majorEastAsia"/>
          <w:b/>
          <w:color w:val="auto"/>
          <w:szCs w:val="22"/>
          <w:highlight w:val="none"/>
        </w:rPr>
        <w:t>资格条件要求的表述为准。</w:t>
      </w:r>
    </w:p>
    <w:p w14:paraId="0389EC59">
      <w:pPr>
        <w:tabs>
          <w:tab w:val="left" w:pos="540"/>
          <w:tab w:val="left" w:pos="90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3.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w:t>
      </w:r>
    </w:p>
    <w:p w14:paraId="67F1A39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指全权代表</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参加投标活动并签署投标文件的人。如果</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代表不是法定代表人，须持有《法定代表人授权书》。</w:t>
      </w:r>
    </w:p>
    <w:p w14:paraId="70D2E7A0">
      <w:pPr>
        <w:tabs>
          <w:tab w:val="left" w:pos="540"/>
          <w:tab w:val="left" w:pos="90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 投标费用</w:t>
      </w:r>
    </w:p>
    <w:p w14:paraId="198AD54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应承担所有与准备和参加投标有关费用，不论投标的结果如何，采购人和招标代理机构均无义务和责任承担这些费用。</w:t>
      </w:r>
    </w:p>
    <w:p w14:paraId="1D0E001E">
      <w:pPr>
        <w:spacing w:before="100" w:beforeAutospacing="1" w:after="100" w:afterAutospacing="1" w:line="440" w:lineRule="exact"/>
        <w:ind w:right="-202"/>
        <w:jc w:val="center"/>
        <w:outlineLvl w:val="0"/>
        <w:rPr>
          <w:rFonts w:cs="hakuyoxingshu7000" w:asciiTheme="majorEastAsia" w:hAnsiTheme="majorEastAsia" w:eastAsiaTheme="majorEastAsia"/>
          <w:b/>
          <w:bCs/>
          <w:color w:val="auto"/>
          <w:szCs w:val="22"/>
          <w:highlight w:val="none"/>
        </w:rPr>
      </w:pPr>
      <w:bookmarkStart w:id="7" w:name="_Toc78294249"/>
      <w:r>
        <w:rPr>
          <w:rFonts w:hint="eastAsia" w:cs="hakuyoxingshu7000" w:asciiTheme="majorEastAsia" w:hAnsiTheme="majorEastAsia" w:eastAsiaTheme="majorEastAsia"/>
          <w:b/>
          <w:bCs/>
          <w:color w:val="auto"/>
          <w:szCs w:val="22"/>
          <w:highlight w:val="none"/>
        </w:rPr>
        <w:t>二、</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采购文件</w:t>
      </w:r>
      <w:bookmarkEnd w:id="7"/>
    </w:p>
    <w:p w14:paraId="17875AC1">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 采购文件由采购文件目录所列内容及相关资料组成。</w:t>
      </w:r>
    </w:p>
    <w:p w14:paraId="49611888">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6. 采购文件的澄清</w:t>
      </w:r>
    </w:p>
    <w:p w14:paraId="7B02069C">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供应商对采购文件如有疑点或未尽事宜要求澄清，或认为有必要进行说明或交流，供应商可以在知道或应知其权益受到损害之日起七个工作日内，以书面形式（包括信函、传真、下同）向采购人提出质疑，但质疑不得迟于投标截止时间前使采购人收到，采购人将用书面形式予以答复。如有必要，可将不说明问题来源的答复发给各有关</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或召开答疑会。如果标书答疑期内未收到有关疑问，视为供应商完全同意采购文件所有条款，且对于采购文件相关表述以及未尽事宜如有争议，以采购人解释为准。</w:t>
      </w:r>
    </w:p>
    <w:p w14:paraId="723EDF6E">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 采购文件的修改</w:t>
      </w:r>
    </w:p>
    <w:p w14:paraId="56146E9F">
      <w:pPr>
        <w:tabs>
          <w:tab w:val="left" w:pos="36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7.1 在投标截止期十五天前，采购人无论是出于何种原因，均可对采购文件用补充文件的方式进行修改，并发布更正公告。该澄清和修改的内容为采购文件的组成部分。采购人可以视采购具体情况在采购文件要求提交截止时间前，作出延长投标截止时间和开标时间的决定，并发布变更公告。</w:t>
      </w:r>
    </w:p>
    <w:p w14:paraId="15B86A49">
      <w:pPr>
        <w:tabs>
          <w:tab w:val="left" w:pos="360"/>
          <w:tab w:val="left" w:pos="747"/>
        </w:tabs>
        <w:autoSpaceDE w:val="0"/>
        <w:autoSpaceDN w:val="0"/>
        <w:adjustRightInd w:val="0"/>
        <w:spacing w:line="460" w:lineRule="atLeast"/>
        <w:ind w:right="-202" w:firstLine="424" w:firstLineChars="193"/>
        <w:rPr>
          <w:rFonts w:cs="新宋体" w:asciiTheme="majorEastAsia" w:hAnsiTheme="majorEastAsia" w:eastAsiaTheme="majorEastAsia"/>
          <w:bCs/>
          <w:color w:val="auto"/>
          <w:szCs w:val="22"/>
          <w:highlight w:val="none"/>
        </w:rPr>
      </w:pPr>
      <w:r>
        <w:rPr>
          <w:rFonts w:hint="eastAsia" w:cs="新宋体" w:asciiTheme="majorEastAsia" w:hAnsiTheme="majorEastAsia" w:eastAsiaTheme="majorEastAsia"/>
          <w:bCs/>
          <w:color w:val="auto"/>
          <w:szCs w:val="22"/>
          <w:highlight w:val="none"/>
        </w:rPr>
        <w:t>7.2采购文件如有补充更正均见</w:t>
      </w:r>
      <w:r>
        <w:rPr>
          <w:rFonts w:hint="eastAsia" w:cs="新宋体" w:asciiTheme="majorEastAsia" w:hAnsiTheme="majorEastAsia" w:eastAsiaTheme="majorEastAsia"/>
          <w:snapToGrid w:val="0"/>
          <w:color w:val="auto"/>
          <w:szCs w:val="22"/>
          <w:highlight w:val="none"/>
        </w:rPr>
        <w:t>浙江政府采购网</w:t>
      </w:r>
      <w:r>
        <w:rPr>
          <w:rFonts w:hint="eastAsia" w:cs="新宋体" w:asciiTheme="majorEastAsia" w:hAnsiTheme="majorEastAsia" w:eastAsiaTheme="majorEastAsia"/>
          <w:bCs/>
          <w:color w:val="auto"/>
          <w:szCs w:val="22"/>
          <w:highlight w:val="none"/>
        </w:rPr>
        <w:t>。</w:t>
      </w:r>
      <w:r>
        <w:rPr>
          <w:rFonts w:hint="eastAsia" w:cs="新宋体" w:asciiTheme="majorEastAsia" w:hAnsiTheme="majorEastAsia" w:eastAsiaTheme="majorEastAsia"/>
          <w:bCs/>
          <w:color w:val="auto"/>
          <w:szCs w:val="22"/>
          <w:highlight w:val="none"/>
          <w:lang w:eastAsia="zh-CN"/>
        </w:rPr>
        <w:t>供应商</w:t>
      </w:r>
      <w:r>
        <w:rPr>
          <w:rFonts w:hint="eastAsia" w:cs="新宋体" w:asciiTheme="majorEastAsia" w:hAnsiTheme="majorEastAsia" w:eastAsiaTheme="majorEastAsia"/>
          <w:bCs/>
          <w:color w:val="auto"/>
          <w:szCs w:val="22"/>
          <w:highlight w:val="none"/>
        </w:rPr>
        <w:t>须在开标前一日自行查看是否有补充更正文件，并按补充更正文件要求投标，否则责任自负。</w:t>
      </w:r>
    </w:p>
    <w:p w14:paraId="572D8A8D">
      <w:pPr>
        <w:spacing w:before="100" w:beforeAutospacing="1" w:after="100" w:afterAutospacing="1" w:line="440" w:lineRule="exact"/>
        <w:ind w:right="-202"/>
        <w:jc w:val="center"/>
        <w:outlineLvl w:val="0"/>
        <w:rPr>
          <w:rFonts w:cs="hakuyoxingshu7000" w:asciiTheme="majorEastAsia" w:hAnsiTheme="majorEastAsia" w:eastAsiaTheme="majorEastAsia"/>
          <w:b/>
          <w:bCs/>
          <w:color w:val="auto"/>
          <w:szCs w:val="22"/>
          <w:highlight w:val="none"/>
        </w:rPr>
      </w:pPr>
      <w:bookmarkStart w:id="8" w:name="_Toc78294250"/>
      <w:r>
        <w:rPr>
          <w:rFonts w:hint="eastAsia" w:cs="hakuyoxingshu7000" w:asciiTheme="majorEastAsia" w:hAnsiTheme="majorEastAsia" w:eastAsiaTheme="majorEastAsia"/>
          <w:b/>
          <w:bCs/>
          <w:color w:val="auto"/>
          <w:szCs w:val="22"/>
          <w:highlight w:val="none"/>
        </w:rPr>
        <w:t>三、</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投标文件的编制</w:t>
      </w:r>
      <w:bookmarkEnd w:id="8"/>
    </w:p>
    <w:p w14:paraId="04E0C75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8.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应认真阅读采购文件中所有事项格式、条款和技术规范等。</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没有按照采购文件要求提交全部资料，或者没有对采购文件各个方面做出实质性响应，导致投标被拒绝的风险由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自行承担。</w:t>
      </w:r>
    </w:p>
    <w:p w14:paraId="707A739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9.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法律责任</w:t>
      </w:r>
    </w:p>
    <w:p w14:paraId="3422762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应保证所提供文件资料的真实性，所有文件资料必须是针对本次投标的。如发现</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提供了虚假文件资料，其投标将被否决，并自行承担相应的法律责任。</w:t>
      </w:r>
    </w:p>
    <w:p w14:paraId="37C1D854">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10. 投标文件的构成：</w:t>
      </w:r>
    </w:p>
    <w:p w14:paraId="2C2DADC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10.1 投标文件包括资格审查资料、技术资信标、商务报价标三部分</w:t>
      </w:r>
      <w:r>
        <w:rPr>
          <w:rFonts w:hint="eastAsia" w:cs="新宋体" w:asciiTheme="majorEastAsia" w:hAnsiTheme="majorEastAsia" w:eastAsiaTheme="majorEastAsia"/>
          <w:color w:val="auto"/>
          <w:szCs w:val="22"/>
          <w:highlight w:val="none"/>
          <w:lang w:eastAsia="zh-CN"/>
        </w:rPr>
        <w:t>（</w:t>
      </w:r>
      <w:r>
        <w:rPr>
          <w:rFonts w:hint="eastAsia" w:cs="新宋体" w:asciiTheme="majorEastAsia" w:hAnsiTheme="majorEastAsia" w:eastAsiaTheme="majorEastAsia"/>
          <w:color w:val="auto"/>
          <w:szCs w:val="22"/>
          <w:highlight w:val="none"/>
          <w:lang w:val="en-US" w:eastAsia="zh-CN"/>
        </w:rPr>
        <w:t>标段1-2通用</w:t>
      </w:r>
      <w:r>
        <w:rPr>
          <w:rFonts w:hint="eastAsia" w:cs="新宋体" w:asciiTheme="majorEastAsia" w:hAnsiTheme="majorEastAsia" w:eastAsiaTheme="majorEastAsia"/>
          <w:color w:val="auto"/>
          <w:szCs w:val="22"/>
          <w:highlight w:val="none"/>
          <w:lang w:eastAsia="zh-CN"/>
        </w:rPr>
        <w:t>）</w:t>
      </w:r>
      <w:r>
        <w:rPr>
          <w:rFonts w:hint="eastAsia" w:cs="新宋体" w:asciiTheme="majorEastAsia" w:hAnsiTheme="majorEastAsia" w:eastAsiaTheme="majorEastAsia"/>
          <w:color w:val="auto"/>
          <w:szCs w:val="22"/>
          <w:highlight w:val="none"/>
        </w:rPr>
        <w:t>。</w:t>
      </w:r>
    </w:p>
    <w:p w14:paraId="521FA4FA">
      <w:pPr>
        <w:spacing w:line="460" w:lineRule="exact"/>
        <w:ind w:right="-202" w:firstLine="426" w:firstLineChars="193"/>
        <w:rPr>
          <w:rFonts w:cs="新宋体" w:asciiTheme="majorEastAsia" w:hAnsiTheme="majorEastAsia" w:eastAsiaTheme="majorEastAsia"/>
          <w:b/>
          <w:color w:val="auto"/>
          <w:szCs w:val="22"/>
          <w:highlight w:val="none"/>
        </w:rPr>
      </w:pPr>
      <w:bookmarkStart w:id="9" w:name="_Toc221356886"/>
      <w:r>
        <w:rPr>
          <w:rFonts w:hint="eastAsia" w:cs="新宋体" w:asciiTheme="majorEastAsia" w:hAnsiTheme="majorEastAsia" w:eastAsiaTheme="majorEastAsia"/>
          <w:b/>
          <w:color w:val="auto"/>
          <w:szCs w:val="22"/>
          <w:highlight w:val="none"/>
        </w:rPr>
        <w:t>10.1.1 投标文件资格审查资料须包括下列部分：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0A8E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14:paraId="7E57EB50">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noWrap w:val="0"/>
            <w:vAlign w:val="center"/>
          </w:tcPr>
          <w:p w14:paraId="22048D48">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35F7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4ECCEDE0">
            <w:pPr>
              <w:overflowPunct w:val="0"/>
              <w:spacing w:line="430" w:lineRule="exact"/>
              <w:jc w:val="center"/>
              <w:rPr>
                <w:rFonts w:hint="eastAsia" w:ascii="新宋体" w:hAnsi="新宋体" w:eastAsia="新宋体" w:cs="新宋体"/>
                <w:bCs/>
                <w:color w:val="auto"/>
                <w:sz w:val="22"/>
                <w:szCs w:val="22"/>
                <w:highlight w:val="none"/>
              </w:rPr>
            </w:pPr>
            <w:bookmarkStart w:id="10"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77650B3B">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6C12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6B032FE8">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2A96A66C">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营业执照(或事业法人登记证书或其它工商等登记证明材料)。</w:t>
            </w:r>
          </w:p>
        </w:tc>
      </w:tr>
      <w:tr w14:paraId="7397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101269A3">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2096C">
            <w:pPr>
              <w:rPr>
                <w:rFonts w:hint="eastAsia" w:ascii="宋体" w:hAnsi="宋体" w:eastAsia="新宋体" w:cs="宋体"/>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7527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0FC5604">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C9380">
            <w:pPr>
              <w:rPr>
                <w:rFonts w:hint="eastAsia" w:ascii="宋体" w:hAnsi="宋体" w:eastAsia="新宋体" w:cs="宋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10"/>
    </w:tbl>
    <w:p w14:paraId="6730982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备注：</w:t>
      </w:r>
    </w:p>
    <w:p w14:paraId="579335D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以上所需的各种证书、证件、证明、执照若系复印件，须在复印件上加盖</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有效的公章。</w:t>
      </w:r>
    </w:p>
    <w:p w14:paraId="0DA90E3D">
      <w:pPr>
        <w:spacing w:line="460" w:lineRule="exact"/>
        <w:ind w:right="-202" w:firstLine="426" w:firstLineChars="193"/>
        <w:rPr>
          <w:rFonts w:cs="新宋体" w:asciiTheme="majorEastAsia" w:hAnsiTheme="majorEastAsia" w:eastAsiaTheme="majorEastAsia"/>
          <w:b/>
          <w:color w:val="auto"/>
          <w:szCs w:val="22"/>
          <w:highlight w:val="none"/>
        </w:rPr>
      </w:pPr>
      <w:r>
        <w:rPr>
          <w:rFonts w:hint="eastAsia" w:cs="新宋体" w:asciiTheme="majorEastAsia" w:hAnsiTheme="majorEastAsia" w:eastAsiaTheme="majorEastAsia"/>
          <w:b/>
          <w:color w:val="auto"/>
          <w:szCs w:val="22"/>
          <w:highlight w:val="none"/>
        </w:rPr>
        <w:t>10.1.2 投标文件技术资信标应包括下列部分：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091"/>
      </w:tblGrid>
      <w:tr w14:paraId="5179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6EA0B97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091" w:type="dxa"/>
            <w:noWrap w:val="0"/>
            <w:vAlign w:val="center"/>
          </w:tcPr>
          <w:p w14:paraId="0047E55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704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017EB99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91" w:type="dxa"/>
            <w:noWrap w:val="0"/>
            <w:vAlign w:val="center"/>
          </w:tcPr>
          <w:p w14:paraId="7DCF8ED5">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7BE7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07396A4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091" w:type="dxa"/>
            <w:noWrap w:val="0"/>
            <w:vAlign w:val="center"/>
          </w:tcPr>
          <w:p w14:paraId="594EEDA0">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要求应答表</w:t>
            </w:r>
            <w:r>
              <w:rPr>
                <w:rFonts w:hint="eastAsia" w:ascii="新宋体" w:hAnsi="新宋体" w:eastAsia="新宋体" w:cs="新宋体"/>
                <w:color w:val="auto"/>
                <w:sz w:val="22"/>
                <w:szCs w:val="22"/>
                <w:highlight w:val="none"/>
              </w:rPr>
              <w:t>、商务条款偏离表</w:t>
            </w:r>
          </w:p>
        </w:tc>
      </w:tr>
      <w:tr w14:paraId="7A09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12EFA24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091" w:type="dxa"/>
            <w:noWrap w:val="0"/>
            <w:vAlign w:val="center"/>
          </w:tcPr>
          <w:p w14:paraId="5C0A9F6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设备供货范围详细清单、随机附件及备品备件、专用工具一览表、供业主选购的设备及备品备件一览表</w:t>
            </w:r>
          </w:p>
        </w:tc>
      </w:tr>
      <w:tr w14:paraId="7972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215F3C4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091" w:type="dxa"/>
            <w:noWrap w:val="0"/>
            <w:vAlign w:val="center"/>
          </w:tcPr>
          <w:p w14:paraId="0696F6D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设备的主要技术、结构、性能、特点和质量水平的详细描述</w:t>
            </w:r>
          </w:p>
        </w:tc>
      </w:tr>
      <w:tr w14:paraId="665A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23CF96B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091" w:type="dxa"/>
            <w:noWrap w:val="0"/>
            <w:vAlign w:val="center"/>
          </w:tcPr>
          <w:p w14:paraId="1758FBA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设备及系统的</w:t>
            </w:r>
            <w:r>
              <w:rPr>
                <w:rFonts w:hint="eastAsia" w:ascii="新宋体" w:hAnsi="新宋体" w:eastAsia="新宋体" w:cs="新宋体"/>
                <w:color w:val="auto"/>
                <w:sz w:val="22"/>
                <w:szCs w:val="22"/>
                <w:highlight w:val="none"/>
                <w:lang w:val="en-US" w:eastAsia="zh-CN"/>
              </w:rPr>
              <w:t>供货</w:t>
            </w:r>
            <w:r>
              <w:rPr>
                <w:rFonts w:hint="eastAsia" w:ascii="新宋体" w:hAnsi="新宋体" w:eastAsia="新宋体" w:cs="新宋体"/>
                <w:color w:val="auto"/>
                <w:sz w:val="22"/>
                <w:szCs w:val="22"/>
                <w:highlight w:val="none"/>
              </w:rPr>
              <w:t>安装实施方案、验收标准和验收方法的详细介绍</w:t>
            </w:r>
          </w:p>
        </w:tc>
      </w:tr>
      <w:tr w14:paraId="6C62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52B0B80D">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9091" w:type="dxa"/>
            <w:noWrap w:val="0"/>
            <w:vAlign w:val="center"/>
          </w:tcPr>
          <w:p w14:paraId="603AF78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年</w:t>
            </w:r>
            <w:r>
              <w:rPr>
                <w:rFonts w:hint="eastAsia" w:ascii="新宋体" w:hAnsi="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月1日</w:t>
            </w:r>
            <w:r>
              <w:rPr>
                <w:rFonts w:hint="eastAsia" w:ascii="新宋体" w:hAnsi="新宋体" w:eastAsia="新宋体" w:cs="新宋体"/>
                <w:color w:val="auto"/>
                <w:sz w:val="22"/>
                <w:szCs w:val="22"/>
                <w:highlight w:val="none"/>
              </w:rPr>
              <w:t>至今</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eastAsia="zh-CN"/>
              </w:rPr>
              <w:t>产品</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p>
        </w:tc>
      </w:tr>
      <w:tr w14:paraId="4BA3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41679A29">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9091" w:type="dxa"/>
            <w:noWrap w:val="0"/>
            <w:vAlign w:val="center"/>
          </w:tcPr>
          <w:p w14:paraId="0DC137D4">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售后服务详细的计划方案说明与承诺、产品的质量保证期，故障响应修复时间方式及保障措施，质保期外服务收费内容、产品配件价格清单及保证措施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操作培训方案等</w:t>
            </w:r>
          </w:p>
        </w:tc>
      </w:tr>
      <w:tr w14:paraId="5425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0BCCFA17">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9091" w:type="dxa"/>
            <w:noWrap w:val="0"/>
            <w:vAlign w:val="center"/>
          </w:tcPr>
          <w:p w14:paraId="2C2F948A">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rPr>
              <w:t>响应文件页码，格式自拟</w:t>
            </w:r>
          </w:p>
        </w:tc>
      </w:tr>
    </w:tbl>
    <w:p w14:paraId="4E0F8488">
      <w:pPr>
        <w:spacing w:line="430" w:lineRule="exact"/>
        <w:ind w:left="-202" w:right="-202" w:firstLine="552"/>
        <w:rPr>
          <w:rFonts w:asciiTheme="majorEastAsia" w:hAnsiTheme="majorEastAsia" w:eastAsiaTheme="majorEastAsia"/>
          <w:b/>
          <w:color w:val="auto"/>
          <w:szCs w:val="22"/>
          <w:highlight w:val="none"/>
        </w:rPr>
      </w:pPr>
      <w:r>
        <w:rPr>
          <w:rFonts w:hint="eastAsia" w:asciiTheme="majorEastAsia" w:hAnsiTheme="majorEastAsia" w:eastAsiaTheme="majorEastAsia"/>
          <w:b/>
          <w:color w:val="auto"/>
          <w:szCs w:val="22"/>
          <w:highlight w:val="none"/>
        </w:rPr>
        <w:t>备注：</w:t>
      </w:r>
    </w:p>
    <w:p w14:paraId="7843B07F">
      <w:pPr>
        <w:numPr>
          <w:ilvl w:val="0"/>
          <w:numId w:val="6"/>
        </w:numPr>
        <w:spacing w:line="43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投标文件中应承诺：</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所提供的技术资料的所有权归采购人所有。如若发生第三方侵权事件，其侵权责任与采购人及采购代理机构无关，由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承担全部责任。侵权造成的所有相关费用，均由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支付，保证不伤害采购人的利益。</w:t>
      </w:r>
    </w:p>
    <w:p w14:paraId="01A80D0E">
      <w:pPr>
        <w:numPr>
          <w:ilvl w:val="0"/>
          <w:numId w:val="6"/>
        </w:numPr>
        <w:spacing w:line="43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以上所需的各种证书、证件、证明等若系复印件，须在复印件上加盖</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有效的公章。</w:t>
      </w:r>
    </w:p>
    <w:p w14:paraId="798C1CD2">
      <w:pPr>
        <w:tabs>
          <w:tab w:val="left" w:pos="5355"/>
        </w:tabs>
        <w:spacing w:line="430" w:lineRule="exact"/>
        <w:ind w:left="-202" w:right="-202" w:firstLine="552"/>
        <w:rPr>
          <w:rFonts w:cs="新宋体" w:asciiTheme="majorEastAsia" w:hAnsiTheme="majorEastAsia" w:eastAsiaTheme="majorEastAsia"/>
          <w:b/>
          <w:bCs/>
          <w:color w:val="auto"/>
          <w:szCs w:val="22"/>
          <w:highlight w:val="none"/>
        </w:rPr>
      </w:pPr>
      <w:r>
        <w:rPr>
          <w:rFonts w:hint="eastAsia" w:asciiTheme="majorEastAsia" w:hAnsiTheme="majorEastAsia" w:eastAsiaTheme="majorEastAsia"/>
          <w:b/>
          <w:bCs/>
          <w:color w:val="auto"/>
          <w:szCs w:val="22"/>
          <w:highlight w:val="none"/>
        </w:rPr>
        <w:t xml:space="preserve">10.1.3 </w:t>
      </w:r>
      <w:r>
        <w:rPr>
          <w:rFonts w:hint="eastAsia" w:cs="新宋体" w:asciiTheme="majorEastAsia" w:hAnsiTheme="majorEastAsia" w:eastAsiaTheme="majorEastAsia"/>
          <w:b/>
          <w:bCs/>
          <w:color w:val="auto"/>
          <w:szCs w:val="22"/>
          <w:highlight w:val="none"/>
        </w:rPr>
        <w:t>投标文件商务报价标应包括下列部分：</w:t>
      </w:r>
    </w:p>
    <w:tbl>
      <w:tblPr>
        <w:tblStyle w:val="29"/>
        <w:tblW w:w="9854" w:type="dxa"/>
        <w:tblInd w:w="0" w:type="dxa"/>
        <w:tblLayout w:type="fixed"/>
        <w:tblCellMar>
          <w:top w:w="0" w:type="dxa"/>
          <w:left w:w="108" w:type="dxa"/>
          <w:bottom w:w="0" w:type="dxa"/>
          <w:right w:w="108" w:type="dxa"/>
        </w:tblCellMar>
      </w:tblPr>
      <w:tblGrid>
        <w:gridCol w:w="966"/>
        <w:gridCol w:w="8888"/>
      </w:tblGrid>
      <w:tr w14:paraId="58224E0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0ACAAB">
            <w:pPr>
              <w:autoSpaceDE w:val="0"/>
              <w:autoSpaceDN w:val="0"/>
              <w:adjustRightInd w:val="0"/>
              <w:spacing w:line="430" w:lineRule="atLeast"/>
              <w:ind w:right="-202"/>
              <w:jc w:val="center"/>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3BDF4C">
            <w:pPr>
              <w:autoSpaceDE w:val="0"/>
              <w:autoSpaceDN w:val="0"/>
              <w:adjustRightInd w:val="0"/>
              <w:spacing w:line="430" w:lineRule="atLeast"/>
              <w:ind w:left="-202" w:right="-202" w:firstLine="550"/>
              <w:jc w:val="center"/>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内容</w:t>
            </w:r>
          </w:p>
        </w:tc>
      </w:tr>
      <w:tr w14:paraId="6A516CF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9B96F0">
            <w:pPr>
              <w:autoSpaceDE w:val="0"/>
              <w:autoSpaceDN w:val="0"/>
              <w:adjustRightInd w:val="0"/>
              <w:spacing w:line="430" w:lineRule="atLeast"/>
              <w:ind w:right="-202"/>
              <w:jc w:val="center"/>
              <w:rPr>
                <w:rFonts w:cs="宋体" w:asciiTheme="majorEastAsia" w:hAnsiTheme="majorEastAsia" w:eastAsiaTheme="majorEastAsia"/>
                <w:color w:val="auto"/>
                <w:kern w:val="0"/>
                <w:szCs w:val="22"/>
                <w:highlight w:val="none"/>
                <w:lang w:val="zh-CN"/>
              </w:rPr>
            </w:pPr>
            <w:r>
              <w:rPr>
                <w:rFonts w:hint="eastAsia" w:cs="宋体" w:asciiTheme="majorEastAsia" w:hAnsiTheme="majorEastAsia" w:eastAsiaTheme="majorEastAsia"/>
                <w:color w:val="auto"/>
                <w:kern w:val="0"/>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EA83F4">
            <w:pPr>
              <w:autoSpaceDE w:val="0"/>
              <w:autoSpaceDN w:val="0"/>
              <w:adjustRightInd w:val="0"/>
              <w:spacing w:line="430" w:lineRule="atLeast"/>
              <w:ind w:right="-202"/>
              <w:jc w:val="left"/>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开标一览表</w:t>
            </w:r>
          </w:p>
        </w:tc>
      </w:tr>
      <w:tr w14:paraId="171088A2">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ABA7D7">
            <w:pPr>
              <w:autoSpaceDE w:val="0"/>
              <w:autoSpaceDN w:val="0"/>
              <w:adjustRightInd w:val="0"/>
              <w:spacing w:line="430" w:lineRule="atLeast"/>
              <w:ind w:right="-202"/>
              <w:jc w:val="center"/>
              <w:rPr>
                <w:rFonts w:cs="宋体" w:asciiTheme="majorEastAsia" w:hAnsiTheme="majorEastAsia" w:eastAsiaTheme="majorEastAsia"/>
                <w:color w:val="auto"/>
                <w:kern w:val="0"/>
                <w:szCs w:val="22"/>
                <w:highlight w:val="none"/>
                <w:lang w:val="zh-CN"/>
              </w:rPr>
            </w:pPr>
            <w:r>
              <w:rPr>
                <w:rFonts w:hint="eastAsia" w:cs="宋体" w:asciiTheme="majorEastAsia" w:hAnsiTheme="majorEastAsia" w:eastAsiaTheme="majorEastAsia"/>
                <w:color w:val="auto"/>
                <w:kern w:val="0"/>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7ECFB4">
            <w:pPr>
              <w:autoSpaceDE w:val="0"/>
              <w:autoSpaceDN w:val="0"/>
              <w:adjustRightInd w:val="0"/>
              <w:spacing w:line="430" w:lineRule="atLeast"/>
              <w:ind w:right="-202"/>
              <w:jc w:val="left"/>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分项报价表</w:t>
            </w:r>
          </w:p>
        </w:tc>
      </w:tr>
      <w:bookmarkEnd w:id="9"/>
    </w:tbl>
    <w:p w14:paraId="5F8AE61F">
      <w:pPr>
        <w:tabs>
          <w:tab w:val="left" w:pos="360"/>
        </w:tabs>
        <w:autoSpaceDE w:val="0"/>
        <w:autoSpaceDN w:val="0"/>
        <w:adjustRightInd w:val="0"/>
        <w:spacing w:line="460" w:lineRule="atLeast"/>
        <w:ind w:left="-202" w:right="-202" w:firstLine="552"/>
        <w:rPr>
          <w:rFonts w:cs="新宋体" w:asciiTheme="majorEastAsia" w:hAnsiTheme="majorEastAsia" w:eastAsiaTheme="majorEastAsia"/>
          <w:b/>
          <w:bCs/>
          <w:color w:val="auto"/>
          <w:kern w:val="0"/>
          <w:szCs w:val="22"/>
          <w:highlight w:val="none"/>
          <w:lang w:val="zh-CN"/>
        </w:rPr>
      </w:pPr>
      <w:r>
        <w:rPr>
          <w:rFonts w:cs="新宋体" w:asciiTheme="majorEastAsia" w:hAnsiTheme="majorEastAsia" w:eastAsiaTheme="majorEastAsia"/>
          <w:b/>
          <w:bCs/>
          <w:color w:val="auto"/>
          <w:kern w:val="0"/>
          <w:szCs w:val="22"/>
          <w:highlight w:val="none"/>
          <w:lang w:val="zh-CN"/>
        </w:rPr>
        <w:t xml:space="preserve">10.2 </w:t>
      </w:r>
      <w:r>
        <w:rPr>
          <w:rFonts w:hint="eastAsia" w:cs="新宋体" w:asciiTheme="majorEastAsia" w:hAnsiTheme="majorEastAsia" w:eastAsiaTheme="majorEastAsia"/>
          <w:b/>
          <w:bCs/>
          <w:color w:val="auto"/>
          <w:kern w:val="0"/>
          <w:szCs w:val="22"/>
          <w:highlight w:val="none"/>
          <w:lang w:val="zh-CN"/>
        </w:rPr>
        <w:t>投标文件格式</w:t>
      </w:r>
    </w:p>
    <w:p w14:paraId="1DF3D029">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应根据采购文件中所提供的格式，内容按顺序填写并装订成册，不允许活页夹；</w:t>
      </w:r>
    </w:p>
    <w:p w14:paraId="416EA8DD">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投标文件表述内容应简练，尽可能以双面打印（复印）制作</w:t>
      </w:r>
      <w:r>
        <w:rPr>
          <w:rFonts w:hint="eastAsia" w:cs="新宋体" w:asciiTheme="majorEastAsia" w:hAnsiTheme="majorEastAsia" w:eastAsiaTheme="majorEastAsia"/>
          <w:color w:val="auto"/>
          <w:highlight w:val="none"/>
          <w:lang w:eastAsia="zh-CN"/>
        </w:rPr>
        <w:t>，</w:t>
      </w:r>
      <w:r>
        <w:rPr>
          <w:rFonts w:hint="eastAsia" w:cs="新宋体" w:asciiTheme="majorEastAsia" w:hAnsiTheme="majorEastAsia" w:eastAsiaTheme="majorEastAsia"/>
          <w:color w:val="auto"/>
          <w:highlight w:val="none"/>
        </w:rPr>
        <w:t>应有目录以及页码，以便评委检索</w:t>
      </w:r>
    </w:p>
    <w:p w14:paraId="3D5D4BE2">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不同标段投标文件应分别制作编制、装订、密封。</w:t>
      </w:r>
    </w:p>
    <w:p w14:paraId="163AB66B">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资格审查资料、技术资信标与商务报价标分别</w:t>
      </w:r>
      <w:r>
        <w:rPr>
          <w:rFonts w:hint="eastAsia" w:cs="新宋体" w:asciiTheme="majorEastAsia" w:hAnsiTheme="majorEastAsia" w:eastAsiaTheme="majorEastAsia"/>
          <w:color w:val="auto"/>
          <w:highlight w:val="none"/>
          <w:lang w:val="en-US" w:eastAsia="zh-CN"/>
        </w:rPr>
        <w:t>装订成册</w:t>
      </w:r>
      <w:r>
        <w:rPr>
          <w:rFonts w:hint="eastAsia" w:cs="新宋体" w:asciiTheme="majorEastAsia" w:hAnsiTheme="majorEastAsia" w:eastAsiaTheme="majorEastAsia"/>
          <w:color w:val="auto"/>
          <w:highlight w:val="none"/>
        </w:rPr>
        <w:t>包装于各自标函袋中，标函袋不做统一要求；</w:t>
      </w:r>
    </w:p>
    <w:p w14:paraId="20B5A601">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证书、证件、证明等原件，属备查项目，并非强制性要求。</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若提交原件资料，可将原件单独包封，与投标文件一同向采购代理机构递交。评标主要依据</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投标文件中加盖有效公章的证书/证明文件复印件，如评标委员会对复印件有异议的，可向</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要求提供原件，若</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届时未能提供原件佐证的，则承担相应评分项不得分的风险。</w:t>
      </w:r>
    </w:p>
    <w:p w14:paraId="70BD6EA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 投标报价</w:t>
      </w:r>
    </w:p>
    <w:p w14:paraId="23BF19BC">
      <w:pPr>
        <w:spacing w:line="360" w:lineRule="auto"/>
        <w:ind w:firstLine="440" w:firstLineChars="200"/>
        <w:rPr>
          <w:rFonts w:hint="eastAsia" w:eastAsia="宋体" w:cs="新宋体" w:asciiTheme="majorEastAsia" w:hAnsiTheme="majorEastAsia"/>
          <w:color w:val="auto"/>
          <w:szCs w:val="22"/>
          <w:highlight w:val="none"/>
          <w:lang w:eastAsia="zh-CN"/>
        </w:rPr>
      </w:pPr>
      <w:r>
        <w:rPr>
          <w:rFonts w:hint="eastAsia" w:cs="新宋体" w:asciiTheme="majorEastAsia" w:hAnsiTheme="majorEastAsia" w:eastAsiaTheme="majorEastAsia"/>
          <w:color w:val="auto"/>
          <w:szCs w:val="22"/>
          <w:highlight w:val="none"/>
        </w:rPr>
        <w:t>11.1</w:t>
      </w:r>
      <w:r>
        <w:rPr>
          <w:rFonts w:hint="eastAsia" w:ascii="新宋体" w:hAnsi="新宋体" w:cs="宋体"/>
          <w:b w:val="0"/>
          <w:bCs/>
          <w:color w:val="auto"/>
          <w:szCs w:val="22"/>
          <w:highlight w:val="none"/>
        </w:rPr>
        <w:t>本项目</w:t>
      </w:r>
      <w:r>
        <w:rPr>
          <w:rFonts w:hint="eastAsia" w:ascii="新宋体" w:hAnsi="新宋体" w:cs="宋体"/>
          <w:b w:val="0"/>
          <w:bCs/>
          <w:color w:val="auto"/>
          <w:kern w:val="0"/>
          <w:szCs w:val="22"/>
          <w:highlight w:val="none"/>
          <w:lang w:val="zh-CN"/>
        </w:rPr>
        <w:t>投标报价</w:t>
      </w:r>
      <w:r>
        <w:rPr>
          <w:rFonts w:hint="eastAsia" w:ascii="宋体" w:hAnsi="宋体" w:eastAsia="宋体" w:cs="楷体"/>
          <w:b w:val="0"/>
          <w:bCs/>
          <w:color w:val="auto"/>
          <w:sz w:val="22"/>
          <w:szCs w:val="22"/>
          <w:highlight w:val="none"/>
          <w:u w:val="none"/>
        </w:rPr>
        <w:t>是指供应商在正确地完全履行合同义务后采购人应支付给</w:t>
      </w:r>
      <w:r>
        <w:rPr>
          <w:rFonts w:hint="eastAsia" w:ascii="宋体" w:hAnsi="宋体" w:eastAsia="宋体" w:cs="楷体"/>
          <w:b w:val="0"/>
          <w:bCs/>
          <w:color w:val="auto"/>
          <w:sz w:val="22"/>
          <w:szCs w:val="22"/>
          <w:highlight w:val="none"/>
          <w:u w:val="none"/>
          <w:lang w:val="en-US" w:eastAsia="zh-CN"/>
        </w:rPr>
        <w:t>供应商</w:t>
      </w:r>
      <w:r>
        <w:rPr>
          <w:rFonts w:hint="eastAsia" w:ascii="宋体" w:hAnsi="宋体" w:eastAsia="宋体" w:cs="楷体"/>
          <w:b w:val="0"/>
          <w:bCs/>
          <w:color w:val="auto"/>
          <w:sz w:val="22"/>
          <w:szCs w:val="22"/>
          <w:highlight w:val="none"/>
          <w:u w:val="none"/>
        </w:rPr>
        <w:t>所有的货物以及服务价款，即应包括</w:t>
      </w:r>
      <w:r>
        <w:rPr>
          <w:rFonts w:hint="eastAsia" w:ascii="宋体" w:hAnsi="宋体" w:eastAsia="宋体" w:cs="宋体"/>
          <w:b w:val="0"/>
          <w:bCs/>
          <w:color w:val="auto"/>
          <w:sz w:val="22"/>
          <w:szCs w:val="22"/>
          <w:highlight w:val="none"/>
          <w:u w:val="none"/>
        </w:rPr>
        <w:t>货物</w:t>
      </w:r>
      <w:r>
        <w:rPr>
          <w:rFonts w:hint="eastAsia" w:ascii="宋体" w:hAnsi="宋体" w:eastAsia="宋体" w:cs="宋体"/>
          <w:b w:val="0"/>
          <w:bCs/>
          <w:color w:val="auto"/>
          <w:sz w:val="22"/>
          <w:szCs w:val="22"/>
          <w:highlight w:val="none"/>
          <w:u w:val="none"/>
          <w:lang w:val="en-US" w:eastAsia="zh-CN"/>
        </w:rPr>
        <w:t>供货</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rPr>
        <w:t>安装、调试、保修等验收合格之前和质保期内的售后服务一切税金和费用</w:t>
      </w:r>
      <w:r>
        <w:rPr>
          <w:rFonts w:hint="eastAsia" w:ascii="宋体" w:hAnsi="宋体" w:eastAsia="宋体" w:cs="楷体"/>
          <w:b w:val="0"/>
          <w:bCs/>
          <w:color w:val="auto"/>
          <w:sz w:val="22"/>
          <w:szCs w:val="22"/>
          <w:highlight w:val="none"/>
          <w:u w:val="none"/>
        </w:rPr>
        <w:t>，实行固定费用总包干。</w:t>
      </w:r>
      <w:r>
        <w:rPr>
          <w:rFonts w:hint="eastAsia" w:ascii="宋体" w:hAnsi="宋体" w:eastAsia="宋体" w:cs="楷体"/>
          <w:b w:val="0"/>
          <w:bCs/>
          <w:color w:val="auto"/>
          <w:sz w:val="22"/>
          <w:szCs w:val="22"/>
          <w:highlight w:val="none"/>
          <w:u w:val="none"/>
          <w:lang w:eastAsia="zh-CN"/>
        </w:rPr>
        <w:t>供应商</w:t>
      </w:r>
      <w:r>
        <w:rPr>
          <w:rFonts w:hint="eastAsia" w:ascii="宋体" w:hAnsi="宋体" w:eastAsia="宋体" w:cs="楷体"/>
          <w:b w:val="0"/>
          <w:bCs/>
          <w:color w:val="auto"/>
          <w:sz w:val="22"/>
          <w:szCs w:val="22"/>
          <w:highlight w:val="none"/>
          <w:u w:val="none"/>
        </w:rPr>
        <w:t>应根据上述因素自行考虑含入投标总价</w:t>
      </w:r>
      <w:r>
        <w:rPr>
          <w:rFonts w:hint="eastAsia" w:ascii="宋体" w:hAnsi="宋体" w:eastAsia="宋体" w:cs="楷体"/>
          <w:b w:val="0"/>
          <w:bCs/>
          <w:color w:val="auto"/>
          <w:sz w:val="22"/>
          <w:szCs w:val="22"/>
          <w:highlight w:val="none"/>
          <w:u w:val="none"/>
          <w:lang w:eastAsia="zh-CN"/>
        </w:rPr>
        <w:t>。</w:t>
      </w:r>
    </w:p>
    <w:p w14:paraId="0D9D914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11.2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必须按第四部分附件的开标一览表（统一格式）、投标分项报价表（统一格式）的内容填写单价、合价及其他事项，并由法定代表人或被授权人签署。填写报价表格时，各项费用应如实填写。</w:t>
      </w:r>
    </w:p>
    <w:p w14:paraId="1177BB2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11.3 所有投标均以人民币报价。</w:t>
      </w:r>
    </w:p>
    <w:p w14:paraId="7A983B3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11.4 采购人不接受任何选择报价，对每一项服务只允许一个报价。</w:t>
      </w:r>
    </w:p>
    <w:p w14:paraId="336DC80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11.5 采购人要求分类报价是为了方便评标，但在任何情况下不限制采购人以其认为最合适的条款、条件签订合同的权利。</w:t>
      </w:r>
    </w:p>
    <w:p w14:paraId="3E0F9D2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11.6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对在合同执行中，除上述费用及采购文件规定的由中标供应商负责的工作范围以外需要采购人协调或提供便利的工作应当在投标文件中说明。</w:t>
      </w:r>
    </w:p>
    <w:p w14:paraId="6E685EA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11.7 最低报价不能作为中标的保证。</w:t>
      </w:r>
    </w:p>
    <w:p w14:paraId="236D6A64">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12.如发生下列情况之一，将上报监管部门追究其相关责任：</w:t>
      </w:r>
    </w:p>
    <w:p w14:paraId="28A71EF1">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在采购文件规定的投标有效期内撤回投标；</w:t>
      </w:r>
    </w:p>
    <w:p w14:paraId="174D1236">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中标供应商未按中标通知书中规定的时间与采购人签订合同；</w:t>
      </w:r>
    </w:p>
    <w:p w14:paraId="54FA1AC1">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在采购文件中提供虚假信息，经评标委员会确认属实的。</w:t>
      </w:r>
    </w:p>
    <w:p w14:paraId="2E9E49C2">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经采购监督管理部门审查认定</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有违反有关法律法规的行为。</w:t>
      </w:r>
    </w:p>
    <w:p w14:paraId="1C3B436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 投标有效期</w:t>
      </w:r>
    </w:p>
    <w:p w14:paraId="576445B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13.1 自开标之日起 90天内投标应保持有效。投标有效期短于这个规定期限的投标将视为非响应性投标而予以拒绝。</w:t>
      </w:r>
    </w:p>
    <w:p w14:paraId="2D5BEB8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13.2 特殊情况下，在原投标有效期截止前，采购人可与</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协商延长投标有效期，这种要求和答复均以书面形式进行。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可拒绝接受延期要求。同意延长投标有效期的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不得修改投标文件。</w:t>
      </w:r>
    </w:p>
    <w:p w14:paraId="7F77197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 投标文件的签署和规定</w:t>
      </w:r>
    </w:p>
    <w:p w14:paraId="6A24A8C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14.1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提供资格审查资料、技术资信标、商务报价标各一式五份的投标文件，分别装订成册。其中正本一份、副本四份，每套投标文件的封面应清楚标明“正本”或“副本”字样，若“正本”与“副本”不符，以“正本”为准。</w:t>
      </w:r>
    </w:p>
    <w:p w14:paraId="3F86B47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14.2 投标文件的正本必须打印或用不褪色的墨水书写，并由法定代表人或被授权人签署，副本可用正本的复印。</w:t>
      </w:r>
    </w:p>
    <w:p w14:paraId="2752B0E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14.3 投标文件如有修改和增删必须由法定代表人或被授权人在修改和增删处旁签署或盖章，方才有效。</w:t>
      </w:r>
    </w:p>
    <w:p w14:paraId="67C2653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14.4 投标文件字迹模糊或在关键的技术、商务条款上表述不清楚，将可能导致其投标被拒绝。</w:t>
      </w:r>
    </w:p>
    <w:p w14:paraId="278BCC0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15. 投标文件的密封及标记</w:t>
      </w:r>
    </w:p>
    <w:p w14:paraId="25A6835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15.1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必须将投标文件的“技术资信标”、“商务报价标”、“资格审查资料”分别</w:t>
      </w:r>
      <w:r>
        <w:rPr>
          <w:rFonts w:hint="eastAsia" w:cs="新宋体" w:asciiTheme="majorEastAsia" w:hAnsiTheme="majorEastAsia" w:eastAsiaTheme="majorEastAsia"/>
          <w:color w:val="auto"/>
          <w:szCs w:val="22"/>
          <w:highlight w:val="none"/>
          <w:lang w:val="en-US" w:eastAsia="zh-CN"/>
        </w:rPr>
        <w:t>装订成册</w:t>
      </w:r>
      <w:r>
        <w:rPr>
          <w:rFonts w:hint="eastAsia" w:cs="新宋体" w:asciiTheme="majorEastAsia" w:hAnsiTheme="majorEastAsia" w:eastAsiaTheme="majorEastAsia"/>
          <w:color w:val="auto"/>
          <w:szCs w:val="22"/>
          <w:highlight w:val="none"/>
        </w:rPr>
        <w:t>单独密封，且在各自的密封袋上标明“技术资信标”、“商务报价标”、“资格审查资料” 字样。封口处贴上封条，启封处加盖投标单位公章并由法定代表人或被授权人签字。封皮上写明投标项目名称、</w:t>
      </w:r>
      <w:r>
        <w:rPr>
          <w:rFonts w:hint="eastAsia" w:cs="新宋体" w:asciiTheme="majorEastAsia" w:hAnsiTheme="majorEastAsia" w:eastAsiaTheme="majorEastAsia"/>
          <w:color w:val="auto"/>
          <w:szCs w:val="22"/>
          <w:highlight w:val="none"/>
          <w:lang w:eastAsia="zh-CN"/>
        </w:rPr>
        <w:t>项目编号</w:t>
      </w:r>
      <w:r>
        <w:rPr>
          <w:rFonts w:hint="eastAsia" w:cs="新宋体" w:asciiTheme="majorEastAsia" w:hAnsiTheme="majorEastAsia" w:eastAsiaTheme="majorEastAsia"/>
          <w:color w:val="auto"/>
          <w:szCs w:val="22"/>
          <w:highlight w:val="none"/>
        </w:rPr>
        <w:t>、并注明“开标时启封”字样。</w:t>
      </w:r>
    </w:p>
    <w:p w14:paraId="286F755C">
      <w:pPr>
        <w:spacing w:line="460" w:lineRule="exact"/>
        <w:ind w:right="-202" w:firstLine="424" w:firstLineChars="193"/>
        <w:rPr>
          <w:rFonts w:hint="eastAsia" w:cs="新宋体" w:asciiTheme="majorEastAsia" w:hAnsiTheme="majorEastAsia" w:eastAsiaTheme="majorEastAsia"/>
          <w:b/>
          <w:bCs/>
          <w:color w:val="auto"/>
          <w:szCs w:val="22"/>
          <w:highlight w:val="none"/>
          <w:u w:val="single"/>
        </w:rPr>
      </w:pPr>
      <w:r>
        <w:rPr>
          <w:rFonts w:hint="eastAsia" w:cs="新宋体" w:asciiTheme="majorEastAsia" w:hAnsiTheme="majorEastAsia" w:eastAsiaTheme="majorEastAsia"/>
          <w:color w:val="auto"/>
          <w:szCs w:val="22"/>
          <w:highlight w:val="none"/>
        </w:rPr>
        <w:t>15.2 ▲</w:t>
      </w:r>
      <w:r>
        <w:rPr>
          <w:rFonts w:hint="eastAsia" w:cs="新宋体" w:asciiTheme="majorEastAsia" w:hAnsiTheme="majorEastAsia" w:eastAsiaTheme="majorEastAsia"/>
          <w:b/>
          <w:bCs/>
          <w:color w:val="auto"/>
          <w:szCs w:val="22"/>
          <w:highlight w:val="none"/>
          <w:u w:val="single"/>
        </w:rPr>
        <w:t>不同标段投标文件应分别制作编制、装订、密封。</w:t>
      </w:r>
    </w:p>
    <w:p w14:paraId="2DE452A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b w:val="0"/>
          <w:bCs/>
          <w:color w:val="auto"/>
          <w:szCs w:val="22"/>
          <w:highlight w:val="none"/>
          <w:u w:val="none"/>
          <w:lang w:val="en-US" w:eastAsia="zh-CN"/>
        </w:rPr>
        <w:t xml:space="preserve">15.3 </w:t>
      </w:r>
      <w:r>
        <w:rPr>
          <w:rFonts w:hint="eastAsia" w:cs="新宋体" w:asciiTheme="majorEastAsia" w:hAnsiTheme="majorEastAsia" w:eastAsiaTheme="majorEastAsia"/>
          <w:b/>
          <w:color w:val="auto"/>
          <w:szCs w:val="22"/>
          <w:highlight w:val="none"/>
          <w:u w:val="single"/>
        </w:rPr>
        <w:t>▲如果</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未按上述要求密封及加写标记，导致投标文件被拒绝接受的责任自负</w:t>
      </w:r>
      <w:r>
        <w:rPr>
          <w:rFonts w:hint="eastAsia" w:cs="新宋体" w:asciiTheme="majorEastAsia" w:hAnsiTheme="majorEastAsia" w:eastAsiaTheme="majorEastAsia"/>
          <w:color w:val="auto"/>
          <w:szCs w:val="22"/>
          <w:highlight w:val="none"/>
        </w:rPr>
        <w:t>。</w:t>
      </w:r>
    </w:p>
    <w:p w14:paraId="71B343F0">
      <w:pPr>
        <w:spacing w:before="100" w:beforeAutospacing="1" w:after="100" w:afterAutospacing="1" w:line="440" w:lineRule="exact"/>
        <w:ind w:left="-202" w:right="-202" w:firstLine="552"/>
        <w:jc w:val="center"/>
        <w:outlineLvl w:val="0"/>
        <w:rPr>
          <w:rFonts w:cs="hakuyoxingshu7000" w:asciiTheme="majorEastAsia" w:hAnsiTheme="majorEastAsia" w:eastAsiaTheme="majorEastAsia"/>
          <w:b/>
          <w:bCs/>
          <w:color w:val="auto"/>
          <w:szCs w:val="22"/>
          <w:highlight w:val="none"/>
        </w:rPr>
      </w:pPr>
      <w:bookmarkStart w:id="11" w:name="_Toc78294251"/>
      <w:r>
        <w:rPr>
          <w:rFonts w:hint="eastAsia" w:cs="hakuyoxingshu7000" w:asciiTheme="majorEastAsia" w:hAnsiTheme="majorEastAsia" w:eastAsiaTheme="majorEastAsia"/>
          <w:b/>
          <w:bCs/>
          <w:color w:val="auto"/>
          <w:szCs w:val="22"/>
          <w:highlight w:val="none"/>
        </w:rPr>
        <w:t>四、</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投标文件的递交</w:t>
      </w:r>
      <w:bookmarkEnd w:id="11"/>
    </w:p>
    <w:p w14:paraId="395F039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 投标文件的递交</w:t>
      </w:r>
    </w:p>
    <w:p w14:paraId="2CBBB36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16.1投标文件应在规定的投标截止时间前送达到指定的收标地点；</w:t>
      </w:r>
    </w:p>
    <w:p w14:paraId="0060FD3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16.2</w:t>
      </w:r>
      <w:r>
        <w:rPr>
          <w:rFonts w:hint="eastAsia" w:cs="新宋体" w:asciiTheme="majorEastAsia" w:hAnsiTheme="majorEastAsia" w:eastAsiaTheme="majorEastAsia"/>
          <w:b/>
          <w:color w:val="auto"/>
          <w:szCs w:val="22"/>
          <w:highlight w:val="none"/>
          <w:u w:val="single"/>
        </w:rPr>
        <w:t>在递交投标文件同时递交以下证明文件，由采购人或招标代理机构在开启投标文件技术资信标后确认投标资格</w:t>
      </w:r>
      <w:r>
        <w:rPr>
          <w:rFonts w:hint="eastAsia" w:cs="新宋体" w:asciiTheme="majorEastAsia" w:hAnsiTheme="majorEastAsia" w:eastAsiaTheme="majorEastAsia"/>
          <w:color w:val="auto"/>
          <w:szCs w:val="22"/>
          <w:highlight w:val="none"/>
        </w:rPr>
        <w:t>：</w:t>
      </w:r>
    </w:p>
    <w:p w14:paraId="3872C354">
      <w:pPr>
        <w:pStyle w:val="55"/>
        <w:numPr>
          <w:ilvl w:val="0"/>
          <w:numId w:val="9"/>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法定代表人有效身份证明原件（若</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代表为法定代表人）；</w:t>
      </w:r>
    </w:p>
    <w:p w14:paraId="57902E94">
      <w:pPr>
        <w:pStyle w:val="55"/>
        <w:numPr>
          <w:ilvl w:val="0"/>
          <w:numId w:val="9"/>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法定代表人授权书原件及被授权人有效身份证明原件（若法定代表人在参加投标活动的同时另行委派</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代表，法定代表人授权书原件如密封在投标文件技术资信标中，在技术资信标开启后经采购人或招标代理机构查验符合要求亦为有效）；</w:t>
      </w:r>
    </w:p>
    <w:p w14:paraId="23106F5D">
      <w:pPr>
        <w:pStyle w:val="55"/>
        <w:numPr>
          <w:ilvl w:val="0"/>
          <w:numId w:val="9"/>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企业法人营业执照复印件（加盖公章，如密封在投标文件技术资信标中，在技术资信标开启后经采购人或招标代理机构查验符合要求亦为有效）。</w:t>
      </w:r>
    </w:p>
    <w:p w14:paraId="25C96DF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 投标文件的修改和撤回</w:t>
      </w:r>
    </w:p>
    <w:p w14:paraId="6B725B4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17.1在投标截止时间前，</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可以用书面形式提出修改或撤回其投标并送达到采购人，但不得影响开标活动的正常进行。</w:t>
      </w:r>
    </w:p>
    <w:p w14:paraId="545B1DE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17.2“投标文件修改”或“投标文件撤回通知”都应密封并在密封袋上写明投标项目名称、项目编号、</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名称，并注明“投标文件修改”或“投标文件撤回通知”字样。</w:t>
      </w:r>
    </w:p>
    <w:p w14:paraId="4FCEB7E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17.3从投标截止日期起至投标有效期满这段时间内，</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不得撤回其投标。</w:t>
      </w:r>
    </w:p>
    <w:p w14:paraId="64D7595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 递交投标文件时，需满足以下要求，否则该投标文件予以拒收：</w:t>
      </w:r>
    </w:p>
    <w:p w14:paraId="3DB6F04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18.1在投标截止时间之前递交。</w:t>
      </w:r>
    </w:p>
    <w:p w14:paraId="42B9525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18.2包装与密封符合采购文件要求。</w:t>
      </w:r>
    </w:p>
    <w:p w14:paraId="0FB0C5E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18.3投标文件递交到指定的投标地点。</w:t>
      </w:r>
    </w:p>
    <w:p w14:paraId="75AB56CB">
      <w:pPr>
        <w:spacing w:before="100" w:beforeAutospacing="1" w:after="100" w:afterAutospacing="1" w:line="440" w:lineRule="exact"/>
        <w:ind w:left="-202" w:right="-202" w:firstLine="552"/>
        <w:jc w:val="center"/>
        <w:outlineLvl w:val="0"/>
        <w:rPr>
          <w:rFonts w:cs="hakuyoxingshu7000" w:asciiTheme="majorEastAsia" w:hAnsiTheme="majorEastAsia" w:eastAsiaTheme="majorEastAsia"/>
          <w:b/>
          <w:bCs/>
          <w:color w:val="auto"/>
          <w:szCs w:val="22"/>
          <w:highlight w:val="none"/>
        </w:rPr>
      </w:pPr>
      <w:bookmarkStart w:id="12" w:name="_Toc78294252"/>
      <w:r>
        <w:rPr>
          <w:rFonts w:hint="eastAsia" w:cs="hakuyoxingshu7000" w:asciiTheme="majorEastAsia" w:hAnsiTheme="majorEastAsia" w:eastAsiaTheme="majorEastAsia"/>
          <w:b/>
          <w:bCs/>
          <w:color w:val="auto"/>
          <w:szCs w:val="22"/>
          <w:highlight w:val="none"/>
        </w:rPr>
        <w:t>五、</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开标和评标</w:t>
      </w:r>
      <w:bookmarkEnd w:id="12"/>
    </w:p>
    <w:p w14:paraId="7A66DBD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19. 评标委员会</w:t>
      </w:r>
    </w:p>
    <w:p w14:paraId="639F48A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采购人按照有关法律、法规的规定组建评标委员会，评标委员会成员由采购人代表和有关技术、经济等方面的专家组成，成员人数为5人（含）以上单数。</w:t>
      </w:r>
    </w:p>
    <w:p w14:paraId="2ABEB01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20. 评标过程的保密性</w:t>
      </w:r>
    </w:p>
    <w:p w14:paraId="426F25F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开标后直至向中标人授予合同时止，凡与评审有关的资料均不得向</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及与评标无关人员透露。如果</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在评标过程中试图向采购人和招标代理机构施加影响，其投标将被拒绝。</w:t>
      </w:r>
    </w:p>
    <w:p w14:paraId="117B3A8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 开标、评标</w:t>
      </w:r>
    </w:p>
    <w:p w14:paraId="2D55556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21.1采购人按采购文件规定的时间、地点开启投标文件。开标前，首先检查投标文件的密封情况，确认无误后开启投标文件。</w:t>
      </w:r>
    </w:p>
    <w:p w14:paraId="4CF5849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1）开标时邀请所有</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代表参加，参加开标的代表应准时出席并签名报到以证明其出席。</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代表未参加开标会的，事后不得对开标过程和开标结果提出异议。</w:t>
      </w:r>
    </w:p>
    <w:p w14:paraId="7E4C029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2）开标时，应当由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推选的代表检查投标文件的密封情况；经确认无误后，由采购代理机构工作人员当众拆封，宣布</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名称、投标价格和采购文件规定的需要宣布的其他内容。采购代理机构指定专人作好记录，存档备查。</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代表应对宣读内容及记录结果当场进行校核和签字确认，如有异议应当场提出，否则视为默许同意。</w:t>
      </w:r>
    </w:p>
    <w:p w14:paraId="425878F4">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3）开标结束后，采购人或采购代理机构依法对</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的资格进行审查。审查内容包括但不仅限于随投标文件一同提交的法定代表人授权书（原件）、</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代表有效身份证件（原件）、企业法人营业执照复印件以及投标文件所提交证明材料是否能证明符合本项目对合格</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的实质性要求。通过资格审查视作具备投标资格，审查不合格的投标文件将不进入后续详细评审。</w:t>
      </w:r>
    </w:p>
    <w:p w14:paraId="66A867E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21.2投标文件的初审（符合性检查）。</w:t>
      </w:r>
    </w:p>
    <w:p w14:paraId="756EA17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评标委员会依据采购文件的规定，从投标文件中的有效性、完整性和对采购文件的响应程度进行审查，以确定是否对采购文件的实质性要求作出响应。</w:t>
      </w:r>
    </w:p>
    <w:p w14:paraId="464B170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21.3▲</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存在下列情况之一的，投标无效</w:t>
      </w:r>
      <w:r>
        <w:rPr>
          <w:rFonts w:hint="eastAsia" w:cs="新宋体" w:asciiTheme="majorEastAsia" w:hAnsiTheme="majorEastAsia" w:eastAsiaTheme="majorEastAsia"/>
          <w:color w:val="auto"/>
          <w:szCs w:val="22"/>
          <w:highlight w:val="none"/>
        </w:rPr>
        <w:t>:</w:t>
      </w:r>
    </w:p>
    <w:p w14:paraId="6B73F35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1）投标文件正本未按采购文件要求签署、盖章的；</w:t>
      </w:r>
    </w:p>
    <w:p w14:paraId="1FA47BA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2）不具备采购文件中规定的资格要求的；</w:t>
      </w:r>
    </w:p>
    <w:p w14:paraId="64551C8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3）报价超过采购文件中规定的预算金额或者最高限价的；</w:t>
      </w:r>
    </w:p>
    <w:p w14:paraId="61E4F57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4）投标文件含有采购人不能接受的附加条件的（包括采购文件中明确要求不得偏离的招标要求，存在负偏离的）;</w:t>
      </w:r>
    </w:p>
    <w:p w14:paraId="5798467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递交两份或两份以上内容不同的投标文件，未声明哪一份有效的；</w:t>
      </w:r>
    </w:p>
    <w:p w14:paraId="14B1722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6）对关键条文的偏离、保留或反对，例如关于付款方式、完工期（服务期）、免费质保期、适用法律法规、标准、税费等其他内容；</w:t>
      </w:r>
    </w:p>
    <w:p w14:paraId="1759507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7）存在串标、抬标或弄虚作假情况的；</w:t>
      </w:r>
    </w:p>
    <w:p w14:paraId="7CE3B374">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8）法律、法规和采购文件规定的其他无效情形（或出现重大偏差）。</w:t>
      </w:r>
    </w:p>
    <w:p w14:paraId="6E24D0B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21.4▲</w:t>
      </w:r>
      <w:r>
        <w:rPr>
          <w:rFonts w:hint="eastAsia" w:cs="新宋体" w:asciiTheme="majorEastAsia" w:hAnsiTheme="majorEastAsia" w:eastAsiaTheme="majorEastAsia"/>
          <w:b/>
          <w:color w:val="auto"/>
          <w:szCs w:val="22"/>
          <w:highlight w:val="none"/>
          <w:u w:val="single"/>
        </w:rPr>
        <w:t>评标委员会发现投标文件有下列情形之一的属于重大偏差(评标委员会按少数服从多数原则认定),按照无效投标处理</w:t>
      </w:r>
      <w:r>
        <w:rPr>
          <w:rFonts w:hint="eastAsia" w:cs="新宋体" w:asciiTheme="majorEastAsia" w:hAnsiTheme="majorEastAsia" w:eastAsiaTheme="majorEastAsia"/>
          <w:color w:val="auto"/>
          <w:szCs w:val="22"/>
          <w:highlight w:val="none"/>
        </w:rPr>
        <w:t>：</w:t>
      </w:r>
    </w:p>
    <w:p w14:paraId="5B98FA9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1）未按采购文件要求编制或字迹模糊、辨认不清的投标文件；</w:t>
      </w:r>
    </w:p>
    <w:p w14:paraId="3A36673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2）除21.3条款以外，出现其它明显不符合技术规格、技术标准的要求或不满足采购文件技术规格书中的主要参数的投标文件；</w:t>
      </w:r>
    </w:p>
    <w:p w14:paraId="18483D9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3）除21.3条款以外，出现投标项目数量与采购文件对比出现较大偏差；商务报价明细表计算错误，出现较大差错；</w:t>
      </w:r>
    </w:p>
    <w:p w14:paraId="1C745CE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4）除21.3条款以外，出现其它不符合采购文件中规定的实质性要求的投标文件，是否为偏离实质性要求由评标委员会认定。</w:t>
      </w:r>
    </w:p>
    <w:p w14:paraId="520DF0D9">
      <w:pPr>
        <w:spacing w:line="460" w:lineRule="exact"/>
        <w:ind w:right="-202" w:firstLine="424" w:firstLineChars="193"/>
        <w:rPr>
          <w:rFonts w:cs="新宋体" w:asciiTheme="majorEastAsia" w:hAnsiTheme="majorEastAsia" w:eastAsiaTheme="majorEastAsia"/>
          <w:b/>
          <w:color w:val="auto"/>
          <w:szCs w:val="22"/>
          <w:highlight w:val="none"/>
          <w:u w:val="single"/>
        </w:rPr>
      </w:pPr>
      <w:r>
        <w:rPr>
          <w:rFonts w:hint="eastAsia" w:cs="新宋体" w:asciiTheme="majorEastAsia" w:hAnsiTheme="majorEastAsia" w:eastAsiaTheme="majorEastAsia"/>
          <w:color w:val="auto"/>
          <w:szCs w:val="22"/>
          <w:highlight w:val="none"/>
        </w:rPr>
        <w:t>21.5</w:t>
      </w:r>
      <w:r>
        <w:rPr>
          <w:rFonts w:hint="eastAsia" w:cs="新宋体" w:asciiTheme="majorEastAsia" w:hAnsiTheme="majorEastAsia" w:eastAsiaTheme="majorEastAsia"/>
          <w:b/>
          <w:color w:val="auto"/>
          <w:szCs w:val="22"/>
          <w:highlight w:val="none"/>
          <w:u w:val="single"/>
        </w:rPr>
        <w:t>有下列情形之一的，视为</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串通投标，其投标无效：</w:t>
      </w:r>
    </w:p>
    <w:p w14:paraId="0D58404D">
      <w:pPr>
        <w:numPr>
          <w:ilvl w:val="0"/>
          <w:numId w:val="10"/>
        </w:num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的投标文件由同一单位或者个人编制；</w:t>
      </w:r>
    </w:p>
    <w:p w14:paraId="3417642D">
      <w:pPr>
        <w:numPr>
          <w:ilvl w:val="0"/>
          <w:numId w:val="10"/>
        </w:numPr>
        <w:spacing w:line="460" w:lineRule="exact"/>
        <w:ind w:left="0" w:leftChars="0"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委托同一单位或者个人办理投标事宜；</w:t>
      </w:r>
    </w:p>
    <w:p w14:paraId="64D7FED7">
      <w:pPr>
        <w:numPr>
          <w:ilvl w:val="0"/>
          <w:numId w:val="10"/>
        </w:numPr>
        <w:spacing w:line="460" w:lineRule="exact"/>
        <w:ind w:left="0" w:leftChars="0"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的投标文件载明的项目管理成员或者联系人员为同一人；</w:t>
      </w:r>
    </w:p>
    <w:p w14:paraId="3D46159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的投标文件异常一致或者投标报价呈规律性差异；</w:t>
      </w:r>
    </w:p>
    <w:p w14:paraId="7BB0501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的投标文件相互混装；</w:t>
      </w:r>
    </w:p>
    <w:p w14:paraId="453630B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21.6评标委员会对各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的商务报价进行核查时，若发现投标报价内容不清楚可要求</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书面澄清，计算上的错误，可按下面方法修正：</w:t>
      </w:r>
    </w:p>
    <w:p w14:paraId="7BDAD6F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42F26CEB">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49D981DF">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0016A17B">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7778A01A">
      <w:pPr>
        <w:spacing w:line="460" w:lineRule="exact"/>
        <w:ind w:firstLine="420" w:firstLineChars="190"/>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42B5831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4501774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21.8实质上没有响应采购文件要求的投标将被拒绝，</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不得通过修正或撤消不合要求的偏离或保留从而使其投标成为实质上响应的投标。</w:t>
      </w:r>
    </w:p>
    <w:p w14:paraId="012AB02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21.9▲</w:t>
      </w:r>
      <w:r>
        <w:rPr>
          <w:rFonts w:hint="eastAsia" w:cs="新宋体" w:asciiTheme="majorEastAsia" w:hAnsiTheme="majorEastAsia" w:eastAsiaTheme="majorEastAsia"/>
          <w:b/>
          <w:color w:val="auto"/>
          <w:szCs w:val="22"/>
          <w:highlight w:val="none"/>
          <w:u w:val="single"/>
        </w:rPr>
        <w:t>评标委员会认为</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的报价明显低于其他通过符合性审查</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的报价，有可能影响产品质量或者不能诚信履约的，应当要求其在评标现场合理的时间内提供书面说明，必要时提交相关证明材料；</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不能证明其报价合理性的，评标委员会应当将其作为无效投标处理</w:t>
      </w:r>
      <w:r>
        <w:rPr>
          <w:rFonts w:hint="eastAsia" w:cs="新宋体" w:asciiTheme="majorEastAsia" w:hAnsiTheme="majorEastAsia" w:eastAsiaTheme="majorEastAsia"/>
          <w:color w:val="auto"/>
          <w:szCs w:val="22"/>
          <w:highlight w:val="none"/>
        </w:rPr>
        <w:t>。</w:t>
      </w:r>
    </w:p>
    <w:p w14:paraId="3758B3E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21.10评标委员会对审查合格的投标文件按照采购文件中制订的评标方法进行综合评定打分。</w:t>
      </w:r>
    </w:p>
    <w:p w14:paraId="68FED1A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21.11评标过程中遇到特殊情况，由评标委员会遵循公开、公正原则，采取投票方式按照少数服从多数原则决定。</w:t>
      </w:r>
    </w:p>
    <w:p w14:paraId="1DABDA2B">
      <w:pPr>
        <w:spacing w:line="460" w:lineRule="exact"/>
        <w:ind w:right="-202" w:firstLine="426" w:firstLineChars="193"/>
        <w:rPr>
          <w:rFonts w:cs="新宋体" w:asciiTheme="majorEastAsia" w:hAnsiTheme="majorEastAsia" w:eastAsiaTheme="majorEastAsia"/>
          <w:b/>
          <w:bCs/>
          <w:color w:val="auto"/>
          <w:szCs w:val="22"/>
          <w:highlight w:val="none"/>
        </w:rPr>
      </w:pPr>
      <w:r>
        <w:rPr>
          <w:rFonts w:hint="eastAsia" w:cs="新宋体" w:asciiTheme="majorEastAsia" w:hAnsiTheme="majorEastAsia" w:eastAsiaTheme="majorEastAsia"/>
          <w:b/>
          <w:bCs/>
          <w:color w:val="auto"/>
          <w:szCs w:val="22"/>
          <w:highlight w:val="none"/>
        </w:rPr>
        <w:t>21.12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sz w:val="22"/>
          <w:szCs w:val="22"/>
          <w:highlight w:val="none"/>
          <w:u w:val="single"/>
        </w:rPr>
        <w:t>投标截止时间止及评审期间，</w:t>
      </w:r>
      <w:r>
        <w:rPr>
          <w:rFonts w:hint="eastAsia" w:ascii="新宋体" w:hAnsi="新宋体" w:eastAsia="新宋体" w:cs="新宋体"/>
          <w:b/>
          <w:bCs/>
          <w:color w:val="auto"/>
          <w:sz w:val="22"/>
          <w:szCs w:val="22"/>
          <w:highlight w:val="none"/>
          <w:u w:val="single"/>
          <w:lang w:eastAsia="zh-CN"/>
        </w:rPr>
        <w:t>各标段</w:t>
      </w:r>
      <w:r>
        <w:rPr>
          <w:rFonts w:hint="eastAsia" w:ascii="新宋体" w:hAnsi="新宋体" w:eastAsia="新宋体" w:cs="新宋体"/>
          <w:b/>
          <w:bCs/>
          <w:color w:val="auto"/>
          <w:sz w:val="22"/>
          <w:szCs w:val="22"/>
          <w:highlight w:val="none"/>
          <w:u w:val="single"/>
        </w:rPr>
        <w:t>出现有效</w:t>
      </w:r>
      <w:r>
        <w:rPr>
          <w:rFonts w:hint="eastAsia" w:ascii="新宋体" w:hAnsi="新宋体" w:eastAsia="新宋体" w:cs="新宋体"/>
          <w:b/>
          <w:bCs/>
          <w:color w:val="auto"/>
          <w:sz w:val="22"/>
          <w:szCs w:val="22"/>
          <w:highlight w:val="none"/>
          <w:u w:val="single"/>
          <w:lang w:eastAsia="zh-CN"/>
        </w:rPr>
        <w:t>投标供应商</w:t>
      </w:r>
      <w:r>
        <w:rPr>
          <w:rFonts w:hint="eastAsia" w:ascii="新宋体" w:hAnsi="新宋体" w:eastAsia="新宋体" w:cs="新宋体"/>
          <w:b/>
          <w:bCs/>
          <w:color w:val="auto"/>
          <w:sz w:val="22"/>
          <w:szCs w:val="22"/>
          <w:highlight w:val="none"/>
          <w:u w:val="single"/>
        </w:rPr>
        <w:t>不足3家的，</w:t>
      </w:r>
      <w:r>
        <w:rPr>
          <w:rFonts w:hint="eastAsia" w:ascii="新宋体" w:hAnsi="新宋体" w:eastAsia="新宋体" w:cs="新宋体"/>
          <w:b/>
          <w:bCs/>
          <w:color w:val="auto"/>
          <w:sz w:val="22"/>
          <w:szCs w:val="22"/>
          <w:highlight w:val="none"/>
          <w:u w:val="single"/>
          <w:lang w:eastAsia="zh-CN"/>
        </w:rPr>
        <w:t>则该标段</w:t>
      </w:r>
      <w:r>
        <w:rPr>
          <w:rFonts w:hint="eastAsia" w:ascii="新宋体" w:hAnsi="新宋体" w:eastAsia="新宋体" w:cs="新宋体"/>
          <w:b/>
          <w:bCs/>
          <w:color w:val="auto"/>
          <w:sz w:val="22"/>
          <w:szCs w:val="22"/>
          <w:highlight w:val="none"/>
          <w:u w:val="single"/>
        </w:rPr>
        <w:t>采购按流（废）标处理，重新组织采购。</w:t>
      </w:r>
    </w:p>
    <w:p w14:paraId="6A97F3F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22.投标文件的澄清</w:t>
      </w:r>
    </w:p>
    <w:p w14:paraId="6DFC1E7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22.1在评标期间，评标委员会可以书面方式要求</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对投标文件中含义不明确、对同类问题表述不一致或者有明显文字和计算错误的内容作必要的澄清、说明或补正。澄清、说明或补正应以书面形式并由被授权人签署，但澄清内容不得超出投标文件的范围或者改变投标文件的实质性内容。拒不按要求对其投标文件进行澄清，说明或补正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，评标委员会可以否决其投标。</w:t>
      </w:r>
    </w:p>
    <w:p w14:paraId="24A6EBE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22.2经澄清后，若偏差仍存在，且不可接受，</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则被认为是“没有实质性响应采购文件要求”，其投标不进入下一步评审。</w:t>
      </w:r>
    </w:p>
    <w:p w14:paraId="219E68B8">
      <w:pPr>
        <w:spacing w:line="460" w:lineRule="exact"/>
        <w:ind w:right="-202" w:firstLine="424" w:firstLineChars="193"/>
        <w:rPr>
          <w:rFonts w:hint="eastAsia" w:cs="新宋体" w:asciiTheme="majorEastAsia" w:hAnsiTheme="majorEastAsia" w:eastAsiaTheme="majorEastAsia"/>
          <w:color w:val="auto"/>
          <w:szCs w:val="22"/>
          <w:highlight w:val="none"/>
          <w:lang w:eastAsia="zh-CN"/>
        </w:rPr>
      </w:pPr>
      <w:r>
        <w:rPr>
          <w:rFonts w:hint="eastAsia" w:cs="新宋体" w:asciiTheme="majorEastAsia" w:hAnsiTheme="majorEastAsia" w:eastAsiaTheme="majorEastAsia"/>
          <w:color w:val="auto"/>
          <w:szCs w:val="22"/>
          <w:highlight w:val="none"/>
        </w:rPr>
        <w:t>23.确定</w:t>
      </w:r>
      <w:r>
        <w:rPr>
          <w:rFonts w:hint="eastAsia" w:cs="新宋体" w:asciiTheme="majorEastAsia" w:hAnsiTheme="majorEastAsia" w:eastAsiaTheme="majorEastAsia"/>
          <w:color w:val="auto"/>
          <w:szCs w:val="22"/>
          <w:highlight w:val="none"/>
          <w:lang w:eastAsia="zh-CN"/>
        </w:rPr>
        <w:t>中标候选供应商</w:t>
      </w:r>
    </w:p>
    <w:p w14:paraId="3C549A9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23.1本次招标由评标委员会推荐</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，采购人根据评标委员会的推荐结果进行最终确认。</w:t>
      </w:r>
    </w:p>
    <w:p w14:paraId="4010E64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23.2评标委员会依据法律、法规及采购文件有关规定在有效标中按</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的最终得分（即技术分与商务分之和）高低进行排序，得分前二名的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推荐为</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与</w:t>
      </w:r>
      <w:r>
        <w:rPr>
          <w:rFonts w:hint="eastAsia" w:cs="新宋体" w:asciiTheme="majorEastAsia" w:hAnsiTheme="majorEastAsia" w:eastAsiaTheme="majorEastAsia"/>
          <w:color w:val="auto"/>
          <w:szCs w:val="22"/>
          <w:highlight w:val="none"/>
          <w:lang w:eastAsia="zh-CN"/>
        </w:rPr>
        <w:t>中标备选供应商</w:t>
      </w:r>
      <w:r>
        <w:rPr>
          <w:rFonts w:hint="eastAsia" w:cs="新宋体" w:asciiTheme="majorEastAsia" w:hAnsiTheme="majorEastAsia" w:eastAsiaTheme="majorEastAsia"/>
          <w:color w:val="auto"/>
          <w:szCs w:val="22"/>
          <w:highlight w:val="none"/>
        </w:rPr>
        <w:t>（得分相同投标报价低的排序前位；得分且投标报价相同的并列，投标文件满足采购文件全部实质性要求，且按照评审因素的量化指标评审得分最高的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为</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w:t>
      </w:r>
    </w:p>
    <w:p w14:paraId="73F0B08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23.3若出现以下情形之一，采购人可视具体情况确定是否由</w:t>
      </w:r>
      <w:r>
        <w:rPr>
          <w:rFonts w:hint="eastAsia" w:cs="新宋体" w:asciiTheme="majorEastAsia" w:hAnsiTheme="majorEastAsia" w:eastAsiaTheme="majorEastAsia"/>
          <w:color w:val="auto"/>
          <w:szCs w:val="22"/>
          <w:highlight w:val="none"/>
          <w:lang w:eastAsia="zh-CN"/>
        </w:rPr>
        <w:t>中标备选供应商</w:t>
      </w:r>
      <w:r>
        <w:rPr>
          <w:rFonts w:hint="eastAsia" w:cs="新宋体" w:asciiTheme="majorEastAsia" w:hAnsiTheme="majorEastAsia" w:eastAsiaTheme="majorEastAsia"/>
          <w:color w:val="auto"/>
          <w:szCs w:val="22"/>
          <w:highlight w:val="none"/>
        </w:rPr>
        <w:t>为中标人或重新组织招标：</w:t>
      </w:r>
    </w:p>
    <w:p w14:paraId="3E297FB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放弃中标资格；</w:t>
      </w:r>
    </w:p>
    <w:p w14:paraId="31112F5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因不可抗力提出不能履行合同；</w:t>
      </w:r>
    </w:p>
    <w:p w14:paraId="0E28512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未能在规定时间内与采购单位签订合同；</w:t>
      </w:r>
    </w:p>
    <w:p w14:paraId="38DB463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4）经质疑，采购人审查后，</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确实在本次采购活动中存在违法违规行为或其他原因使质疑成立的。</w:t>
      </w:r>
    </w:p>
    <w:p w14:paraId="3A50D6B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23.4采购人、招标代理机构及评标委员会不向落标的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解释落标原因，也不公布评标过程中的相关细节。</w:t>
      </w:r>
    </w:p>
    <w:p w14:paraId="70CF306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24. 评标细则详见“评标原则及方法”。</w:t>
      </w:r>
    </w:p>
    <w:p w14:paraId="6A863130">
      <w:pPr>
        <w:spacing w:before="100" w:beforeAutospacing="1" w:after="100" w:afterAutospacing="1" w:line="440" w:lineRule="exact"/>
        <w:ind w:left="-6"/>
        <w:jc w:val="center"/>
        <w:outlineLvl w:val="0"/>
        <w:rPr>
          <w:rFonts w:ascii="新宋体" w:hAnsi="新宋体" w:cs="新宋体"/>
          <w:b/>
          <w:bCs/>
          <w:color w:val="auto"/>
          <w:sz w:val="26"/>
          <w:szCs w:val="26"/>
          <w:highlight w:val="none"/>
        </w:rPr>
      </w:pPr>
      <w:bookmarkStart w:id="13" w:name="_Toc78294253"/>
      <w:r>
        <w:rPr>
          <w:rFonts w:hint="eastAsia" w:ascii="新宋体" w:hAnsi="新宋体" w:cs="新宋体"/>
          <w:b/>
          <w:bCs/>
          <w:color w:val="auto"/>
          <w:sz w:val="26"/>
          <w:szCs w:val="26"/>
          <w:highlight w:val="none"/>
        </w:rPr>
        <w:t>六、 授予合同</w:t>
      </w:r>
      <w:bookmarkEnd w:id="13"/>
    </w:p>
    <w:p w14:paraId="6119039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 确定中标人</w:t>
      </w:r>
    </w:p>
    <w:p w14:paraId="59E0E9D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25.1采购人自收到评标报告之日起5个工作日内，在评标报告确定的</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名单中按顺序确定中标人。</w:t>
      </w:r>
    </w:p>
    <w:p w14:paraId="7E21E78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25.2中标人确定之日起2个工作日内，在浙江政府采购网上公示中标结果，中标公告期限为1个工作日。</w:t>
      </w:r>
    </w:p>
    <w:p w14:paraId="1CED234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25.3在公告中标结果的同时，采购人向中标人发出中标通知书。</w:t>
      </w:r>
    </w:p>
    <w:p w14:paraId="3132922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25.4各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对评标结果如有异议，可在中标结果公示之日起7个工作日内以书面形式向采购人进行署名投诉或提出质疑，但需对投诉或质疑内容的真实性承担法律责任。</w:t>
      </w:r>
    </w:p>
    <w:p w14:paraId="30C21E3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 签订合同</w:t>
      </w:r>
    </w:p>
    <w:p w14:paraId="6913935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26.1公示期结束后，中标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须在5个工作日内主动联系采购人或采购机构领取中标通知书。中标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应当在中标通知书发出之日起30日内与采购人签订合同。中标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未经采购人许可，在规定时间内未到采购人处与采购人签订合同，则视为拒签合同。</w:t>
      </w:r>
    </w:p>
    <w:p w14:paraId="0E16A44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26.2采购文件、中标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的投标文件及投标修改文件、评标过程中有关澄清文件及经双方签字的询标纪要（承诺）和中标通知书均作为合同附件。</w:t>
      </w:r>
    </w:p>
    <w:p w14:paraId="25E1AF9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26.3拒签合同的责任</w:t>
      </w:r>
    </w:p>
    <w:p w14:paraId="00323ED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26.4中标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在规定时间内（30日历天）借故否认已经承诺的条件、拒签合同，以投标违约处理，并赔偿采购人由此造成的直接经济损失；采购人重新组织招标的，所需费用由原中标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承担。</w:t>
      </w:r>
    </w:p>
    <w:p w14:paraId="577782A3">
      <w:pPr>
        <w:numPr>
          <w:ilvl w:val="0"/>
          <w:numId w:val="11"/>
        </w:numPr>
        <w:spacing w:line="460" w:lineRule="exact"/>
        <w:ind w:right="-202" w:firstLine="424" w:firstLineChars="193"/>
        <w:rPr>
          <w:rFonts w:hint="eastAsia"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采购代理服务费</w:t>
      </w:r>
      <w:bookmarkStart w:id="14" w:name="_Toc19301"/>
    </w:p>
    <w:p w14:paraId="309B0270">
      <w:pPr>
        <w:numPr>
          <w:ilvl w:val="0"/>
          <w:numId w:val="0"/>
        </w:numPr>
        <w:spacing w:line="460" w:lineRule="exact"/>
        <w:ind w:right="-202" w:rightChars="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27.1采购代理服务费按国家计委计价格【2002】1980号文件规定的</w:t>
      </w:r>
      <w:r>
        <w:rPr>
          <w:rFonts w:hint="eastAsia" w:ascii="新宋体" w:hAnsi="新宋体" w:eastAsia="新宋体" w:cs="新宋体"/>
          <w:color w:val="auto"/>
          <w:sz w:val="22"/>
          <w:szCs w:val="22"/>
          <w:highlight w:val="none"/>
          <w:lang w:val="en-US" w:eastAsia="zh-CN"/>
        </w:rPr>
        <w:t>货物</w:t>
      </w:r>
      <w:r>
        <w:rPr>
          <w:rFonts w:hint="eastAsia" w:ascii="新宋体" w:hAnsi="新宋体" w:eastAsia="新宋体" w:cs="新宋体"/>
          <w:color w:val="auto"/>
          <w:sz w:val="22"/>
          <w:szCs w:val="22"/>
          <w:highlight w:val="none"/>
        </w:rPr>
        <w:t>类收费标准计取，由中标供应商在领取中标通知书时向</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代理机构进行支付，该服务费须综合考虑在投标报价中。</w:t>
      </w:r>
    </w:p>
    <w:p w14:paraId="600853F5">
      <w:pPr>
        <w:tabs>
          <w:tab w:val="left" w:pos="640"/>
        </w:tabs>
        <w:spacing w:line="44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27.2 采购代理服务费可以是现金、支票或汇票。</w:t>
      </w:r>
    </w:p>
    <w:p w14:paraId="2F0DBC74">
      <w:pPr>
        <w:tabs>
          <w:tab w:val="left" w:pos="640"/>
        </w:tabs>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27.3</w:t>
      </w:r>
      <w:r>
        <w:rPr>
          <w:rFonts w:hint="eastAsia" w:ascii="新宋体" w:hAnsi="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户名：温州市智信招标代理有限公司</w:t>
      </w:r>
    </w:p>
    <w:p w14:paraId="6D6FA1D0">
      <w:pPr>
        <w:tabs>
          <w:tab w:val="left" w:pos="640"/>
        </w:tabs>
        <w:spacing w:line="440" w:lineRule="exact"/>
        <w:ind w:firstLine="990" w:firstLineChars="4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 333504140018800009390</w:t>
      </w:r>
    </w:p>
    <w:p w14:paraId="35242F1C">
      <w:pPr>
        <w:tabs>
          <w:tab w:val="left" w:pos="640"/>
        </w:tabs>
        <w:spacing w:line="440" w:lineRule="exact"/>
        <w:ind w:firstLine="990" w:firstLineChars="450"/>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开户行：交通银行温州分行瓯海支行</w:t>
      </w:r>
    </w:p>
    <w:p w14:paraId="716973F1">
      <w:pPr>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br w:type="page"/>
      </w:r>
    </w:p>
    <w:bookmarkEnd w:id="14"/>
    <w:p w14:paraId="62F4E50F">
      <w:pPr>
        <w:pStyle w:val="28"/>
        <w:ind w:right="-202"/>
        <w:rPr>
          <w:rFonts w:asciiTheme="majorEastAsia" w:hAnsiTheme="majorEastAsia"/>
          <w:color w:val="auto"/>
          <w:sz w:val="36"/>
          <w:szCs w:val="36"/>
          <w:highlight w:val="none"/>
        </w:rPr>
      </w:pPr>
      <w:bookmarkStart w:id="15" w:name="_Toc78294254"/>
      <w:r>
        <w:rPr>
          <w:rFonts w:hint="eastAsia" w:asciiTheme="majorEastAsia" w:hAnsiTheme="majorEastAsia"/>
          <w:color w:val="auto"/>
          <w:sz w:val="36"/>
          <w:szCs w:val="36"/>
          <w:highlight w:val="none"/>
        </w:rPr>
        <w:t>第二部分  合同</w:t>
      </w:r>
      <w:r>
        <w:rPr>
          <w:rFonts w:hint="eastAsia" w:asciiTheme="majorEastAsia" w:hAnsiTheme="majorEastAsia"/>
          <w:color w:val="auto"/>
          <w:sz w:val="36"/>
          <w:szCs w:val="36"/>
          <w:highlight w:val="none"/>
          <w:lang w:val="en-US" w:eastAsia="zh-CN"/>
        </w:rPr>
        <w:t>条款及</w:t>
      </w:r>
      <w:r>
        <w:rPr>
          <w:rFonts w:hint="eastAsia" w:asciiTheme="majorEastAsia" w:hAnsiTheme="majorEastAsia"/>
          <w:color w:val="auto"/>
          <w:sz w:val="36"/>
          <w:szCs w:val="36"/>
          <w:highlight w:val="none"/>
        </w:rPr>
        <w:t>格式</w:t>
      </w:r>
      <w:bookmarkEnd w:id="15"/>
    </w:p>
    <w:p w14:paraId="43AD0B4D">
      <w:pPr>
        <w:spacing w:line="1000" w:lineRule="exact"/>
        <w:jc w:val="center"/>
        <w:rPr>
          <w:rFonts w:hint="eastAsia" w:ascii="新宋体" w:hAnsi="新宋体" w:eastAsia="新宋体" w:cs="新宋体"/>
          <w:b/>
          <w:color w:val="auto"/>
          <w:sz w:val="72"/>
          <w:szCs w:val="72"/>
          <w:highlight w:val="none"/>
        </w:rPr>
      </w:pPr>
    </w:p>
    <w:p w14:paraId="30B4A8E5">
      <w:pPr>
        <w:spacing w:line="1000" w:lineRule="exact"/>
        <w:jc w:val="center"/>
        <w:rPr>
          <w:rFonts w:hint="eastAsia" w:ascii="新宋体" w:hAnsi="新宋体" w:eastAsia="新宋体" w:cs="新宋体"/>
          <w:b/>
          <w:color w:val="auto"/>
          <w:sz w:val="40"/>
          <w:szCs w:val="40"/>
          <w:highlight w:val="none"/>
        </w:rPr>
      </w:pPr>
      <w:r>
        <w:rPr>
          <w:rFonts w:hint="eastAsia" w:ascii="新宋体" w:hAnsi="新宋体" w:eastAsia="新宋体" w:cs="新宋体"/>
          <w:b/>
          <w:color w:val="auto"/>
          <w:sz w:val="40"/>
          <w:szCs w:val="40"/>
          <w:highlight w:val="none"/>
        </w:rPr>
        <w:t>（标段一至</w:t>
      </w:r>
      <w:r>
        <w:rPr>
          <w:rFonts w:hint="eastAsia" w:ascii="新宋体" w:hAnsi="新宋体" w:cs="新宋体"/>
          <w:b/>
          <w:color w:val="auto"/>
          <w:sz w:val="40"/>
          <w:szCs w:val="40"/>
          <w:highlight w:val="none"/>
          <w:lang w:val="en-US" w:eastAsia="zh-CN"/>
        </w:rPr>
        <w:t>二</w:t>
      </w:r>
      <w:r>
        <w:rPr>
          <w:rFonts w:hint="eastAsia" w:ascii="新宋体" w:hAnsi="新宋体" w:eastAsia="新宋体" w:cs="新宋体"/>
          <w:b/>
          <w:color w:val="auto"/>
          <w:sz w:val="40"/>
          <w:szCs w:val="40"/>
          <w:highlight w:val="none"/>
        </w:rPr>
        <w:t>通用）</w:t>
      </w:r>
    </w:p>
    <w:p w14:paraId="34C7E9AD">
      <w:pPr>
        <w:spacing w:line="1000" w:lineRule="exact"/>
        <w:jc w:val="center"/>
        <w:rPr>
          <w:rFonts w:hint="eastAsia" w:ascii="新宋体" w:hAnsi="新宋体" w:eastAsia="新宋体" w:cs="新宋体"/>
          <w:b/>
          <w:color w:val="auto"/>
          <w:sz w:val="72"/>
          <w:szCs w:val="72"/>
          <w:highlight w:val="none"/>
        </w:rPr>
      </w:pPr>
      <w:r>
        <w:rPr>
          <w:rFonts w:hint="eastAsia" w:ascii="新宋体" w:hAnsi="新宋体" w:eastAsia="新宋体" w:cs="新宋体"/>
          <w:b/>
          <w:color w:val="auto"/>
          <w:sz w:val="72"/>
          <w:szCs w:val="72"/>
          <w:highlight w:val="none"/>
        </w:rPr>
        <w:t xml:space="preserve"> </w:t>
      </w:r>
      <w:r>
        <w:rPr>
          <w:rFonts w:hint="eastAsia" w:ascii="新宋体" w:hAnsi="新宋体" w:cs="新宋体"/>
          <w:b/>
          <w:color w:val="auto"/>
          <w:sz w:val="72"/>
          <w:szCs w:val="72"/>
          <w:highlight w:val="none"/>
          <w:lang w:val="en-US" w:eastAsia="zh-CN"/>
        </w:rPr>
        <w:t xml:space="preserve">采 购 </w:t>
      </w:r>
      <w:r>
        <w:rPr>
          <w:rFonts w:hint="eastAsia" w:ascii="新宋体" w:hAnsi="新宋体" w:eastAsia="新宋体" w:cs="新宋体"/>
          <w:b/>
          <w:color w:val="auto"/>
          <w:sz w:val="72"/>
          <w:szCs w:val="72"/>
          <w:highlight w:val="none"/>
        </w:rPr>
        <w:t>合 同</w:t>
      </w:r>
    </w:p>
    <w:p w14:paraId="5F7147EE">
      <w:pPr>
        <w:spacing w:line="400" w:lineRule="exact"/>
        <w:rPr>
          <w:rFonts w:hint="eastAsia" w:ascii="新宋体" w:hAnsi="新宋体" w:eastAsia="新宋体" w:cs="新宋体"/>
          <w:b/>
          <w:color w:val="auto"/>
          <w:sz w:val="22"/>
          <w:szCs w:val="22"/>
          <w:highlight w:val="none"/>
        </w:rPr>
      </w:pPr>
    </w:p>
    <w:p w14:paraId="698493C2">
      <w:pPr>
        <w:spacing w:line="400" w:lineRule="exact"/>
        <w:rPr>
          <w:rFonts w:hint="eastAsia" w:ascii="新宋体" w:hAnsi="新宋体" w:eastAsia="新宋体" w:cs="新宋体"/>
          <w:b/>
          <w:color w:val="auto"/>
          <w:sz w:val="22"/>
          <w:szCs w:val="22"/>
          <w:highlight w:val="none"/>
        </w:rPr>
      </w:pPr>
    </w:p>
    <w:p w14:paraId="4FAD078E">
      <w:pPr>
        <w:spacing w:line="400" w:lineRule="exact"/>
        <w:rPr>
          <w:rFonts w:hint="eastAsia" w:ascii="新宋体" w:hAnsi="新宋体" w:eastAsia="新宋体" w:cs="新宋体"/>
          <w:b/>
          <w:color w:val="auto"/>
          <w:sz w:val="22"/>
          <w:szCs w:val="22"/>
          <w:highlight w:val="none"/>
        </w:rPr>
      </w:pPr>
    </w:p>
    <w:p w14:paraId="0927F88A">
      <w:pPr>
        <w:spacing w:line="400" w:lineRule="exact"/>
        <w:rPr>
          <w:rFonts w:hint="eastAsia" w:ascii="新宋体" w:hAnsi="新宋体" w:eastAsia="新宋体" w:cs="新宋体"/>
          <w:b/>
          <w:color w:val="auto"/>
          <w:sz w:val="22"/>
          <w:szCs w:val="22"/>
          <w:highlight w:val="none"/>
        </w:rPr>
      </w:pPr>
    </w:p>
    <w:p w14:paraId="06ECB6EB">
      <w:pPr>
        <w:spacing w:line="600" w:lineRule="exact"/>
        <w:ind w:firstLine="2413" w:firstLineChars="862"/>
        <w:rPr>
          <w:rFonts w:hint="eastAsia" w:ascii="新宋体" w:hAnsi="新宋体" w:eastAsia="新宋体" w:cs="新宋体"/>
          <w:color w:val="auto"/>
          <w:sz w:val="28"/>
          <w:highlight w:val="none"/>
        </w:rPr>
      </w:pPr>
      <w:r>
        <w:rPr>
          <w:rFonts w:hint="eastAsia" w:ascii="新宋体" w:hAnsi="新宋体" w:eastAsia="新宋体" w:cs="新宋体"/>
          <w:color w:val="auto"/>
          <w:sz w:val="28"/>
          <w:highlight w:val="none"/>
        </w:rPr>
        <w:t>项 目 名 称：</w:t>
      </w:r>
      <w:r>
        <w:rPr>
          <w:rFonts w:hint="eastAsia" w:ascii="新宋体" w:hAnsi="新宋体" w:eastAsia="新宋体" w:cs="新宋体"/>
          <w:color w:val="auto"/>
          <w:sz w:val="28"/>
          <w:highlight w:val="none"/>
          <w:u w:val="single"/>
        </w:rPr>
        <w:t xml:space="preserve">                                          </w:t>
      </w:r>
    </w:p>
    <w:p w14:paraId="0F2B8611">
      <w:pPr>
        <w:spacing w:line="600" w:lineRule="exact"/>
        <w:ind w:firstLine="2413" w:firstLineChars="862"/>
        <w:rPr>
          <w:rFonts w:hint="eastAsia" w:ascii="新宋体" w:hAnsi="新宋体" w:eastAsia="新宋体" w:cs="新宋体"/>
          <w:color w:val="auto"/>
          <w:sz w:val="28"/>
          <w:highlight w:val="none"/>
        </w:rPr>
      </w:pPr>
      <w:r>
        <w:rPr>
          <w:rFonts w:hint="eastAsia" w:ascii="新宋体" w:hAnsi="新宋体" w:cs="新宋体"/>
          <w:color w:val="auto"/>
          <w:sz w:val="28"/>
          <w:highlight w:val="none"/>
          <w:lang w:val="en-US" w:eastAsia="zh-CN"/>
        </w:rPr>
        <w:t>项 目 编 号</w:t>
      </w:r>
      <w:r>
        <w:rPr>
          <w:rFonts w:hint="eastAsia" w:ascii="新宋体" w:hAnsi="新宋体" w:eastAsia="新宋体" w:cs="新宋体"/>
          <w:color w:val="auto"/>
          <w:sz w:val="28"/>
          <w:highlight w:val="none"/>
        </w:rPr>
        <w:t>：</w:t>
      </w:r>
      <w:r>
        <w:rPr>
          <w:rFonts w:hint="eastAsia" w:ascii="新宋体" w:hAnsi="新宋体" w:eastAsia="新宋体" w:cs="新宋体"/>
          <w:color w:val="auto"/>
          <w:sz w:val="28"/>
          <w:highlight w:val="none"/>
          <w:u w:val="single"/>
        </w:rPr>
        <w:t xml:space="preserve">                      </w:t>
      </w:r>
    </w:p>
    <w:p w14:paraId="6C9DCF7F">
      <w:pPr>
        <w:spacing w:line="600" w:lineRule="exact"/>
        <w:ind w:firstLine="4373" w:firstLineChars="1562"/>
        <w:rPr>
          <w:rFonts w:hint="eastAsia" w:ascii="新宋体" w:hAnsi="新宋体" w:eastAsia="新宋体" w:cs="新宋体"/>
          <w:color w:val="auto"/>
          <w:sz w:val="28"/>
          <w:highlight w:val="none"/>
        </w:rPr>
      </w:pPr>
      <w:r>
        <w:rPr>
          <w:rFonts w:hint="eastAsia" w:ascii="新宋体" w:hAnsi="新宋体" w:eastAsia="新宋体" w:cs="新宋体"/>
          <w:color w:val="auto"/>
          <w:sz w:val="28"/>
          <w:highlight w:val="none"/>
        </w:rPr>
        <w:t xml:space="preserve"> </w:t>
      </w:r>
    </w:p>
    <w:p w14:paraId="44D627AE">
      <w:pPr>
        <w:spacing w:line="600" w:lineRule="exact"/>
        <w:ind w:firstLine="2413" w:firstLineChars="862"/>
        <w:rPr>
          <w:rFonts w:hint="eastAsia" w:ascii="新宋体" w:hAnsi="新宋体" w:eastAsia="新宋体" w:cs="新宋体"/>
          <w:color w:val="auto"/>
          <w:sz w:val="28"/>
          <w:highlight w:val="none"/>
        </w:rPr>
      </w:pPr>
    </w:p>
    <w:p w14:paraId="596FC6F1">
      <w:pPr>
        <w:spacing w:line="600" w:lineRule="exact"/>
        <w:ind w:firstLine="2413" w:firstLineChars="862"/>
        <w:rPr>
          <w:rFonts w:hint="eastAsia" w:ascii="新宋体" w:hAnsi="新宋体" w:eastAsia="新宋体" w:cs="新宋体"/>
          <w:color w:val="auto"/>
          <w:sz w:val="28"/>
          <w:highlight w:val="none"/>
        </w:rPr>
      </w:pPr>
    </w:p>
    <w:p w14:paraId="62BE0552">
      <w:pPr>
        <w:spacing w:line="600" w:lineRule="exact"/>
        <w:ind w:firstLine="2413" w:firstLineChars="862"/>
        <w:rPr>
          <w:rFonts w:hint="eastAsia" w:ascii="新宋体" w:hAnsi="新宋体" w:eastAsia="新宋体" w:cs="新宋体"/>
          <w:color w:val="auto"/>
          <w:sz w:val="28"/>
          <w:highlight w:val="none"/>
        </w:rPr>
      </w:pPr>
    </w:p>
    <w:p w14:paraId="0CEABD48">
      <w:pPr>
        <w:spacing w:line="600" w:lineRule="exact"/>
        <w:ind w:firstLine="2413" w:firstLineChars="862"/>
        <w:rPr>
          <w:rFonts w:hint="eastAsia" w:ascii="新宋体" w:hAnsi="新宋体" w:eastAsia="新宋体" w:cs="新宋体"/>
          <w:color w:val="auto"/>
          <w:sz w:val="28"/>
          <w:highlight w:val="none"/>
          <w:u w:val="single"/>
        </w:rPr>
      </w:pPr>
      <w:r>
        <w:rPr>
          <w:rFonts w:hint="eastAsia" w:ascii="新宋体" w:hAnsi="新宋体" w:eastAsia="新宋体" w:cs="新宋体"/>
          <w:color w:val="auto"/>
          <w:sz w:val="28"/>
          <w:highlight w:val="none"/>
        </w:rPr>
        <w:t>采 购 单 位：</w:t>
      </w:r>
      <w:r>
        <w:rPr>
          <w:rFonts w:hint="eastAsia" w:ascii="新宋体" w:hAnsi="新宋体" w:eastAsia="新宋体" w:cs="新宋体"/>
          <w:color w:val="auto"/>
          <w:sz w:val="28"/>
          <w:highlight w:val="none"/>
          <w:u w:val="single"/>
        </w:rPr>
        <w:t xml:space="preserve">                       </w:t>
      </w:r>
    </w:p>
    <w:p w14:paraId="1A6CCA8F">
      <w:pPr>
        <w:spacing w:line="600" w:lineRule="exact"/>
        <w:ind w:firstLine="2409" w:firstLineChars="753"/>
        <w:rPr>
          <w:rFonts w:hint="eastAsia" w:ascii="新宋体" w:hAnsi="新宋体" w:eastAsia="新宋体" w:cs="新宋体"/>
          <w:color w:val="auto"/>
          <w:sz w:val="28"/>
          <w:highlight w:val="none"/>
        </w:rPr>
      </w:pPr>
      <w:r>
        <w:rPr>
          <w:rFonts w:hint="eastAsia" w:ascii="新宋体" w:hAnsi="新宋体" w:eastAsia="新宋体" w:cs="新宋体"/>
          <w:color w:val="auto"/>
          <w:spacing w:val="20"/>
          <w:sz w:val="28"/>
          <w:highlight w:val="none"/>
        </w:rPr>
        <w:t>中标供应商</w:t>
      </w:r>
      <w:r>
        <w:rPr>
          <w:rFonts w:hint="eastAsia" w:ascii="新宋体" w:hAnsi="新宋体" w:eastAsia="新宋体" w:cs="新宋体"/>
          <w:color w:val="auto"/>
          <w:sz w:val="28"/>
          <w:highlight w:val="none"/>
        </w:rPr>
        <w:t>：</w:t>
      </w:r>
    </w:p>
    <w:p w14:paraId="071C644B">
      <w:pPr>
        <w:spacing w:line="600" w:lineRule="exact"/>
        <w:ind w:left="735" w:leftChars="334" w:firstLine="1680" w:firstLineChars="6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8"/>
          <w:highlight w:val="none"/>
        </w:rPr>
        <w:t>签  订 日 期：</w:t>
      </w:r>
      <w:r>
        <w:rPr>
          <w:rFonts w:hint="eastAsia" w:ascii="新宋体" w:hAnsi="新宋体" w:eastAsia="新宋体" w:cs="新宋体"/>
          <w:color w:val="auto"/>
          <w:sz w:val="28"/>
          <w:highlight w:val="none"/>
          <w:u w:val="single"/>
        </w:rPr>
        <w:t xml:space="preserve">                      </w:t>
      </w:r>
    </w:p>
    <w:p w14:paraId="2D66EEBE">
      <w:pPr>
        <w:spacing w:line="440" w:lineRule="exact"/>
        <w:ind w:left="550" w:hanging="550" w:hangingChars="250"/>
        <w:rPr>
          <w:rFonts w:hint="eastAsia" w:ascii="新宋体" w:hAnsi="新宋体" w:eastAsia="新宋体" w:cs="新宋体"/>
          <w:color w:val="auto"/>
          <w:sz w:val="22"/>
          <w:szCs w:val="22"/>
          <w:highlight w:val="none"/>
        </w:rPr>
      </w:pPr>
    </w:p>
    <w:p w14:paraId="76E7C854">
      <w:pPr>
        <w:spacing w:line="400" w:lineRule="exact"/>
        <w:rPr>
          <w:rFonts w:hint="eastAsia" w:ascii="新宋体" w:hAnsi="新宋体" w:eastAsia="新宋体" w:cs="新宋体"/>
          <w:b/>
          <w:color w:val="auto"/>
          <w:sz w:val="22"/>
          <w:szCs w:val="22"/>
          <w:highlight w:val="none"/>
        </w:rPr>
      </w:pPr>
    </w:p>
    <w:p w14:paraId="70945176">
      <w:pPr>
        <w:spacing w:line="400" w:lineRule="exact"/>
        <w:rPr>
          <w:rFonts w:hint="eastAsia" w:ascii="新宋体" w:hAnsi="新宋体" w:eastAsia="新宋体" w:cs="新宋体"/>
          <w:b/>
          <w:color w:val="auto"/>
          <w:sz w:val="22"/>
          <w:szCs w:val="22"/>
          <w:highlight w:val="none"/>
        </w:rPr>
      </w:pPr>
    </w:p>
    <w:p w14:paraId="2A1ECE32">
      <w:pPr>
        <w:spacing w:line="400" w:lineRule="exact"/>
        <w:rPr>
          <w:rFonts w:hint="eastAsia" w:ascii="新宋体" w:hAnsi="新宋体" w:eastAsia="新宋体" w:cs="新宋体"/>
          <w:b/>
          <w:color w:val="auto"/>
          <w:sz w:val="22"/>
          <w:szCs w:val="22"/>
          <w:highlight w:val="none"/>
        </w:rPr>
      </w:pPr>
    </w:p>
    <w:p w14:paraId="00169293">
      <w:pPr>
        <w:spacing w:line="400" w:lineRule="exact"/>
        <w:rPr>
          <w:rFonts w:hint="eastAsia" w:ascii="新宋体" w:hAnsi="新宋体" w:eastAsia="新宋体" w:cs="新宋体"/>
          <w:b/>
          <w:color w:val="auto"/>
          <w:sz w:val="22"/>
          <w:szCs w:val="22"/>
          <w:highlight w:val="none"/>
        </w:rPr>
      </w:pPr>
    </w:p>
    <w:p w14:paraId="445ECD32">
      <w:pPr>
        <w:spacing w:line="400" w:lineRule="exact"/>
        <w:rPr>
          <w:rFonts w:hint="eastAsia" w:ascii="新宋体" w:hAnsi="新宋体" w:eastAsia="新宋体" w:cs="新宋体"/>
          <w:b/>
          <w:color w:val="auto"/>
          <w:sz w:val="22"/>
          <w:szCs w:val="22"/>
          <w:highlight w:val="none"/>
        </w:rPr>
      </w:pPr>
    </w:p>
    <w:p w14:paraId="4F5C8CA6">
      <w:pPr>
        <w:spacing w:line="400" w:lineRule="exact"/>
        <w:ind w:firstLine="440" w:firstLineChars="200"/>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val="0"/>
          <w:bCs/>
          <w:color w:val="auto"/>
          <w:sz w:val="22"/>
          <w:szCs w:val="22"/>
          <w:highlight w:val="none"/>
        </w:rPr>
        <w:br w:type="page"/>
      </w:r>
      <w:r>
        <w:rPr>
          <w:rFonts w:hint="eastAsia" w:ascii="新宋体" w:hAnsi="新宋体" w:cs="新宋体"/>
          <w:b w:val="0"/>
          <w:bCs/>
          <w:color w:val="auto"/>
          <w:sz w:val="22"/>
          <w:szCs w:val="22"/>
          <w:highlight w:val="none"/>
          <w:lang w:val="en-US" w:eastAsia="zh-CN"/>
        </w:rPr>
        <w:t>注：</w:t>
      </w:r>
      <w:r>
        <w:rPr>
          <w:rFonts w:hint="eastAsia" w:ascii="新宋体" w:hAnsi="新宋体" w:eastAsia="新宋体" w:cs="新宋体"/>
          <w:b w:val="0"/>
          <w:bCs/>
          <w:color w:val="auto"/>
          <w:sz w:val="22"/>
          <w:szCs w:val="22"/>
          <w:highlight w:val="none"/>
        </w:rPr>
        <w:t>本条款为</w:t>
      </w:r>
      <w:r>
        <w:rPr>
          <w:rFonts w:hint="eastAsia" w:ascii="新宋体" w:hAnsi="新宋体" w:eastAsia="新宋体" w:cs="新宋体"/>
          <w:b w:val="0"/>
          <w:bCs/>
          <w:color w:val="auto"/>
          <w:sz w:val="22"/>
          <w:szCs w:val="22"/>
          <w:highlight w:val="none"/>
          <w:lang w:eastAsia="zh-CN"/>
        </w:rPr>
        <w:t>甲乙</w:t>
      </w:r>
      <w:r>
        <w:rPr>
          <w:rFonts w:hint="eastAsia" w:ascii="新宋体" w:hAnsi="新宋体" w:eastAsia="新宋体" w:cs="新宋体"/>
          <w:b w:val="0"/>
          <w:bCs/>
          <w:color w:val="auto"/>
          <w:sz w:val="22"/>
          <w:szCs w:val="22"/>
          <w:highlight w:val="none"/>
        </w:rPr>
        <w:t>双方必须遵守的基本条款，</w:t>
      </w:r>
      <w:r>
        <w:rPr>
          <w:rFonts w:hint="eastAsia" w:ascii="新宋体" w:hAnsi="新宋体" w:eastAsia="新宋体" w:cs="新宋体"/>
          <w:b w:val="0"/>
          <w:bCs/>
          <w:color w:val="auto"/>
          <w:sz w:val="22"/>
          <w:szCs w:val="22"/>
          <w:highlight w:val="none"/>
          <w:lang w:eastAsia="zh-CN"/>
        </w:rPr>
        <w:t>甲乙</w:t>
      </w:r>
      <w:r>
        <w:rPr>
          <w:rFonts w:hint="eastAsia" w:ascii="新宋体" w:hAnsi="新宋体" w:eastAsia="新宋体" w:cs="新宋体"/>
          <w:b w:val="0"/>
          <w:bCs/>
          <w:color w:val="auto"/>
          <w:sz w:val="22"/>
          <w:szCs w:val="22"/>
          <w:highlight w:val="none"/>
        </w:rPr>
        <w:t>双方也可根据实际情况另签合同条款，正式合同以双方签字盖章的文本为准</w:t>
      </w:r>
      <w:r>
        <w:rPr>
          <w:rFonts w:hint="eastAsia" w:ascii="新宋体" w:hAnsi="新宋体" w:cs="新宋体"/>
          <w:b w:val="0"/>
          <w:bCs/>
          <w:color w:val="auto"/>
          <w:sz w:val="22"/>
          <w:szCs w:val="22"/>
          <w:highlight w:val="none"/>
          <w:lang w:eastAsia="zh-CN"/>
        </w:rPr>
        <w:t>。</w:t>
      </w:r>
    </w:p>
    <w:p w14:paraId="3FBDC0E1">
      <w:pPr>
        <w:adjustRightInd w:val="0"/>
        <w:snapToGrid w:val="0"/>
        <w:spacing w:line="440" w:lineRule="exact"/>
        <w:rPr>
          <w:rFonts w:hint="eastAsia" w:ascii="新宋体" w:hAnsi="新宋体" w:eastAsia="新宋体" w:cs="新宋体"/>
          <w:color w:val="auto"/>
          <w:sz w:val="22"/>
          <w:szCs w:val="22"/>
          <w:highlight w:val="none"/>
        </w:rPr>
      </w:pPr>
    </w:p>
    <w:p w14:paraId="6CFA9887">
      <w:pPr>
        <w:adjustRightInd w:val="0"/>
        <w:snapToGrid w:val="0"/>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cs="新宋体"/>
          <w:color w:val="auto"/>
          <w:sz w:val="22"/>
          <w:szCs w:val="22"/>
          <w:highlight w:val="none"/>
          <w:lang w:eastAsia="zh-CN"/>
        </w:rPr>
        <w:t>（</w:t>
      </w:r>
      <w:r>
        <w:rPr>
          <w:rFonts w:hint="eastAsia" w:ascii="新宋体" w:hAnsi="新宋体" w:cs="新宋体"/>
          <w:color w:val="auto"/>
          <w:sz w:val="22"/>
          <w:szCs w:val="22"/>
          <w:highlight w:val="none"/>
          <w:lang w:val="en-US" w:eastAsia="zh-CN"/>
        </w:rPr>
        <w:t>采购人</w:t>
      </w:r>
      <w:r>
        <w:rPr>
          <w:rFonts w:hint="eastAsia" w:ascii="新宋体" w:hAnsi="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p w14:paraId="55D2E02D">
      <w:pPr>
        <w:adjustRightInd w:val="0"/>
        <w:snapToGrid w:val="0"/>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cs="新宋体"/>
          <w:color w:val="auto"/>
          <w:sz w:val="22"/>
          <w:szCs w:val="22"/>
          <w:highlight w:val="none"/>
          <w:lang w:eastAsia="zh-CN"/>
        </w:rPr>
        <w:t>（</w:t>
      </w:r>
      <w:r>
        <w:rPr>
          <w:rFonts w:hint="eastAsia" w:ascii="新宋体" w:hAnsi="新宋体" w:cs="新宋体"/>
          <w:color w:val="auto"/>
          <w:sz w:val="22"/>
          <w:szCs w:val="22"/>
          <w:highlight w:val="none"/>
          <w:lang w:val="en-US" w:eastAsia="zh-CN"/>
        </w:rPr>
        <w:t>供应商</w:t>
      </w:r>
      <w:r>
        <w:rPr>
          <w:rFonts w:hint="eastAsia" w:ascii="新宋体" w:hAnsi="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p w14:paraId="51117B7F">
      <w:pPr>
        <w:adjustRightIn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鉴于甲方于202</w:t>
      </w:r>
      <w:r>
        <w:rPr>
          <w:rFonts w:hint="eastAsia" w:ascii="新宋体" w:hAnsi="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年  月  日接受乙方对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投标，双方根据《中华人民共和国</w:t>
      </w:r>
      <w:r>
        <w:rPr>
          <w:rFonts w:hint="eastAsia" w:ascii="新宋体" w:hAnsi="新宋体" w:eastAsia="新宋体" w:cs="新宋体"/>
          <w:color w:val="auto"/>
          <w:sz w:val="22"/>
          <w:szCs w:val="22"/>
          <w:highlight w:val="none"/>
          <w:lang w:val="en-US" w:eastAsia="zh-CN"/>
        </w:rPr>
        <w:t>民法典</w:t>
      </w:r>
      <w:r>
        <w:rPr>
          <w:rFonts w:hint="eastAsia" w:ascii="新宋体" w:hAnsi="新宋体" w:eastAsia="新宋体" w:cs="新宋体"/>
          <w:color w:val="auto"/>
          <w:sz w:val="22"/>
          <w:szCs w:val="22"/>
          <w:highlight w:val="none"/>
        </w:rPr>
        <w:t>》等法规和本合同的采购文件、投标文件及其投标中的承诺，经双方协商，同意签订本合同，共同遵守。</w:t>
      </w:r>
    </w:p>
    <w:p w14:paraId="60D49DBD">
      <w:pPr>
        <w:adjustRightInd w:val="0"/>
        <w:snapToGrid w:val="0"/>
        <w:spacing w:line="440" w:lineRule="exact"/>
        <w:ind w:firstLine="440" w:firstLineChars="200"/>
        <w:rPr>
          <w:rFonts w:hint="eastAsia" w:ascii="新宋体" w:hAnsi="新宋体" w:eastAsia="新宋体" w:cs="新宋体"/>
          <w:color w:val="auto"/>
          <w:sz w:val="22"/>
          <w:szCs w:val="22"/>
          <w:highlight w:val="none"/>
          <w:shd w:val="pct10" w:color="auto" w:fill="FFFFFF"/>
        </w:rPr>
      </w:pPr>
      <w:r>
        <w:rPr>
          <w:rFonts w:hint="eastAsia" w:ascii="新宋体" w:hAnsi="新宋体" w:eastAsia="新宋体" w:cs="新宋体"/>
          <w:color w:val="auto"/>
          <w:sz w:val="22"/>
          <w:szCs w:val="22"/>
          <w:highlight w:val="none"/>
        </w:rPr>
        <w:t>1.合同产品及价格</w:t>
      </w:r>
    </w:p>
    <w:p w14:paraId="7D70264F">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1.1合同产品内容依据采购文件、招标补充文件、投标文件、投标承诺和询标记录确定。</w:t>
      </w:r>
    </w:p>
    <w:p w14:paraId="694F1E5E">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1.2合同价格</w:t>
      </w:r>
    </w:p>
    <w:p w14:paraId="4F9E02C4">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本合同总价：人民币       万元。大写：                    。 </w:t>
      </w:r>
    </w:p>
    <w:p w14:paraId="0BE5AEDD">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合同价为完税闭口价。</w:t>
      </w:r>
    </w:p>
    <w:p w14:paraId="59DB34ED">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以上合同总价为合同产品供货到交货地点并负责安装调试验收合格的全部费用（包括但不限于制造、运杂费、保险费、关税及增值税等各种税费、安装调试、</w:t>
      </w:r>
      <w:r>
        <w:rPr>
          <w:rFonts w:hint="eastAsia" w:ascii="新宋体" w:hAnsi="新宋体" w:eastAsia="新宋体" w:cs="新宋体"/>
          <w:bCs/>
          <w:color w:val="auto"/>
          <w:sz w:val="22"/>
          <w:szCs w:val="22"/>
          <w:highlight w:val="none"/>
        </w:rPr>
        <w:t>人员食宿、交通、</w:t>
      </w:r>
      <w:r>
        <w:rPr>
          <w:rFonts w:hint="eastAsia" w:ascii="新宋体" w:hAnsi="新宋体" w:eastAsia="新宋体" w:cs="新宋体"/>
          <w:color w:val="auto"/>
          <w:sz w:val="22"/>
          <w:szCs w:val="22"/>
          <w:highlight w:val="none"/>
        </w:rPr>
        <w:t>有关部门验收等所有费用），不论是否明列在合同文本中。</w:t>
      </w:r>
    </w:p>
    <w:p w14:paraId="368181EF">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1.3.合同产品的名称、技术规范和数量:</w:t>
      </w:r>
    </w:p>
    <w:p w14:paraId="01B1DA02">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与中标通知书、采购文件及被采购人接受的偏离表相一致。</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2.产品的质量、技术标准</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产品的质量、技术标准如在招投标文件中无相应说明，则按中华人民共和国有关部门颁布的最新的国家或专业（部）标准执行。没有国家或专业（部）标准的，按企业标准执行。</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3.权利瑕疵担保：</w:t>
      </w:r>
    </w:p>
    <w:p w14:paraId="4A5EDAF1">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3.1乙方保证对其出售的货物享有合法的权利。</w:t>
      </w:r>
    </w:p>
    <w:p w14:paraId="68E7528D">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 乙方保证在其出售的货物上不存在任何未曾向甲方透露的担保物权，如抵押权、质押权、留置权等。</w:t>
      </w:r>
    </w:p>
    <w:p w14:paraId="497222A7">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 乙方保证其所出售的货物没有侵犯任何第三人的知识产权和商业秘密等权利。</w:t>
      </w:r>
    </w:p>
    <w:p w14:paraId="7FA61422">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 第三方知识产权的要求，乙方承担所供货物、服务或其任何一部分受第三方提出侵犯其专利权、商标权、版权和工业设计权的指控责任。</w:t>
      </w:r>
    </w:p>
    <w:p w14:paraId="04F40DE5">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 乙方对一切可能的侵权指控负责。如甲方使用该货物构成上述侵权的，则由中标（成交）供应商承担全部责任。</w:t>
      </w:r>
    </w:p>
    <w:p w14:paraId="4BDD8822">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包装：为了保证设备在长途运输和装卸过程中的安全，产品包装应符合国家或专业（部）标准规定，以确保货物安全无损地运抵指定现场。由于包装不善导致设备锈蚀、失缺或损坏，由乙方承担一切责任。每一包装箱内必须附有装箱清单。</w:t>
      </w:r>
    </w:p>
    <w:p w14:paraId="205F2A61">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5.唛头</w:t>
      </w:r>
    </w:p>
    <w:p w14:paraId="2C1ECC7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5.1乙方应在每件包装箱上，明显地标注下列标记：</w:t>
      </w:r>
    </w:p>
    <w:p w14:paraId="5AD0E32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1)收货人；2)产品名称；3)合同号；4)品目号和箱号；5)到达站或到货地点；6)外形尺寸（长×宽×高），以厘米计；7)毛重、净重（公斤）。</w:t>
      </w:r>
    </w:p>
    <w:p w14:paraId="06D0A36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5.2不包装的金属结构件应将唛头标签系牢在结构件上。</w:t>
      </w:r>
    </w:p>
    <w:p w14:paraId="4FB7C8A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5.3乙方应根据设备特点，在包装箱上标明“小心轻放”、“请勿倒置”、“防潮”等字样和吊装标记。</w:t>
      </w:r>
    </w:p>
    <w:p w14:paraId="753B3CC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6.质量保证</w:t>
      </w:r>
    </w:p>
    <w:p w14:paraId="765FC0A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6.1乙方提供的产品须和报价文件中所承诺的产品规格、数量、材质等相符合（合同中另有约定除外）。</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6.2乙方保证所提供的产品是全新的、未使用过的。</w:t>
      </w:r>
    </w:p>
    <w:p w14:paraId="67ABCFD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6.3乙方保证采用先进的技术、优质的材料和零部件、一流的工艺、严格的质量管理为采购人提供技术先进、质量上乘、外表美观并完全符合合同规定的质量、规格、性能要求的产品。</w:t>
      </w:r>
    </w:p>
    <w:p w14:paraId="3EBD54D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6.4乙方保证按ISO9000系列标准或相应的质量管理和质量保证体系，对所供产品的设计、采购、制造、检验、涂装、包装、运输、装卸、安装、调试等各个环节进行严格的质量管理和质量控制。</w:t>
      </w:r>
    </w:p>
    <w:p w14:paraId="130FF81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6.5乙方保证所提供的产品在正确安装、正常使用和维护保养的情况下，具有使采购人满意的使用性能，确保10年以上的使用寿命。</w:t>
      </w:r>
    </w:p>
    <w:p w14:paraId="7E17EBB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7.质量保证期</w:t>
      </w:r>
    </w:p>
    <w:p w14:paraId="406F2A2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产品的质量保证期为自设备验收合格，通过最终验收并投入使用至少</w:t>
      </w:r>
      <w:r>
        <w:rPr>
          <w:rFonts w:hint="eastAsia" w:ascii="新宋体" w:hAnsi="新宋体" w:eastAsia="新宋体" w:cs="新宋体"/>
          <w:b/>
          <w:bCs/>
          <w:color w:val="auto"/>
          <w:sz w:val="22"/>
          <w:szCs w:val="22"/>
          <w:highlight w:val="none"/>
          <w:u w:val="thick"/>
          <w:lang w:val="en-US" w:eastAsia="zh-CN"/>
        </w:rPr>
        <w:t xml:space="preserve">    </w:t>
      </w:r>
      <w:r>
        <w:rPr>
          <w:rFonts w:hint="eastAsia" w:ascii="新宋体" w:hAnsi="新宋体" w:eastAsia="新宋体" w:cs="新宋体"/>
          <w:b/>
          <w:bCs/>
          <w:color w:val="auto"/>
          <w:sz w:val="22"/>
          <w:szCs w:val="22"/>
          <w:highlight w:val="none"/>
          <w:u w:val="thick"/>
        </w:rPr>
        <w:t>年（</w:t>
      </w:r>
      <w:r>
        <w:rPr>
          <w:rFonts w:hint="eastAsia" w:ascii="新宋体" w:hAnsi="新宋体" w:eastAsia="新宋体" w:cs="新宋体"/>
          <w:b/>
          <w:bCs/>
          <w:color w:val="auto"/>
          <w:sz w:val="22"/>
          <w:szCs w:val="22"/>
          <w:highlight w:val="none"/>
          <w:u w:val="thick"/>
          <w:lang w:val="en-US" w:eastAsia="zh-CN"/>
        </w:rPr>
        <w:t xml:space="preserve">   </w:t>
      </w:r>
      <w:r>
        <w:rPr>
          <w:rFonts w:hint="eastAsia" w:ascii="新宋体" w:hAnsi="新宋体" w:eastAsia="新宋体" w:cs="新宋体"/>
          <w:b/>
          <w:bCs/>
          <w:color w:val="auto"/>
          <w:sz w:val="22"/>
          <w:szCs w:val="22"/>
          <w:highlight w:val="none"/>
          <w:u w:val="thick"/>
        </w:rPr>
        <w:t>个月，如产品制造商质保期优于招标要求的，则按制造商承诺标准执行)。</w:t>
      </w:r>
      <w:r>
        <w:rPr>
          <w:rFonts w:hint="eastAsia" w:ascii="新宋体" w:hAnsi="新宋体" w:eastAsia="新宋体" w:cs="新宋体"/>
          <w:color w:val="auto"/>
          <w:sz w:val="22"/>
          <w:szCs w:val="22"/>
          <w:highlight w:val="none"/>
        </w:rPr>
        <w:t>在产品质量保证期之内，乙方对由于产品设计、工艺、材料、配套件的缺陷而造成的任何产品质量问题或故障负责。</w:t>
      </w:r>
    </w:p>
    <w:p w14:paraId="76E0408D">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8.合同转让和分包</w:t>
      </w:r>
    </w:p>
    <w:p w14:paraId="75FF613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8.1未经甲方书面同意，乙方不得将合同产品的制造、安装工作转包或分包给第三方。</w:t>
      </w:r>
    </w:p>
    <w:p w14:paraId="5130E464">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8.2乙方在投标文件中说明自制的零部件不得扩散到其他厂生产。</w:t>
      </w:r>
    </w:p>
    <w:p w14:paraId="620364B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8.3 虽然乙方在投标文件中对外购或外协的零部件作了说明且得到采购人认可，但乙方仍应对这些零部件的质量和技术性能负全部责任。</w:t>
      </w:r>
    </w:p>
    <w:p w14:paraId="6600BEDA">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9.合同修改</w:t>
      </w:r>
    </w:p>
    <w:p w14:paraId="2FD21E4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9.1甲、乙双方不得任意修改合同。甲、乙双方的任何一方对合同内容提出修改，均应以书面形式通知对方，并达成由双方签署的合同修改书。</w:t>
      </w:r>
    </w:p>
    <w:p w14:paraId="0C8131AA">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9.2除非甲方对设备的型号、规格和涉及价格因素的技术参数和配套件提出修改，乙方不得对合同价格提出修改要求。</w:t>
      </w:r>
    </w:p>
    <w:p w14:paraId="66E00A13">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10.文件和技术资料的相互提供。</w:t>
      </w:r>
    </w:p>
    <w:p w14:paraId="70980D4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提供资料清单及进度根据招标书的要求在签订合同时明确。</w:t>
      </w:r>
    </w:p>
    <w:p w14:paraId="2083918D">
      <w:pPr>
        <w:spacing w:line="44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11.交货工期</w:t>
      </w:r>
    </w:p>
    <w:p w14:paraId="26B65779">
      <w:pPr>
        <w:keepNext w:val="0"/>
        <w:keepLines w:val="0"/>
        <w:pageBreakBefore w:val="0"/>
        <w:kinsoku/>
        <w:wordWrap/>
        <w:overflowPunct/>
        <w:topLinePunct w:val="0"/>
        <w:bidi w:val="0"/>
        <w:snapToGrid/>
        <w:spacing w:line="288" w:lineRule="auto"/>
        <w:ind w:firstLine="440" w:firstLineChars="200"/>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标段一：</w:t>
      </w:r>
      <w:r>
        <w:rPr>
          <w:rFonts w:hint="eastAsia" w:ascii="宋体" w:hAnsi="宋体" w:eastAsia="宋体" w:cs="宋体"/>
          <w:szCs w:val="22"/>
          <w:highlight w:val="none"/>
        </w:rPr>
        <w:t>合同生效后12 周内完成供货、安装及调试。</w:t>
      </w:r>
    </w:p>
    <w:p w14:paraId="62355D88">
      <w:pPr>
        <w:keepNext w:val="0"/>
        <w:keepLines w:val="0"/>
        <w:pageBreakBefore w:val="0"/>
        <w:kinsoku/>
        <w:wordWrap/>
        <w:overflowPunct/>
        <w:topLinePunct w:val="0"/>
        <w:bidi w:val="0"/>
        <w:snapToGrid/>
        <w:spacing w:line="288" w:lineRule="auto"/>
        <w:ind w:firstLine="440" w:firstLineChars="200"/>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标段二：</w:t>
      </w:r>
      <w:r>
        <w:rPr>
          <w:rFonts w:hint="eastAsia" w:ascii="宋体" w:hAnsi="宋体" w:eastAsia="宋体" w:cs="宋体"/>
          <w:szCs w:val="22"/>
          <w:highlight w:val="none"/>
        </w:rPr>
        <w:t>合同生效后</w:t>
      </w:r>
      <w:r>
        <w:rPr>
          <w:rFonts w:hint="eastAsia" w:ascii="宋体" w:hAnsi="宋体" w:eastAsia="PMingLiU" w:cs="宋体"/>
          <w:szCs w:val="22"/>
          <w:highlight w:val="none"/>
        </w:rPr>
        <w:t>2</w:t>
      </w:r>
      <w:r>
        <w:rPr>
          <w:rFonts w:hint="eastAsia" w:ascii="宋体" w:hAnsi="宋体" w:eastAsia="宋体" w:cs="宋体"/>
          <w:szCs w:val="22"/>
          <w:highlight w:val="none"/>
          <w:lang w:val="en-US" w:eastAsia="zh-CN"/>
        </w:rPr>
        <w:t>个</w:t>
      </w:r>
      <w:r>
        <w:rPr>
          <w:rFonts w:hint="eastAsia" w:ascii="宋体" w:hAnsi="宋体" w:eastAsia="PMingLiU" w:cs="宋体"/>
          <w:szCs w:val="22"/>
          <w:highlight w:val="none"/>
        </w:rPr>
        <w:t>月内完成供货、安装及调试。</w:t>
      </w:r>
    </w:p>
    <w:p w14:paraId="6004805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12.交货、安装地点：采购人指定地点</w:t>
      </w:r>
    </w:p>
    <w:p w14:paraId="322DE57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13.接货通知</w:t>
      </w:r>
    </w:p>
    <w:p w14:paraId="3A1C4BA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乙方在产品发运前5天将准备发运的设备名称、规格、数量、包装箱件数、每件包装箱的尺码、毛重及对货物的卸车、贮存的特殊要求以传真的形式通知甲方，以便配合乙方接货。</w:t>
      </w:r>
    </w:p>
    <w:p w14:paraId="040FB285">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14.运输及装卸保险</w:t>
      </w:r>
    </w:p>
    <w:p w14:paraId="5865F25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14.1货物在装运前由乙方投保，一旦货物在装卸、运输过程中发生损坏或短缺，由乙方负责索赔。</w:t>
      </w:r>
    </w:p>
    <w:p w14:paraId="43E46A0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14.2乙方保证在确认货物因装卸、运输中发生损坏或短缺后，尽快给予调换、修复和补齐缺件，不管其造成的原因如何，也不能以办理索赔为由而拖延。</w:t>
      </w:r>
    </w:p>
    <w:p w14:paraId="7412B4A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15.合同检验及验收</w:t>
      </w:r>
    </w:p>
    <w:p w14:paraId="3622778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 数量和外观的验收检查</w:t>
      </w:r>
    </w:p>
    <w:p w14:paraId="1BACE72C">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点货：货到现场后，由乙和甲方共同点箱点件接受货物。</w:t>
      </w:r>
    </w:p>
    <w:p w14:paraId="7E5BB7E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按甲方提供的指定场所堆放所购设备，当设备运达项目现场后，甲乙双方要对设备的数量和外观进行检查。</w:t>
      </w:r>
    </w:p>
    <w:p w14:paraId="496CCBC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在乙方和甲方同时在场的情况下，要确认设备是否与合同文件相一致。</w:t>
      </w:r>
    </w:p>
    <w:p w14:paraId="517B691A">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如果现有设备不能满足系统需要，乙方应负责更换。</w:t>
      </w:r>
    </w:p>
    <w:p w14:paraId="07A2E91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 系统验收测试</w:t>
      </w:r>
    </w:p>
    <w:p w14:paraId="44CB9B78">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系统验收应按照国际、国内的相关规范和标准，采购文件及设备制造商的保证函，设备的技术规格等。</w:t>
      </w:r>
    </w:p>
    <w:p w14:paraId="055FE803">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1)下列条件满足时，乙方组织进行系统验收：</w:t>
      </w:r>
    </w:p>
    <w:p w14:paraId="27C2D50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安装工程包括乙方的自测试已经完毕，其它辅助工作都已经准备完毕。</w:t>
      </w:r>
    </w:p>
    <w:p w14:paraId="7B439CE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所有的系统文件、施工图纸及设备手册等都已提交给甲方。</w:t>
      </w:r>
    </w:p>
    <w:p w14:paraId="0409F7B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施工现场已经清理完毕。</w:t>
      </w:r>
    </w:p>
    <w:p w14:paraId="33D686C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乙方应在甲方在场的情况下，组织以下验收检测：</w:t>
      </w:r>
    </w:p>
    <w:p w14:paraId="2671B66C">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-外观检查</w:t>
      </w:r>
    </w:p>
    <w:p w14:paraId="6894D0B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-性能检测</w:t>
      </w:r>
    </w:p>
    <w:p w14:paraId="098E7C9F">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外观检查应包含对乙方提供的设备及材料的数量检查和工艺鉴定。</w:t>
      </w:r>
    </w:p>
    <w:p w14:paraId="3916376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应按照合同条款的要求进行性能检测，其中包括核对检测数据以及进行试运行来证明系统性能是否可靠。</w:t>
      </w:r>
    </w:p>
    <w:p w14:paraId="767B261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在验收前，由乙方制定系统验收程序，并通过甲方认可。</w:t>
      </w:r>
    </w:p>
    <w:p w14:paraId="03C086DD">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 乙方应提供所有必要的测试设备、材料和交通工具，并承担相关费用。</w:t>
      </w:r>
    </w:p>
    <w:p w14:paraId="1D85CDD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如果甲方的现有设备不能满足系统要求，甲方将负责更换，乙方要对整个系统指标负责。</w:t>
      </w:r>
    </w:p>
    <w:p w14:paraId="12AEE6C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验收报告双方签字后，即视为系统正式交给甲方使用，保修期从验收报告签字之日起计算。</w:t>
      </w:r>
    </w:p>
    <w:p w14:paraId="3582D422">
      <w:pPr>
        <w:spacing w:line="440" w:lineRule="exact"/>
        <w:ind w:firstLine="442" w:firstLineChars="200"/>
        <w:rPr>
          <w:rFonts w:hint="eastAsia" w:ascii="新宋体" w:hAnsi="新宋体" w:eastAsia="新宋体" w:cs="新宋体"/>
          <w:b/>
          <w:bCs/>
          <w:color w:val="auto"/>
          <w:sz w:val="22"/>
          <w:szCs w:val="22"/>
          <w:highlight w:val="none"/>
          <w:u w:val="thick"/>
        </w:rPr>
      </w:pPr>
      <w:r>
        <w:rPr>
          <w:rFonts w:hint="eastAsia" w:ascii="新宋体" w:hAnsi="新宋体" w:eastAsia="新宋体" w:cs="新宋体"/>
          <w:b/>
          <w:bCs/>
          <w:color w:val="auto"/>
          <w:sz w:val="22"/>
          <w:szCs w:val="22"/>
          <w:highlight w:val="none"/>
          <w:u w:val="thick"/>
        </w:rPr>
        <w:t xml:space="preserve">16.付款方式 </w:t>
      </w:r>
    </w:p>
    <w:p w14:paraId="2EA9DF7E">
      <w:pPr>
        <w:spacing w:line="44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16.1</w:t>
      </w:r>
    </w:p>
    <w:p w14:paraId="124128FE">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default"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标段一：</w:t>
      </w:r>
    </w:p>
    <w:p w14:paraId="5DF914E0">
      <w:pPr>
        <w:spacing w:line="440" w:lineRule="exact"/>
        <w:ind w:firstLine="440" w:firstLineChars="200"/>
        <w:rPr>
          <w:rFonts w:ascii="宋体" w:hAnsi="宋体" w:eastAsia="宋体" w:cs="宋体"/>
          <w:kern w:val="0"/>
          <w:szCs w:val="22"/>
          <w:highlight w:val="none"/>
        </w:rPr>
      </w:pPr>
      <w:r>
        <w:rPr>
          <w:rFonts w:hint="eastAsia" w:ascii="宋体" w:hAnsi="宋体" w:eastAsia="宋体" w:cs="宋体"/>
          <w:kern w:val="0"/>
          <w:szCs w:val="22"/>
          <w:highlight w:val="none"/>
        </w:rPr>
        <w:t>（1）合同签订</w:t>
      </w:r>
      <w:r>
        <w:rPr>
          <w:rFonts w:hint="eastAsia" w:ascii="宋体" w:hAnsi="宋体" w:eastAsia="宋体" w:cs="宋体"/>
          <w:kern w:val="0"/>
          <w:szCs w:val="22"/>
          <w:highlight w:val="none"/>
          <w:lang w:eastAsia="zh-CN"/>
        </w:rPr>
        <w:t>乙方</w:t>
      </w:r>
      <w:r>
        <w:rPr>
          <w:rFonts w:hint="eastAsia" w:ascii="宋体" w:hAnsi="宋体" w:eastAsia="宋体" w:cs="宋体"/>
          <w:kern w:val="0"/>
          <w:szCs w:val="22"/>
          <w:highlight w:val="none"/>
        </w:rPr>
        <w:t>确认订单后，</w:t>
      </w:r>
      <w:r>
        <w:rPr>
          <w:rFonts w:hint="eastAsia" w:ascii="宋体" w:hAnsi="宋体" w:eastAsia="宋体" w:cs="宋体"/>
          <w:kern w:val="0"/>
          <w:szCs w:val="22"/>
          <w:highlight w:val="none"/>
          <w:lang w:eastAsia="zh-CN"/>
        </w:rPr>
        <w:t>甲方</w:t>
      </w:r>
      <w:r>
        <w:rPr>
          <w:rFonts w:hint="eastAsia" w:ascii="宋体" w:hAnsi="宋体" w:eastAsia="宋体" w:cs="宋体"/>
          <w:kern w:val="0"/>
          <w:szCs w:val="22"/>
          <w:highlight w:val="none"/>
        </w:rPr>
        <w:t>支付合同金额的</w:t>
      </w:r>
      <w:r>
        <w:rPr>
          <w:rFonts w:hint="eastAsia" w:ascii="宋体" w:hAnsi="宋体" w:eastAsia="PMingLiU" w:cs="宋体"/>
          <w:kern w:val="0"/>
          <w:szCs w:val="22"/>
          <w:highlight w:val="none"/>
        </w:rPr>
        <w:t>30</w:t>
      </w:r>
      <w:r>
        <w:rPr>
          <w:rFonts w:hint="eastAsia" w:ascii="宋体" w:hAnsi="宋体" w:eastAsia="宋体" w:cs="宋体"/>
          <w:kern w:val="0"/>
          <w:szCs w:val="22"/>
          <w:highlight w:val="none"/>
        </w:rPr>
        <w:t>%作为预付款；</w:t>
      </w:r>
    </w:p>
    <w:p w14:paraId="00C7338A">
      <w:pPr>
        <w:spacing w:line="440" w:lineRule="exact"/>
        <w:ind w:firstLine="440" w:firstLineChars="200"/>
        <w:rPr>
          <w:rFonts w:ascii="宋体" w:hAnsi="宋体" w:eastAsia="宋体" w:cs="宋体"/>
          <w:color w:val="auto"/>
          <w:kern w:val="0"/>
          <w:szCs w:val="22"/>
          <w:highlight w:val="none"/>
        </w:rPr>
      </w:pPr>
      <w:r>
        <w:rPr>
          <w:rFonts w:hint="eastAsia" w:ascii="宋体" w:hAnsi="宋体" w:eastAsia="宋体" w:cs="宋体"/>
          <w:kern w:val="0"/>
          <w:szCs w:val="22"/>
          <w:highlight w:val="none"/>
        </w:rPr>
        <w:t>（2）</w:t>
      </w:r>
      <w:r>
        <w:rPr>
          <w:rFonts w:hint="eastAsia" w:ascii="宋体" w:hAnsi="宋体" w:eastAsia="宋体" w:cs="宋体"/>
          <w:color w:val="auto"/>
          <w:kern w:val="0"/>
          <w:szCs w:val="22"/>
          <w:highlight w:val="none"/>
          <w:lang w:eastAsia="zh-CN"/>
        </w:rPr>
        <w:t>乙方</w:t>
      </w:r>
      <w:r>
        <w:rPr>
          <w:rFonts w:hint="eastAsia" w:ascii="宋体" w:hAnsi="宋体" w:eastAsia="宋体" w:cs="宋体"/>
          <w:color w:val="auto"/>
          <w:kern w:val="0"/>
          <w:szCs w:val="22"/>
          <w:highlight w:val="none"/>
        </w:rPr>
        <w:t>发货前</w:t>
      </w:r>
      <w:r>
        <w:rPr>
          <w:rFonts w:ascii="宋体" w:hAnsi="宋体" w:eastAsia="宋体" w:cs="宋体"/>
          <w:color w:val="auto"/>
          <w:kern w:val="0"/>
          <w:szCs w:val="22"/>
          <w:highlight w:val="none"/>
        </w:rPr>
        <w:t>30</w:t>
      </w:r>
      <w:r>
        <w:rPr>
          <w:rFonts w:hint="eastAsia" w:ascii="宋体" w:hAnsi="宋体" w:eastAsia="宋体" w:cs="宋体"/>
          <w:color w:val="auto"/>
          <w:kern w:val="0"/>
          <w:szCs w:val="22"/>
          <w:highlight w:val="none"/>
        </w:rPr>
        <w:t>个工作日内，</w:t>
      </w:r>
      <w:r>
        <w:rPr>
          <w:rFonts w:hint="eastAsia" w:ascii="宋体" w:hAnsi="宋体" w:eastAsia="宋体" w:cs="宋体"/>
          <w:color w:val="auto"/>
          <w:kern w:val="0"/>
          <w:szCs w:val="22"/>
          <w:highlight w:val="none"/>
          <w:lang w:eastAsia="zh-CN"/>
        </w:rPr>
        <w:t>甲方</w:t>
      </w:r>
      <w:r>
        <w:rPr>
          <w:rFonts w:hint="eastAsia" w:ascii="宋体" w:hAnsi="宋体" w:eastAsia="宋体" w:cs="宋体"/>
          <w:color w:val="auto"/>
          <w:kern w:val="0"/>
          <w:szCs w:val="22"/>
          <w:highlight w:val="none"/>
        </w:rPr>
        <w:t>支付合同金额的</w:t>
      </w:r>
      <w:r>
        <w:rPr>
          <w:rFonts w:ascii="宋体" w:hAnsi="宋体" w:eastAsia="宋体" w:cs="宋体"/>
          <w:color w:val="auto"/>
          <w:kern w:val="0"/>
          <w:szCs w:val="22"/>
          <w:highlight w:val="none"/>
        </w:rPr>
        <w:t>65</w:t>
      </w:r>
      <w:r>
        <w:rPr>
          <w:rFonts w:hint="eastAsia" w:ascii="宋体" w:hAnsi="宋体" w:eastAsia="宋体" w:cs="宋体"/>
          <w:color w:val="auto"/>
          <w:kern w:val="0"/>
          <w:szCs w:val="22"/>
          <w:highlight w:val="none"/>
        </w:rPr>
        <w:t>%；</w:t>
      </w:r>
    </w:p>
    <w:p w14:paraId="21042823">
      <w:pPr>
        <w:spacing w:line="440" w:lineRule="exact"/>
        <w:ind w:firstLine="440" w:firstLineChars="200"/>
        <w:rPr>
          <w:rFonts w:ascii="宋体" w:hAnsi="宋体" w:eastAsia="PMingLiU" w:cs="宋体"/>
          <w:color w:val="auto"/>
          <w:kern w:val="0"/>
          <w:szCs w:val="22"/>
          <w:highlight w:val="none"/>
        </w:rPr>
      </w:pPr>
      <w:r>
        <w:rPr>
          <w:rFonts w:hint="eastAsia" w:ascii="宋体" w:hAnsi="宋体" w:eastAsia="宋体" w:cs="宋体"/>
          <w:color w:val="auto"/>
          <w:kern w:val="0"/>
          <w:szCs w:val="22"/>
          <w:highlight w:val="none"/>
        </w:rPr>
        <w:t>（3）</w:t>
      </w:r>
      <w:r>
        <w:rPr>
          <w:rFonts w:hint="eastAsia" w:ascii="宋体" w:hAnsi="宋体" w:eastAsia="宋体" w:cs="宋体"/>
          <w:color w:val="auto"/>
          <w:kern w:val="0"/>
          <w:szCs w:val="22"/>
          <w:highlight w:val="none"/>
          <w:lang w:eastAsia="zh-CN"/>
        </w:rPr>
        <w:t>乙方</w:t>
      </w:r>
      <w:r>
        <w:rPr>
          <w:rFonts w:hint="eastAsia" w:ascii="宋体" w:hAnsi="宋体" w:eastAsia="宋体" w:cs="宋体"/>
          <w:color w:val="auto"/>
          <w:kern w:val="0"/>
          <w:szCs w:val="22"/>
          <w:highlight w:val="none"/>
        </w:rPr>
        <w:t>发货后</w:t>
      </w:r>
      <w:r>
        <w:rPr>
          <w:rFonts w:ascii="宋体" w:hAnsi="宋体" w:eastAsia="宋体" w:cs="宋体"/>
          <w:color w:val="auto"/>
          <w:kern w:val="0"/>
          <w:szCs w:val="22"/>
          <w:highlight w:val="none"/>
        </w:rPr>
        <w:t>30</w:t>
      </w:r>
      <w:r>
        <w:rPr>
          <w:rFonts w:hint="eastAsia" w:ascii="宋体" w:hAnsi="宋体" w:eastAsia="宋体" w:cs="宋体"/>
          <w:color w:val="auto"/>
          <w:kern w:val="0"/>
          <w:szCs w:val="22"/>
          <w:highlight w:val="none"/>
        </w:rPr>
        <w:t>个工作日内，</w:t>
      </w:r>
      <w:r>
        <w:rPr>
          <w:rFonts w:ascii="宋体" w:hAnsi="宋体" w:eastAsia="宋体" w:cs="宋体"/>
          <w:color w:val="auto"/>
          <w:kern w:val="0"/>
          <w:szCs w:val="22"/>
          <w:highlight w:val="none"/>
        </w:rPr>
        <w:t>运</w:t>
      </w:r>
      <w:r>
        <w:rPr>
          <w:rFonts w:hint="eastAsia" w:ascii="宋体" w:hAnsi="宋体" w:eastAsia="宋体" w:cs="宋体"/>
          <w:color w:val="auto"/>
          <w:kern w:val="0"/>
          <w:szCs w:val="22"/>
          <w:highlight w:val="none"/>
        </w:rPr>
        <w:t>送到理大温研院指定地点</w:t>
      </w:r>
      <w:r>
        <w:rPr>
          <w:rFonts w:hint="eastAsia" w:ascii="PMingLiU" w:hAnsi="PMingLiU" w:eastAsia="PMingLiU" w:cs="宋体"/>
          <w:color w:val="auto"/>
          <w:kern w:val="0"/>
          <w:szCs w:val="22"/>
          <w:highlight w:val="none"/>
        </w:rPr>
        <w:t>並</w:t>
      </w:r>
      <w:r>
        <w:rPr>
          <w:rFonts w:hint="eastAsia" w:ascii="宋体" w:hAnsi="宋体" w:eastAsia="宋体" w:cs="宋体"/>
          <w:color w:val="auto"/>
          <w:kern w:val="0"/>
          <w:szCs w:val="22"/>
          <w:highlight w:val="none"/>
        </w:rPr>
        <w:t>安装及验收后支付，</w:t>
      </w:r>
      <w:r>
        <w:rPr>
          <w:rFonts w:hint="eastAsia" w:ascii="宋体" w:hAnsi="宋体" w:eastAsia="宋体" w:cs="宋体"/>
          <w:color w:val="auto"/>
          <w:kern w:val="0"/>
          <w:szCs w:val="22"/>
          <w:highlight w:val="none"/>
          <w:lang w:eastAsia="zh-CN"/>
        </w:rPr>
        <w:t>甲方</w:t>
      </w:r>
      <w:r>
        <w:rPr>
          <w:rFonts w:hint="eastAsia" w:ascii="宋体" w:hAnsi="宋体" w:eastAsia="宋体" w:cs="宋体"/>
          <w:color w:val="auto"/>
          <w:kern w:val="0"/>
          <w:szCs w:val="22"/>
          <w:highlight w:val="none"/>
        </w:rPr>
        <w:t>合同金额的</w:t>
      </w:r>
      <w:r>
        <w:rPr>
          <w:rFonts w:hint="eastAsia" w:ascii="宋体" w:hAnsi="宋体" w:eastAsia="PMingLiU" w:cs="宋体"/>
          <w:color w:val="auto"/>
          <w:kern w:val="0"/>
          <w:szCs w:val="22"/>
          <w:highlight w:val="none"/>
        </w:rPr>
        <w:t>5</w:t>
      </w:r>
      <w:r>
        <w:rPr>
          <w:rFonts w:hint="eastAsia" w:ascii="宋体" w:hAnsi="宋体" w:eastAsia="宋体" w:cs="宋体"/>
          <w:color w:val="auto"/>
          <w:kern w:val="0"/>
          <w:szCs w:val="22"/>
          <w:highlight w:val="none"/>
        </w:rPr>
        <w:t>%尾款。</w:t>
      </w:r>
    </w:p>
    <w:p w14:paraId="3C4495D3">
      <w:pPr>
        <w:pStyle w:val="2"/>
        <w:numPr>
          <w:ilvl w:val="0"/>
          <w:numId w:val="0"/>
        </w:numPr>
        <w:ind w:left="57"/>
        <w:rPr>
          <w:rFonts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或</w:t>
      </w:r>
    </w:p>
    <w:p w14:paraId="0B760EF5">
      <w:pPr>
        <w:spacing w:line="440" w:lineRule="exact"/>
        <w:ind w:firstLine="440" w:firstLineChars="200"/>
        <w:rPr>
          <w:rFonts w:ascii="宋体" w:hAnsi="宋体" w:eastAsia="PMingLiU" w:cs="宋体"/>
          <w:color w:val="auto"/>
          <w:kern w:val="0"/>
          <w:szCs w:val="22"/>
          <w:highlight w:val="none"/>
        </w:rPr>
      </w:pPr>
      <w:r>
        <w:rPr>
          <w:rFonts w:hint="eastAsia" w:ascii="宋体" w:hAnsi="宋体" w:eastAsia="宋体" w:cs="宋体"/>
          <w:color w:val="auto"/>
          <w:kern w:val="0"/>
          <w:szCs w:val="22"/>
          <w:highlight w:val="none"/>
        </w:rPr>
        <w:t>（1）100%不可撤销信用证(L/C)</w:t>
      </w:r>
    </w:p>
    <w:p w14:paraId="0C26FB4E">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标段二：</w:t>
      </w:r>
    </w:p>
    <w:p w14:paraId="747A443F">
      <w:pPr>
        <w:spacing w:line="440" w:lineRule="exact"/>
        <w:ind w:firstLine="440" w:firstLineChars="200"/>
        <w:rPr>
          <w:rFonts w:ascii="宋体" w:hAnsi="宋体" w:cs="宋体"/>
          <w:kern w:val="0"/>
          <w:szCs w:val="21"/>
          <w:highlight w:val="none"/>
        </w:rPr>
      </w:pPr>
      <w:r>
        <w:rPr>
          <w:rFonts w:hint="eastAsia" w:ascii="宋体" w:hAnsi="宋体" w:cs="宋体"/>
          <w:kern w:val="0"/>
          <w:szCs w:val="21"/>
          <w:highlight w:val="none"/>
        </w:rPr>
        <w:t>（1）合同签订</w:t>
      </w:r>
      <w:r>
        <w:rPr>
          <w:rFonts w:hint="eastAsia" w:ascii="宋体" w:hAnsi="宋体" w:cs="宋体"/>
          <w:kern w:val="0"/>
          <w:szCs w:val="21"/>
          <w:highlight w:val="none"/>
          <w:lang w:eastAsia="zh-CN"/>
        </w:rPr>
        <w:t>乙方</w:t>
      </w:r>
      <w:r>
        <w:rPr>
          <w:rFonts w:hint="eastAsia" w:ascii="宋体" w:hAnsi="宋体" w:cs="宋体"/>
          <w:kern w:val="0"/>
          <w:szCs w:val="21"/>
          <w:highlight w:val="none"/>
        </w:rPr>
        <w:t>确认订单后，</w:t>
      </w:r>
      <w:r>
        <w:rPr>
          <w:rFonts w:hint="eastAsia" w:ascii="宋体" w:hAnsi="宋体" w:cs="宋体"/>
          <w:kern w:val="0"/>
          <w:szCs w:val="21"/>
          <w:highlight w:val="none"/>
          <w:lang w:eastAsia="zh-CN"/>
        </w:rPr>
        <w:t>甲方</w:t>
      </w:r>
      <w:r>
        <w:rPr>
          <w:rFonts w:hint="eastAsia" w:ascii="宋体" w:hAnsi="宋体" w:cs="宋体"/>
          <w:kern w:val="0"/>
          <w:szCs w:val="21"/>
          <w:highlight w:val="none"/>
        </w:rPr>
        <w:t>支付合同金额的30%作为预付款；</w:t>
      </w:r>
    </w:p>
    <w:p w14:paraId="39982B69">
      <w:pPr>
        <w:spacing w:line="440" w:lineRule="exact"/>
        <w:ind w:firstLine="440" w:firstLineChars="200"/>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乙方</w:t>
      </w:r>
      <w:r>
        <w:rPr>
          <w:rFonts w:ascii="宋体" w:hAnsi="宋体" w:cs="宋体"/>
          <w:kern w:val="0"/>
          <w:szCs w:val="21"/>
          <w:highlight w:val="none"/>
        </w:rPr>
        <w:t>交货前</w:t>
      </w:r>
      <w:r>
        <w:rPr>
          <w:rFonts w:hint="eastAsia" w:ascii="宋体" w:hAnsi="宋体" w:cs="宋体"/>
          <w:kern w:val="0"/>
          <w:szCs w:val="21"/>
          <w:highlight w:val="none"/>
        </w:rPr>
        <w:t>7</w:t>
      </w:r>
      <w:r>
        <w:rPr>
          <w:rFonts w:ascii="宋体" w:hAnsi="宋体" w:cs="宋体"/>
          <w:kern w:val="0"/>
          <w:szCs w:val="21"/>
          <w:highlight w:val="none"/>
        </w:rPr>
        <w:t>个工作日</w:t>
      </w:r>
      <w:r>
        <w:rPr>
          <w:rFonts w:hint="eastAsia" w:ascii="宋体" w:hAnsi="宋体" w:cs="宋体"/>
          <w:kern w:val="0"/>
          <w:szCs w:val="21"/>
          <w:highlight w:val="none"/>
        </w:rPr>
        <w:t>内，</w:t>
      </w:r>
      <w:r>
        <w:rPr>
          <w:rFonts w:hint="eastAsia" w:ascii="宋体" w:hAnsi="宋体" w:cs="宋体"/>
          <w:kern w:val="0"/>
          <w:szCs w:val="21"/>
          <w:highlight w:val="none"/>
          <w:lang w:eastAsia="zh-CN"/>
        </w:rPr>
        <w:t>甲方</w:t>
      </w:r>
      <w:r>
        <w:rPr>
          <w:rFonts w:hint="eastAsia" w:ascii="宋体" w:hAnsi="宋体" w:cs="宋体"/>
          <w:kern w:val="0"/>
          <w:szCs w:val="21"/>
          <w:highlight w:val="none"/>
        </w:rPr>
        <w:t>支付合同金额的60%；</w:t>
      </w:r>
    </w:p>
    <w:p w14:paraId="61FB49D2">
      <w:pPr>
        <w:spacing w:line="440" w:lineRule="exact"/>
        <w:ind w:firstLine="440" w:firstLineChars="200"/>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在理大温研院指定地点安装及验收后</w:t>
      </w:r>
      <w:r>
        <w:rPr>
          <w:rFonts w:hint="eastAsia" w:ascii="宋体" w:hAnsi="宋体" w:cs="宋体"/>
          <w:kern w:val="0"/>
          <w:szCs w:val="21"/>
          <w:highlight w:val="none"/>
          <w:lang w:val="en-US" w:eastAsia="zh-CN"/>
        </w:rPr>
        <w:t>30个工作日内</w:t>
      </w:r>
      <w:r>
        <w:rPr>
          <w:rFonts w:hint="eastAsia" w:ascii="宋体" w:hAnsi="宋体" w:cs="宋体"/>
          <w:kern w:val="0"/>
          <w:szCs w:val="21"/>
          <w:highlight w:val="none"/>
        </w:rPr>
        <w:t>，</w:t>
      </w:r>
      <w:r>
        <w:rPr>
          <w:rFonts w:hint="eastAsia" w:ascii="宋体" w:hAnsi="宋体" w:cs="宋体"/>
          <w:kern w:val="0"/>
          <w:szCs w:val="21"/>
          <w:highlight w:val="none"/>
          <w:lang w:eastAsia="zh-CN"/>
        </w:rPr>
        <w:t>甲方</w:t>
      </w:r>
      <w:r>
        <w:rPr>
          <w:rFonts w:hint="eastAsia" w:ascii="宋体" w:hAnsi="宋体" w:cs="宋体"/>
          <w:kern w:val="0"/>
          <w:szCs w:val="21"/>
          <w:highlight w:val="none"/>
        </w:rPr>
        <w:t>支付合同金额的10%尾款。</w:t>
      </w:r>
    </w:p>
    <w:p w14:paraId="047A8E40">
      <w:pPr>
        <w:adjustRightIn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16.2</w:t>
      </w:r>
      <w:r>
        <w:rPr>
          <w:rFonts w:hint="eastAsia" w:ascii="新宋体" w:hAnsi="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应按照合同条款所列的付款方式进行报价，评标时以此报价为基础，但</w:t>
      </w:r>
      <w:r>
        <w:rPr>
          <w:rFonts w:hint="eastAsia" w:ascii="新宋体" w:hAnsi="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可提出替代的付款方式并说明采用该替代的付款方式投标价可以降低多少。甲方可以考虑中标的</w:t>
      </w:r>
      <w:r>
        <w:rPr>
          <w:rFonts w:hint="eastAsia" w:ascii="新宋体" w:hAnsi="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的替代的付款方式。</w:t>
      </w:r>
    </w:p>
    <w:p w14:paraId="1FC78C39">
      <w:pPr>
        <w:spacing w:line="44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16.3合同条款中规定了甲方提出的付款方式。如果投标文件对此有偏离但又属甲方可以接受的，评标时将按评标办法在评标中予以考虑（采购人不接受的除外）。</w:t>
      </w:r>
    </w:p>
    <w:p w14:paraId="0AD55FBA">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17.安装调试</w:t>
      </w:r>
    </w:p>
    <w:p w14:paraId="11648AC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w:t>
      </w:r>
      <w:r>
        <w:rPr>
          <w:rFonts w:hint="eastAsia" w:ascii="新宋体" w:hAnsi="新宋体" w:eastAsia="新宋体" w:cs="新宋体"/>
          <w:bCs/>
          <w:color w:val="auto"/>
          <w:sz w:val="22"/>
          <w:szCs w:val="22"/>
          <w:highlight w:val="none"/>
        </w:rPr>
        <w:t>设备安装就位、校准后，乙方应按事先被甲方认可的调试验收计划对设备进行调试，并对设备所标注的各项技术指标进行测试，测试报告将在设备验收完毕后提交给甲方，但乙方应对测试的各种数据的真实性负责。</w:t>
      </w:r>
      <w:r>
        <w:rPr>
          <w:rFonts w:hint="eastAsia" w:ascii="新宋体" w:hAnsi="新宋体" w:eastAsia="新宋体" w:cs="新宋体"/>
          <w:color w:val="auto"/>
          <w:sz w:val="22"/>
          <w:szCs w:val="22"/>
          <w:highlight w:val="none"/>
        </w:rPr>
        <w:t>甲方也可以要求具有检测资质的第三方用专用仪器进行功能 、性能测试，乙方负责测试和调试所需的一切费用，并填写测试报告交由甲方存档。</w:t>
      </w:r>
    </w:p>
    <w:p w14:paraId="07882E2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17.2产品最终验收前的人员及设备安全，概由乙方负责。</w:t>
      </w:r>
    </w:p>
    <w:p w14:paraId="7B90FFEC">
      <w:pPr>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18.产品最终验收</w:t>
      </w:r>
    </w:p>
    <w:p w14:paraId="2B374F6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设备验收结束后，经过试运转考核无故障，并经有关部门检验合格后，甲、乙双方共同签署验收合格证书，提供保修证书。此项目系统设备采购为交钥匙方式提交。</w:t>
      </w:r>
    </w:p>
    <w:p w14:paraId="6441FF11">
      <w:pPr>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 售后服务</w:t>
      </w:r>
    </w:p>
    <w:p w14:paraId="0DA12DC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无论在质量保证期内还是质量保证期满后，一旦发生故障，而甲方无法自行排除时，在接到甲方通知后，乙方应在24小时内到达现场处理并及时提供备品、备件。</w:t>
      </w:r>
    </w:p>
    <w:p w14:paraId="43C1D17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20.违约责任</w:t>
      </w:r>
    </w:p>
    <w:p w14:paraId="5291FE2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20.1产品质量责任</w:t>
      </w:r>
    </w:p>
    <w:p w14:paraId="18F1A706">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在产品质量保证期内，凡产品在开箱检验、安装调试、产品试运转过程中发现的产品质量问题，由乙方负责处理，实行包修、包换、包退，直至产品符合质量要求。</w:t>
      </w:r>
      <w:r>
        <w:rPr>
          <w:rFonts w:hint="eastAsia" w:ascii="新宋体" w:hAnsi="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承担修理、调换、退货发生的一切费用和甲方的直接经济损失。</w:t>
      </w:r>
    </w:p>
    <w:p w14:paraId="5D00022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乙方在接到甲方通知后，应立即派人赴现场处理产品质量问题。</w:t>
      </w:r>
    </w:p>
    <w:p w14:paraId="1FFBA84D">
      <w:pPr>
        <w:spacing w:line="440" w:lineRule="exact"/>
        <w:ind w:firstLine="424" w:firstLineChars="19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由于甲方保管不善或使用不当造成设备短缺、故障或损坏，由甲方负责。但乙方保证及时给予补齐或修复。</w:t>
      </w:r>
    </w:p>
    <w:p w14:paraId="55E459B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20.2违约赔偿</w:t>
      </w:r>
    </w:p>
    <w:p w14:paraId="02B4DF3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除不可抗力外，如乙方发生不能按期交货或提供服务，甲方发生中途退货等情况，应及时以书面形式通知对方。甲、乙双方应本着友好的态度进行协商，妥善解决。如协商无效，按下列规定处以罚金。</w:t>
      </w:r>
    </w:p>
    <w:p w14:paraId="39913E79">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1)乙方逾期交货，按逾期交货部分总价计算向甲方赔偿违约金，每逾期一天，按设备总价的1‰罚款。但整机中的零部件逾期交货，按整机逾期交货计算罚金。</w:t>
      </w:r>
    </w:p>
    <w:p w14:paraId="156F44AF">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2)乙方不能交货或甲方中途退货</w:t>
      </w:r>
    </w:p>
    <w:p w14:paraId="52939F8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乙方不能按合同约定的条件交货，应向甲方偿付违约金。违约金按整机货款的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％计算。整机中的零部件逾期交货，按整机逾期交货计。</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甲方中途退货，应向乙方偿付违约金。违约金的计算方法与乙方违约相同。</w:t>
      </w:r>
    </w:p>
    <w:p w14:paraId="49BF3AA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3)逾期交货的违约赔偿最高限度为迟交货合同总价的5％，如违约金达到最高限额时</w:t>
      </w:r>
      <w:r>
        <w:rPr>
          <w:rFonts w:hint="eastAsia" w:ascii="新宋体" w:hAnsi="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 xml:space="preserve">仍不能交货，甲方可考虑终止合同,并要求乙方按照合同约定进行赔偿。 </w:t>
      </w:r>
    </w:p>
    <w:p w14:paraId="029A663C">
      <w:pPr>
        <w:spacing w:line="440" w:lineRule="exact"/>
        <w:ind w:firstLine="440" w:firstLineChars="200"/>
        <w:rPr>
          <w:color w:val="auto"/>
          <w:highlight w:val="none"/>
        </w:rPr>
      </w:pPr>
      <w:r>
        <w:rPr>
          <w:rFonts w:hint="eastAsia" w:ascii="新宋体" w:hAnsi="新宋体" w:eastAsia="新宋体" w:cs="新宋体"/>
          <w:color w:val="auto"/>
          <w:sz w:val="22"/>
          <w:szCs w:val="22"/>
          <w:highlight w:val="none"/>
        </w:rPr>
        <w:t>4)经甲、乙双方协商同意延期交货和经双方友好协商同意退货且无需罚款者不在此例。</w:t>
      </w:r>
    </w:p>
    <w:p w14:paraId="31511EF3">
      <w:pPr>
        <w:spacing w:line="440" w:lineRule="exact"/>
        <w:ind w:firstLine="440" w:firstLineChars="200"/>
        <w:rPr>
          <w:rFonts w:hint="default" w:ascii="新宋体" w:hAnsi="新宋体" w:eastAsia="新宋体" w:cs="新宋体"/>
          <w:color w:val="auto"/>
          <w:sz w:val="22"/>
          <w:szCs w:val="22"/>
          <w:highlight w:val="none"/>
          <w:lang w:val="en-US"/>
        </w:rPr>
      </w:pPr>
      <w:r>
        <w:rPr>
          <w:rFonts w:hint="eastAsia" w:ascii="新宋体" w:hAnsi="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cs="新宋体"/>
          <w:color w:val="auto"/>
          <w:sz w:val="22"/>
          <w:szCs w:val="22"/>
          <w:highlight w:val="none"/>
          <w:lang w:val="en-US" w:eastAsia="zh-CN"/>
        </w:rPr>
        <w:t>乙方未按要求提供售后、培训及相关质保承诺服务等，</w:t>
      </w:r>
      <w:r>
        <w:rPr>
          <w:rFonts w:hint="eastAsia" w:ascii="新宋体" w:hAnsi="新宋体" w:eastAsia="新宋体" w:cs="新宋体"/>
          <w:color w:val="auto"/>
          <w:sz w:val="22"/>
          <w:szCs w:val="22"/>
          <w:highlight w:val="none"/>
        </w:rPr>
        <w:t>应向甲方偿付违约金。违约金按整机货款的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％计算。</w:t>
      </w:r>
    </w:p>
    <w:p w14:paraId="61AAFAB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21.违约终止合同</w:t>
      </w:r>
    </w:p>
    <w:p w14:paraId="04378ED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21.1甲方在乙方存在如下违约情况时，有权考虑并提出终止全部或部分合同。</w:t>
      </w:r>
    </w:p>
    <w:p w14:paraId="5378B6AE">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1）乙方未能在合同规定期限或甲方同意延长的期限内交付全部或部分产品。</w:t>
      </w:r>
    </w:p>
    <w:p w14:paraId="64BA5CBE">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2）乙方未能履行合同规定的其他义务。</w:t>
      </w:r>
    </w:p>
    <w:p w14:paraId="150F7428">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3）在发生上述情况后，乙方收到甲方的违约通知后30天内未能纠正其过失。</w:t>
      </w:r>
    </w:p>
    <w:p w14:paraId="003DC9E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21.2乙方应继续执行合同中未终止部分。</w:t>
      </w:r>
    </w:p>
    <w:p w14:paraId="3499A738">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21.3在甲方提出终止部分合同的情况下，并不解除乙方按6条规定对已交货部分产品应负的产品质量责任。</w:t>
      </w:r>
    </w:p>
    <w:p w14:paraId="04B953B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.争议解决</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.1凡有关本合同或执行本合同中发生的争端，甲、乙双方应通过友好协商，妥善解决。如通过协商仍不能解决时，可向甲方所在地人民法院提起诉讼解决。</w:t>
      </w:r>
    </w:p>
    <w:p w14:paraId="02602F94">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.2诉讼费用除法院另有裁决外，由败诉方承担。</w:t>
      </w:r>
    </w:p>
    <w:p w14:paraId="1C6EE3CE">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.3在诉讼进行期间，除正在进行诉讼的部分外，本合同其他部分应继续执行。</w:t>
      </w:r>
    </w:p>
    <w:p w14:paraId="678A33F8">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.适用法律：本合同按照中华人民共和国的有关法律进行解释。</w:t>
      </w:r>
    </w:p>
    <w:p w14:paraId="12938670">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.合同附件</w:t>
      </w:r>
    </w:p>
    <w:p w14:paraId="0F1BE46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下列文件与本合同具有同等法律效力：</w:t>
      </w:r>
    </w:p>
    <w:p w14:paraId="67640D36">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1）采购人的采购文件与采购补充文件；</w:t>
      </w:r>
    </w:p>
    <w:p w14:paraId="05E6750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2）中标供应商投标文件；</w:t>
      </w:r>
    </w:p>
    <w:p w14:paraId="48A5526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3）询标纪要和承诺书。</w:t>
      </w:r>
    </w:p>
    <w:p w14:paraId="0F2BCED8">
      <w:pPr>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4）中标通知书</w:t>
      </w:r>
    </w:p>
    <w:p w14:paraId="1265738D">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   合同生效及其他</w:t>
      </w:r>
    </w:p>
    <w:p w14:paraId="2BE9CAF2">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.1  合同应在双方签字盖章后开始生效。</w:t>
      </w:r>
    </w:p>
    <w:p w14:paraId="62E4D1B4">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.2  本合同一式柒份，双方各执叁份，温州市智信招标代理有限公司执壹份，具有同等效力。</w:t>
      </w:r>
    </w:p>
    <w:p w14:paraId="385A5D3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.3  如需修改或补充合同内容，经协商，双方应签署书面修改或补充协议，该协议将作为本合同的一个组成部分。</w:t>
      </w:r>
    </w:p>
    <w:p w14:paraId="4073B99A">
      <w:pPr>
        <w:spacing w:line="460" w:lineRule="exact"/>
        <w:rPr>
          <w:rFonts w:hint="eastAsia" w:ascii="新宋体" w:hAnsi="新宋体" w:eastAsia="新宋体" w:cs="新宋体"/>
          <w:color w:val="auto"/>
          <w:sz w:val="22"/>
          <w:szCs w:val="22"/>
          <w:highlight w:val="none"/>
        </w:rPr>
      </w:pPr>
      <w:bookmarkStart w:id="16" w:name="bookmark21"/>
      <w:r>
        <w:rPr>
          <w:rFonts w:hint="eastAsia" w:ascii="新宋体" w:hAnsi="新宋体" w:eastAsia="新宋体" w:cs="新宋体"/>
          <w:color w:val="auto"/>
          <w:sz w:val="22"/>
          <w:szCs w:val="22"/>
          <w:highlight w:val="none"/>
          <w:lang w:val="zh-CN"/>
        </w:rPr>
        <w:br w:type="page"/>
      </w:r>
      <w:r>
        <w:rPr>
          <w:rFonts w:hint="eastAsia" w:ascii="新宋体" w:hAnsi="新宋体" w:eastAsia="新宋体" w:cs="新宋体"/>
          <w:color w:val="auto"/>
          <w:sz w:val="22"/>
          <w:szCs w:val="22"/>
          <w:highlight w:val="none"/>
          <w:lang w:val="zh-CN"/>
        </w:rPr>
        <w:t>（本页为合同签署页，以下无正文）</w:t>
      </w:r>
      <w:bookmarkEnd w:id="16"/>
    </w:p>
    <w:p w14:paraId="0DF0EE40">
      <w:pPr>
        <w:spacing w:line="460" w:lineRule="exact"/>
        <w:rPr>
          <w:rFonts w:hint="eastAsia" w:ascii="新宋体" w:hAnsi="新宋体" w:eastAsia="新宋体" w:cs="新宋体"/>
          <w:color w:val="auto"/>
          <w:sz w:val="22"/>
          <w:szCs w:val="22"/>
          <w:highlight w:val="none"/>
        </w:rPr>
      </w:pPr>
    </w:p>
    <w:p w14:paraId="5D1ED29E">
      <w:pPr>
        <w:spacing w:line="460" w:lineRule="exact"/>
        <w:rPr>
          <w:rFonts w:hint="eastAsia" w:ascii="新宋体" w:hAnsi="新宋体" w:eastAsia="新宋体" w:cs="新宋体"/>
          <w:color w:val="auto"/>
          <w:sz w:val="22"/>
          <w:szCs w:val="22"/>
          <w:highlight w:val="none"/>
        </w:rPr>
      </w:pPr>
    </w:p>
    <w:p w14:paraId="008E7D91">
      <w:pPr>
        <w:spacing w:line="460" w:lineRule="exact"/>
        <w:rPr>
          <w:rFonts w:hint="eastAsia" w:ascii="新宋体" w:hAnsi="新宋体" w:eastAsia="新宋体" w:cs="新宋体"/>
          <w:color w:val="auto"/>
          <w:sz w:val="22"/>
          <w:szCs w:val="22"/>
          <w:highlight w:val="none"/>
        </w:rPr>
      </w:pPr>
    </w:p>
    <w:p w14:paraId="6B8083A1">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甲方：（印章）                        乙方：（印章）</w:t>
      </w:r>
    </w:p>
    <w:p w14:paraId="7BBA90A3">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全权代表:（签字）                    全权代表:（签字）</w:t>
      </w:r>
    </w:p>
    <w:p w14:paraId="4FBBEE3E">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地址：                               地址：</w:t>
      </w:r>
    </w:p>
    <w:p w14:paraId="5DE09C8C">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邮政编码：                           邮政编码：</w:t>
      </w:r>
    </w:p>
    <w:p w14:paraId="573F5F96">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电话：                               电话：</w:t>
      </w:r>
    </w:p>
    <w:p w14:paraId="7054087E">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传真：                               传真：</w:t>
      </w:r>
    </w:p>
    <w:p w14:paraId="3CEDAA2B">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开户银行：                           开户银行：</w:t>
      </w:r>
    </w:p>
    <w:p w14:paraId="7921BAC1">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帐号：                               帐号：</w:t>
      </w:r>
    </w:p>
    <w:p w14:paraId="66477C68">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签约日期：　　　　　　　　　　　　　 签约地点：</w:t>
      </w:r>
    </w:p>
    <w:p w14:paraId="4EB25B9D">
      <w:pPr>
        <w:spacing w:line="420" w:lineRule="exact"/>
        <w:ind w:firstLine="1210" w:firstLineChars="550"/>
        <w:rPr>
          <w:rFonts w:asciiTheme="majorEastAsia" w:hAnsiTheme="majorEastAsia" w:eastAsiaTheme="majorEastAsia"/>
          <w:color w:val="auto"/>
          <w:highlight w:val="none"/>
        </w:rPr>
      </w:pPr>
    </w:p>
    <w:p w14:paraId="54ADA6B5">
      <w:pPr>
        <w:autoSpaceDE w:val="0"/>
        <w:autoSpaceDN w:val="0"/>
        <w:adjustRightInd w:val="0"/>
        <w:spacing w:line="360" w:lineRule="auto"/>
        <w:ind w:left="-202" w:right="-202" w:firstLine="600"/>
        <w:jc w:val="right"/>
        <w:rPr>
          <w:rFonts w:asciiTheme="majorEastAsia" w:hAnsiTheme="majorEastAsia" w:eastAsiaTheme="majorEastAsia"/>
          <w:color w:val="auto"/>
          <w:highlight w:val="none"/>
        </w:rPr>
      </w:pPr>
      <w:r>
        <w:rPr>
          <w:rFonts w:cs="Arial" w:asciiTheme="majorEastAsia" w:hAnsiTheme="majorEastAsia" w:eastAsiaTheme="majorEastAsia"/>
          <w:color w:val="auto"/>
          <w:highlight w:val="none"/>
        </w:rPr>
        <w:t xml:space="preserve">         </w:t>
      </w:r>
    </w:p>
    <w:p w14:paraId="0D998C6E">
      <w:pPr>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br w:type="page"/>
      </w:r>
    </w:p>
    <w:p w14:paraId="41270CDB">
      <w:pPr>
        <w:pStyle w:val="28"/>
        <w:ind w:left="-202" w:right="-202" w:firstLine="904"/>
        <w:rPr>
          <w:rFonts w:asciiTheme="majorEastAsia" w:hAnsiTheme="majorEastAsia"/>
          <w:color w:val="auto"/>
          <w:sz w:val="36"/>
          <w:szCs w:val="36"/>
          <w:highlight w:val="none"/>
        </w:rPr>
      </w:pPr>
      <w:bookmarkStart w:id="17" w:name="_Toc78294255"/>
      <w:r>
        <w:rPr>
          <w:rFonts w:hint="eastAsia" w:asciiTheme="majorEastAsia" w:hAnsiTheme="majorEastAsia"/>
          <w:color w:val="auto"/>
          <w:sz w:val="36"/>
          <w:szCs w:val="36"/>
          <w:highlight w:val="none"/>
        </w:rPr>
        <w:t>第三部分   投标文件格式</w:t>
      </w:r>
      <w:bookmarkEnd w:id="17"/>
    </w:p>
    <w:p w14:paraId="243BDAA0">
      <w:pPr>
        <w:spacing w:before="156" w:beforeLines="50" w:after="156" w:afterLines="50"/>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（资格审查资料封面，供参考）</w:t>
      </w:r>
    </w:p>
    <w:p w14:paraId="3D410CBE">
      <w:pPr>
        <w:ind w:left="-202" w:right="-202"/>
        <w:rPr>
          <w:rFonts w:cs="新宋体" w:asciiTheme="majorEastAsia" w:hAnsiTheme="majorEastAsia" w:eastAsiaTheme="majorEastAsia"/>
          <w:color w:val="auto"/>
          <w:highlight w:val="none"/>
        </w:rPr>
      </w:pPr>
    </w:p>
    <w:p w14:paraId="3EBCCCB8">
      <w:pPr>
        <w:ind w:left="-202" w:right="-202"/>
        <w:rPr>
          <w:rFonts w:cs="新宋体" w:asciiTheme="majorEastAsia" w:hAnsiTheme="majorEastAsia" w:eastAsiaTheme="majorEastAsia"/>
          <w:color w:val="auto"/>
          <w:highlight w:val="none"/>
        </w:rPr>
      </w:pPr>
    </w:p>
    <w:p w14:paraId="11C00138">
      <w:pPr>
        <w:ind w:left="-202" w:right="-202"/>
        <w:rPr>
          <w:rFonts w:cs="新宋体" w:asciiTheme="majorEastAsia" w:hAnsiTheme="majorEastAsia" w:eastAsiaTheme="majorEastAsia"/>
          <w:color w:val="auto"/>
          <w:highlight w:val="none"/>
        </w:rPr>
      </w:pPr>
    </w:p>
    <w:p w14:paraId="2FC99508">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投标文件</w:t>
      </w:r>
    </w:p>
    <w:p w14:paraId="2032FDF6">
      <w:pPr>
        <w:ind w:left="-202" w:right="-202" w:firstLine="700"/>
        <w:rPr>
          <w:rFonts w:cs="新宋体" w:asciiTheme="majorEastAsia" w:hAnsiTheme="majorEastAsia" w:eastAsiaTheme="majorEastAsia"/>
          <w:color w:val="auto"/>
          <w:sz w:val="28"/>
          <w:szCs w:val="28"/>
          <w:highlight w:val="none"/>
        </w:rPr>
      </w:pPr>
    </w:p>
    <w:p w14:paraId="47529BC7">
      <w:pPr>
        <w:jc w:val="center"/>
        <w:rPr>
          <w:rFonts w:hint="eastAsia" w:ascii="新宋体" w:hAnsi="新宋体" w:eastAsia="新宋体" w:cs="新宋体"/>
          <w:color w:val="auto"/>
          <w:sz w:val="28"/>
          <w:szCs w:val="28"/>
          <w:highlight w:val="none"/>
        </w:rPr>
      </w:pPr>
      <w:r>
        <w:rPr>
          <w:rFonts w:hint="eastAsia" w:ascii="宋体" w:hAnsi="宋体" w:eastAsia="宋体" w:cs="楷体"/>
          <w:sz w:val="28"/>
          <w:szCs w:val="28"/>
          <w:highlight w:val="none"/>
        </w:rPr>
        <w:t>标段</w:t>
      </w:r>
      <w:r>
        <w:rPr>
          <w:rFonts w:hint="eastAsia" w:ascii="宋体" w:hAnsi="宋体" w:eastAsia="宋体" w:cs="楷体"/>
          <w:sz w:val="28"/>
          <w:szCs w:val="28"/>
          <w:highlight w:val="none"/>
          <w:u w:val="single"/>
        </w:rPr>
        <w:t xml:space="preserve">      （标项名称）</w:t>
      </w:r>
    </w:p>
    <w:p w14:paraId="5D0FD931">
      <w:pPr>
        <w:ind w:left="-202" w:right="-202" w:firstLine="700"/>
        <w:rPr>
          <w:rFonts w:cs="新宋体" w:asciiTheme="majorEastAsia" w:hAnsiTheme="majorEastAsia" w:eastAsiaTheme="majorEastAsia"/>
          <w:color w:val="auto"/>
          <w:sz w:val="28"/>
          <w:szCs w:val="28"/>
          <w:highlight w:val="none"/>
        </w:rPr>
      </w:pPr>
    </w:p>
    <w:p w14:paraId="7C92AA12">
      <w:pPr>
        <w:pStyle w:val="14"/>
        <w:ind w:left="-202" w:right="-202" w:firstLine="700"/>
        <w:rPr>
          <w:rFonts w:cs="新宋体" w:asciiTheme="majorEastAsia" w:hAnsiTheme="majorEastAsia" w:eastAsiaTheme="majorEastAsia"/>
          <w:color w:val="auto"/>
          <w:sz w:val="28"/>
          <w:szCs w:val="28"/>
          <w:highlight w:val="none"/>
        </w:rPr>
      </w:pPr>
    </w:p>
    <w:p w14:paraId="5D8F4E92">
      <w:pPr>
        <w:pStyle w:val="14"/>
        <w:ind w:left="-202" w:right="-202" w:firstLine="700"/>
        <w:rPr>
          <w:rFonts w:cs="新宋体" w:asciiTheme="majorEastAsia" w:hAnsiTheme="majorEastAsia" w:eastAsiaTheme="majorEastAsia"/>
          <w:color w:val="auto"/>
          <w:sz w:val="28"/>
          <w:szCs w:val="28"/>
          <w:highlight w:val="none"/>
        </w:rPr>
      </w:pPr>
    </w:p>
    <w:p w14:paraId="27B10AC6">
      <w:pPr>
        <w:ind w:left="-202" w:right="-202" w:firstLine="700"/>
        <w:rPr>
          <w:rFonts w:cs="新宋体" w:asciiTheme="majorEastAsia" w:hAnsiTheme="majorEastAsia" w:eastAsiaTheme="majorEastAsia"/>
          <w:color w:val="auto"/>
          <w:sz w:val="28"/>
          <w:szCs w:val="28"/>
          <w:highlight w:val="none"/>
        </w:rPr>
      </w:pPr>
    </w:p>
    <w:p w14:paraId="66D88CE9">
      <w:pPr>
        <w:ind w:left="-202" w:right="-202" w:firstLine="700"/>
        <w:rPr>
          <w:rFonts w:cs="新宋体" w:asciiTheme="majorEastAsia" w:hAnsiTheme="majorEastAsia" w:eastAsiaTheme="majorEastAsia"/>
          <w:color w:val="auto"/>
          <w:sz w:val="28"/>
          <w:szCs w:val="28"/>
          <w:highlight w:val="none"/>
        </w:rPr>
      </w:pPr>
    </w:p>
    <w:p w14:paraId="6AE113B4">
      <w:pPr>
        <w:ind w:left="-202" w:right="-202" w:firstLine="1300"/>
        <w:jc w:val="center"/>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资格审查资料</w:t>
      </w:r>
    </w:p>
    <w:p w14:paraId="303D9191">
      <w:pPr>
        <w:spacing w:line="360" w:lineRule="auto"/>
        <w:ind w:left="-202" w:right="-202"/>
        <w:rPr>
          <w:rFonts w:cs="新宋体" w:asciiTheme="majorEastAsia" w:hAnsiTheme="majorEastAsia" w:eastAsiaTheme="majorEastAsia"/>
          <w:color w:val="auto"/>
          <w:szCs w:val="21"/>
          <w:highlight w:val="none"/>
        </w:rPr>
      </w:pPr>
    </w:p>
    <w:p w14:paraId="0386CE10">
      <w:pPr>
        <w:spacing w:line="360" w:lineRule="auto"/>
        <w:ind w:left="-202" w:right="-202"/>
        <w:rPr>
          <w:rFonts w:cs="新宋体" w:asciiTheme="majorEastAsia" w:hAnsiTheme="majorEastAsia" w:eastAsiaTheme="majorEastAsia"/>
          <w:color w:val="auto"/>
          <w:szCs w:val="21"/>
          <w:highlight w:val="none"/>
        </w:rPr>
      </w:pPr>
    </w:p>
    <w:p w14:paraId="06920624">
      <w:pPr>
        <w:spacing w:line="360" w:lineRule="auto"/>
        <w:ind w:left="-202" w:right="-202"/>
        <w:rPr>
          <w:rFonts w:cs="新宋体" w:asciiTheme="majorEastAsia" w:hAnsiTheme="majorEastAsia" w:eastAsiaTheme="majorEastAsia"/>
          <w:color w:val="auto"/>
          <w:szCs w:val="21"/>
          <w:highlight w:val="none"/>
        </w:rPr>
      </w:pPr>
    </w:p>
    <w:p w14:paraId="41075831">
      <w:pPr>
        <w:spacing w:line="360" w:lineRule="auto"/>
        <w:ind w:left="-202" w:right="-202"/>
        <w:rPr>
          <w:rFonts w:cs="新宋体" w:asciiTheme="majorEastAsia" w:hAnsiTheme="majorEastAsia" w:eastAsiaTheme="majorEastAsia"/>
          <w:color w:val="auto"/>
          <w:szCs w:val="21"/>
          <w:highlight w:val="none"/>
        </w:rPr>
      </w:pPr>
    </w:p>
    <w:p w14:paraId="49476D13">
      <w:pPr>
        <w:spacing w:line="360" w:lineRule="auto"/>
        <w:ind w:left="-202" w:right="-202"/>
        <w:rPr>
          <w:rFonts w:cs="新宋体" w:asciiTheme="majorEastAsia" w:hAnsiTheme="majorEastAsia" w:eastAsiaTheme="majorEastAsia"/>
          <w:color w:val="auto"/>
          <w:szCs w:val="21"/>
          <w:highlight w:val="none"/>
        </w:rPr>
      </w:pPr>
    </w:p>
    <w:p w14:paraId="4FBF1388">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lang w:val="en-US" w:eastAsia="zh-CN"/>
        </w:rPr>
        <w:t>供应商</w:t>
      </w:r>
      <w:r>
        <w:rPr>
          <w:rFonts w:hint="eastAsia" w:cs="新宋体" w:asciiTheme="majorEastAsia" w:hAnsiTheme="majorEastAsia" w:eastAsiaTheme="majorEastAsia"/>
          <w:color w:val="auto"/>
          <w:sz w:val="28"/>
          <w:szCs w:val="28"/>
          <w:highlight w:val="none"/>
        </w:rPr>
        <w:t>：</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5509B13D">
      <w:pPr>
        <w:ind w:left="-202" w:right="-202" w:firstLine="700"/>
        <w:rPr>
          <w:rFonts w:cs="新宋体" w:asciiTheme="majorEastAsia" w:hAnsiTheme="majorEastAsia" w:eastAsiaTheme="majorEastAsia"/>
          <w:color w:val="auto"/>
          <w:sz w:val="28"/>
          <w:szCs w:val="28"/>
          <w:highlight w:val="none"/>
          <w:u w:val="single"/>
        </w:rPr>
      </w:pPr>
    </w:p>
    <w:p w14:paraId="12DAD4B2">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5DA2DB30">
      <w:pPr>
        <w:ind w:left="-202" w:right="-202" w:firstLine="700"/>
        <w:rPr>
          <w:rFonts w:cs="新宋体" w:asciiTheme="majorEastAsia" w:hAnsiTheme="majorEastAsia" w:eastAsiaTheme="majorEastAsia"/>
          <w:color w:val="auto"/>
          <w:sz w:val="28"/>
          <w:szCs w:val="28"/>
          <w:highlight w:val="none"/>
        </w:rPr>
      </w:pPr>
    </w:p>
    <w:p w14:paraId="0B008C0A">
      <w:pPr>
        <w:overflowPunct w:val="0"/>
        <w:spacing w:line="380" w:lineRule="exact"/>
        <w:ind w:left="-202" w:right="-202" w:firstLine="2738" w:firstLineChars="978"/>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5B3B3364">
      <w:pPr>
        <w:spacing w:line="460" w:lineRule="exact"/>
        <w:ind w:left="-202" w:right="-202" w:firstLine="550"/>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br w:type="page"/>
      </w:r>
    </w:p>
    <w:p w14:paraId="40BCC83C">
      <w:pPr>
        <w:ind w:left="-202" w:right="-202" w:firstLine="1305"/>
        <w:jc w:val="center"/>
        <w:rPr>
          <w:rFonts w:cs="新宋体" w:asciiTheme="majorEastAsia" w:hAnsiTheme="majorEastAsia" w:eastAsiaTheme="majorEastAsia"/>
          <w:b/>
          <w:bCs/>
          <w:color w:val="auto"/>
          <w:sz w:val="52"/>
          <w:szCs w:val="52"/>
          <w:highlight w:val="none"/>
        </w:rPr>
      </w:pPr>
      <w:bookmarkStart w:id="18" w:name="_Toc465107614"/>
      <w:bookmarkStart w:id="19" w:name="_Toc504034734"/>
      <w:r>
        <w:rPr>
          <w:rFonts w:hint="eastAsia" w:cs="新宋体" w:asciiTheme="majorEastAsia" w:hAnsiTheme="majorEastAsia" w:eastAsiaTheme="majorEastAsia"/>
          <w:b/>
          <w:bCs/>
          <w:color w:val="auto"/>
          <w:sz w:val="52"/>
          <w:szCs w:val="52"/>
          <w:highlight w:val="none"/>
        </w:rPr>
        <w:t>目    录</w:t>
      </w:r>
    </w:p>
    <w:p w14:paraId="158C6B94">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法定代表人（单位负责人）授权书和被授权人有效身份证明。</w:t>
      </w:r>
    </w:p>
    <w:p w14:paraId="66A1CAF9">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营业执照(或事业法人登记证书或其它工商等登记证明材料)。</w:t>
      </w:r>
    </w:p>
    <w:p w14:paraId="776740EB">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资格条件承诺函</w:t>
      </w:r>
    </w:p>
    <w:p w14:paraId="6B2C50BA">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申请材料真实性声明。</w:t>
      </w:r>
    </w:p>
    <w:p w14:paraId="6BECA349">
      <w:pPr>
        <w:spacing w:before="156" w:beforeLines="50" w:after="156" w:afterLines="50" w:line="480" w:lineRule="auto"/>
        <w:ind w:left="348" w:right="-202"/>
        <w:rPr>
          <w:rFonts w:asciiTheme="majorEastAsia" w:hAnsiTheme="majorEastAsia" w:eastAsiaTheme="majorEastAsia"/>
          <w:b/>
          <w:color w:val="auto"/>
          <w:szCs w:val="22"/>
          <w:highlight w:val="none"/>
        </w:rPr>
      </w:pPr>
    </w:p>
    <w:p w14:paraId="4D95E97F">
      <w:pPr>
        <w:pStyle w:val="2"/>
        <w:numPr>
          <w:ilvl w:val="0"/>
          <w:numId w:val="0"/>
        </w:numPr>
        <w:ind w:left="420" w:right="-202"/>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br w:type="page"/>
      </w:r>
      <w:bookmarkStart w:id="20" w:name="_Toc78294256"/>
      <w:bookmarkStart w:id="21" w:name="_Toc24958617"/>
    </w:p>
    <w:p w14:paraId="0D5464CD">
      <w:pPr>
        <w:pStyle w:val="2"/>
        <w:numPr>
          <w:ilvl w:val="0"/>
          <w:numId w:val="0"/>
        </w:numPr>
        <w:ind w:left="420" w:right="-202"/>
        <w:jc w:val="center"/>
        <w:rPr>
          <w:rFonts w:hint="eastAsia" w:asciiTheme="majorEastAsia" w:hAnsiTheme="majorEastAsia" w:eastAsiaTheme="majorEastAsia"/>
          <w:color w:val="auto"/>
          <w:sz w:val="22"/>
          <w:szCs w:val="22"/>
          <w:highlight w:val="none"/>
        </w:rPr>
      </w:pPr>
    </w:p>
    <w:p w14:paraId="0230743A">
      <w:pPr>
        <w:pStyle w:val="2"/>
        <w:numPr>
          <w:ilvl w:val="0"/>
          <w:numId w:val="0"/>
        </w:numPr>
        <w:ind w:left="420" w:right="-202"/>
        <w:jc w:val="center"/>
        <w:rPr>
          <w:rFonts w:hint="eastAsia" w:asciiTheme="majorEastAsia" w:hAnsiTheme="majorEastAsia" w:eastAsiaTheme="majorEastAsia"/>
          <w:color w:val="auto"/>
          <w:sz w:val="22"/>
          <w:szCs w:val="22"/>
          <w:highlight w:val="none"/>
        </w:rPr>
      </w:pPr>
    </w:p>
    <w:p w14:paraId="68133A58">
      <w:pPr>
        <w:pStyle w:val="2"/>
        <w:numPr>
          <w:ilvl w:val="0"/>
          <w:numId w:val="0"/>
        </w:numPr>
        <w:ind w:left="420" w:right="-202"/>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法定代表人授权书</w:t>
      </w:r>
      <w:bookmarkEnd w:id="20"/>
      <w:bookmarkEnd w:id="21"/>
    </w:p>
    <w:p w14:paraId="75A4BF29">
      <w:pPr>
        <w:spacing w:line="420" w:lineRule="exact"/>
        <w:ind w:left="-202" w:right="-202" w:firstLine="552"/>
        <w:rPr>
          <w:rFonts w:asciiTheme="majorEastAsia" w:hAnsiTheme="majorEastAsia" w:eastAsiaTheme="majorEastAsia"/>
          <w:b/>
          <w:color w:val="auto"/>
          <w:szCs w:val="22"/>
          <w:highlight w:val="none"/>
        </w:rPr>
      </w:pPr>
    </w:p>
    <w:p w14:paraId="12D0A72D">
      <w:pPr>
        <w:spacing w:line="420" w:lineRule="exact"/>
        <w:rPr>
          <w:rFonts w:hint="eastAsia" w:ascii="新宋体" w:hAnsi="新宋体" w:eastAsia="新宋体"/>
          <w:color w:val="auto"/>
          <w:sz w:val="22"/>
          <w:szCs w:val="22"/>
          <w:highlight w:val="none"/>
          <w:lang w:eastAsia="zh-CN"/>
        </w:rPr>
      </w:pPr>
      <w:r>
        <w:rPr>
          <w:rFonts w:hint="eastAsia" w:ascii="新宋体" w:hAnsi="新宋体"/>
          <w:color w:val="auto"/>
          <w:sz w:val="22"/>
          <w:szCs w:val="22"/>
          <w:highlight w:val="none"/>
          <w:lang w:eastAsia="zh-CN"/>
        </w:rPr>
        <w:t>港理大（温州）技术创新研究院有限公司：</w:t>
      </w:r>
    </w:p>
    <w:p w14:paraId="116352A6">
      <w:pPr>
        <w:spacing w:line="420" w:lineRule="exact"/>
        <w:rPr>
          <w:rFonts w:asciiTheme="majorEastAsia" w:hAnsiTheme="majorEastAsia" w:eastAsiaTheme="majorEastAsia"/>
          <w:color w:val="auto"/>
          <w:szCs w:val="22"/>
          <w:highlight w:val="none"/>
        </w:rPr>
      </w:pPr>
      <w:r>
        <w:rPr>
          <w:rFonts w:hint="eastAsia" w:ascii="新宋体" w:hAnsi="新宋体" w:eastAsia="新宋体"/>
          <w:color w:val="auto"/>
          <w:sz w:val="22"/>
          <w:szCs w:val="22"/>
          <w:highlight w:val="none"/>
        </w:rPr>
        <w:t>温州市智信招标代理有限公司：</w:t>
      </w:r>
    </w:p>
    <w:p w14:paraId="68F21062">
      <w:pPr>
        <w:spacing w:line="460" w:lineRule="exact"/>
        <w:ind w:left="-202" w:right="-202" w:firstLine="550"/>
        <w:rPr>
          <w:rFonts w:asciiTheme="majorEastAsia" w:hAnsiTheme="majorEastAsia" w:eastAsiaTheme="majorEastAsia"/>
          <w:color w:val="auto"/>
          <w:szCs w:val="22"/>
          <w:highlight w:val="none"/>
          <w:u w:val="single"/>
        </w:rPr>
      </w:pPr>
    </w:p>
    <w:p w14:paraId="2EDC5CA3">
      <w:pPr>
        <w:spacing w:line="460" w:lineRule="exact"/>
        <w:ind w:left="-202" w:right="-202" w:firstLine="550" w:firstLineChars="2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全称）法定代表人</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授权</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（全权代表姓名）为全权代表，参加贵</w:t>
      </w:r>
      <w:r>
        <w:rPr>
          <w:rFonts w:hint="eastAsia" w:asciiTheme="majorEastAsia" w:hAnsiTheme="majorEastAsia" w:eastAsiaTheme="majorEastAsia"/>
          <w:color w:val="auto"/>
          <w:szCs w:val="22"/>
          <w:highlight w:val="none"/>
          <w:lang w:val="en-US" w:eastAsia="zh-CN"/>
        </w:rPr>
        <w:t>方</w:t>
      </w:r>
      <w:r>
        <w:rPr>
          <w:rFonts w:hint="eastAsia" w:asciiTheme="majorEastAsia" w:hAnsiTheme="majorEastAsia" w:eastAsiaTheme="majorEastAsia"/>
          <w:color w:val="auto"/>
          <w:szCs w:val="22"/>
          <w:highlight w:val="none"/>
        </w:rPr>
        <w:t>组织的</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采购项目</w:t>
      </w:r>
      <w:r>
        <w:rPr>
          <w:rFonts w:hint="eastAsia" w:asciiTheme="majorEastAsia" w:hAnsiTheme="majorEastAsia" w:eastAsiaTheme="majorEastAsia"/>
          <w:color w:val="auto"/>
          <w:szCs w:val="22"/>
          <w:highlight w:val="none"/>
        </w:rPr>
        <w:t>名称、编号</w:t>
      </w:r>
      <w:r>
        <w:rPr>
          <w:rFonts w:hint="eastAsia" w:asciiTheme="majorEastAsia" w:hAnsiTheme="majorEastAsia" w:eastAsiaTheme="majorEastAsia"/>
          <w:color w:val="auto"/>
          <w:szCs w:val="22"/>
          <w:highlight w:val="none"/>
          <w:lang w:eastAsia="zh-CN"/>
        </w:rPr>
        <w:t>、</w:t>
      </w:r>
      <w:r>
        <w:rPr>
          <w:rFonts w:hint="eastAsia" w:asciiTheme="majorEastAsia" w:hAnsiTheme="majorEastAsia" w:eastAsiaTheme="majorEastAsia"/>
          <w:color w:val="auto"/>
          <w:szCs w:val="22"/>
          <w:highlight w:val="none"/>
          <w:lang w:val="en-US" w:eastAsia="zh-CN"/>
        </w:rPr>
        <w:t>标段</w:t>
      </w:r>
      <w:r>
        <w:rPr>
          <w:rFonts w:hint="eastAsia" w:asciiTheme="majorEastAsia" w:hAnsiTheme="majorEastAsia" w:eastAsiaTheme="majorEastAsia"/>
          <w:color w:val="auto"/>
          <w:szCs w:val="22"/>
          <w:highlight w:val="none"/>
        </w:rPr>
        <w:t>）的招标活动，全权代表买方处理招标活动中的一切事宜。</w:t>
      </w:r>
    </w:p>
    <w:p w14:paraId="3484C22A">
      <w:pPr>
        <w:spacing w:line="460" w:lineRule="exact"/>
        <w:ind w:left="-202" w:right="-202" w:firstLine="550"/>
        <w:rPr>
          <w:rFonts w:asciiTheme="majorEastAsia" w:hAnsiTheme="majorEastAsia" w:eastAsiaTheme="majorEastAsia"/>
          <w:color w:val="auto"/>
          <w:szCs w:val="22"/>
          <w:highlight w:val="none"/>
        </w:rPr>
      </w:pPr>
    </w:p>
    <w:p w14:paraId="5098F2B8">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w:t>
      </w:r>
    </w:p>
    <w:p w14:paraId="0FCC2169">
      <w:pPr>
        <w:spacing w:line="460" w:lineRule="exact"/>
        <w:ind w:right="-202" w:firstLine="1320" w:firstLineChars="6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法定代表人 (签字或盖章)：</w:t>
      </w:r>
    </w:p>
    <w:p w14:paraId="2D36DBAF">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全称（公章）：</w:t>
      </w:r>
    </w:p>
    <w:p w14:paraId="363D084E">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日期：     年    月   日</w:t>
      </w:r>
    </w:p>
    <w:p w14:paraId="0C489A1F">
      <w:pPr>
        <w:spacing w:line="460" w:lineRule="exact"/>
        <w:ind w:left="-202" w:right="-202" w:firstLine="550"/>
        <w:rPr>
          <w:rFonts w:asciiTheme="majorEastAsia" w:hAnsiTheme="majorEastAsia" w:eastAsiaTheme="majorEastAsia"/>
          <w:color w:val="auto"/>
          <w:szCs w:val="22"/>
          <w:highlight w:val="none"/>
        </w:rPr>
      </w:pPr>
    </w:p>
    <w:p w14:paraId="530BF0F2">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附：</w:t>
      </w:r>
    </w:p>
    <w:p w14:paraId="2AEF5429">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被授权人姓名：</w:t>
      </w:r>
    </w:p>
    <w:p w14:paraId="44AF5BED">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职务：</w:t>
      </w:r>
    </w:p>
    <w:p w14:paraId="275AB413">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详细通讯地址：</w:t>
      </w:r>
    </w:p>
    <w:p w14:paraId="1ED773CA">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电话：</w:t>
      </w:r>
    </w:p>
    <w:p w14:paraId="389FCE60">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传真：</w:t>
      </w:r>
    </w:p>
    <w:p w14:paraId="543D53C9">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邮政编码:</w:t>
      </w:r>
    </w:p>
    <w:tbl>
      <w:tblPr>
        <w:tblStyle w:val="29"/>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235A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1922D5BF">
            <w:pPr>
              <w:spacing w:line="380" w:lineRule="exact"/>
              <w:ind w:left="-202" w:right="-202" w:firstLine="703"/>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lang w:eastAsia="zh-CN"/>
              </w:rPr>
              <w:t>供应商</w:t>
            </w:r>
            <w:r>
              <w:rPr>
                <w:rFonts w:hint="eastAsia" w:asciiTheme="majorEastAsia" w:hAnsiTheme="majorEastAsia" w:eastAsiaTheme="majorEastAsia"/>
                <w:b/>
                <w:color w:val="auto"/>
                <w:sz w:val="28"/>
                <w:szCs w:val="28"/>
                <w:highlight w:val="none"/>
              </w:rPr>
              <w:t>代表身份证复印件</w:t>
            </w:r>
          </w:p>
          <w:p w14:paraId="2FDA3040">
            <w:pPr>
              <w:spacing w:line="380" w:lineRule="exact"/>
              <w:ind w:left="-202" w:right="-202" w:firstLine="703"/>
              <w:jc w:val="center"/>
              <w:rPr>
                <w:rFonts w:asciiTheme="majorEastAsia" w:hAnsiTheme="majorEastAsia" w:eastAsiaTheme="majorEastAsia"/>
                <w:b/>
                <w:bCs/>
                <w:color w:val="auto"/>
                <w:sz w:val="28"/>
                <w:highlight w:val="none"/>
              </w:rPr>
            </w:pPr>
          </w:p>
        </w:tc>
      </w:tr>
    </w:tbl>
    <w:p w14:paraId="21B4267F">
      <w:pPr>
        <w:pStyle w:val="2"/>
        <w:numPr>
          <w:ilvl w:val="0"/>
          <w:numId w:val="0"/>
        </w:num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br w:type="page"/>
      </w:r>
    </w:p>
    <w:p w14:paraId="628867A3">
      <w:pPr>
        <w:pStyle w:val="2"/>
        <w:numPr>
          <w:ilvl w:val="0"/>
          <w:numId w:val="0"/>
        </w:numPr>
        <w:jc w:val="center"/>
        <w:rPr>
          <w:rFonts w:hint="eastAsia" w:asciiTheme="majorEastAsia" w:hAnsiTheme="majorEastAsia" w:eastAsiaTheme="majorEastAsia"/>
          <w:color w:val="auto"/>
          <w:sz w:val="22"/>
          <w:szCs w:val="22"/>
          <w:highlight w:val="none"/>
        </w:rPr>
      </w:pPr>
    </w:p>
    <w:p w14:paraId="5B89FD7C">
      <w:pPr>
        <w:pStyle w:val="2"/>
        <w:numPr>
          <w:ilvl w:val="0"/>
          <w:numId w:val="0"/>
        </w:numPr>
        <w:jc w:val="center"/>
        <w:rPr>
          <w:rFonts w:ascii="新宋体" w:hAnsi="新宋体" w:cs="新宋体"/>
          <w:color w:val="auto"/>
          <w:kern w:val="0"/>
          <w:sz w:val="28"/>
          <w:szCs w:val="28"/>
          <w:highlight w:val="none"/>
        </w:rPr>
      </w:pPr>
      <w:r>
        <w:rPr>
          <w:rFonts w:hint="eastAsia" w:ascii="新宋体" w:hAnsi="新宋体" w:cs="新宋体"/>
          <w:color w:val="auto"/>
          <w:kern w:val="0"/>
          <w:sz w:val="28"/>
          <w:szCs w:val="28"/>
          <w:highlight w:val="none"/>
        </w:rPr>
        <w:t>资格条件承诺函</w:t>
      </w:r>
    </w:p>
    <w:p w14:paraId="490BD5C0">
      <w:pPr>
        <w:spacing w:line="440" w:lineRule="exact"/>
        <w:ind w:right="-161" w:rightChars="-73"/>
        <w:rPr>
          <w:rFonts w:ascii="宋体" w:hAnsi="宋体" w:cs="宋体"/>
          <w:color w:val="auto"/>
          <w:szCs w:val="22"/>
          <w:highlight w:val="none"/>
        </w:rPr>
      </w:pPr>
    </w:p>
    <w:p w14:paraId="115A6465">
      <w:pPr>
        <w:spacing w:line="420" w:lineRule="exact"/>
        <w:rPr>
          <w:rFonts w:hint="eastAsia" w:ascii="新宋体" w:hAnsi="新宋体" w:eastAsia="新宋体"/>
          <w:color w:val="auto"/>
          <w:sz w:val="22"/>
          <w:szCs w:val="22"/>
          <w:highlight w:val="none"/>
          <w:lang w:eastAsia="zh-CN"/>
        </w:rPr>
      </w:pPr>
      <w:r>
        <w:rPr>
          <w:rFonts w:hint="eastAsia" w:ascii="新宋体" w:hAnsi="新宋体"/>
          <w:color w:val="auto"/>
          <w:sz w:val="22"/>
          <w:szCs w:val="22"/>
          <w:highlight w:val="none"/>
          <w:lang w:eastAsia="zh-CN"/>
        </w:rPr>
        <w:t>港理大（温州）技术创新研究院有限公司：</w:t>
      </w:r>
    </w:p>
    <w:p w14:paraId="5CCCDF73">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763460FF">
      <w:pPr>
        <w:shd w:val="clear" w:color="auto" w:fill="FFFFFF"/>
        <w:snapToGrid w:val="0"/>
        <w:spacing w:line="440" w:lineRule="exact"/>
        <w:rPr>
          <w:rFonts w:ascii="宋体" w:hAnsi="宋体" w:cs="宋体"/>
          <w:color w:val="auto"/>
          <w:szCs w:val="22"/>
          <w:highlight w:val="none"/>
        </w:rPr>
      </w:pPr>
    </w:p>
    <w:p w14:paraId="6702F5C1">
      <w:pPr>
        <w:widowControl/>
        <w:spacing w:line="44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我方参与</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（采购项目名称、编号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标段</w:t>
      </w:r>
      <w:r>
        <w:rPr>
          <w:rFonts w:hint="eastAsia" w:ascii="宋体" w:hAnsi="宋体" w:cs="宋体"/>
          <w:color w:val="auto"/>
          <w:szCs w:val="22"/>
          <w:highlight w:val="none"/>
        </w:rPr>
        <w:t>）投标响应，现郑重承诺：</w:t>
      </w:r>
    </w:p>
    <w:p w14:paraId="5D9B412F">
      <w:pPr>
        <w:widowControl/>
        <w:spacing w:line="44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1.我方符合《中华人民共和国政府采购法》第二十二条规定的资格条件，即</w:t>
      </w:r>
    </w:p>
    <w:p w14:paraId="41BD4C4E">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（1）我方具有独立承担民事责任的能力；</w:t>
      </w:r>
    </w:p>
    <w:p w14:paraId="677A77A4">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（2）我方具有良好的商业信誉和健全的财务会计制度；</w:t>
      </w:r>
    </w:p>
    <w:p w14:paraId="3974339C">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（3）我方具有履行合同所必需的设备和专业技术能力；</w:t>
      </w:r>
    </w:p>
    <w:p w14:paraId="12E4A78D">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（4）我方有依法缴纳税收和社会保障资金的良好记录；</w:t>
      </w:r>
    </w:p>
    <w:p w14:paraId="735F3357">
      <w:pPr>
        <w:widowControl/>
        <w:snapToGrid w:val="0"/>
        <w:spacing w:line="440" w:lineRule="exact"/>
        <w:ind w:left="990" w:leftChars="200" w:hanging="550" w:hangingChars="250"/>
        <w:jc w:val="left"/>
        <w:rPr>
          <w:rFonts w:ascii="宋体" w:hAnsi="宋体" w:cs="宋体"/>
          <w:color w:val="auto"/>
          <w:kern w:val="0"/>
          <w:szCs w:val="22"/>
          <w:highlight w:val="none"/>
        </w:rPr>
      </w:pPr>
      <w:r>
        <w:rPr>
          <w:rFonts w:hint="eastAsia" w:ascii="宋体" w:hAnsi="宋体" w:cs="宋体"/>
          <w:color w:val="auto"/>
          <w:kern w:val="0"/>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6026B87">
      <w:pPr>
        <w:widowControl/>
        <w:snapToGrid w:val="0"/>
        <w:spacing w:line="44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2"/>
          <w:rFonts w:hint="eastAsia" w:ascii="宋体" w:hAnsi="宋体" w:cs="宋体"/>
          <w:color w:val="auto"/>
          <w:kern w:val="0"/>
          <w:szCs w:val="22"/>
          <w:highlight w:val="none"/>
        </w:rPr>
        <w:t>www.creditchina.gov.cn）、</w:t>
      </w:r>
      <w:r>
        <w:rPr>
          <w:rStyle w:val="32"/>
          <w:rFonts w:hint="eastAsia" w:ascii="宋体" w:hAnsi="宋体" w:cs="宋体"/>
          <w:color w:val="auto"/>
          <w:kern w:val="0"/>
          <w:szCs w:val="22"/>
          <w:highlight w:val="none"/>
        </w:rPr>
        <w:fldChar w:fldCharType="end"/>
      </w:r>
      <w:r>
        <w:rPr>
          <w:rFonts w:hint="eastAsia" w:ascii="宋体" w:hAnsi="宋体" w:cs="宋体"/>
          <w:color w:val="auto"/>
          <w:kern w:val="0"/>
          <w:szCs w:val="22"/>
          <w:highlight w:val="none"/>
        </w:rPr>
        <w:t xml:space="preserve"> 中国政府采购网（www.ccgp.gov.cn）列入失信被执行人名单、重大税收违法案件当事人名单、政府采购严重违法失信行为记录名单。</w:t>
      </w:r>
    </w:p>
    <w:p w14:paraId="6652916A">
      <w:pPr>
        <w:widowControl/>
        <w:snapToGrid w:val="0"/>
        <w:spacing w:line="440" w:lineRule="exact"/>
        <w:ind w:firstLine="440" w:firstLineChars="200"/>
        <w:jc w:val="left"/>
        <w:rPr>
          <w:rFonts w:ascii="宋体" w:hAnsi="宋体" w:cs="宋体"/>
          <w:color w:val="auto"/>
          <w:kern w:val="0"/>
          <w:szCs w:val="22"/>
          <w:highlight w:val="none"/>
        </w:rPr>
      </w:pPr>
    </w:p>
    <w:p w14:paraId="704E013F">
      <w:pPr>
        <w:widowControl/>
        <w:snapToGrid w:val="0"/>
        <w:spacing w:line="440" w:lineRule="exact"/>
        <w:ind w:left="220" w:leftChars="100"/>
        <w:jc w:val="left"/>
        <w:rPr>
          <w:rFonts w:ascii="宋体" w:hAnsi="宋体" w:cs="宋体"/>
          <w:color w:val="auto"/>
          <w:kern w:val="0"/>
          <w:szCs w:val="22"/>
          <w:highlight w:val="none"/>
        </w:rPr>
      </w:pPr>
      <w:r>
        <w:rPr>
          <w:rFonts w:hint="eastAsia" w:ascii="宋体" w:hAnsi="宋体" w:cs="宋体"/>
          <w:color w:val="auto"/>
          <w:kern w:val="0"/>
          <w:szCs w:val="22"/>
          <w:highlight w:val="none"/>
        </w:rPr>
        <w:t>以上承诺如有虚假，</w:t>
      </w:r>
      <w:r>
        <w:rPr>
          <w:rFonts w:hint="eastAsia" w:ascii="宋体" w:hAnsi="宋体" w:cs="宋体"/>
          <w:color w:val="auto"/>
          <w:szCs w:val="22"/>
          <w:highlight w:val="none"/>
        </w:rPr>
        <w:t>愿接受取消</w:t>
      </w:r>
      <w:r>
        <w:rPr>
          <w:rFonts w:hint="eastAsia" w:ascii="宋体" w:hAnsi="宋体" w:cs="宋体"/>
          <w:color w:val="auto"/>
          <w:kern w:val="0"/>
          <w:szCs w:val="22"/>
          <w:highlight w:val="none"/>
        </w:rPr>
        <w:t>我方任何资格（投标/中标/签订合同）</w:t>
      </w:r>
      <w:r>
        <w:rPr>
          <w:rFonts w:hint="eastAsia" w:ascii="宋体" w:hAnsi="宋体" w:cs="宋体"/>
          <w:color w:val="auto"/>
          <w:szCs w:val="22"/>
          <w:highlight w:val="none"/>
        </w:rPr>
        <w:t>及其他任何形式的处理。</w:t>
      </w:r>
    </w:p>
    <w:p w14:paraId="5AF59DDE">
      <w:pPr>
        <w:pStyle w:val="19"/>
        <w:spacing w:line="600" w:lineRule="exact"/>
        <w:ind w:firstLine="4840" w:firstLineChars="2200"/>
        <w:rPr>
          <w:rFonts w:hAnsi="宋体" w:cs="宋体"/>
          <w:color w:val="auto"/>
          <w:sz w:val="22"/>
          <w:szCs w:val="22"/>
          <w:highlight w:val="none"/>
        </w:rPr>
      </w:pPr>
    </w:p>
    <w:p w14:paraId="48B60A0F">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2248B30F">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3A9B94FB">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68B07BF3">
      <w:pPr>
        <w:spacing w:line="380" w:lineRule="exact"/>
        <w:rPr>
          <w:rFonts w:ascii="宋体" w:hAnsi="宋体" w:cs="宋体"/>
          <w:bCs/>
          <w:color w:val="auto"/>
          <w:szCs w:val="22"/>
          <w:highlight w:val="none"/>
        </w:rPr>
      </w:pPr>
    </w:p>
    <w:p w14:paraId="1C91D03D">
      <w:pPr>
        <w:spacing w:line="380" w:lineRule="exact"/>
        <w:ind w:left="-375" w:leftChars="-171" w:hanging="1"/>
        <w:jc w:val="center"/>
        <w:rPr>
          <w:rFonts w:ascii="宋体" w:hAnsi="宋体" w:cs="宋体"/>
          <w:bCs/>
          <w:color w:val="auto"/>
          <w:szCs w:val="22"/>
          <w:highlight w:val="none"/>
        </w:rPr>
      </w:pPr>
    </w:p>
    <w:p w14:paraId="60B68ABD">
      <w:pPr>
        <w:spacing w:line="380" w:lineRule="exact"/>
        <w:ind w:left="-376" w:leftChars="-171" w:firstLine="440" w:firstLineChars="200"/>
        <w:rPr>
          <w:rFonts w:ascii="宋体" w:hAnsi="宋体" w:cs="宋体"/>
          <w:color w:val="auto"/>
          <w:szCs w:val="22"/>
          <w:highlight w:val="none"/>
          <w:u w:val="single"/>
        </w:rPr>
      </w:pPr>
      <w:r>
        <w:rPr>
          <w:rFonts w:hint="eastAsia" w:ascii="宋体" w:hAnsi="宋体" w:cs="宋体"/>
          <w:color w:val="auto"/>
          <w:szCs w:val="22"/>
          <w:highlight w:val="none"/>
        </w:rPr>
        <w:t>注：</w:t>
      </w:r>
      <w:r>
        <w:rPr>
          <w:rFonts w:hint="eastAsia" w:ascii="宋体" w:hAnsi="宋体" w:cs="宋体"/>
          <w:b/>
          <w:bCs/>
          <w:color w:val="auto"/>
          <w:szCs w:val="22"/>
          <w:highlight w:val="none"/>
          <w:u w:val="single"/>
        </w:rPr>
        <w:t>▲不提交本承诺函按无效标处理。</w:t>
      </w:r>
    </w:p>
    <w:p w14:paraId="573F2D44">
      <w:pPr>
        <w:widowControl/>
        <w:adjustRightInd w:val="0"/>
        <w:snapToGrid w:val="0"/>
        <w:spacing w:line="360" w:lineRule="auto"/>
        <w:jc w:val="center"/>
        <w:rPr>
          <w:rFonts w:hint="eastAsia" w:ascii="新宋体" w:hAnsi="新宋体" w:cs="新宋体"/>
          <w:b/>
          <w:color w:val="auto"/>
          <w:kern w:val="0"/>
          <w:sz w:val="28"/>
          <w:szCs w:val="28"/>
          <w:highlight w:val="none"/>
        </w:rPr>
      </w:pPr>
      <w:r>
        <w:rPr>
          <w:rFonts w:hint="eastAsia" w:ascii="新宋体" w:hAnsi="新宋体" w:cs="新宋体"/>
          <w:b/>
          <w:color w:val="auto"/>
          <w:kern w:val="0"/>
          <w:sz w:val="28"/>
          <w:szCs w:val="28"/>
          <w:highlight w:val="none"/>
        </w:rPr>
        <w:br w:type="page"/>
      </w:r>
    </w:p>
    <w:p w14:paraId="4AB92A94">
      <w:pPr>
        <w:widowControl/>
        <w:adjustRightInd w:val="0"/>
        <w:snapToGrid w:val="0"/>
        <w:spacing w:line="360" w:lineRule="auto"/>
        <w:jc w:val="center"/>
        <w:rPr>
          <w:rFonts w:hint="eastAsia" w:ascii="新宋体" w:hAnsi="新宋体" w:cs="新宋体"/>
          <w:b/>
          <w:color w:val="auto"/>
          <w:kern w:val="0"/>
          <w:sz w:val="28"/>
          <w:szCs w:val="28"/>
          <w:highlight w:val="none"/>
        </w:rPr>
      </w:pPr>
    </w:p>
    <w:p w14:paraId="29375FF8">
      <w:pPr>
        <w:widowControl/>
        <w:adjustRightInd w:val="0"/>
        <w:snapToGrid w:val="0"/>
        <w:spacing w:line="360" w:lineRule="auto"/>
        <w:jc w:val="center"/>
        <w:rPr>
          <w:rFonts w:ascii="新宋体" w:hAnsi="新宋体" w:cs="新宋体"/>
          <w:b/>
          <w:color w:val="auto"/>
          <w:kern w:val="0"/>
          <w:sz w:val="28"/>
          <w:szCs w:val="28"/>
          <w:highlight w:val="none"/>
        </w:rPr>
      </w:pPr>
      <w:r>
        <w:rPr>
          <w:rFonts w:hint="eastAsia" w:ascii="新宋体" w:hAnsi="新宋体" w:cs="新宋体"/>
          <w:b/>
          <w:color w:val="auto"/>
          <w:kern w:val="0"/>
          <w:sz w:val="28"/>
          <w:szCs w:val="28"/>
          <w:highlight w:val="none"/>
        </w:rPr>
        <w:t>申请材料真实性声明</w:t>
      </w:r>
    </w:p>
    <w:p w14:paraId="79270DA6">
      <w:pPr>
        <w:widowControl/>
        <w:adjustRightInd w:val="0"/>
        <w:snapToGrid w:val="0"/>
        <w:spacing w:line="360" w:lineRule="auto"/>
        <w:jc w:val="center"/>
        <w:rPr>
          <w:rFonts w:ascii="新宋体" w:hAnsi="新宋体" w:cs="新宋体"/>
          <w:b/>
          <w:color w:val="auto"/>
          <w:kern w:val="0"/>
          <w:sz w:val="28"/>
          <w:szCs w:val="28"/>
          <w:highlight w:val="none"/>
        </w:rPr>
      </w:pPr>
    </w:p>
    <w:p w14:paraId="65826028">
      <w:pPr>
        <w:spacing w:line="420" w:lineRule="exact"/>
        <w:rPr>
          <w:rFonts w:hint="eastAsia" w:ascii="新宋体" w:hAnsi="新宋体" w:eastAsia="新宋体"/>
          <w:color w:val="auto"/>
          <w:sz w:val="22"/>
          <w:szCs w:val="22"/>
          <w:highlight w:val="none"/>
          <w:lang w:eastAsia="zh-CN"/>
        </w:rPr>
      </w:pPr>
      <w:r>
        <w:rPr>
          <w:rFonts w:hint="eastAsia" w:ascii="新宋体" w:hAnsi="新宋体"/>
          <w:color w:val="auto"/>
          <w:sz w:val="22"/>
          <w:szCs w:val="22"/>
          <w:highlight w:val="none"/>
          <w:lang w:eastAsia="zh-CN"/>
        </w:rPr>
        <w:t>港理大（温州）技术创新研究院有限公司：</w:t>
      </w:r>
    </w:p>
    <w:p w14:paraId="0113F951">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0F19FB65">
      <w:pPr>
        <w:widowControl/>
        <w:adjustRightInd w:val="0"/>
        <w:snapToGrid w:val="0"/>
        <w:spacing w:line="360" w:lineRule="auto"/>
        <w:jc w:val="left"/>
        <w:rPr>
          <w:rFonts w:ascii="新宋体" w:hAnsi="新宋体" w:cs="新宋体"/>
          <w:color w:val="auto"/>
          <w:kern w:val="0"/>
          <w:szCs w:val="22"/>
          <w:highlight w:val="none"/>
        </w:rPr>
      </w:pPr>
    </w:p>
    <w:p w14:paraId="1EF8D01A">
      <w:pPr>
        <w:widowControl/>
        <w:adjustRightInd w:val="0"/>
        <w:snapToGrid w:val="0"/>
        <w:spacing w:line="360" w:lineRule="auto"/>
        <w:ind w:firstLine="440" w:firstLineChars="200"/>
        <w:jc w:val="left"/>
        <w:rPr>
          <w:rFonts w:ascii="新宋体" w:hAnsi="新宋体" w:cs="新宋体"/>
          <w:color w:val="auto"/>
          <w:kern w:val="0"/>
          <w:szCs w:val="22"/>
          <w:highlight w:val="none"/>
        </w:rPr>
      </w:pPr>
      <w:r>
        <w:rPr>
          <w:rFonts w:hint="eastAsia" w:ascii="新宋体" w:hAnsi="新宋体" w:cs="新宋体"/>
          <w:color w:val="auto"/>
          <w:kern w:val="0"/>
          <w:szCs w:val="22"/>
          <w:highlight w:val="none"/>
        </w:rPr>
        <w:t>我单位此次响应参与</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（采购项目名称、编号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标段</w:t>
      </w:r>
      <w:r>
        <w:rPr>
          <w:rFonts w:hint="eastAsia" w:ascii="宋体" w:hAnsi="宋体" w:cs="宋体"/>
          <w:color w:val="auto"/>
          <w:szCs w:val="22"/>
          <w:highlight w:val="none"/>
        </w:rPr>
        <w:t>）采购活动</w:t>
      </w:r>
      <w:r>
        <w:rPr>
          <w:rFonts w:hint="eastAsia" w:ascii="新宋体" w:hAnsi="新宋体" w:cs="新宋体"/>
          <w:color w:val="auto"/>
          <w:kern w:val="0"/>
          <w:szCs w:val="22"/>
          <w:highlight w:val="none"/>
        </w:rPr>
        <w:t>所提交的全部材料均真实、合法。如有不实之处，愿负相应的法律责任，并承担由此产生的一切后果。</w:t>
      </w:r>
    </w:p>
    <w:p w14:paraId="1A12F078">
      <w:pPr>
        <w:widowControl/>
        <w:adjustRightInd w:val="0"/>
        <w:snapToGrid w:val="0"/>
        <w:spacing w:line="360" w:lineRule="auto"/>
        <w:ind w:firstLine="440" w:firstLineChars="200"/>
        <w:jc w:val="left"/>
        <w:rPr>
          <w:rFonts w:ascii="新宋体" w:hAnsi="新宋体" w:cs="新宋体"/>
          <w:color w:val="auto"/>
          <w:kern w:val="0"/>
          <w:szCs w:val="22"/>
          <w:highlight w:val="none"/>
        </w:rPr>
      </w:pPr>
    </w:p>
    <w:p w14:paraId="391A651C">
      <w:pPr>
        <w:widowControl/>
        <w:adjustRightInd w:val="0"/>
        <w:snapToGrid w:val="0"/>
        <w:spacing w:line="360" w:lineRule="auto"/>
        <w:ind w:firstLine="440" w:firstLineChars="200"/>
        <w:jc w:val="left"/>
        <w:rPr>
          <w:rFonts w:ascii="新宋体" w:hAnsi="新宋体" w:cs="新宋体"/>
          <w:color w:val="auto"/>
          <w:kern w:val="0"/>
          <w:szCs w:val="22"/>
          <w:highlight w:val="none"/>
        </w:rPr>
      </w:pPr>
      <w:r>
        <w:rPr>
          <w:rFonts w:hint="eastAsia" w:ascii="新宋体" w:hAnsi="新宋体" w:cs="新宋体"/>
          <w:color w:val="auto"/>
          <w:kern w:val="0"/>
          <w:szCs w:val="22"/>
          <w:highlight w:val="none"/>
        </w:rPr>
        <w:t>特此声明。</w:t>
      </w:r>
    </w:p>
    <w:p w14:paraId="641BB4CD">
      <w:pPr>
        <w:widowControl/>
        <w:adjustRightInd w:val="0"/>
        <w:snapToGrid w:val="0"/>
        <w:spacing w:line="360" w:lineRule="auto"/>
        <w:ind w:firstLine="440" w:firstLineChars="200"/>
        <w:jc w:val="left"/>
        <w:rPr>
          <w:rFonts w:ascii="新宋体" w:hAnsi="新宋体" w:cs="新宋体"/>
          <w:color w:val="auto"/>
          <w:kern w:val="0"/>
          <w:szCs w:val="22"/>
          <w:highlight w:val="none"/>
        </w:rPr>
      </w:pPr>
    </w:p>
    <w:p w14:paraId="36CCB4C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9B42AF8">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6F402873">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1ADE4664">
      <w:pPr>
        <w:pStyle w:val="14"/>
        <w:ind w:firstLine="321"/>
        <w:rPr>
          <w:rFonts w:ascii="宋体" w:hAnsi="宋体"/>
          <w:color w:val="auto"/>
          <w:highlight w:val="none"/>
        </w:rPr>
      </w:pPr>
    </w:p>
    <w:p w14:paraId="5019D538">
      <w:pPr>
        <w:widowControl/>
        <w:adjustRightInd w:val="0"/>
        <w:snapToGrid w:val="0"/>
        <w:spacing w:line="360" w:lineRule="auto"/>
        <w:ind w:firstLine="440" w:firstLineChars="200"/>
        <w:jc w:val="left"/>
        <w:rPr>
          <w:rFonts w:ascii="宋体" w:hAnsi="宋体"/>
          <w:color w:val="auto"/>
          <w:kern w:val="0"/>
          <w:szCs w:val="22"/>
          <w:highlight w:val="none"/>
        </w:rPr>
      </w:pPr>
    </w:p>
    <w:p w14:paraId="7606C63C">
      <w:pPr>
        <w:spacing w:line="440" w:lineRule="exact"/>
        <w:ind w:left="-202" w:right="-202" w:firstLine="550"/>
        <w:rPr>
          <w:rFonts w:asciiTheme="majorEastAsia" w:hAnsiTheme="majorEastAsia" w:eastAsiaTheme="majorEastAsia"/>
          <w:color w:val="auto"/>
          <w:szCs w:val="22"/>
          <w:highlight w:val="none"/>
          <w:u w:val="single"/>
        </w:rPr>
      </w:pPr>
      <w:r>
        <w:rPr>
          <w:rFonts w:hint="eastAsia" w:ascii="宋体" w:hAnsi="宋体" w:cs="宋体"/>
          <w:color w:val="auto"/>
          <w:szCs w:val="22"/>
          <w:highlight w:val="none"/>
        </w:rPr>
        <w:t>注：</w:t>
      </w:r>
      <w:r>
        <w:rPr>
          <w:rFonts w:hint="eastAsia" w:ascii="宋体" w:hAnsi="宋体" w:cs="宋体"/>
          <w:b/>
          <w:bCs/>
          <w:color w:val="auto"/>
          <w:szCs w:val="22"/>
          <w:highlight w:val="none"/>
          <w:u w:val="single"/>
        </w:rPr>
        <w:t>▲不提交本声明函按无效标处理</w:t>
      </w:r>
      <w:r>
        <w:rPr>
          <w:rFonts w:hint="eastAsia" w:asciiTheme="majorEastAsia" w:hAnsiTheme="majorEastAsia" w:eastAsiaTheme="majorEastAsia"/>
          <w:color w:val="auto"/>
          <w:szCs w:val="22"/>
          <w:highlight w:val="none"/>
          <w:u w:val="single"/>
        </w:rPr>
        <w:t xml:space="preserve">                               </w:t>
      </w:r>
    </w:p>
    <w:p w14:paraId="3AA90D01">
      <w:pPr>
        <w:pStyle w:val="14"/>
        <w:ind w:left="-202" w:right="-202" w:firstLine="550"/>
        <w:rPr>
          <w:rFonts w:asciiTheme="majorEastAsia" w:hAnsiTheme="majorEastAsia" w:eastAsiaTheme="majorEastAsia"/>
          <w:color w:val="auto"/>
          <w:szCs w:val="22"/>
          <w:highlight w:val="none"/>
          <w:u w:val="single"/>
        </w:rPr>
      </w:pPr>
    </w:p>
    <w:p w14:paraId="604B0A6E">
      <w:pPr>
        <w:spacing w:line="360" w:lineRule="auto"/>
        <w:ind w:left="-202" w:right="-202" w:firstLine="550"/>
        <w:rPr>
          <w:rFonts w:asciiTheme="majorEastAsia" w:hAnsiTheme="majorEastAsia" w:eastAsiaTheme="majorEastAsia"/>
          <w:color w:val="auto"/>
          <w:szCs w:val="22"/>
          <w:highlight w:val="none"/>
        </w:rPr>
      </w:pPr>
    </w:p>
    <w:p w14:paraId="3B5429E4">
      <w:pPr>
        <w:pStyle w:val="14"/>
        <w:ind w:left="-202" w:right="-202" w:firstLine="600"/>
        <w:rPr>
          <w:rFonts w:asciiTheme="majorEastAsia" w:hAnsiTheme="majorEastAsia" w:eastAsiaTheme="majorEastAsia"/>
          <w:color w:val="auto"/>
          <w:highlight w:val="none"/>
        </w:rPr>
      </w:pPr>
    </w:p>
    <w:p w14:paraId="390672A3">
      <w:pPr>
        <w:pStyle w:val="2"/>
        <w:numPr>
          <w:ilvl w:val="0"/>
          <w:numId w:val="0"/>
        </w:numPr>
        <w:ind w:left="113" w:right="-202"/>
        <w:rPr>
          <w:rFonts w:asciiTheme="majorEastAsia" w:hAnsiTheme="majorEastAsia" w:eastAsiaTheme="majorEastAsia"/>
          <w:color w:val="auto"/>
          <w:highlight w:val="none"/>
        </w:rPr>
      </w:pPr>
      <w:r>
        <w:rPr>
          <w:rFonts w:hint="eastAsia" w:cs="新宋体" w:asciiTheme="majorEastAsia" w:hAnsiTheme="majorEastAsia" w:eastAsiaTheme="majorEastAsia"/>
          <w:color w:val="auto"/>
          <w:sz w:val="21"/>
          <w:szCs w:val="21"/>
          <w:highlight w:val="none"/>
        </w:rPr>
        <w:br w:type="page"/>
      </w:r>
      <w:bookmarkStart w:id="22" w:name="_Toc24958619"/>
      <w:bookmarkStart w:id="23" w:name="_Toc78294258"/>
      <w:r>
        <w:rPr>
          <w:rFonts w:hint="eastAsia" w:asciiTheme="majorEastAsia" w:hAnsiTheme="majorEastAsia" w:eastAsiaTheme="majorEastAsia"/>
          <w:color w:val="auto"/>
          <w:highlight w:val="none"/>
        </w:rPr>
        <w:t>（技术资信标封面，供参考）</w:t>
      </w:r>
      <w:bookmarkEnd w:id="18"/>
      <w:bookmarkEnd w:id="19"/>
      <w:bookmarkEnd w:id="22"/>
      <w:bookmarkEnd w:id="23"/>
    </w:p>
    <w:p w14:paraId="4D835F1D">
      <w:pPr>
        <w:ind w:left="-202" w:right="-202"/>
        <w:rPr>
          <w:rFonts w:cs="新宋体" w:asciiTheme="majorEastAsia" w:hAnsiTheme="majorEastAsia" w:eastAsiaTheme="majorEastAsia"/>
          <w:color w:val="auto"/>
          <w:highlight w:val="none"/>
        </w:rPr>
      </w:pPr>
    </w:p>
    <w:p w14:paraId="0DD62703">
      <w:pPr>
        <w:ind w:left="-202" w:right="-202"/>
        <w:rPr>
          <w:rFonts w:cs="新宋体" w:asciiTheme="majorEastAsia" w:hAnsiTheme="majorEastAsia" w:eastAsiaTheme="majorEastAsia"/>
          <w:color w:val="auto"/>
          <w:highlight w:val="none"/>
        </w:rPr>
      </w:pPr>
    </w:p>
    <w:p w14:paraId="232DE7A8">
      <w:pPr>
        <w:ind w:left="-202" w:right="-202"/>
        <w:rPr>
          <w:rFonts w:cs="新宋体" w:asciiTheme="majorEastAsia" w:hAnsiTheme="majorEastAsia" w:eastAsiaTheme="majorEastAsia"/>
          <w:color w:val="auto"/>
          <w:highlight w:val="none"/>
        </w:rPr>
      </w:pPr>
    </w:p>
    <w:p w14:paraId="374B7663">
      <w:pPr>
        <w:ind w:left="-202" w:right="-202" w:firstLine="700"/>
        <w:jc w:val="center"/>
        <w:rPr>
          <w:rFonts w:cs="新宋体" w:asciiTheme="majorEastAsia" w:hAnsiTheme="majorEastAsia" w:eastAsiaTheme="majorEastAsia"/>
          <w:color w:val="auto"/>
          <w:sz w:val="28"/>
          <w:szCs w:val="28"/>
          <w:highlight w:val="none"/>
          <w:u w:val="singl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 xml:space="preserve"> 投标文件</w:t>
      </w:r>
    </w:p>
    <w:p w14:paraId="06F16192">
      <w:pPr>
        <w:ind w:left="-202" w:right="-202" w:firstLine="700"/>
        <w:rPr>
          <w:rFonts w:cs="新宋体" w:asciiTheme="majorEastAsia" w:hAnsiTheme="majorEastAsia" w:eastAsiaTheme="majorEastAsia"/>
          <w:color w:val="auto"/>
          <w:sz w:val="28"/>
          <w:szCs w:val="28"/>
          <w:highlight w:val="none"/>
          <w:u w:val="single"/>
        </w:rPr>
      </w:pPr>
    </w:p>
    <w:p w14:paraId="5616CE7C">
      <w:pPr>
        <w:pStyle w:val="14"/>
        <w:tabs>
          <w:tab w:val="left" w:pos="1951"/>
        </w:tabs>
        <w:ind w:firstLine="280"/>
        <w:jc w:val="center"/>
        <w:rPr>
          <w:rFonts w:ascii="宋体" w:hAnsi="宋体" w:eastAsia="宋体" w:cs="楷体"/>
          <w:sz w:val="28"/>
          <w:szCs w:val="28"/>
          <w:highlight w:val="none"/>
        </w:rPr>
      </w:pPr>
      <w:r>
        <w:rPr>
          <w:rFonts w:hint="eastAsia" w:ascii="宋体" w:hAnsi="宋体" w:eastAsia="宋体" w:cs="楷体"/>
          <w:sz w:val="28"/>
          <w:szCs w:val="28"/>
          <w:highlight w:val="none"/>
        </w:rPr>
        <w:t>标段</w:t>
      </w:r>
      <w:r>
        <w:rPr>
          <w:rFonts w:hint="eastAsia" w:ascii="宋体" w:hAnsi="宋体" w:eastAsia="宋体" w:cs="楷体"/>
          <w:sz w:val="28"/>
          <w:szCs w:val="28"/>
          <w:highlight w:val="none"/>
          <w:u w:val="single"/>
        </w:rPr>
        <w:t xml:space="preserve">      （标项名称）</w:t>
      </w:r>
    </w:p>
    <w:p w14:paraId="5F5E5FA6">
      <w:pPr>
        <w:ind w:left="-202" w:right="-202" w:firstLine="700"/>
        <w:rPr>
          <w:rFonts w:cs="新宋体" w:asciiTheme="majorEastAsia" w:hAnsiTheme="majorEastAsia" w:eastAsiaTheme="majorEastAsia"/>
          <w:color w:val="auto"/>
          <w:sz w:val="28"/>
          <w:szCs w:val="28"/>
          <w:highlight w:val="none"/>
        </w:rPr>
      </w:pPr>
    </w:p>
    <w:p w14:paraId="223E5249">
      <w:pPr>
        <w:pStyle w:val="14"/>
        <w:ind w:left="-202" w:right="-202" w:firstLine="700"/>
        <w:rPr>
          <w:rFonts w:cs="新宋体" w:asciiTheme="majorEastAsia" w:hAnsiTheme="majorEastAsia" w:eastAsiaTheme="majorEastAsia"/>
          <w:color w:val="auto"/>
          <w:sz w:val="28"/>
          <w:szCs w:val="28"/>
          <w:highlight w:val="none"/>
        </w:rPr>
      </w:pPr>
    </w:p>
    <w:p w14:paraId="7B42D84B">
      <w:pPr>
        <w:pStyle w:val="14"/>
        <w:ind w:left="-202" w:right="-202" w:firstLine="700"/>
        <w:rPr>
          <w:rFonts w:cs="新宋体" w:asciiTheme="majorEastAsia" w:hAnsiTheme="majorEastAsia" w:eastAsiaTheme="majorEastAsia"/>
          <w:color w:val="auto"/>
          <w:sz w:val="28"/>
          <w:szCs w:val="28"/>
          <w:highlight w:val="none"/>
        </w:rPr>
      </w:pPr>
    </w:p>
    <w:p w14:paraId="4F3EDE4E">
      <w:pPr>
        <w:ind w:left="-202" w:right="-202" w:firstLine="700"/>
        <w:rPr>
          <w:rFonts w:cs="新宋体" w:asciiTheme="majorEastAsia" w:hAnsiTheme="majorEastAsia" w:eastAsiaTheme="majorEastAsia"/>
          <w:color w:val="auto"/>
          <w:sz w:val="28"/>
          <w:szCs w:val="28"/>
          <w:highlight w:val="none"/>
        </w:rPr>
      </w:pPr>
    </w:p>
    <w:p w14:paraId="6612A52E">
      <w:pPr>
        <w:ind w:left="-202" w:right="-202" w:firstLine="700"/>
        <w:rPr>
          <w:rFonts w:cs="新宋体" w:asciiTheme="majorEastAsia" w:hAnsiTheme="majorEastAsia" w:eastAsiaTheme="majorEastAsia"/>
          <w:color w:val="auto"/>
          <w:sz w:val="28"/>
          <w:szCs w:val="28"/>
          <w:highlight w:val="none"/>
        </w:rPr>
      </w:pPr>
    </w:p>
    <w:p w14:paraId="298253DC">
      <w:pPr>
        <w:ind w:left="-202" w:right="-202" w:firstLine="1300"/>
        <w:jc w:val="center"/>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技 术 资 信 标</w:t>
      </w:r>
    </w:p>
    <w:p w14:paraId="7FA64697">
      <w:pPr>
        <w:spacing w:line="360" w:lineRule="auto"/>
        <w:ind w:left="-202" w:right="-202"/>
        <w:rPr>
          <w:rFonts w:cs="新宋体" w:asciiTheme="majorEastAsia" w:hAnsiTheme="majorEastAsia" w:eastAsiaTheme="majorEastAsia"/>
          <w:color w:val="auto"/>
          <w:szCs w:val="21"/>
          <w:highlight w:val="none"/>
        </w:rPr>
      </w:pPr>
    </w:p>
    <w:p w14:paraId="2EC879EE">
      <w:pPr>
        <w:spacing w:line="360" w:lineRule="auto"/>
        <w:ind w:left="-202" w:right="-202"/>
        <w:rPr>
          <w:rFonts w:cs="新宋体" w:asciiTheme="majorEastAsia" w:hAnsiTheme="majorEastAsia" w:eastAsiaTheme="majorEastAsia"/>
          <w:color w:val="auto"/>
          <w:szCs w:val="21"/>
          <w:highlight w:val="none"/>
        </w:rPr>
      </w:pPr>
    </w:p>
    <w:p w14:paraId="6DBE5E7F">
      <w:pPr>
        <w:spacing w:line="360" w:lineRule="auto"/>
        <w:ind w:left="-202" w:right="-202"/>
        <w:rPr>
          <w:rFonts w:cs="新宋体" w:asciiTheme="majorEastAsia" w:hAnsiTheme="majorEastAsia" w:eastAsiaTheme="majorEastAsia"/>
          <w:color w:val="auto"/>
          <w:szCs w:val="21"/>
          <w:highlight w:val="none"/>
        </w:rPr>
      </w:pPr>
    </w:p>
    <w:p w14:paraId="7589BD63">
      <w:pPr>
        <w:spacing w:line="360" w:lineRule="auto"/>
        <w:ind w:left="-202" w:right="-202"/>
        <w:rPr>
          <w:rFonts w:cs="新宋体" w:asciiTheme="majorEastAsia" w:hAnsiTheme="majorEastAsia" w:eastAsiaTheme="majorEastAsia"/>
          <w:color w:val="auto"/>
          <w:szCs w:val="21"/>
          <w:highlight w:val="none"/>
        </w:rPr>
      </w:pPr>
    </w:p>
    <w:p w14:paraId="6B49FD89">
      <w:pPr>
        <w:pStyle w:val="14"/>
        <w:ind w:left="-202" w:right="-202" w:firstLine="600"/>
        <w:rPr>
          <w:rFonts w:asciiTheme="majorEastAsia" w:hAnsiTheme="majorEastAsia" w:eastAsiaTheme="majorEastAsia"/>
          <w:color w:val="auto"/>
          <w:highlight w:val="none"/>
        </w:rPr>
      </w:pPr>
    </w:p>
    <w:p w14:paraId="38AB5DE9">
      <w:pPr>
        <w:spacing w:line="360" w:lineRule="auto"/>
        <w:ind w:left="-202" w:right="-202"/>
        <w:rPr>
          <w:rFonts w:cs="新宋体" w:asciiTheme="majorEastAsia" w:hAnsiTheme="majorEastAsia" w:eastAsiaTheme="majorEastAsia"/>
          <w:color w:val="auto"/>
          <w:szCs w:val="21"/>
          <w:highlight w:val="none"/>
        </w:rPr>
      </w:pPr>
    </w:p>
    <w:p w14:paraId="4D9CF22F">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lang w:val="en-US" w:eastAsia="zh-CN"/>
        </w:rPr>
        <w:t>供应商</w:t>
      </w:r>
      <w:r>
        <w:rPr>
          <w:rFonts w:hint="eastAsia" w:cs="新宋体" w:asciiTheme="majorEastAsia" w:hAnsiTheme="majorEastAsia" w:eastAsiaTheme="majorEastAsia"/>
          <w:color w:val="auto"/>
          <w:sz w:val="28"/>
          <w:szCs w:val="28"/>
          <w:highlight w:val="none"/>
        </w:rPr>
        <w:t>：</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156E5FC6">
      <w:pPr>
        <w:ind w:left="-202" w:right="-202" w:firstLine="700"/>
        <w:rPr>
          <w:rFonts w:cs="新宋体" w:asciiTheme="majorEastAsia" w:hAnsiTheme="majorEastAsia" w:eastAsiaTheme="majorEastAsia"/>
          <w:color w:val="auto"/>
          <w:sz w:val="28"/>
          <w:szCs w:val="28"/>
          <w:highlight w:val="none"/>
          <w:u w:val="single"/>
        </w:rPr>
      </w:pPr>
    </w:p>
    <w:p w14:paraId="00A691A2">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566F44B9">
      <w:pPr>
        <w:ind w:left="-202" w:right="-202" w:firstLine="700"/>
        <w:rPr>
          <w:rFonts w:cs="新宋体" w:asciiTheme="majorEastAsia" w:hAnsiTheme="majorEastAsia" w:eastAsiaTheme="majorEastAsia"/>
          <w:color w:val="auto"/>
          <w:sz w:val="28"/>
          <w:szCs w:val="28"/>
          <w:highlight w:val="none"/>
        </w:rPr>
      </w:pPr>
    </w:p>
    <w:p w14:paraId="3A3E08F9">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3F657A7F">
      <w:pPr>
        <w:pStyle w:val="14"/>
        <w:ind w:left="-202" w:right="-202" w:firstLine="600"/>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highlight w:val="none"/>
        </w:rPr>
        <w:br w:type="page"/>
      </w:r>
    </w:p>
    <w:p w14:paraId="19790F48">
      <w:pPr>
        <w:ind w:left="-202" w:right="-202" w:firstLine="1305"/>
        <w:jc w:val="center"/>
        <w:rPr>
          <w:rFonts w:cs="新宋体" w:asciiTheme="majorEastAsia" w:hAnsiTheme="majorEastAsia" w:eastAsiaTheme="majorEastAsia"/>
          <w:b/>
          <w:bCs/>
          <w:color w:val="auto"/>
          <w:sz w:val="52"/>
          <w:szCs w:val="52"/>
          <w:highlight w:val="none"/>
        </w:rPr>
      </w:pPr>
      <w:bookmarkStart w:id="24" w:name="_Toc152045787"/>
      <w:bookmarkStart w:id="25" w:name="_Toc247527827"/>
      <w:bookmarkStart w:id="26" w:name="_Toc247514246"/>
      <w:bookmarkStart w:id="27" w:name="_Toc144974856"/>
      <w:bookmarkStart w:id="28" w:name="_Toc152042576"/>
      <w:bookmarkStart w:id="29" w:name="_Toc465107615"/>
      <w:r>
        <w:rPr>
          <w:rFonts w:hint="eastAsia" w:cs="新宋体" w:asciiTheme="majorEastAsia" w:hAnsiTheme="majorEastAsia" w:eastAsiaTheme="majorEastAsia"/>
          <w:b/>
          <w:bCs/>
          <w:color w:val="auto"/>
          <w:sz w:val="52"/>
          <w:szCs w:val="52"/>
          <w:highlight w:val="none"/>
        </w:rPr>
        <w:t>目    录</w:t>
      </w:r>
      <w:bookmarkEnd w:id="24"/>
      <w:bookmarkEnd w:id="25"/>
      <w:bookmarkEnd w:id="26"/>
      <w:bookmarkEnd w:id="27"/>
      <w:bookmarkEnd w:id="28"/>
      <w:bookmarkEnd w:id="29"/>
    </w:p>
    <w:p w14:paraId="29979828">
      <w:pPr>
        <w:spacing w:line="540" w:lineRule="exact"/>
        <w:ind w:left="-202" w:right="-202"/>
        <w:rPr>
          <w:rFonts w:cs="宋体" w:asciiTheme="majorEastAsia" w:hAnsiTheme="majorEastAsia" w:eastAsiaTheme="majorEastAsia"/>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091"/>
      </w:tblGrid>
      <w:tr w14:paraId="723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3" w:type="dxa"/>
            <w:noWrap w:val="0"/>
            <w:vAlign w:val="center"/>
          </w:tcPr>
          <w:p w14:paraId="1F7F759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091" w:type="dxa"/>
            <w:noWrap w:val="0"/>
            <w:vAlign w:val="center"/>
          </w:tcPr>
          <w:p w14:paraId="03272A7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7413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1606C4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91" w:type="dxa"/>
            <w:noWrap w:val="0"/>
            <w:vAlign w:val="center"/>
          </w:tcPr>
          <w:p w14:paraId="744D50EB">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41EB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1F11805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091" w:type="dxa"/>
            <w:noWrap w:val="0"/>
            <w:vAlign w:val="center"/>
          </w:tcPr>
          <w:p w14:paraId="49F99732">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要求应答表</w:t>
            </w:r>
            <w:r>
              <w:rPr>
                <w:rFonts w:hint="eastAsia" w:ascii="新宋体" w:hAnsi="新宋体" w:eastAsia="新宋体" w:cs="新宋体"/>
                <w:color w:val="auto"/>
                <w:sz w:val="22"/>
                <w:szCs w:val="22"/>
                <w:highlight w:val="none"/>
              </w:rPr>
              <w:t>、商务条款偏离表</w:t>
            </w:r>
          </w:p>
        </w:tc>
      </w:tr>
      <w:tr w14:paraId="5BA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3C1413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091" w:type="dxa"/>
            <w:noWrap w:val="0"/>
            <w:vAlign w:val="center"/>
          </w:tcPr>
          <w:p w14:paraId="1EA6042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设备供货范围详细清单、随机附件及备品备件、专用工具一览表、供业主选购的设备及备品备件一览表</w:t>
            </w:r>
          </w:p>
        </w:tc>
      </w:tr>
      <w:tr w14:paraId="1F3B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695477B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091" w:type="dxa"/>
            <w:noWrap w:val="0"/>
            <w:vAlign w:val="center"/>
          </w:tcPr>
          <w:p w14:paraId="1446288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设备的主要技术、结构、性能、特点和质量水平的详细描述</w:t>
            </w:r>
          </w:p>
        </w:tc>
      </w:tr>
      <w:tr w14:paraId="67FB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5AEAD4E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091" w:type="dxa"/>
            <w:noWrap w:val="0"/>
            <w:vAlign w:val="center"/>
          </w:tcPr>
          <w:p w14:paraId="1823E1E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设备及系统的</w:t>
            </w:r>
            <w:r>
              <w:rPr>
                <w:rFonts w:hint="eastAsia" w:ascii="新宋体" w:hAnsi="新宋体" w:eastAsia="新宋体" w:cs="新宋体"/>
                <w:color w:val="auto"/>
                <w:sz w:val="22"/>
                <w:szCs w:val="22"/>
                <w:highlight w:val="none"/>
                <w:lang w:val="en-US" w:eastAsia="zh-CN"/>
              </w:rPr>
              <w:t>供货</w:t>
            </w:r>
            <w:r>
              <w:rPr>
                <w:rFonts w:hint="eastAsia" w:ascii="新宋体" w:hAnsi="新宋体" w:eastAsia="新宋体" w:cs="新宋体"/>
                <w:color w:val="auto"/>
                <w:sz w:val="22"/>
                <w:szCs w:val="22"/>
                <w:highlight w:val="none"/>
              </w:rPr>
              <w:t>安装实施方案、验收标准和验收方法的详细介绍</w:t>
            </w:r>
          </w:p>
        </w:tc>
      </w:tr>
      <w:tr w14:paraId="0969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06FAE1A1">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9091" w:type="dxa"/>
            <w:noWrap w:val="0"/>
            <w:vAlign w:val="center"/>
          </w:tcPr>
          <w:p w14:paraId="5F12915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年</w:t>
            </w:r>
            <w:r>
              <w:rPr>
                <w:rFonts w:hint="eastAsia" w:ascii="新宋体" w:hAnsi="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月1日</w:t>
            </w:r>
            <w:r>
              <w:rPr>
                <w:rFonts w:hint="eastAsia" w:ascii="新宋体" w:hAnsi="新宋体" w:eastAsia="新宋体" w:cs="新宋体"/>
                <w:color w:val="auto"/>
                <w:sz w:val="22"/>
                <w:szCs w:val="22"/>
                <w:highlight w:val="none"/>
              </w:rPr>
              <w:t>至今</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eastAsia="zh-CN"/>
              </w:rPr>
              <w:t>产品</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p>
        </w:tc>
      </w:tr>
      <w:tr w14:paraId="18F9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794BC064">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9091" w:type="dxa"/>
            <w:noWrap w:val="0"/>
            <w:vAlign w:val="center"/>
          </w:tcPr>
          <w:p w14:paraId="1FB94315">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售后服务详细的计划方案说明与承诺、产品的质量保证期，故障响应修复时间方式及保障措施，质保期外服务收费内容、产品配件价格清单及保证措施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操作培训方案等</w:t>
            </w:r>
          </w:p>
        </w:tc>
      </w:tr>
      <w:tr w14:paraId="3ECD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2DC874F6">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9091" w:type="dxa"/>
            <w:noWrap w:val="0"/>
            <w:vAlign w:val="center"/>
          </w:tcPr>
          <w:p w14:paraId="1226209A">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rPr>
              <w:t>响应文件页码，格式自拟</w:t>
            </w:r>
          </w:p>
        </w:tc>
      </w:tr>
    </w:tbl>
    <w:p w14:paraId="65793092">
      <w:pPr>
        <w:spacing w:line="460" w:lineRule="exact"/>
        <w:ind w:left="-202" w:right="-202" w:firstLine="550"/>
        <w:rPr>
          <w:rFonts w:asciiTheme="majorEastAsia" w:hAnsiTheme="majorEastAsia" w:eastAsiaTheme="majorEastAsia"/>
          <w:b/>
          <w:bCs/>
          <w:color w:val="auto"/>
          <w:szCs w:val="22"/>
          <w:highlight w:val="none"/>
        </w:rPr>
      </w:pPr>
      <w:r>
        <w:rPr>
          <w:rFonts w:hint="eastAsia" w:asciiTheme="majorEastAsia" w:hAnsiTheme="majorEastAsia" w:eastAsiaTheme="majorEastAsia"/>
          <w:color w:val="auto"/>
          <w:szCs w:val="22"/>
          <w:highlight w:val="none"/>
        </w:rPr>
        <w:br w:type="page"/>
      </w:r>
      <w:r>
        <w:rPr>
          <w:rFonts w:hint="eastAsia" w:asciiTheme="majorEastAsia" w:hAnsiTheme="majorEastAsia" w:eastAsiaTheme="majorEastAsia"/>
          <w:b/>
          <w:bCs/>
          <w:color w:val="auto"/>
          <w:szCs w:val="22"/>
          <w:highlight w:val="none"/>
        </w:rPr>
        <w:t>附件一</w:t>
      </w:r>
    </w:p>
    <w:p w14:paraId="58338249">
      <w:pPr>
        <w:spacing w:line="460" w:lineRule="exact"/>
        <w:ind w:left="22" w:right="-202" w:hanging="22" w:hangingChars="8"/>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投 标 函</w:t>
      </w:r>
    </w:p>
    <w:p w14:paraId="0AD2515C">
      <w:pPr>
        <w:spacing w:line="460" w:lineRule="exac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港理大（温州）技术创新研究院有限公司：</w:t>
      </w:r>
    </w:p>
    <w:p w14:paraId="3299DEFB">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73441F49">
      <w:pPr>
        <w:spacing w:line="420" w:lineRule="exact"/>
        <w:ind w:left="-202" w:right="-202"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根据贵方为</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项目（项目编号：</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w:t>
      </w:r>
      <w:r>
        <w:rPr>
          <w:rFonts w:hint="eastAsia" w:asciiTheme="majorEastAsia" w:hAnsiTheme="majorEastAsia" w:eastAsiaTheme="majorEastAsia"/>
          <w:color w:val="auto"/>
          <w:szCs w:val="22"/>
          <w:highlight w:val="none"/>
          <w:lang w:val="en-US" w:eastAsia="zh-CN"/>
        </w:rPr>
        <w:t>标段</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lang w:eastAsia="zh-CN"/>
        </w:rPr>
        <w:t>）</w:t>
      </w:r>
      <w:r>
        <w:rPr>
          <w:rFonts w:hint="eastAsia" w:asciiTheme="majorEastAsia" w:hAnsiTheme="majorEastAsia" w:eastAsiaTheme="majorEastAsia"/>
          <w:color w:val="auto"/>
          <w:szCs w:val="22"/>
          <w:highlight w:val="none"/>
        </w:rPr>
        <w:t>的投标邀请，</w:t>
      </w:r>
      <w:r>
        <w:rPr>
          <w:rFonts w:hint="eastAsia" w:asciiTheme="majorEastAsia" w:hAnsiTheme="majorEastAsia" w:eastAsiaTheme="majorEastAsia"/>
          <w:color w:val="auto"/>
          <w:szCs w:val="22"/>
          <w:highlight w:val="none"/>
          <w:lang w:val="en-US" w:eastAsia="zh-CN"/>
        </w:rPr>
        <w:t>我</w:t>
      </w:r>
      <w:r>
        <w:rPr>
          <w:rFonts w:hint="eastAsia" w:asciiTheme="majorEastAsia" w:hAnsiTheme="majorEastAsia" w:eastAsiaTheme="majorEastAsia"/>
          <w:color w:val="auto"/>
          <w:szCs w:val="22"/>
          <w:highlight w:val="none"/>
        </w:rPr>
        <w:t>方</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名称）作为</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正式授权</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（被授权人全名，职务）代表</w:t>
      </w:r>
      <w:r>
        <w:rPr>
          <w:rFonts w:hint="eastAsia" w:asciiTheme="majorEastAsia" w:hAnsiTheme="majorEastAsia" w:eastAsiaTheme="majorEastAsia"/>
          <w:color w:val="auto"/>
          <w:szCs w:val="22"/>
          <w:highlight w:val="none"/>
          <w:lang w:val="en-US" w:eastAsia="zh-CN"/>
        </w:rPr>
        <w:t>我</w:t>
      </w:r>
      <w:r>
        <w:rPr>
          <w:rFonts w:hint="eastAsia" w:asciiTheme="majorEastAsia" w:hAnsiTheme="majorEastAsia" w:eastAsiaTheme="majorEastAsia"/>
          <w:color w:val="auto"/>
          <w:szCs w:val="22"/>
          <w:highlight w:val="none"/>
        </w:rPr>
        <w:t>方处理有关本项目投标的一切事宜。</w:t>
      </w:r>
    </w:p>
    <w:p w14:paraId="0676C46D">
      <w:pPr>
        <w:autoSpaceDE w:val="0"/>
        <w:autoSpaceDN w:val="0"/>
        <w:adjustRightInd w:val="0"/>
        <w:spacing w:line="420" w:lineRule="atLeast"/>
        <w:ind w:left="-202" w:right="-202" w:firstLine="440" w:firstLineChars="200"/>
        <w:rPr>
          <w:rFonts w:hint="eastAsia"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在此提交的投标文件中，包括如下内容，并已分别单独密封装袋：</w:t>
      </w:r>
    </w:p>
    <w:p w14:paraId="159EDF73">
      <w:pPr>
        <w:numPr>
          <w:ilvl w:val="0"/>
          <w:numId w:val="13"/>
        </w:numPr>
        <w:autoSpaceDE w:val="0"/>
        <w:autoSpaceDN w:val="0"/>
        <w:adjustRightInd w:val="0"/>
        <w:spacing w:line="420" w:lineRule="atLeast"/>
        <w:ind w:left="-202" w:right="-202" w:firstLine="440" w:firstLineChars="200"/>
        <w:rPr>
          <w:rFonts w:asciiTheme="majorEastAsia" w:hAnsiTheme="majorEastAsia" w:eastAsiaTheme="majorEastAsia"/>
          <w:color w:val="auto"/>
          <w:szCs w:val="21"/>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要求编制的投标文件资格审查材料【正本一份，副本四份】</w:t>
      </w:r>
      <w:r>
        <w:rPr>
          <w:rFonts w:hint="eastAsia" w:cs="hakuyoxingshu7000" w:asciiTheme="majorEastAsia" w:hAnsiTheme="majorEastAsia" w:eastAsiaTheme="majorEastAsia"/>
          <w:color w:val="auto"/>
          <w:highlight w:val="none"/>
          <w:lang w:eastAsia="zh-CN"/>
        </w:rPr>
        <w:t>；</w:t>
      </w:r>
    </w:p>
    <w:p w14:paraId="1CA37BA5">
      <w:pPr>
        <w:numPr>
          <w:ilvl w:val="0"/>
          <w:numId w:val="13"/>
        </w:numPr>
        <w:autoSpaceDE w:val="0"/>
        <w:autoSpaceDN w:val="0"/>
        <w:adjustRightInd w:val="0"/>
        <w:spacing w:line="420" w:lineRule="atLeast"/>
        <w:ind w:left="-202" w:right="-202" w:firstLine="440" w:firstLineChars="200"/>
        <w:rPr>
          <w:rFonts w:hint="eastAsia"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要求编制的投标文件技术资信标【正本一份，副本四份】；</w:t>
      </w:r>
    </w:p>
    <w:p w14:paraId="3189B9E6">
      <w:pPr>
        <w:numPr>
          <w:ilvl w:val="0"/>
          <w:numId w:val="13"/>
        </w:numPr>
        <w:autoSpaceDE w:val="0"/>
        <w:autoSpaceDN w:val="0"/>
        <w:adjustRightInd w:val="0"/>
        <w:spacing w:line="420" w:lineRule="atLeast"/>
        <w:ind w:left="-202" w:right="-202" w:firstLine="440" w:firstLineChars="200"/>
        <w:rPr>
          <w:rFonts w:asciiTheme="majorEastAsia" w:hAnsiTheme="majorEastAsia" w:eastAsiaTheme="majorEastAsia"/>
          <w:color w:val="auto"/>
          <w:szCs w:val="21"/>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要求编制的投标文件商务报价标【正本一份，副本四份】；</w:t>
      </w:r>
    </w:p>
    <w:p w14:paraId="0F8A31F6">
      <w:pPr>
        <w:autoSpaceDE w:val="0"/>
        <w:autoSpaceDN w:val="0"/>
        <w:adjustRightInd w:val="0"/>
        <w:spacing w:line="42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en-US" w:eastAsia="zh-CN"/>
        </w:rPr>
        <w:t>我方已</w:t>
      </w:r>
      <w:r>
        <w:rPr>
          <w:rFonts w:hint="eastAsia" w:cs="新宋体" w:asciiTheme="majorEastAsia" w:hAnsiTheme="majorEastAsia" w:eastAsiaTheme="majorEastAsia"/>
          <w:color w:val="auto"/>
          <w:kern w:val="0"/>
          <w:szCs w:val="22"/>
          <w:highlight w:val="none"/>
          <w:lang w:val="zh-CN"/>
        </w:rPr>
        <w:t>完全明白采购文件的所有条款要求，并重申以下几点：</w:t>
      </w:r>
    </w:p>
    <w:p w14:paraId="7DBBEA1A">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1.已详细阅读全部采购文件，包括采购文件补充文件（如果有，包括相关的补充、更正、澄清公告和文件）、参考资料及有关附件，确认无误。买方完全理解并接受采购文件的各项规定和要求。</w:t>
      </w:r>
    </w:p>
    <w:p w14:paraId="051A72D5">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2.同意提供按照贵方可能要求的与投标有关的一切数据或资料等。若贵方需要，买方愿意提供买方作出的一切承诺的证明材料。</w:t>
      </w:r>
    </w:p>
    <w:p w14:paraId="019E081D">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3.如中标，保证按照采购文件要求及投标文件的承诺与采购人签订合同，保证履行合同条款。</w:t>
      </w:r>
    </w:p>
    <w:p w14:paraId="305C3C19">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4.同意在采购文件中</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须知规定的开标日期起遵守本投标书中的承诺且在投标有效期满之前均具有约束力。</w:t>
      </w:r>
    </w:p>
    <w:p w14:paraId="720677D2">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5.同意在开标后规定的投标有效期内不得撤回投标。</w:t>
      </w:r>
    </w:p>
    <w:p w14:paraId="658A5BC1">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6.完全理解贵方不一定要接受最低价的投标。</w:t>
      </w:r>
    </w:p>
    <w:p w14:paraId="272F9273">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7.在参加本项目前三年内（被通报或者处罚的违法行为有：</w:t>
      </w:r>
      <w:r>
        <w:rPr>
          <w:rFonts w:hint="eastAsia" w:cs="hakuyoxingshu7000" w:asciiTheme="majorEastAsia" w:hAnsiTheme="majorEastAsia" w:eastAsiaTheme="majorEastAsia"/>
          <w:color w:val="auto"/>
          <w:highlight w:val="none"/>
          <w:u w:val="single"/>
        </w:rPr>
        <w:t xml:space="preserve">          </w:t>
      </w:r>
      <w:r>
        <w:rPr>
          <w:rFonts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rPr>
        <w:t>）或（没有</w:t>
      </w:r>
      <w:r>
        <w:rPr>
          <w:rFonts w:cs="hakuyoxingshu7000" w:asciiTheme="majorEastAsia" w:hAnsiTheme="majorEastAsia" w:eastAsiaTheme="majorEastAsia"/>
          <w:color w:val="auto"/>
          <w:highlight w:val="none"/>
        </w:rPr>
        <w:t>因违法经营受到刑事处罚或者责令停产停业、吊销许可证或者执照、较大数额罚款等行政处罚或处罚</w:t>
      </w:r>
      <w:r>
        <w:rPr>
          <w:rFonts w:hint="eastAsia" w:cs="hakuyoxingshu7000" w:asciiTheme="majorEastAsia" w:hAnsiTheme="majorEastAsia" w:eastAsiaTheme="majorEastAsia"/>
          <w:color w:val="auto"/>
          <w:highlight w:val="none"/>
        </w:rPr>
        <w:t>）</w:t>
      </w:r>
      <w:r>
        <w:rPr>
          <w:rFonts w:cs="hakuyoxingshu7000" w:asciiTheme="majorEastAsia" w:hAnsiTheme="majorEastAsia" w:eastAsiaTheme="majorEastAsia"/>
          <w:color w:val="auto"/>
          <w:highlight w:val="none"/>
        </w:rPr>
        <w:t>或</w:t>
      </w:r>
      <w:r>
        <w:rPr>
          <w:rFonts w:hint="eastAsia" w:cs="hakuyoxingshu7000" w:asciiTheme="majorEastAsia" w:hAnsiTheme="majorEastAsia" w:eastAsiaTheme="majorEastAsia"/>
          <w:color w:val="auto"/>
          <w:highlight w:val="none"/>
        </w:rPr>
        <w:t>（</w:t>
      </w:r>
      <w:r>
        <w:rPr>
          <w:rFonts w:cs="hakuyoxingshu7000" w:asciiTheme="majorEastAsia" w:hAnsiTheme="majorEastAsia" w:eastAsiaTheme="majorEastAsia"/>
          <w:color w:val="auto"/>
          <w:highlight w:val="none"/>
        </w:rPr>
        <w:t>在</w:t>
      </w:r>
      <w:r>
        <w:rPr>
          <w:rFonts w:hint="eastAsia" w:cs="hakuyoxingshu7000" w:asciiTheme="majorEastAsia" w:hAnsiTheme="majorEastAsia" w:eastAsiaTheme="majorEastAsia"/>
          <w:color w:val="auto"/>
          <w:highlight w:val="none"/>
          <w:u w:val="single"/>
        </w:rPr>
        <w:t xml:space="preserve"> </w:t>
      </w:r>
      <w:r>
        <w:rPr>
          <w:rFonts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rPr>
        <w:t>至</w:t>
      </w:r>
      <w:r>
        <w:rPr>
          <w:rFonts w:hint="eastAsia"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rPr>
        <w:t>期间</w:t>
      </w:r>
      <w:r>
        <w:rPr>
          <w:rFonts w:cs="hakuyoxingshu7000" w:asciiTheme="majorEastAsia" w:hAnsiTheme="majorEastAsia" w:eastAsiaTheme="majorEastAsia"/>
          <w:color w:val="auto"/>
          <w:highlight w:val="none"/>
        </w:rPr>
        <w:t>禁止参加政府采购活动但是期限届满</w:t>
      </w:r>
      <w:r>
        <w:rPr>
          <w:rFonts w:hint="eastAsia" w:cs="hakuyoxingshu7000" w:asciiTheme="majorEastAsia" w:hAnsiTheme="majorEastAsia" w:eastAsiaTheme="majorEastAsia"/>
          <w:color w:val="auto"/>
          <w:highlight w:val="none"/>
        </w:rPr>
        <w:t>，须附相关证明文件）</w:t>
      </w:r>
    </w:p>
    <w:p w14:paraId="278573D5">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8.在投标截止前（未被“信用中国”网站(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hakuyoxingshu7000" w:asciiTheme="majorEastAsia" w:hAnsiTheme="majorEastAsia" w:eastAsiaTheme="majorEastAsia"/>
          <w:color w:val="auto"/>
          <w:highlight w:val="none"/>
        </w:rPr>
        <w:t>www.creditchina.gov.cn</w:t>
      </w:r>
      <w:r>
        <w:rPr>
          <w:rFonts w:hint="eastAsia" w:cs="hakuyoxingshu7000" w:asciiTheme="majorEastAsia" w:hAnsiTheme="majorEastAsia" w:eastAsiaTheme="majorEastAsia"/>
          <w:color w:val="auto"/>
          <w:highlight w:val="none"/>
        </w:rPr>
        <w:fldChar w:fldCharType="end"/>
      </w:r>
      <w:r>
        <w:rPr>
          <w:rFonts w:hint="eastAsia" w:cs="hakuyoxingshu7000" w:asciiTheme="majorEastAsia" w:hAnsiTheme="majorEastAsia" w:eastAsiaTheme="majorEastAsia"/>
          <w:color w:val="auto"/>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s="hakuyoxingshu7000" w:asciiTheme="majorEastAsia" w:hAnsiTheme="majorEastAsia" w:eastAsiaTheme="majorEastAsia"/>
          <w:color w:val="auto"/>
          <w:highlight w:val="none"/>
        </w:rPr>
        <w:t>www.ccgp.gov.cn</w:t>
      </w:r>
      <w:r>
        <w:rPr>
          <w:rFonts w:hint="eastAsia" w:cs="hakuyoxingshu7000" w:asciiTheme="majorEastAsia" w:hAnsiTheme="majorEastAsia" w:eastAsiaTheme="majorEastAsia"/>
          <w:color w:val="auto"/>
          <w:highlight w:val="none"/>
        </w:rPr>
        <w:fldChar w:fldCharType="end"/>
      </w:r>
      <w:r>
        <w:rPr>
          <w:rFonts w:hint="eastAsia" w:cs="hakuyoxingshu7000" w:asciiTheme="majorEastAsia" w:hAnsiTheme="majorEastAsia" w:eastAsiaTheme="majorEastAsia"/>
          <w:color w:val="auto"/>
          <w:highlight w:val="none"/>
        </w:rPr>
        <w:t>)列入政府采购严重违法失信行为记录名单。）或（被“信用中国”或“中国政府采购网”列入……名单。）</w:t>
      </w:r>
    </w:p>
    <w:p w14:paraId="1BBCA981">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9.单位、法定代表人、本项目被授权人及本项目负责人在参加本项目前三年内（以法院判决书生效日期为准）均无行贿犯罪记录。</w:t>
      </w:r>
    </w:p>
    <w:p w14:paraId="1B28B1DA">
      <w:pPr>
        <w:spacing w:line="420" w:lineRule="exact"/>
        <w:ind w:left="-202" w:right="-202" w:firstLine="440" w:firstLineChars="200"/>
        <w:rPr>
          <w:rFonts w:cs="hakuyoxingshu7000" w:asciiTheme="majorEastAsia" w:hAnsiTheme="majorEastAsia" w:eastAsiaTheme="majorEastAsia"/>
          <w:color w:val="auto"/>
          <w:highlight w:val="none"/>
        </w:rPr>
      </w:pPr>
      <w:r>
        <w:rPr>
          <w:rFonts w:cs="hakuyoxingshu7000" w:asciiTheme="majorEastAsia" w:hAnsiTheme="majorEastAsia" w:eastAsiaTheme="majorEastAsia"/>
          <w:color w:val="auto"/>
          <w:highlight w:val="none"/>
        </w:rPr>
        <w:t>1</w:t>
      </w:r>
      <w:r>
        <w:rPr>
          <w:rFonts w:hint="eastAsia" w:cs="hakuyoxingshu7000" w:asciiTheme="majorEastAsia" w:hAnsiTheme="majorEastAsia" w:eastAsiaTheme="majorEastAsia"/>
          <w:color w:val="auto"/>
          <w:highlight w:val="none"/>
        </w:rPr>
        <w:t>0.如有列情形之一的，买方愿意被取消中标资格（如中标），同时继续承担其他一切法律后果，并不再寻求任何旨在减轻或免除法律责任的解释：</w:t>
      </w:r>
    </w:p>
    <w:p w14:paraId="2D4285B5">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(1)提供虚假材料（承诺）谋取中标、成交的；</w:t>
      </w:r>
    </w:p>
    <w:p w14:paraId="6CA3E96A">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(2)采取不正当手段诋毁、排挤其他</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的；</w:t>
      </w:r>
    </w:p>
    <w:p w14:paraId="1354F7B4">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(3)与采购人、其它</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或者招标代理机构恶意串通的；</w:t>
      </w:r>
    </w:p>
    <w:p w14:paraId="10792390">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(4)向采购人、招标代理机构行贿或者提供其他不正当利益的；</w:t>
      </w:r>
    </w:p>
    <w:p w14:paraId="525BDFBE">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(5)在招标采购过程中与采购人进行协商谈判的；</w:t>
      </w:r>
    </w:p>
    <w:p w14:paraId="58D76F1A">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(6)拒绝有关部门监督检查或提供虚假情况的。</w:t>
      </w:r>
    </w:p>
    <w:p w14:paraId="5D792B5C">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11.所有与本投标有关的函件请发往下列地址：</w:t>
      </w:r>
    </w:p>
    <w:p w14:paraId="22582A3B">
      <w:pPr>
        <w:spacing w:line="420" w:lineRule="exact"/>
        <w:ind w:left="-202" w:right="-202" w:firstLine="550"/>
        <w:rPr>
          <w:rFonts w:cs="hakuyoxingshu7000"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 xml:space="preserve">   地址</w:t>
      </w:r>
      <w:r>
        <w:rPr>
          <w:rFonts w:hint="eastAsia" w:cs="hakuyoxingshu7000" w:asciiTheme="majorEastAsia" w:hAnsiTheme="majorEastAsia" w:eastAsiaTheme="majorEastAsia"/>
          <w:color w:val="auto"/>
          <w:szCs w:val="22"/>
          <w:highlight w:val="none"/>
          <w:u w:val="single"/>
        </w:rPr>
        <w:t xml:space="preserve">                           </w:t>
      </w:r>
    </w:p>
    <w:p w14:paraId="21AB76CF">
      <w:pPr>
        <w:spacing w:line="420" w:lineRule="exact"/>
        <w:ind w:left="-202" w:right="-202" w:firstLine="550"/>
        <w:rPr>
          <w:rFonts w:cs="hakuyoxingshu7000"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 xml:space="preserve">   电话</w:t>
      </w:r>
      <w:r>
        <w:rPr>
          <w:rFonts w:hint="eastAsia" w:cs="hakuyoxingshu7000" w:asciiTheme="majorEastAsia" w:hAnsiTheme="majorEastAsia" w:eastAsiaTheme="majorEastAsia"/>
          <w:color w:val="auto"/>
          <w:szCs w:val="22"/>
          <w:highlight w:val="none"/>
          <w:u w:val="single"/>
        </w:rPr>
        <w:t xml:space="preserve">                           </w:t>
      </w:r>
    </w:p>
    <w:p w14:paraId="733513FA">
      <w:pPr>
        <w:spacing w:line="420" w:lineRule="exact"/>
        <w:ind w:left="-202" w:right="-202" w:firstLine="550"/>
        <w:rPr>
          <w:rFonts w:cs="hakuyoxingshu7000" w:asciiTheme="majorEastAsia" w:hAnsiTheme="majorEastAsia" w:eastAsiaTheme="majorEastAsia"/>
          <w:color w:val="auto"/>
          <w:szCs w:val="22"/>
          <w:highlight w:val="none"/>
          <w:u w:val="single"/>
        </w:rPr>
      </w:pPr>
      <w:r>
        <w:rPr>
          <w:rFonts w:hint="eastAsia" w:cs="hakuyoxingshu7000" w:asciiTheme="majorEastAsia" w:hAnsiTheme="majorEastAsia" w:eastAsiaTheme="majorEastAsia"/>
          <w:color w:val="auto"/>
          <w:szCs w:val="22"/>
          <w:highlight w:val="none"/>
        </w:rPr>
        <w:t xml:space="preserve">   传真</w:t>
      </w:r>
      <w:r>
        <w:rPr>
          <w:rFonts w:hint="eastAsia" w:cs="hakuyoxingshu7000" w:asciiTheme="majorEastAsia" w:hAnsiTheme="majorEastAsia" w:eastAsiaTheme="majorEastAsia"/>
          <w:color w:val="auto"/>
          <w:szCs w:val="22"/>
          <w:highlight w:val="none"/>
          <w:u w:val="single"/>
        </w:rPr>
        <w:t xml:space="preserve">                           </w:t>
      </w:r>
    </w:p>
    <w:p w14:paraId="485DDDA3">
      <w:pPr>
        <w:spacing w:line="420" w:lineRule="exact"/>
        <w:ind w:left="-202" w:right="-202" w:firstLine="770" w:firstLineChars="350"/>
        <w:rPr>
          <w:rFonts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电子邮件</w:t>
      </w:r>
      <w:r>
        <w:rPr>
          <w:rFonts w:hint="eastAsia" w:cs="hakuyoxingshu7000"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 xml:space="preserve">                       </w:t>
      </w:r>
    </w:p>
    <w:p w14:paraId="151DD695">
      <w:pPr>
        <w:spacing w:line="420" w:lineRule="exact"/>
        <w:ind w:left="-202" w:right="-202" w:firstLine="550"/>
        <w:rPr>
          <w:rFonts w:asciiTheme="majorEastAsia" w:hAnsiTheme="majorEastAsia" w:eastAsiaTheme="majorEastAsia"/>
          <w:color w:val="auto"/>
          <w:szCs w:val="22"/>
          <w:highlight w:val="none"/>
        </w:rPr>
      </w:pPr>
    </w:p>
    <w:p w14:paraId="2E313C0B">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3431A1B6">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3EB9DA1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05F6C414">
      <w:pPr>
        <w:spacing w:line="460" w:lineRule="exact"/>
        <w:ind w:left="-202" w:right="-202" w:firstLine="550"/>
        <w:rPr>
          <w:rFonts w:cs="hakuyoxingshu7000" w:asciiTheme="majorEastAsia" w:hAnsiTheme="majorEastAsia" w:eastAsiaTheme="majorEastAsia"/>
          <w:color w:val="auto"/>
          <w:szCs w:val="22"/>
          <w:highlight w:val="none"/>
          <w:u w:val="single"/>
        </w:rPr>
      </w:pPr>
      <w:r>
        <w:rPr>
          <w:rFonts w:hint="eastAsia" w:cs="hakuyoxingshu7000" w:asciiTheme="majorEastAsia" w:hAnsiTheme="majorEastAsia" w:eastAsiaTheme="majorEastAsia"/>
          <w:color w:val="auto"/>
          <w:szCs w:val="22"/>
          <w:highlight w:val="none"/>
          <w:u w:val="single"/>
        </w:rPr>
        <w:t xml:space="preserve">        </w:t>
      </w:r>
    </w:p>
    <w:p w14:paraId="3CFA1761">
      <w:pPr>
        <w:spacing w:line="460" w:lineRule="exact"/>
        <w:ind w:left="-202" w:right="-202" w:firstLine="550"/>
        <w:rPr>
          <w:rFonts w:cs="hakuyoxingshu7000" w:asciiTheme="majorEastAsia" w:hAnsiTheme="majorEastAsia" w:eastAsiaTheme="majorEastAsia"/>
          <w:color w:val="auto"/>
          <w:szCs w:val="22"/>
          <w:highlight w:val="none"/>
          <w:u w:val="single"/>
        </w:rPr>
      </w:pPr>
    </w:p>
    <w:p w14:paraId="01496661">
      <w:pPr>
        <w:spacing w:line="460" w:lineRule="exact"/>
        <w:ind w:left="-202" w:right="-202" w:firstLine="552"/>
        <w:rPr>
          <w:rFonts w:asciiTheme="majorEastAsia" w:hAnsiTheme="majorEastAsia" w:eastAsiaTheme="majorEastAsia"/>
          <w:b/>
          <w:color w:val="auto"/>
          <w:szCs w:val="22"/>
          <w:highlight w:val="none"/>
          <w:u w:val="single"/>
        </w:rPr>
      </w:pPr>
      <w:r>
        <w:rPr>
          <w:rFonts w:hint="eastAsia" w:asciiTheme="majorEastAsia" w:hAnsiTheme="majorEastAsia" w:eastAsiaTheme="majorEastAsia"/>
          <w:b/>
          <w:color w:val="auto"/>
          <w:szCs w:val="22"/>
          <w:highlight w:val="none"/>
          <w:u w:val="single"/>
        </w:rPr>
        <w:t>▲不提供投标函的投标文件将被视为未实质性响应采购文件。</w:t>
      </w:r>
    </w:p>
    <w:p w14:paraId="7104C66B">
      <w:pPr>
        <w:spacing w:line="460" w:lineRule="exact"/>
        <w:ind w:left="-202" w:right="-202" w:firstLine="552"/>
        <w:rPr>
          <w:rFonts w:asciiTheme="majorEastAsia" w:hAnsiTheme="majorEastAsia" w:eastAsiaTheme="majorEastAsia"/>
          <w:b/>
          <w:color w:val="auto"/>
          <w:szCs w:val="22"/>
          <w:highlight w:val="none"/>
          <w:u w:val="single"/>
        </w:rPr>
      </w:pPr>
    </w:p>
    <w:p w14:paraId="360B069F">
      <w:pPr>
        <w:spacing w:line="460" w:lineRule="exact"/>
        <w:ind w:left="-202" w:right="-202" w:firstLine="552"/>
        <w:rPr>
          <w:rFonts w:asciiTheme="majorEastAsia" w:hAnsiTheme="majorEastAsia" w:eastAsiaTheme="majorEastAsia"/>
          <w:b/>
          <w:bCs/>
          <w:color w:val="auto"/>
          <w:szCs w:val="22"/>
          <w:highlight w:val="none"/>
        </w:rPr>
      </w:pPr>
      <w:r>
        <w:rPr>
          <w:rFonts w:hint="eastAsia" w:asciiTheme="majorEastAsia" w:hAnsiTheme="majorEastAsia" w:eastAsiaTheme="majorEastAsia"/>
          <w:b/>
          <w:color w:val="auto"/>
          <w:szCs w:val="22"/>
          <w:highlight w:val="none"/>
          <w:u w:val="single"/>
        </w:rPr>
        <w:br w:type="page"/>
      </w:r>
      <w:r>
        <w:rPr>
          <w:rFonts w:hint="eastAsia" w:asciiTheme="majorEastAsia" w:hAnsiTheme="majorEastAsia" w:eastAsiaTheme="majorEastAsia"/>
          <w:b/>
          <w:bCs/>
          <w:color w:val="auto"/>
          <w:szCs w:val="22"/>
          <w:highlight w:val="none"/>
        </w:rPr>
        <w:t>附件二</w:t>
      </w:r>
    </w:p>
    <w:p w14:paraId="2477527E">
      <w:pPr>
        <w:spacing w:line="460" w:lineRule="exact"/>
        <w:ind w:left="-202" w:right="-202" w:firstLine="703"/>
        <w:jc w:val="center"/>
        <w:rPr>
          <w:rFonts w:hint="eastAsia"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 xml:space="preserve"> (1)技术</w:t>
      </w:r>
      <w:r>
        <w:rPr>
          <w:rFonts w:hint="eastAsia" w:asciiTheme="majorEastAsia" w:hAnsiTheme="majorEastAsia" w:eastAsiaTheme="majorEastAsia"/>
          <w:b/>
          <w:bCs/>
          <w:color w:val="auto"/>
          <w:sz w:val="28"/>
          <w:szCs w:val="28"/>
          <w:highlight w:val="none"/>
          <w:lang w:val="en-US" w:eastAsia="zh-CN"/>
        </w:rPr>
        <w:t>要求应答</w:t>
      </w:r>
      <w:r>
        <w:rPr>
          <w:rFonts w:hint="eastAsia" w:asciiTheme="majorEastAsia" w:hAnsiTheme="majorEastAsia" w:eastAsiaTheme="majorEastAsia"/>
          <w:b/>
          <w:bCs/>
          <w:color w:val="auto"/>
          <w:sz w:val="28"/>
          <w:szCs w:val="28"/>
          <w:highlight w:val="none"/>
        </w:rPr>
        <w:t>表</w:t>
      </w:r>
    </w:p>
    <w:p w14:paraId="695E15E7">
      <w:pPr>
        <w:pStyle w:val="13"/>
        <w:rPr>
          <w:color w:val="auto"/>
          <w:highlight w:val="none"/>
        </w:rPr>
      </w:pPr>
    </w:p>
    <w:p w14:paraId="7422676E">
      <w:pPr>
        <w:overflowPunct w:val="0"/>
        <w:spacing w:line="380" w:lineRule="exact"/>
        <w:ind w:left="-202" w:right="-202" w:firstLine="602"/>
        <w:rPr>
          <w:rFonts w:asciiTheme="majorEastAsia" w:hAnsiTheme="majorEastAsia" w:eastAsiaTheme="majorEastAsia"/>
          <w:bCs/>
          <w:color w:val="auto"/>
          <w:szCs w:val="22"/>
          <w:highlight w:val="none"/>
        </w:rPr>
      </w:pPr>
      <w:r>
        <w:rPr>
          <w:rFonts w:hint="eastAsia" w:asciiTheme="majorEastAsia" w:hAnsiTheme="majorEastAsia" w:eastAsiaTheme="majorEastAsia"/>
          <w:b/>
          <w:color w:val="auto"/>
          <w:sz w:val="24"/>
          <w:highlight w:val="none"/>
        </w:rPr>
        <w:t xml:space="preserve">   </w:t>
      </w:r>
      <w:r>
        <w:rPr>
          <w:rFonts w:hint="eastAsia" w:asciiTheme="majorEastAsia" w:hAnsiTheme="majorEastAsia" w:eastAsiaTheme="majorEastAsia"/>
          <w:bCs/>
          <w:color w:val="auto"/>
          <w:szCs w:val="22"/>
          <w:highlight w:val="none"/>
        </w:rPr>
        <w:t xml:space="preserve">项目名称：                                      </w:t>
      </w:r>
      <w:r>
        <w:rPr>
          <w:rFonts w:hint="eastAsia" w:asciiTheme="majorEastAsia" w:hAnsiTheme="majorEastAsia" w:eastAsiaTheme="majorEastAsia"/>
          <w:bCs/>
          <w:color w:val="auto"/>
          <w:szCs w:val="22"/>
          <w:highlight w:val="none"/>
          <w:lang w:eastAsia="zh-CN"/>
        </w:rPr>
        <w:t>项目编号</w:t>
      </w:r>
      <w:r>
        <w:rPr>
          <w:rFonts w:hint="eastAsia" w:asciiTheme="majorEastAsia" w:hAnsiTheme="majorEastAsia" w:eastAsiaTheme="majorEastAsia"/>
          <w:bCs/>
          <w:color w:val="auto"/>
          <w:szCs w:val="22"/>
          <w:highlight w:val="none"/>
        </w:rPr>
        <w:t>：</w:t>
      </w:r>
    </w:p>
    <w:p w14:paraId="0F526A1E">
      <w:pPr>
        <w:ind w:left="-202" w:right="-202" w:firstLine="361" w:firstLineChars="150"/>
        <w:rPr>
          <w:rFonts w:asciiTheme="majorEastAsia" w:hAnsiTheme="majorEastAsia" w:eastAsiaTheme="majorEastAsia"/>
          <w:b/>
          <w:color w:val="auto"/>
          <w:sz w:val="24"/>
          <w:highlight w:val="none"/>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5E767C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1D929808">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noWrap w:val="0"/>
            <w:vAlign w:val="center"/>
          </w:tcPr>
          <w:p w14:paraId="7ED9935C">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noWrap w:val="0"/>
            <w:vAlign w:val="center"/>
          </w:tcPr>
          <w:p w14:paraId="77D0DFC3">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供应商技术响应</w:t>
            </w:r>
          </w:p>
        </w:tc>
        <w:tc>
          <w:tcPr>
            <w:tcW w:w="2115" w:type="dxa"/>
            <w:noWrap w:val="0"/>
            <w:vAlign w:val="center"/>
          </w:tcPr>
          <w:p w14:paraId="3598B329">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noWrap w:val="0"/>
            <w:vAlign w:val="center"/>
          </w:tcPr>
          <w:p w14:paraId="457C14C6">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5DBB5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0893DF02">
            <w:pPr>
              <w:jc w:val="center"/>
              <w:rPr>
                <w:rFonts w:hint="eastAsia" w:ascii="新宋体" w:hAnsi="新宋体" w:eastAsia="新宋体"/>
                <w:color w:val="auto"/>
                <w:sz w:val="22"/>
                <w:szCs w:val="22"/>
                <w:highlight w:val="none"/>
              </w:rPr>
            </w:pPr>
          </w:p>
        </w:tc>
        <w:tc>
          <w:tcPr>
            <w:tcW w:w="2538" w:type="dxa"/>
            <w:noWrap w:val="0"/>
            <w:vAlign w:val="center"/>
          </w:tcPr>
          <w:p w14:paraId="07FBB9ED">
            <w:pPr>
              <w:jc w:val="center"/>
              <w:rPr>
                <w:rFonts w:hint="eastAsia" w:ascii="新宋体" w:hAnsi="新宋体" w:eastAsia="新宋体"/>
                <w:color w:val="auto"/>
                <w:sz w:val="22"/>
                <w:szCs w:val="22"/>
                <w:highlight w:val="none"/>
              </w:rPr>
            </w:pPr>
          </w:p>
        </w:tc>
        <w:tc>
          <w:tcPr>
            <w:tcW w:w="2326" w:type="dxa"/>
            <w:noWrap w:val="0"/>
            <w:vAlign w:val="center"/>
          </w:tcPr>
          <w:p w14:paraId="5A1C3EF7">
            <w:pPr>
              <w:jc w:val="center"/>
              <w:rPr>
                <w:rFonts w:hint="eastAsia" w:ascii="新宋体" w:hAnsi="新宋体" w:eastAsia="新宋体"/>
                <w:color w:val="auto"/>
                <w:sz w:val="22"/>
                <w:szCs w:val="22"/>
                <w:highlight w:val="none"/>
              </w:rPr>
            </w:pPr>
          </w:p>
        </w:tc>
        <w:tc>
          <w:tcPr>
            <w:tcW w:w="2115" w:type="dxa"/>
            <w:noWrap w:val="0"/>
            <w:vAlign w:val="center"/>
          </w:tcPr>
          <w:p w14:paraId="00C9C1A4">
            <w:pPr>
              <w:jc w:val="center"/>
              <w:rPr>
                <w:rFonts w:hint="eastAsia" w:ascii="新宋体" w:hAnsi="新宋体" w:eastAsia="新宋体"/>
                <w:color w:val="auto"/>
                <w:sz w:val="22"/>
                <w:szCs w:val="22"/>
                <w:highlight w:val="none"/>
              </w:rPr>
            </w:pPr>
          </w:p>
        </w:tc>
        <w:tc>
          <w:tcPr>
            <w:tcW w:w="1902" w:type="dxa"/>
            <w:noWrap w:val="0"/>
            <w:vAlign w:val="center"/>
          </w:tcPr>
          <w:p w14:paraId="35FD75F4">
            <w:pPr>
              <w:jc w:val="center"/>
              <w:rPr>
                <w:rFonts w:hint="eastAsia" w:ascii="新宋体" w:hAnsi="新宋体" w:eastAsia="新宋体"/>
                <w:color w:val="auto"/>
                <w:sz w:val="22"/>
                <w:szCs w:val="22"/>
                <w:highlight w:val="none"/>
              </w:rPr>
            </w:pPr>
          </w:p>
        </w:tc>
      </w:tr>
      <w:tr w14:paraId="196A2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306F0DCB">
            <w:pPr>
              <w:jc w:val="center"/>
              <w:rPr>
                <w:rFonts w:hint="eastAsia" w:ascii="新宋体" w:hAnsi="新宋体" w:eastAsia="新宋体"/>
                <w:color w:val="auto"/>
                <w:sz w:val="22"/>
                <w:szCs w:val="22"/>
                <w:highlight w:val="none"/>
              </w:rPr>
            </w:pPr>
          </w:p>
        </w:tc>
        <w:tc>
          <w:tcPr>
            <w:tcW w:w="2538" w:type="dxa"/>
            <w:noWrap w:val="0"/>
            <w:vAlign w:val="center"/>
          </w:tcPr>
          <w:p w14:paraId="6205C883">
            <w:pPr>
              <w:jc w:val="center"/>
              <w:rPr>
                <w:rFonts w:hint="eastAsia" w:ascii="新宋体" w:hAnsi="新宋体" w:eastAsia="新宋体"/>
                <w:color w:val="auto"/>
                <w:sz w:val="22"/>
                <w:szCs w:val="22"/>
                <w:highlight w:val="none"/>
              </w:rPr>
            </w:pPr>
          </w:p>
        </w:tc>
        <w:tc>
          <w:tcPr>
            <w:tcW w:w="2326" w:type="dxa"/>
            <w:noWrap w:val="0"/>
            <w:vAlign w:val="center"/>
          </w:tcPr>
          <w:p w14:paraId="13C6F35E">
            <w:pPr>
              <w:jc w:val="center"/>
              <w:rPr>
                <w:rFonts w:hint="eastAsia" w:ascii="新宋体" w:hAnsi="新宋体" w:eastAsia="新宋体"/>
                <w:color w:val="auto"/>
                <w:sz w:val="22"/>
                <w:szCs w:val="22"/>
                <w:highlight w:val="none"/>
              </w:rPr>
            </w:pPr>
          </w:p>
        </w:tc>
        <w:tc>
          <w:tcPr>
            <w:tcW w:w="2115" w:type="dxa"/>
            <w:noWrap w:val="0"/>
            <w:vAlign w:val="center"/>
          </w:tcPr>
          <w:p w14:paraId="447F87AE">
            <w:pPr>
              <w:jc w:val="center"/>
              <w:rPr>
                <w:rFonts w:hint="eastAsia" w:ascii="新宋体" w:hAnsi="新宋体" w:eastAsia="新宋体"/>
                <w:color w:val="auto"/>
                <w:sz w:val="22"/>
                <w:szCs w:val="22"/>
                <w:highlight w:val="none"/>
              </w:rPr>
            </w:pPr>
          </w:p>
        </w:tc>
        <w:tc>
          <w:tcPr>
            <w:tcW w:w="1902" w:type="dxa"/>
            <w:noWrap w:val="0"/>
            <w:vAlign w:val="center"/>
          </w:tcPr>
          <w:p w14:paraId="18B915B2">
            <w:pPr>
              <w:jc w:val="center"/>
              <w:rPr>
                <w:rFonts w:hint="eastAsia" w:ascii="新宋体" w:hAnsi="新宋体" w:eastAsia="新宋体"/>
                <w:color w:val="auto"/>
                <w:sz w:val="22"/>
                <w:szCs w:val="22"/>
                <w:highlight w:val="none"/>
              </w:rPr>
            </w:pPr>
          </w:p>
        </w:tc>
      </w:tr>
      <w:tr w14:paraId="76209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351742BA">
            <w:pPr>
              <w:jc w:val="center"/>
              <w:rPr>
                <w:rFonts w:hint="eastAsia" w:ascii="新宋体" w:hAnsi="新宋体" w:eastAsia="新宋体"/>
                <w:color w:val="auto"/>
                <w:sz w:val="22"/>
                <w:szCs w:val="22"/>
                <w:highlight w:val="none"/>
              </w:rPr>
            </w:pPr>
          </w:p>
        </w:tc>
        <w:tc>
          <w:tcPr>
            <w:tcW w:w="2538" w:type="dxa"/>
            <w:noWrap w:val="0"/>
            <w:vAlign w:val="center"/>
          </w:tcPr>
          <w:p w14:paraId="701AB4D5">
            <w:pPr>
              <w:jc w:val="center"/>
              <w:rPr>
                <w:rFonts w:hint="eastAsia" w:ascii="新宋体" w:hAnsi="新宋体" w:eastAsia="新宋体"/>
                <w:color w:val="auto"/>
                <w:sz w:val="22"/>
                <w:szCs w:val="22"/>
                <w:highlight w:val="none"/>
              </w:rPr>
            </w:pPr>
          </w:p>
        </w:tc>
        <w:tc>
          <w:tcPr>
            <w:tcW w:w="2326" w:type="dxa"/>
            <w:noWrap w:val="0"/>
            <w:vAlign w:val="center"/>
          </w:tcPr>
          <w:p w14:paraId="473AC677">
            <w:pPr>
              <w:jc w:val="center"/>
              <w:rPr>
                <w:rFonts w:hint="eastAsia" w:ascii="新宋体" w:hAnsi="新宋体" w:eastAsia="新宋体"/>
                <w:color w:val="auto"/>
                <w:sz w:val="22"/>
                <w:szCs w:val="22"/>
                <w:highlight w:val="none"/>
              </w:rPr>
            </w:pPr>
          </w:p>
        </w:tc>
        <w:tc>
          <w:tcPr>
            <w:tcW w:w="2115" w:type="dxa"/>
            <w:noWrap w:val="0"/>
            <w:vAlign w:val="center"/>
          </w:tcPr>
          <w:p w14:paraId="614A5C68">
            <w:pPr>
              <w:jc w:val="center"/>
              <w:rPr>
                <w:rFonts w:hint="eastAsia" w:ascii="新宋体" w:hAnsi="新宋体" w:eastAsia="新宋体"/>
                <w:color w:val="auto"/>
                <w:sz w:val="22"/>
                <w:szCs w:val="22"/>
                <w:highlight w:val="none"/>
              </w:rPr>
            </w:pPr>
          </w:p>
        </w:tc>
        <w:tc>
          <w:tcPr>
            <w:tcW w:w="1902" w:type="dxa"/>
            <w:noWrap w:val="0"/>
            <w:vAlign w:val="center"/>
          </w:tcPr>
          <w:p w14:paraId="64A398C5">
            <w:pPr>
              <w:jc w:val="center"/>
              <w:rPr>
                <w:rFonts w:hint="eastAsia" w:ascii="新宋体" w:hAnsi="新宋体" w:eastAsia="新宋体"/>
                <w:color w:val="auto"/>
                <w:sz w:val="22"/>
                <w:szCs w:val="22"/>
                <w:highlight w:val="none"/>
              </w:rPr>
            </w:pPr>
          </w:p>
        </w:tc>
      </w:tr>
      <w:tr w14:paraId="0EFAE2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0D49FFB2">
            <w:pPr>
              <w:jc w:val="center"/>
              <w:rPr>
                <w:rFonts w:hint="eastAsia" w:ascii="新宋体" w:hAnsi="新宋体" w:eastAsia="新宋体"/>
                <w:color w:val="auto"/>
                <w:sz w:val="22"/>
                <w:szCs w:val="22"/>
                <w:highlight w:val="none"/>
              </w:rPr>
            </w:pPr>
          </w:p>
        </w:tc>
        <w:tc>
          <w:tcPr>
            <w:tcW w:w="2538" w:type="dxa"/>
            <w:noWrap w:val="0"/>
            <w:vAlign w:val="center"/>
          </w:tcPr>
          <w:p w14:paraId="77C67A60">
            <w:pPr>
              <w:jc w:val="center"/>
              <w:rPr>
                <w:rFonts w:hint="eastAsia" w:ascii="新宋体" w:hAnsi="新宋体" w:eastAsia="新宋体"/>
                <w:color w:val="auto"/>
                <w:sz w:val="22"/>
                <w:szCs w:val="22"/>
                <w:highlight w:val="none"/>
              </w:rPr>
            </w:pPr>
          </w:p>
        </w:tc>
        <w:tc>
          <w:tcPr>
            <w:tcW w:w="2326" w:type="dxa"/>
            <w:noWrap w:val="0"/>
            <w:vAlign w:val="center"/>
          </w:tcPr>
          <w:p w14:paraId="414D7F9C">
            <w:pPr>
              <w:jc w:val="center"/>
              <w:rPr>
                <w:rFonts w:hint="eastAsia" w:ascii="新宋体" w:hAnsi="新宋体" w:eastAsia="新宋体"/>
                <w:color w:val="auto"/>
                <w:sz w:val="22"/>
                <w:szCs w:val="22"/>
                <w:highlight w:val="none"/>
              </w:rPr>
            </w:pPr>
          </w:p>
        </w:tc>
        <w:tc>
          <w:tcPr>
            <w:tcW w:w="2115" w:type="dxa"/>
            <w:noWrap w:val="0"/>
            <w:vAlign w:val="center"/>
          </w:tcPr>
          <w:p w14:paraId="07089012">
            <w:pPr>
              <w:jc w:val="center"/>
              <w:rPr>
                <w:rFonts w:hint="eastAsia" w:ascii="新宋体" w:hAnsi="新宋体" w:eastAsia="新宋体"/>
                <w:color w:val="auto"/>
                <w:sz w:val="22"/>
                <w:szCs w:val="22"/>
                <w:highlight w:val="none"/>
              </w:rPr>
            </w:pPr>
          </w:p>
        </w:tc>
        <w:tc>
          <w:tcPr>
            <w:tcW w:w="1902" w:type="dxa"/>
            <w:noWrap w:val="0"/>
            <w:vAlign w:val="center"/>
          </w:tcPr>
          <w:p w14:paraId="511CD0D7">
            <w:pPr>
              <w:jc w:val="center"/>
              <w:rPr>
                <w:rFonts w:hint="eastAsia" w:ascii="新宋体" w:hAnsi="新宋体" w:eastAsia="新宋体"/>
                <w:color w:val="auto"/>
                <w:sz w:val="22"/>
                <w:szCs w:val="22"/>
                <w:highlight w:val="none"/>
              </w:rPr>
            </w:pPr>
          </w:p>
        </w:tc>
      </w:tr>
      <w:tr w14:paraId="3700A1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4CA5230C">
            <w:pPr>
              <w:jc w:val="center"/>
              <w:rPr>
                <w:rFonts w:hint="eastAsia" w:ascii="新宋体" w:hAnsi="新宋体" w:eastAsia="新宋体"/>
                <w:color w:val="auto"/>
                <w:sz w:val="22"/>
                <w:szCs w:val="22"/>
                <w:highlight w:val="none"/>
              </w:rPr>
            </w:pPr>
          </w:p>
        </w:tc>
        <w:tc>
          <w:tcPr>
            <w:tcW w:w="2538" w:type="dxa"/>
            <w:noWrap w:val="0"/>
            <w:vAlign w:val="center"/>
          </w:tcPr>
          <w:p w14:paraId="4B630603">
            <w:pPr>
              <w:jc w:val="center"/>
              <w:rPr>
                <w:rFonts w:hint="eastAsia" w:ascii="新宋体" w:hAnsi="新宋体" w:eastAsia="新宋体"/>
                <w:color w:val="auto"/>
                <w:sz w:val="22"/>
                <w:szCs w:val="22"/>
                <w:highlight w:val="none"/>
              </w:rPr>
            </w:pPr>
          </w:p>
        </w:tc>
        <w:tc>
          <w:tcPr>
            <w:tcW w:w="2326" w:type="dxa"/>
            <w:noWrap w:val="0"/>
            <w:vAlign w:val="center"/>
          </w:tcPr>
          <w:p w14:paraId="12A7A256">
            <w:pPr>
              <w:jc w:val="center"/>
              <w:rPr>
                <w:rFonts w:hint="eastAsia" w:ascii="新宋体" w:hAnsi="新宋体" w:eastAsia="新宋体"/>
                <w:color w:val="auto"/>
                <w:sz w:val="22"/>
                <w:szCs w:val="22"/>
                <w:highlight w:val="none"/>
              </w:rPr>
            </w:pPr>
          </w:p>
        </w:tc>
        <w:tc>
          <w:tcPr>
            <w:tcW w:w="2115" w:type="dxa"/>
            <w:noWrap w:val="0"/>
            <w:vAlign w:val="center"/>
          </w:tcPr>
          <w:p w14:paraId="1429C433">
            <w:pPr>
              <w:jc w:val="center"/>
              <w:rPr>
                <w:rFonts w:hint="eastAsia" w:ascii="新宋体" w:hAnsi="新宋体" w:eastAsia="新宋体"/>
                <w:color w:val="auto"/>
                <w:sz w:val="22"/>
                <w:szCs w:val="22"/>
                <w:highlight w:val="none"/>
              </w:rPr>
            </w:pPr>
          </w:p>
        </w:tc>
        <w:tc>
          <w:tcPr>
            <w:tcW w:w="1902" w:type="dxa"/>
            <w:noWrap w:val="0"/>
            <w:vAlign w:val="center"/>
          </w:tcPr>
          <w:p w14:paraId="4DC4517A">
            <w:pPr>
              <w:jc w:val="center"/>
              <w:rPr>
                <w:rFonts w:hint="eastAsia" w:ascii="新宋体" w:hAnsi="新宋体" w:eastAsia="新宋体"/>
                <w:color w:val="auto"/>
                <w:sz w:val="22"/>
                <w:szCs w:val="22"/>
                <w:highlight w:val="none"/>
              </w:rPr>
            </w:pPr>
          </w:p>
        </w:tc>
      </w:tr>
    </w:tbl>
    <w:p w14:paraId="7272D488">
      <w:pPr>
        <w:spacing w:line="5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说明：</w:t>
      </w:r>
    </w:p>
    <w:p w14:paraId="5621C59E">
      <w:pPr>
        <w:numPr>
          <w:ilvl w:val="0"/>
          <w:numId w:val="14"/>
        </w:numPr>
        <w:spacing w:line="400" w:lineRule="exact"/>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供应商应根据招标要求的内容逐项填写投标响应内容</w:t>
      </w:r>
      <w:r>
        <w:rPr>
          <w:rFonts w:hint="eastAsia" w:ascii="新宋体" w:hAnsi="新宋体"/>
          <w:color w:val="auto"/>
          <w:sz w:val="22"/>
          <w:szCs w:val="22"/>
          <w:highlight w:val="none"/>
          <w:lang w:val="en-US" w:eastAsia="zh-CN"/>
        </w:rPr>
        <w:t>，并按要求提供证明材料</w:t>
      </w:r>
      <w:r>
        <w:rPr>
          <w:rFonts w:hint="eastAsia" w:ascii="新宋体" w:hAnsi="新宋体" w:eastAsia="新宋体"/>
          <w:color w:val="auto"/>
          <w:sz w:val="22"/>
          <w:szCs w:val="22"/>
          <w:highlight w:val="none"/>
          <w:lang w:val="en-US" w:eastAsia="zh-CN"/>
        </w:rPr>
        <w:t>；</w:t>
      </w:r>
    </w:p>
    <w:p w14:paraId="1F9EDFC9">
      <w:pPr>
        <w:numPr>
          <w:ilvl w:val="0"/>
          <w:numId w:val="14"/>
        </w:numPr>
        <w:spacing w:line="400" w:lineRule="exact"/>
        <w:rPr>
          <w:rFonts w:asciiTheme="majorEastAsia" w:hAnsiTheme="majorEastAsia" w:eastAsiaTheme="majorEastAsia"/>
          <w:b/>
          <w:color w:val="auto"/>
          <w:szCs w:val="22"/>
          <w:highlight w:val="none"/>
        </w:rPr>
      </w:pPr>
      <w:r>
        <w:rPr>
          <w:rFonts w:hint="eastAsia" w:ascii="新宋体" w:hAnsi="新宋体" w:eastAsia="新宋体"/>
          <w:color w:val="auto"/>
          <w:sz w:val="22"/>
          <w:szCs w:val="22"/>
          <w:highlight w:val="none"/>
          <w:lang w:val="en-US" w:eastAsia="zh-CN"/>
        </w:rPr>
        <w:t>偏离情况填写“正偏离”、“负偏离”或“无偏离”，具体偏离结论由评标委员会结合采购文件及投标文件进行判定。</w:t>
      </w:r>
    </w:p>
    <w:p w14:paraId="34496E3E">
      <w:pPr>
        <w:spacing w:line="400" w:lineRule="exact"/>
        <w:ind w:left="-202" w:right="-202" w:firstLine="550"/>
        <w:rPr>
          <w:rFonts w:asciiTheme="majorEastAsia" w:hAnsiTheme="majorEastAsia" w:eastAsiaTheme="majorEastAsia"/>
          <w:color w:val="auto"/>
          <w:szCs w:val="22"/>
          <w:highlight w:val="none"/>
        </w:rPr>
      </w:pPr>
    </w:p>
    <w:p w14:paraId="6FFF0E05">
      <w:pPr>
        <w:spacing w:line="400" w:lineRule="exact"/>
        <w:ind w:left="-202" w:right="-202" w:firstLine="550"/>
        <w:rPr>
          <w:rFonts w:asciiTheme="majorEastAsia" w:hAnsiTheme="majorEastAsia" w:eastAsiaTheme="majorEastAsia"/>
          <w:color w:val="auto"/>
          <w:szCs w:val="22"/>
          <w:highlight w:val="none"/>
        </w:rPr>
      </w:pPr>
    </w:p>
    <w:p w14:paraId="706A4008">
      <w:pPr>
        <w:spacing w:line="400" w:lineRule="exact"/>
        <w:ind w:left="-202" w:right="-202" w:firstLine="550"/>
        <w:rPr>
          <w:rFonts w:asciiTheme="majorEastAsia" w:hAnsiTheme="majorEastAsia" w:eastAsiaTheme="majorEastAsia"/>
          <w:color w:val="auto"/>
          <w:szCs w:val="22"/>
          <w:highlight w:val="none"/>
        </w:rPr>
      </w:pPr>
    </w:p>
    <w:p w14:paraId="7BCA3861">
      <w:pPr>
        <w:spacing w:line="400" w:lineRule="exact"/>
        <w:ind w:left="-202" w:right="-202" w:firstLine="550"/>
        <w:rPr>
          <w:rFonts w:asciiTheme="majorEastAsia" w:hAnsiTheme="majorEastAsia" w:eastAsiaTheme="majorEastAsia"/>
          <w:color w:val="auto"/>
          <w:szCs w:val="22"/>
          <w:highlight w:val="none"/>
        </w:rPr>
      </w:pPr>
    </w:p>
    <w:p w14:paraId="6066A609">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5CB68019">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0D28CC08">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08133E64">
      <w:pPr>
        <w:spacing w:line="400" w:lineRule="exact"/>
        <w:ind w:left="-202" w:right="-202" w:firstLine="550"/>
        <w:rPr>
          <w:rFonts w:asciiTheme="majorEastAsia" w:hAnsiTheme="majorEastAsia" w:eastAsiaTheme="majorEastAsia"/>
          <w:color w:val="auto"/>
          <w:szCs w:val="22"/>
          <w:highlight w:val="none"/>
        </w:rPr>
      </w:pPr>
    </w:p>
    <w:p w14:paraId="60893888">
      <w:pPr>
        <w:spacing w:line="500" w:lineRule="exact"/>
        <w:ind w:left="-202" w:right="-202"/>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color w:val="auto"/>
          <w:sz w:val="24"/>
          <w:highlight w:val="none"/>
        </w:rPr>
        <w:br w:type="page"/>
      </w:r>
      <w:r>
        <w:rPr>
          <w:rFonts w:hint="eastAsia" w:asciiTheme="majorEastAsia" w:hAnsiTheme="majorEastAsia" w:eastAsiaTheme="majorEastAsia"/>
          <w:b/>
          <w:bCs/>
          <w:color w:val="auto"/>
          <w:sz w:val="28"/>
          <w:szCs w:val="28"/>
          <w:highlight w:val="none"/>
        </w:rPr>
        <w:t>(2)商务条款偏离表</w:t>
      </w:r>
    </w:p>
    <w:p w14:paraId="04843C98">
      <w:pPr>
        <w:ind w:left="-202" w:right="-202" w:firstLine="1104"/>
        <w:jc w:val="center"/>
        <w:rPr>
          <w:rFonts w:asciiTheme="majorEastAsia" w:hAnsiTheme="majorEastAsia" w:eastAsiaTheme="majorEastAsia"/>
          <w:b/>
          <w:color w:val="auto"/>
          <w:sz w:val="44"/>
          <w:highlight w:val="none"/>
        </w:rPr>
      </w:pPr>
    </w:p>
    <w:p w14:paraId="5794AC90">
      <w:pPr>
        <w:overflowPunct w:val="0"/>
        <w:spacing w:line="380" w:lineRule="exact"/>
        <w:ind w:left="-202" w:right="-202" w:firstLine="552"/>
        <w:rPr>
          <w:rFonts w:asciiTheme="majorEastAsia" w:hAnsiTheme="majorEastAsia" w:eastAsiaTheme="majorEastAsia"/>
          <w:bCs/>
          <w:color w:val="auto"/>
          <w:szCs w:val="22"/>
          <w:highlight w:val="none"/>
        </w:rPr>
      </w:pPr>
      <w:r>
        <w:rPr>
          <w:rFonts w:hint="eastAsia" w:asciiTheme="majorEastAsia" w:hAnsiTheme="majorEastAsia" w:eastAsiaTheme="majorEastAsia"/>
          <w:b/>
          <w:color w:val="auto"/>
          <w:szCs w:val="22"/>
          <w:highlight w:val="none"/>
        </w:rPr>
        <w:t xml:space="preserve">  </w:t>
      </w:r>
      <w:r>
        <w:rPr>
          <w:rFonts w:hint="eastAsia" w:asciiTheme="majorEastAsia" w:hAnsiTheme="majorEastAsia" w:eastAsiaTheme="majorEastAsia"/>
          <w:bCs/>
          <w:color w:val="auto"/>
          <w:szCs w:val="22"/>
          <w:highlight w:val="none"/>
        </w:rPr>
        <w:t xml:space="preserve">项目名称：                                      </w:t>
      </w:r>
      <w:r>
        <w:rPr>
          <w:rFonts w:hint="eastAsia" w:asciiTheme="majorEastAsia" w:hAnsiTheme="majorEastAsia" w:eastAsiaTheme="majorEastAsia"/>
          <w:bCs/>
          <w:color w:val="auto"/>
          <w:szCs w:val="22"/>
          <w:highlight w:val="none"/>
          <w:lang w:eastAsia="zh-CN"/>
        </w:rPr>
        <w:t>项目编号</w:t>
      </w:r>
      <w:r>
        <w:rPr>
          <w:rFonts w:hint="eastAsia" w:asciiTheme="majorEastAsia" w:hAnsiTheme="majorEastAsia" w:eastAsiaTheme="majorEastAsia"/>
          <w:bCs/>
          <w:color w:val="auto"/>
          <w:szCs w:val="22"/>
          <w:highlight w:val="none"/>
        </w:rPr>
        <w:t>：</w:t>
      </w:r>
    </w:p>
    <w:p w14:paraId="22412CA7">
      <w:pPr>
        <w:ind w:left="-202" w:right="-202" w:firstLine="221" w:firstLineChars="100"/>
        <w:rPr>
          <w:rFonts w:asciiTheme="majorEastAsia" w:hAnsiTheme="majorEastAsia" w:eastAsiaTheme="majorEastAsia"/>
          <w:b/>
          <w:color w:val="auto"/>
          <w:szCs w:val="22"/>
          <w:highlight w:val="none"/>
        </w:rPr>
      </w:pP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6EB3D0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446C5A30">
            <w:pPr>
              <w:ind w:left="-134" w:right="-165" w:firstLine="134"/>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序号</w:t>
            </w:r>
          </w:p>
        </w:tc>
        <w:tc>
          <w:tcPr>
            <w:tcW w:w="1559" w:type="dxa"/>
            <w:vAlign w:val="center"/>
          </w:tcPr>
          <w:p w14:paraId="6942862C">
            <w:pPr>
              <w:ind w:right="-2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条款内容</w:t>
            </w:r>
          </w:p>
        </w:tc>
        <w:tc>
          <w:tcPr>
            <w:tcW w:w="2184" w:type="dxa"/>
            <w:vAlign w:val="center"/>
          </w:tcPr>
          <w:p w14:paraId="1AE6FD9D">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采购文件</w:t>
            </w:r>
          </w:p>
          <w:p w14:paraId="0BAA1877">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商务条款描述</w:t>
            </w:r>
          </w:p>
        </w:tc>
        <w:tc>
          <w:tcPr>
            <w:tcW w:w="2402" w:type="dxa"/>
            <w:vAlign w:val="center"/>
          </w:tcPr>
          <w:p w14:paraId="1E753DB2">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投标文件商务条款</w:t>
            </w:r>
          </w:p>
        </w:tc>
        <w:tc>
          <w:tcPr>
            <w:tcW w:w="1200" w:type="dxa"/>
            <w:vAlign w:val="center"/>
          </w:tcPr>
          <w:p w14:paraId="5B0C3C12">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偏离</w:t>
            </w:r>
          </w:p>
        </w:tc>
        <w:tc>
          <w:tcPr>
            <w:tcW w:w="1588" w:type="dxa"/>
            <w:vAlign w:val="center"/>
          </w:tcPr>
          <w:p w14:paraId="068D848F">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说   明</w:t>
            </w:r>
          </w:p>
        </w:tc>
      </w:tr>
      <w:tr w14:paraId="66E5F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7D319E01">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1</w:t>
            </w:r>
          </w:p>
        </w:tc>
        <w:tc>
          <w:tcPr>
            <w:tcW w:w="1559" w:type="dxa"/>
            <w:vAlign w:val="center"/>
          </w:tcPr>
          <w:p w14:paraId="76ED2255">
            <w:pPr>
              <w:ind w:right="-22"/>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付款方式</w:t>
            </w:r>
          </w:p>
        </w:tc>
        <w:tc>
          <w:tcPr>
            <w:tcW w:w="2184" w:type="dxa"/>
            <w:vAlign w:val="center"/>
          </w:tcPr>
          <w:p w14:paraId="3EF4C3CA">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5C3BC922">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66C0BFF8">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6FCB33D7">
            <w:pPr>
              <w:ind w:left="-202" w:right="-202" w:firstLine="550"/>
              <w:jc w:val="center"/>
              <w:rPr>
                <w:rFonts w:asciiTheme="majorEastAsia" w:hAnsiTheme="majorEastAsia" w:eastAsiaTheme="majorEastAsia"/>
                <w:color w:val="auto"/>
                <w:szCs w:val="22"/>
                <w:highlight w:val="none"/>
              </w:rPr>
            </w:pPr>
          </w:p>
        </w:tc>
      </w:tr>
      <w:tr w14:paraId="7E1532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FBF3A82">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2</w:t>
            </w:r>
          </w:p>
        </w:tc>
        <w:tc>
          <w:tcPr>
            <w:tcW w:w="1559" w:type="dxa"/>
            <w:vAlign w:val="center"/>
          </w:tcPr>
          <w:p w14:paraId="4EF91BFB">
            <w:pPr>
              <w:ind w:right="-22"/>
              <w:jc w:val="center"/>
              <w:rPr>
                <w:rFonts w:hint="eastAsia" w:asciiTheme="majorEastAsia" w:hAnsiTheme="majorEastAsia" w:eastAsiaTheme="majorEastAsia"/>
                <w:color w:val="auto"/>
                <w:szCs w:val="22"/>
                <w:highlight w:val="none"/>
                <w:lang w:eastAsia="zh-CN"/>
              </w:rPr>
            </w:pPr>
            <w:r>
              <w:rPr>
                <w:rFonts w:hint="eastAsia" w:asciiTheme="majorEastAsia" w:hAnsiTheme="majorEastAsia" w:eastAsiaTheme="majorEastAsia"/>
                <w:color w:val="auto"/>
                <w:szCs w:val="22"/>
                <w:highlight w:val="none"/>
                <w:lang w:val="en-US" w:eastAsia="zh-CN"/>
              </w:rPr>
              <w:t>供货时间</w:t>
            </w:r>
          </w:p>
        </w:tc>
        <w:tc>
          <w:tcPr>
            <w:tcW w:w="2184" w:type="dxa"/>
            <w:vAlign w:val="center"/>
          </w:tcPr>
          <w:p w14:paraId="0F536733">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228067B9">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4FDBB52B">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588E45A6">
            <w:pPr>
              <w:ind w:left="-202" w:right="-202" w:firstLine="550"/>
              <w:jc w:val="center"/>
              <w:rPr>
                <w:rFonts w:asciiTheme="majorEastAsia" w:hAnsiTheme="majorEastAsia" w:eastAsiaTheme="majorEastAsia"/>
                <w:color w:val="auto"/>
                <w:szCs w:val="22"/>
                <w:highlight w:val="none"/>
              </w:rPr>
            </w:pPr>
          </w:p>
        </w:tc>
      </w:tr>
      <w:tr w14:paraId="33BADA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E85131A">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3</w:t>
            </w:r>
          </w:p>
        </w:tc>
        <w:tc>
          <w:tcPr>
            <w:tcW w:w="1559" w:type="dxa"/>
            <w:vAlign w:val="center"/>
          </w:tcPr>
          <w:p w14:paraId="27AA3649">
            <w:pPr>
              <w:ind w:left="-202" w:right="-202" w:firstLine="550"/>
              <w:jc w:val="center"/>
              <w:rPr>
                <w:rFonts w:asciiTheme="majorEastAsia" w:hAnsiTheme="majorEastAsia" w:eastAsiaTheme="majorEastAsia"/>
                <w:color w:val="auto"/>
                <w:szCs w:val="22"/>
                <w:highlight w:val="none"/>
              </w:rPr>
            </w:pPr>
          </w:p>
        </w:tc>
        <w:tc>
          <w:tcPr>
            <w:tcW w:w="2184" w:type="dxa"/>
            <w:vAlign w:val="center"/>
          </w:tcPr>
          <w:p w14:paraId="67C736CD">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15824E1A">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43D13769">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458B78D3">
            <w:pPr>
              <w:ind w:left="-202" w:right="-202" w:firstLine="550"/>
              <w:jc w:val="center"/>
              <w:rPr>
                <w:rFonts w:asciiTheme="majorEastAsia" w:hAnsiTheme="majorEastAsia" w:eastAsiaTheme="majorEastAsia"/>
                <w:color w:val="auto"/>
                <w:szCs w:val="22"/>
                <w:highlight w:val="none"/>
              </w:rPr>
            </w:pPr>
          </w:p>
        </w:tc>
      </w:tr>
      <w:tr w14:paraId="24E41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CC8B3D1">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4</w:t>
            </w:r>
          </w:p>
        </w:tc>
        <w:tc>
          <w:tcPr>
            <w:tcW w:w="1559" w:type="dxa"/>
            <w:vAlign w:val="center"/>
          </w:tcPr>
          <w:p w14:paraId="3B6DEB0D">
            <w:pPr>
              <w:ind w:left="-202" w:right="-202" w:firstLine="550"/>
              <w:jc w:val="center"/>
              <w:rPr>
                <w:rFonts w:asciiTheme="majorEastAsia" w:hAnsiTheme="majorEastAsia" w:eastAsiaTheme="majorEastAsia"/>
                <w:color w:val="auto"/>
                <w:szCs w:val="22"/>
                <w:highlight w:val="none"/>
              </w:rPr>
            </w:pPr>
          </w:p>
        </w:tc>
        <w:tc>
          <w:tcPr>
            <w:tcW w:w="2184" w:type="dxa"/>
            <w:vAlign w:val="center"/>
          </w:tcPr>
          <w:p w14:paraId="1A0E4FC7">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586FDE55">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3BD76619">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47D56498">
            <w:pPr>
              <w:ind w:left="-202" w:right="-202" w:firstLine="550"/>
              <w:jc w:val="center"/>
              <w:rPr>
                <w:rFonts w:asciiTheme="majorEastAsia" w:hAnsiTheme="majorEastAsia" w:eastAsiaTheme="majorEastAsia"/>
                <w:color w:val="auto"/>
                <w:szCs w:val="22"/>
                <w:highlight w:val="none"/>
              </w:rPr>
            </w:pPr>
          </w:p>
        </w:tc>
      </w:tr>
      <w:tr w14:paraId="65ED96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F549AB5">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5</w:t>
            </w:r>
          </w:p>
        </w:tc>
        <w:tc>
          <w:tcPr>
            <w:tcW w:w="1559" w:type="dxa"/>
            <w:vAlign w:val="center"/>
          </w:tcPr>
          <w:p w14:paraId="49F5CAF6">
            <w:pPr>
              <w:ind w:left="-202" w:right="-202" w:firstLine="550"/>
              <w:jc w:val="center"/>
              <w:rPr>
                <w:rFonts w:asciiTheme="majorEastAsia" w:hAnsiTheme="majorEastAsia" w:eastAsiaTheme="majorEastAsia"/>
                <w:color w:val="auto"/>
                <w:szCs w:val="22"/>
                <w:highlight w:val="none"/>
              </w:rPr>
            </w:pPr>
          </w:p>
        </w:tc>
        <w:tc>
          <w:tcPr>
            <w:tcW w:w="2184" w:type="dxa"/>
            <w:vAlign w:val="center"/>
          </w:tcPr>
          <w:p w14:paraId="23BD0B2E">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6F8A9ADD">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0A3131D0">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60936C7B">
            <w:pPr>
              <w:ind w:left="-202" w:right="-202" w:firstLine="550"/>
              <w:jc w:val="center"/>
              <w:rPr>
                <w:rFonts w:asciiTheme="majorEastAsia" w:hAnsiTheme="majorEastAsia" w:eastAsiaTheme="majorEastAsia"/>
                <w:color w:val="auto"/>
                <w:szCs w:val="22"/>
                <w:highlight w:val="none"/>
              </w:rPr>
            </w:pPr>
          </w:p>
        </w:tc>
      </w:tr>
      <w:tr w14:paraId="0D5A1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4EDEA2B">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w:t>
            </w:r>
          </w:p>
        </w:tc>
        <w:tc>
          <w:tcPr>
            <w:tcW w:w="1559" w:type="dxa"/>
            <w:vAlign w:val="center"/>
          </w:tcPr>
          <w:p w14:paraId="5FF731E0">
            <w:pPr>
              <w:ind w:left="-202" w:right="-202" w:firstLine="550"/>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w:t>
            </w:r>
          </w:p>
        </w:tc>
        <w:tc>
          <w:tcPr>
            <w:tcW w:w="2184" w:type="dxa"/>
            <w:vAlign w:val="center"/>
          </w:tcPr>
          <w:p w14:paraId="6EF8F5FB">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0968398F">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3D167E59">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7D99D583">
            <w:pPr>
              <w:ind w:left="-202" w:right="-202" w:firstLine="550"/>
              <w:jc w:val="center"/>
              <w:rPr>
                <w:rFonts w:asciiTheme="majorEastAsia" w:hAnsiTheme="majorEastAsia" w:eastAsiaTheme="majorEastAsia"/>
                <w:color w:val="auto"/>
                <w:szCs w:val="22"/>
                <w:highlight w:val="none"/>
              </w:rPr>
            </w:pPr>
          </w:p>
        </w:tc>
      </w:tr>
    </w:tbl>
    <w:p w14:paraId="36B07210">
      <w:pPr>
        <w:spacing w:line="500" w:lineRule="exact"/>
        <w:ind w:left="-202" w:right="-20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w:t>
      </w:r>
    </w:p>
    <w:p w14:paraId="54A5A4D4">
      <w:pPr>
        <w:spacing w:line="500" w:lineRule="exact"/>
        <w:ind w:left="-202" w:right="-202" w:firstLine="550"/>
        <w:rPr>
          <w:rFonts w:asciiTheme="majorEastAsia" w:hAnsiTheme="majorEastAsia" w:eastAsiaTheme="majorEastAsia"/>
          <w:b/>
          <w:color w:val="auto"/>
          <w:szCs w:val="22"/>
          <w:highlight w:val="none"/>
        </w:rPr>
      </w:pPr>
      <w:r>
        <w:rPr>
          <w:rFonts w:hint="eastAsia" w:asciiTheme="majorEastAsia" w:hAnsiTheme="majorEastAsia" w:eastAsiaTheme="majorEastAsia"/>
          <w:b/>
          <w:color w:val="auto"/>
          <w:szCs w:val="22"/>
          <w:highlight w:val="none"/>
        </w:rPr>
        <w:t>不填写此表视作完全响应采购文件要求。</w:t>
      </w:r>
    </w:p>
    <w:p w14:paraId="13E8C8BD">
      <w:pPr>
        <w:spacing w:line="500" w:lineRule="exact"/>
        <w:ind w:left="-202" w:right="-202" w:firstLine="4400" w:firstLineChars="2000"/>
        <w:rPr>
          <w:rFonts w:asciiTheme="majorEastAsia" w:hAnsiTheme="majorEastAsia" w:eastAsiaTheme="majorEastAsia"/>
          <w:color w:val="auto"/>
          <w:szCs w:val="22"/>
          <w:highlight w:val="none"/>
        </w:rPr>
      </w:pPr>
    </w:p>
    <w:p w14:paraId="380C8F11">
      <w:pPr>
        <w:spacing w:line="500" w:lineRule="exact"/>
        <w:ind w:left="-202" w:right="-202" w:firstLine="4400" w:firstLineChars="2000"/>
        <w:rPr>
          <w:rFonts w:asciiTheme="majorEastAsia" w:hAnsiTheme="majorEastAsia" w:eastAsiaTheme="majorEastAsia"/>
          <w:color w:val="auto"/>
          <w:szCs w:val="22"/>
          <w:highlight w:val="none"/>
        </w:rPr>
      </w:pPr>
    </w:p>
    <w:p w14:paraId="26DB9556">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E93F871">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3518CE4A">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0175FBD5">
      <w:pPr>
        <w:tabs>
          <w:tab w:val="left" w:pos="840"/>
        </w:tabs>
        <w:adjustRightInd w:val="0"/>
        <w:snapToGrid w:val="0"/>
        <w:spacing w:line="360" w:lineRule="auto"/>
        <w:ind w:left="440" w:leftChars="200" w:right="-202" w:firstLine="330" w:firstLineChars="150"/>
        <w:rPr>
          <w:rFonts w:asciiTheme="majorEastAsia" w:hAnsiTheme="majorEastAsia" w:eastAsiaTheme="majorEastAsia"/>
          <w:color w:val="auto"/>
          <w:szCs w:val="22"/>
          <w:highlight w:val="none"/>
        </w:rPr>
      </w:pPr>
    </w:p>
    <w:p w14:paraId="28F14513">
      <w:pPr>
        <w:tabs>
          <w:tab w:val="left" w:pos="840"/>
        </w:tabs>
        <w:adjustRightInd w:val="0"/>
        <w:snapToGrid w:val="0"/>
        <w:spacing w:line="360" w:lineRule="auto"/>
        <w:ind w:right="-202"/>
        <w:rPr>
          <w:rFonts w:asciiTheme="majorEastAsia" w:hAnsiTheme="majorEastAsia" w:eastAsiaTheme="majorEastAsia"/>
          <w:color w:val="auto"/>
          <w:szCs w:val="22"/>
          <w:highlight w:val="none"/>
        </w:rPr>
      </w:pPr>
      <w:r>
        <w:rPr>
          <w:rFonts w:asciiTheme="majorEastAsia" w:hAnsiTheme="majorEastAsia" w:eastAsiaTheme="majorEastAsia"/>
          <w:color w:val="auto"/>
          <w:szCs w:val="22"/>
          <w:highlight w:val="none"/>
        </w:rPr>
        <w:t xml:space="preserve"> </w:t>
      </w:r>
    </w:p>
    <w:p w14:paraId="1E766CA2">
      <w:pPr>
        <w:tabs>
          <w:tab w:val="left" w:pos="840"/>
        </w:tabs>
        <w:adjustRightInd w:val="0"/>
        <w:snapToGrid w:val="0"/>
        <w:spacing w:line="360" w:lineRule="auto"/>
        <w:rPr>
          <w:rFonts w:ascii="新宋体" w:hAnsi="新宋体" w:cs="ˎ̥"/>
          <w:b/>
          <w:bCs/>
          <w:color w:val="auto"/>
          <w:szCs w:val="22"/>
          <w:highlight w:val="none"/>
        </w:rPr>
      </w:pPr>
      <w:r>
        <w:rPr>
          <w:rFonts w:hint="eastAsia" w:asciiTheme="majorEastAsia" w:hAnsiTheme="majorEastAsia" w:eastAsiaTheme="majorEastAsia"/>
          <w:color w:val="auto"/>
          <w:highlight w:val="none"/>
        </w:rPr>
        <w:br w:type="page"/>
      </w:r>
      <w:r>
        <w:rPr>
          <w:rFonts w:hint="eastAsia" w:ascii="新宋体" w:hAnsi="新宋体" w:cs="ˎ̥"/>
          <w:b/>
          <w:bCs/>
          <w:color w:val="auto"/>
          <w:szCs w:val="22"/>
          <w:highlight w:val="none"/>
        </w:rPr>
        <w:t>附件三</w:t>
      </w:r>
    </w:p>
    <w:p w14:paraId="30848308">
      <w:pPr>
        <w:spacing w:line="460" w:lineRule="exact"/>
        <w:jc w:val="center"/>
        <w:rPr>
          <w:rStyle w:val="67"/>
          <w:rFonts w:ascii="新宋体" w:hAnsi="新宋体" w:eastAsia="新宋体"/>
          <w:b/>
          <w:bCs/>
          <w:color w:val="auto"/>
          <w:sz w:val="28"/>
          <w:szCs w:val="28"/>
          <w:highlight w:val="none"/>
        </w:rPr>
      </w:pPr>
      <w:r>
        <w:rPr>
          <w:rStyle w:val="67"/>
          <w:rFonts w:ascii="新宋体" w:hAnsi="新宋体" w:eastAsia="新宋体"/>
          <w:b/>
          <w:bCs/>
          <w:color w:val="auto"/>
          <w:sz w:val="28"/>
          <w:szCs w:val="28"/>
          <w:highlight w:val="none"/>
        </w:rPr>
        <w:t>（3）设备供货范围详细清单</w:t>
      </w:r>
    </w:p>
    <w:p w14:paraId="16C08590">
      <w:pPr>
        <w:spacing w:line="380" w:lineRule="exact"/>
        <w:rPr>
          <w:rStyle w:val="67"/>
          <w:rFonts w:ascii="新宋体" w:hAnsi="新宋体" w:eastAsia="新宋体" w:cs="宋体"/>
          <w:b/>
          <w:bCs/>
          <w:color w:val="auto"/>
          <w:sz w:val="22"/>
          <w:szCs w:val="22"/>
          <w:highlight w:val="none"/>
        </w:rPr>
      </w:pPr>
      <w:r>
        <w:rPr>
          <w:rStyle w:val="67"/>
          <w:rFonts w:ascii="新宋体" w:hAnsi="新宋体" w:eastAsia="新宋体"/>
          <w:bCs/>
          <w:color w:val="auto"/>
          <w:sz w:val="22"/>
          <w:szCs w:val="22"/>
          <w:highlight w:val="none"/>
        </w:rPr>
        <w:t>项目名称：                                         项目编号：</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83"/>
        <w:gridCol w:w="3193"/>
        <w:gridCol w:w="956"/>
        <w:gridCol w:w="765"/>
        <w:gridCol w:w="1336"/>
        <w:gridCol w:w="1143"/>
      </w:tblGrid>
      <w:tr w14:paraId="415A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tcBorders>
              <w:top w:val="single" w:color="000000" w:sz="12" w:space="0"/>
              <w:left w:val="single" w:color="000000" w:sz="12" w:space="0"/>
              <w:bottom w:val="single" w:color="000000" w:sz="12" w:space="0"/>
              <w:right w:val="single" w:color="000000" w:sz="4" w:space="0"/>
            </w:tcBorders>
            <w:noWrap w:val="0"/>
            <w:vAlign w:val="top"/>
          </w:tcPr>
          <w:p w14:paraId="6C771D98">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序号</w:t>
            </w:r>
          </w:p>
        </w:tc>
        <w:tc>
          <w:tcPr>
            <w:tcW w:w="1583" w:type="dxa"/>
            <w:tcBorders>
              <w:top w:val="single" w:color="000000" w:sz="12" w:space="0"/>
              <w:left w:val="single" w:color="000000" w:sz="4" w:space="0"/>
              <w:bottom w:val="single" w:color="000000" w:sz="12" w:space="0"/>
              <w:right w:val="single" w:color="000000" w:sz="4" w:space="0"/>
            </w:tcBorders>
            <w:noWrap w:val="0"/>
            <w:vAlign w:val="top"/>
          </w:tcPr>
          <w:p w14:paraId="43C4B0E3">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设备名称</w:t>
            </w:r>
          </w:p>
        </w:tc>
        <w:tc>
          <w:tcPr>
            <w:tcW w:w="3193" w:type="dxa"/>
            <w:tcBorders>
              <w:top w:val="single" w:color="000000" w:sz="12" w:space="0"/>
              <w:left w:val="single" w:color="000000" w:sz="4" w:space="0"/>
              <w:bottom w:val="single" w:color="000000" w:sz="12" w:space="0"/>
              <w:right w:val="single" w:color="000000" w:sz="4" w:space="0"/>
            </w:tcBorders>
            <w:noWrap w:val="0"/>
            <w:vAlign w:val="top"/>
          </w:tcPr>
          <w:p w14:paraId="6C44F664">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详细配置说明（品牌、型号，详细参数）</w:t>
            </w:r>
          </w:p>
        </w:tc>
        <w:tc>
          <w:tcPr>
            <w:tcW w:w="956" w:type="dxa"/>
            <w:tcBorders>
              <w:top w:val="single" w:color="000000" w:sz="12" w:space="0"/>
              <w:left w:val="single" w:color="000000" w:sz="4" w:space="0"/>
              <w:bottom w:val="single" w:color="000000" w:sz="12" w:space="0"/>
              <w:right w:val="single" w:color="000000" w:sz="4" w:space="0"/>
            </w:tcBorders>
            <w:noWrap w:val="0"/>
            <w:vAlign w:val="top"/>
          </w:tcPr>
          <w:p w14:paraId="6D989B19">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产地</w:t>
            </w:r>
          </w:p>
        </w:tc>
        <w:tc>
          <w:tcPr>
            <w:tcW w:w="765" w:type="dxa"/>
            <w:tcBorders>
              <w:top w:val="single" w:color="000000" w:sz="12" w:space="0"/>
              <w:left w:val="single" w:color="000000" w:sz="4" w:space="0"/>
              <w:bottom w:val="single" w:color="000000" w:sz="12" w:space="0"/>
              <w:right w:val="single" w:color="000000" w:sz="4" w:space="0"/>
            </w:tcBorders>
            <w:noWrap w:val="0"/>
            <w:vAlign w:val="top"/>
          </w:tcPr>
          <w:p w14:paraId="2F69CB46">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数量</w:t>
            </w:r>
          </w:p>
        </w:tc>
        <w:tc>
          <w:tcPr>
            <w:tcW w:w="1336" w:type="dxa"/>
            <w:tcBorders>
              <w:top w:val="single" w:color="000000" w:sz="12" w:space="0"/>
              <w:left w:val="single" w:color="000000" w:sz="4" w:space="0"/>
              <w:bottom w:val="single" w:color="000000" w:sz="12" w:space="0"/>
              <w:right w:val="single" w:color="000000" w:sz="4" w:space="0"/>
            </w:tcBorders>
            <w:noWrap w:val="0"/>
            <w:vAlign w:val="top"/>
          </w:tcPr>
          <w:p w14:paraId="4A90D8CC">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质保期限</w:t>
            </w:r>
          </w:p>
        </w:tc>
        <w:tc>
          <w:tcPr>
            <w:tcW w:w="1143" w:type="dxa"/>
            <w:tcBorders>
              <w:top w:val="single" w:color="000000" w:sz="12" w:space="0"/>
              <w:left w:val="single" w:color="000000" w:sz="4" w:space="0"/>
              <w:bottom w:val="single" w:color="000000" w:sz="12" w:space="0"/>
              <w:right w:val="single" w:color="000000" w:sz="12" w:space="0"/>
            </w:tcBorders>
            <w:noWrap w:val="0"/>
            <w:vAlign w:val="top"/>
          </w:tcPr>
          <w:p w14:paraId="12363995">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备注</w:t>
            </w:r>
          </w:p>
        </w:tc>
      </w:tr>
      <w:tr w14:paraId="0DBD0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12" w:space="0"/>
              <w:left w:val="single" w:color="000000" w:sz="12" w:space="0"/>
              <w:bottom w:val="single" w:color="000000" w:sz="4" w:space="0"/>
              <w:right w:val="single" w:color="000000" w:sz="4" w:space="0"/>
            </w:tcBorders>
            <w:noWrap w:val="0"/>
            <w:vAlign w:val="top"/>
          </w:tcPr>
          <w:p w14:paraId="59F513F3">
            <w:pPr>
              <w:rPr>
                <w:rStyle w:val="67"/>
                <w:rFonts w:ascii="新宋体" w:hAnsi="新宋体" w:eastAsia="新宋体"/>
                <w:b/>
                <w:bCs/>
                <w:color w:val="auto"/>
                <w:sz w:val="22"/>
                <w:szCs w:val="22"/>
                <w:highlight w:val="none"/>
              </w:rPr>
            </w:pPr>
          </w:p>
        </w:tc>
        <w:tc>
          <w:tcPr>
            <w:tcW w:w="1583" w:type="dxa"/>
            <w:vMerge w:val="restart"/>
            <w:tcBorders>
              <w:top w:val="single" w:color="000000" w:sz="12" w:space="0"/>
              <w:left w:val="single" w:color="000000" w:sz="4" w:space="0"/>
              <w:bottom w:val="single" w:color="000000" w:sz="4" w:space="0"/>
              <w:right w:val="single" w:color="000000" w:sz="4" w:space="0"/>
            </w:tcBorders>
            <w:noWrap w:val="0"/>
            <w:vAlign w:val="top"/>
          </w:tcPr>
          <w:p w14:paraId="4D95ACEF">
            <w:pPr>
              <w:rPr>
                <w:rStyle w:val="67"/>
                <w:rFonts w:ascii="新宋体" w:hAnsi="新宋体" w:eastAsia="新宋体"/>
                <w:b/>
                <w:bCs/>
                <w:color w:val="auto"/>
                <w:sz w:val="22"/>
                <w:szCs w:val="22"/>
                <w:highlight w:val="none"/>
              </w:rPr>
            </w:pPr>
          </w:p>
        </w:tc>
        <w:tc>
          <w:tcPr>
            <w:tcW w:w="3193" w:type="dxa"/>
            <w:tcBorders>
              <w:top w:val="single" w:color="000000" w:sz="12" w:space="0"/>
              <w:left w:val="single" w:color="000000" w:sz="4" w:space="0"/>
              <w:bottom w:val="single" w:color="000000" w:sz="4" w:space="0"/>
              <w:right w:val="single" w:color="000000" w:sz="4" w:space="0"/>
            </w:tcBorders>
            <w:noWrap w:val="0"/>
            <w:vAlign w:val="top"/>
          </w:tcPr>
          <w:p w14:paraId="13B3819F">
            <w:pPr>
              <w:rPr>
                <w:rStyle w:val="67"/>
                <w:rFonts w:ascii="新宋体" w:hAnsi="新宋体" w:eastAsia="新宋体"/>
                <w:b/>
                <w:bCs/>
                <w:color w:val="auto"/>
                <w:sz w:val="22"/>
                <w:szCs w:val="22"/>
                <w:highlight w:val="none"/>
              </w:rPr>
            </w:pPr>
          </w:p>
        </w:tc>
        <w:tc>
          <w:tcPr>
            <w:tcW w:w="956" w:type="dxa"/>
            <w:tcBorders>
              <w:top w:val="single" w:color="000000" w:sz="12" w:space="0"/>
              <w:left w:val="single" w:color="000000" w:sz="4" w:space="0"/>
              <w:bottom w:val="single" w:color="000000" w:sz="4" w:space="0"/>
              <w:right w:val="single" w:color="000000" w:sz="4" w:space="0"/>
            </w:tcBorders>
            <w:noWrap w:val="0"/>
            <w:vAlign w:val="top"/>
          </w:tcPr>
          <w:p w14:paraId="3C9EC9C9">
            <w:pPr>
              <w:rPr>
                <w:rStyle w:val="67"/>
                <w:rFonts w:ascii="新宋体" w:hAnsi="新宋体" w:eastAsia="新宋体"/>
                <w:b/>
                <w:bCs/>
                <w:color w:val="auto"/>
                <w:sz w:val="22"/>
                <w:szCs w:val="22"/>
                <w:highlight w:val="none"/>
              </w:rPr>
            </w:pPr>
          </w:p>
        </w:tc>
        <w:tc>
          <w:tcPr>
            <w:tcW w:w="765" w:type="dxa"/>
            <w:tcBorders>
              <w:top w:val="single" w:color="000000" w:sz="12" w:space="0"/>
              <w:left w:val="single" w:color="000000" w:sz="4" w:space="0"/>
              <w:bottom w:val="single" w:color="000000" w:sz="4" w:space="0"/>
              <w:right w:val="single" w:color="000000" w:sz="4" w:space="0"/>
            </w:tcBorders>
            <w:noWrap w:val="0"/>
            <w:vAlign w:val="top"/>
          </w:tcPr>
          <w:p w14:paraId="5C7B03BF">
            <w:pPr>
              <w:rPr>
                <w:rStyle w:val="67"/>
                <w:rFonts w:ascii="新宋体" w:hAnsi="新宋体" w:eastAsia="新宋体"/>
                <w:b/>
                <w:bCs/>
                <w:color w:val="auto"/>
                <w:sz w:val="22"/>
                <w:szCs w:val="22"/>
                <w:highlight w:val="none"/>
              </w:rPr>
            </w:pPr>
          </w:p>
        </w:tc>
        <w:tc>
          <w:tcPr>
            <w:tcW w:w="1336" w:type="dxa"/>
            <w:tcBorders>
              <w:top w:val="single" w:color="000000" w:sz="12" w:space="0"/>
              <w:left w:val="single" w:color="000000" w:sz="4" w:space="0"/>
              <w:bottom w:val="single" w:color="000000" w:sz="4" w:space="0"/>
              <w:right w:val="single" w:color="000000" w:sz="4" w:space="0"/>
            </w:tcBorders>
            <w:noWrap w:val="0"/>
            <w:vAlign w:val="top"/>
          </w:tcPr>
          <w:p w14:paraId="79F5F6EF">
            <w:pPr>
              <w:rPr>
                <w:rStyle w:val="67"/>
                <w:rFonts w:ascii="新宋体" w:hAnsi="新宋体" w:eastAsia="新宋体"/>
                <w:b/>
                <w:bCs/>
                <w:color w:val="auto"/>
                <w:sz w:val="22"/>
                <w:szCs w:val="22"/>
                <w:highlight w:val="none"/>
              </w:rPr>
            </w:pPr>
          </w:p>
        </w:tc>
        <w:tc>
          <w:tcPr>
            <w:tcW w:w="1143" w:type="dxa"/>
            <w:tcBorders>
              <w:top w:val="single" w:color="000000" w:sz="12" w:space="0"/>
              <w:left w:val="single" w:color="000000" w:sz="4" w:space="0"/>
              <w:bottom w:val="single" w:color="000000" w:sz="4" w:space="0"/>
              <w:right w:val="single" w:color="000000" w:sz="12" w:space="0"/>
            </w:tcBorders>
            <w:noWrap w:val="0"/>
            <w:vAlign w:val="top"/>
          </w:tcPr>
          <w:p w14:paraId="4F8BF90B">
            <w:pPr>
              <w:rPr>
                <w:rStyle w:val="67"/>
                <w:rFonts w:ascii="新宋体" w:hAnsi="新宋体" w:eastAsia="新宋体"/>
                <w:b/>
                <w:bCs/>
                <w:color w:val="auto"/>
                <w:sz w:val="22"/>
                <w:szCs w:val="22"/>
                <w:highlight w:val="none"/>
              </w:rPr>
            </w:pPr>
          </w:p>
        </w:tc>
      </w:tr>
      <w:tr w14:paraId="089C7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38807424">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05EB19D5">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559F45A4">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CDD2574">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6135229">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8C15B21">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38ABC86">
            <w:pPr>
              <w:rPr>
                <w:rStyle w:val="67"/>
                <w:rFonts w:ascii="新宋体" w:hAnsi="新宋体" w:eastAsia="新宋体"/>
                <w:b/>
                <w:bCs/>
                <w:color w:val="auto"/>
                <w:sz w:val="22"/>
                <w:szCs w:val="22"/>
                <w:highlight w:val="none"/>
              </w:rPr>
            </w:pPr>
          </w:p>
        </w:tc>
      </w:tr>
      <w:tr w14:paraId="417E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33A69E14">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959B06D">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645D4AB">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CEBED85">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E87B542">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18E1D6B">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26556C54">
            <w:pPr>
              <w:rPr>
                <w:rStyle w:val="67"/>
                <w:rFonts w:ascii="新宋体" w:hAnsi="新宋体" w:eastAsia="新宋体"/>
                <w:b/>
                <w:bCs/>
                <w:color w:val="auto"/>
                <w:sz w:val="22"/>
                <w:szCs w:val="22"/>
                <w:highlight w:val="none"/>
              </w:rPr>
            </w:pPr>
          </w:p>
        </w:tc>
      </w:tr>
      <w:tr w14:paraId="4C8F1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643FF4DC">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63864892">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ECEA591">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61FD97F">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56607F8">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0ED929F">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4586E54B">
            <w:pPr>
              <w:rPr>
                <w:rStyle w:val="67"/>
                <w:rFonts w:ascii="新宋体" w:hAnsi="新宋体" w:eastAsia="新宋体"/>
                <w:b/>
                <w:bCs/>
                <w:color w:val="auto"/>
                <w:sz w:val="22"/>
                <w:szCs w:val="22"/>
                <w:highlight w:val="none"/>
              </w:rPr>
            </w:pPr>
          </w:p>
        </w:tc>
      </w:tr>
      <w:tr w14:paraId="77AA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1F4495E">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F4E6967">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1B948B9">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37E6A78">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C7080A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03645FA">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3279F71">
            <w:pPr>
              <w:rPr>
                <w:rStyle w:val="67"/>
                <w:rFonts w:ascii="新宋体" w:hAnsi="新宋体" w:eastAsia="新宋体"/>
                <w:b/>
                <w:bCs/>
                <w:color w:val="auto"/>
                <w:sz w:val="22"/>
                <w:szCs w:val="22"/>
                <w:highlight w:val="none"/>
              </w:rPr>
            </w:pPr>
          </w:p>
        </w:tc>
      </w:tr>
      <w:tr w14:paraId="46A0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781EA990">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F2A1EC8">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69EB71F">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776C84F">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5C0A554">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9565A4D">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A37CCED">
            <w:pPr>
              <w:rPr>
                <w:rStyle w:val="67"/>
                <w:rFonts w:ascii="新宋体" w:hAnsi="新宋体" w:eastAsia="新宋体"/>
                <w:b/>
                <w:bCs/>
                <w:color w:val="auto"/>
                <w:sz w:val="22"/>
                <w:szCs w:val="22"/>
                <w:highlight w:val="none"/>
              </w:rPr>
            </w:pPr>
          </w:p>
        </w:tc>
      </w:tr>
      <w:tr w14:paraId="0A8B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3781C137">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43B71C0F">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38AD9AF6">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1E42375F">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F9AD09F">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30FCC25">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A755957">
            <w:pPr>
              <w:rPr>
                <w:rStyle w:val="67"/>
                <w:rFonts w:ascii="新宋体" w:hAnsi="新宋体" w:eastAsia="新宋体"/>
                <w:b/>
                <w:bCs/>
                <w:color w:val="auto"/>
                <w:sz w:val="22"/>
                <w:szCs w:val="22"/>
                <w:highlight w:val="none"/>
              </w:rPr>
            </w:pPr>
          </w:p>
        </w:tc>
      </w:tr>
      <w:tr w14:paraId="2EBC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00A9232">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454A0773">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8C279E3">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9E59C8D">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6A80CFDC">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9863B0C">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C7C5F53">
            <w:pPr>
              <w:rPr>
                <w:rStyle w:val="67"/>
                <w:rFonts w:ascii="新宋体" w:hAnsi="新宋体" w:eastAsia="新宋体"/>
                <w:b/>
                <w:bCs/>
                <w:color w:val="auto"/>
                <w:sz w:val="22"/>
                <w:szCs w:val="22"/>
                <w:highlight w:val="none"/>
              </w:rPr>
            </w:pPr>
          </w:p>
        </w:tc>
      </w:tr>
      <w:tr w14:paraId="36D53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7A3E6FE">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155BD4B0">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5A1A58BC">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574FAF34">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B0B6E0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1D8A3C3">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0B536698">
            <w:pPr>
              <w:rPr>
                <w:rStyle w:val="67"/>
                <w:rFonts w:ascii="新宋体" w:hAnsi="新宋体" w:eastAsia="新宋体"/>
                <w:b/>
                <w:bCs/>
                <w:color w:val="auto"/>
                <w:sz w:val="22"/>
                <w:szCs w:val="22"/>
                <w:highlight w:val="none"/>
              </w:rPr>
            </w:pPr>
          </w:p>
        </w:tc>
      </w:tr>
      <w:tr w14:paraId="2BA5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7734D481">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1979C399">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4A32262">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411348CD">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04CF7DD">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36BCE3D">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5ABFC34E">
            <w:pPr>
              <w:rPr>
                <w:rStyle w:val="67"/>
                <w:rFonts w:ascii="新宋体" w:hAnsi="新宋体" w:eastAsia="新宋体"/>
                <w:b/>
                <w:bCs/>
                <w:color w:val="auto"/>
                <w:sz w:val="22"/>
                <w:szCs w:val="22"/>
                <w:highlight w:val="none"/>
              </w:rPr>
            </w:pPr>
          </w:p>
        </w:tc>
      </w:tr>
      <w:tr w14:paraId="74D4E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56256DA7">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430EE81B">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44F6D37">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6826E9F">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169F81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4563EFD1">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49D2183C">
            <w:pPr>
              <w:rPr>
                <w:rStyle w:val="67"/>
                <w:rFonts w:ascii="新宋体" w:hAnsi="新宋体" w:eastAsia="新宋体"/>
                <w:b/>
                <w:bCs/>
                <w:color w:val="auto"/>
                <w:sz w:val="22"/>
                <w:szCs w:val="22"/>
                <w:highlight w:val="none"/>
              </w:rPr>
            </w:pPr>
          </w:p>
        </w:tc>
      </w:tr>
      <w:tr w14:paraId="62BE2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7088A03E">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3C40C1FC">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1B67A961">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4CE97A11">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5D4C410">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5E17F77">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53D86594">
            <w:pPr>
              <w:rPr>
                <w:rStyle w:val="67"/>
                <w:rFonts w:ascii="新宋体" w:hAnsi="新宋体" w:eastAsia="新宋体"/>
                <w:b/>
                <w:bCs/>
                <w:color w:val="auto"/>
                <w:sz w:val="22"/>
                <w:szCs w:val="22"/>
                <w:highlight w:val="none"/>
              </w:rPr>
            </w:pPr>
          </w:p>
        </w:tc>
      </w:tr>
      <w:tr w14:paraId="12B2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3D3E2872">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0618C1EA">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05A3B25">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5BB936F">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5CD6D8C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33506F7A">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4989817B">
            <w:pPr>
              <w:rPr>
                <w:rStyle w:val="67"/>
                <w:rFonts w:ascii="新宋体" w:hAnsi="新宋体" w:eastAsia="新宋体"/>
                <w:b/>
                <w:bCs/>
                <w:color w:val="auto"/>
                <w:sz w:val="22"/>
                <w:szCs w:val="22"/>
                <w:highlight w:val="none"/>
              </w:rPr>
            </w:pPr>
          </w:p>
        </w:tc>
      </w:tr>
      <w:tr w14:paraId="39D44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F0000E2">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0FA5894D">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AF210EB">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69059D32">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5D1249F">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7207E5E">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30D02B5">
            <w:pPr>
              <w:rPr>
                <w:rStyle w:val="67"/>
                <w:rFonts w:ascii="新宋体" w:hAnsi="新宋体" w:eastAsia="新宋体"/>
                <w:b/>
                <w:bCs/>
                <w:color w:val="auto"/>
                <w:sz w:val="22"/>
                <w:szCs w:val="22"/>
                <w:highlight w:val="none"/>
              </w:rPr>
            </w:pPr>
          </w:p>
        </w:tc>
      </w:tr>
      <w:tr w14:paraId="06D3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D6A4057">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0DF2A466">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6F77F5B">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D7DE3A0">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C210C45">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BB00A22">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BC1628B">
            <w:pPr>
              <w:rPr>
                <w:rStyle w:val="67"/>
                <w:rFonts w:ascii="新宋体" w:hAnsi="新宋体" w:eastAsia="新宋体"/>
                <w:b/>
                <w:bCs/>
                <w:color w:val="auto"/>
                <w:sz w:val="22"/>
                <w:szCs w:val="22"/>
                <w:highlight w:val="none"/>
              </w:rPr>
            </w:pPr>
          </w:p>
        </w:tc>
      </w:tr>
      <w:tr w14:paraId="6C27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20F435E1">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156180E9">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47FCC8F">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42D383E0">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D075751">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1A37AF2">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AB5F938">
            <w:pPr>
              <w:rPr>
                <w:rStyle w:val="67"/>
                <w:rFonts w:ascii="新宋体" w:hAnsi="新宋体" w:eastAsia="新宋体"/>
                <w:b/>
                <w:bCs/>
                <w:color w:val="auto"/>
                <w:sz w:val="22"/>
                <w:szCs w:val="22"/>
                <w:highlight w:val="none"/>
              </w:rPr>
            </w:pPr>
          </w:p>
        </w:tc>
      </w:tr>
      <w:tr w14:paraId="2E94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72761078">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CED2113">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2544EB02">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3E7CC54">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50DCAE0">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453EB6A0">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22812C59">
            <w:pPr>
              <w:rPr>
                <w:rStyle w:val="67"/>
                <w:rFonts w:ascii="新宋体" w:hAnsi="新宋体" w:eastAsia="新宋体"/>
                <w:b/>
                <w:bCs/>
                <w:color w:val="auto"/>
                <w:sz w:val="22"/>
                <w:szCs w:val="22"/>
                <w:highlight w:val="none"/>
              </w:rPr>
            </w:pPr>
          </w:p>
        </w:tc>
      </w:tr>
      <w:tr w14:paraId="6BE15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1A97CBA">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45AC2545">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6487C788">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0EB2A10">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E4F383B">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11AAD4D1">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133FB3D">
            <w:pPr>
              <w:rPr>
                <w:rStyle w:val="67"/>
                <w:rFonts w:ascii="新宋体" w:hAnsi="新宋体" w:eastAsia="新宋体"/>
                <w:b/>
                <w:bCs/>
                <w:color w:val="auto"/>
                <w:sz w:val="22"/>
                <w:szCs w:val="22"/>
                <w:highlight w:val="none"/>
              </w:rPr>
            </w:pPr>
          </w:p>
        </w:tc>
      </w:tr>
      <w:tr w14:paraId="0A7E4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773D2DE5">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62784503">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345F6ECA">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20D2988">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46A04CB">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9F03696">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D404534">
            <w:pPr>
              <w:rPr>
                <w:rStyle w:val="67"/>
                <w:rFonts w:ascii="新宋体" w:hAnsi="新宋体" w:eastAsia="新宋体"/>
                <w:b/>
                <w:bCs/>
                <w:color w:val="auto"/>
                <w:sz w:val="22"/>
                <w:szCs w:val="22"/>
                <w:highlight w:val="none"/>
              </w:rPr>
            </w:pPr>
          </w:p>
        </w:tc>
      </w:tr>
      <w:tr w14:paraId="655D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3E0EF89B">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04E3E3B7">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0E76D8B">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6747352C">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561D38A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3386ECE7">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954C93E">
            <w:pPr>
              <w:rPr>
                <w:rStyle w:val="67"/>
                <w:rFonts w:ascii="新宋体" w:hAnsi="新宋体" w:eastAsia="新宋体"/>
                <w:b/>
                <w:bCs/>
                <w:color w:val="auto"/>
                <w:sz w:val="22"/>
                <w:szCs w:val="22"/>
                <w:highlight w:val="none"/>
              </w:rPr>
            </w:pPr>
          </w:p>
        </w:tc>
      </w:tr>
      <w:tr w14:paraId="0ADBA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12" w:space="0"/>
              <w:right w:val="single" w:color="000000" w:sz="4" w:space="0"/>
            </w:tcBorders>
            <w:noWrap w:val="0"/>
            <w:vAlign w:val="top"/>
          </w:tcPr>
          <w:p w14:paraId="23650FAB">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12" w:space="0"/>
              <w:right w:val="single" w:color="000000" w:sz="4" w:space="0"/>
            </w:tcBorders>
            <w:noWrap w:val="0"/>
            <w:vAlign w:val="top"/>
          </w:tcPr>
          <w:p w14:paraId="58A996DC">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12" w:space="0"/>
              <w:right w:val="single" w:color="000000" w:sz="4" w:space="0"/>
            </w:tcBorders>
            <w:noWrap w:val="0"/>
            <w:vAlign w:val="top"/>
          </w:tcPr>
          <w:p w14:paraId="17508F07">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12" w:space="0"/>
              <w:right w:val="single" w:color="000000" w:sz="4" w:space="0"/>
            </w:tcBorders>
            <w:noWrap w:val="0"/>
            <w:vAlign w:val="top"/>
          </w:tcPr>
          <w:p w14:paraId="5CB28D16">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12" w:space="0"/>
              <w:right w:val="single" w:color="000000" w:sz="4" w:space="0"/>
            </w:tcBorders>
            <w:noWrap w:val="0"/>
            <w:vAlign w:val="top"/>
          </w:tcPr>
          <w:p w14:paraId="0779A9D3">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12" w:space="0"/>
              <w:right w:val="single" w:color="000000" w:sz="4" w:space="0"/>
            </w:tcBorders>
            <w:noWrap w:val="0"/>
            <w:vAlign w:val="top"/>
          </w:tcPr>
          <w:p w14:paraId="38089F08">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12" w:space="0"/>
              <w:right w:val="single" w:color="000000" w:sz="12" w:space="0"/>
            </w:tcBorders>
            <w:noWrap w:val="0"/>
            <w:vAlign w:val="top"/>
          </w:tcPr>
          <w:p w14:paraId="39FA2101">
            <w:pPr>
              <w:rPr>
                <w:rStyle w:val="67"/>
                <w:rFonts w:ascii="新宋体" w:hAnsi="新宋体" w:eastAsia="新宋体"/>
                <w:b/>
                <w:bCs/>
                <w:color w:val="auto"/>
                <w:sz w:val="22"/>
                <w:szCs w:val="22"/>
                <w:highlight w:val="none"/>
              </w:rPr>
            </w:pPr>
          </w:p>
        </w:tc>
      </w:tr>
    </w:tbl>
    <w:p w14:paraId="26AC6606">
      <w:pPr>
        <w:ind w:left="746" w:leftChars="4" w:hanging="737" w:hangingChars="335"/>
        <w:rPr>
          <w:rStyle w:val="67"/>
          <w:rFonts w:ascii="新宋体" w:hAnsi="新宋体" w:eastAsia="新宋体"/>
          <w:color w:val="auto"/>
          <w:sz w:val="22"/>
          <w:szCs w:val="22"/>
          <w:highlight w:val="none"/>
        </w:rPr>
      </w:pPr>
      <w:r>
        <w:rPr>
          <w:rStyle w:val="67"/>
          <w:rFonts w:ascii="新宋体" w:hAnsi="新宋体" w:eastAsia="新宋体"/>
          <w:color w:val="auto"/>
          <w:kern w:val="0"/>
          <w:sz w:val="22"/>
          <w:szCs w:val="22"/>
          <w:highlight w:val="none"/>
          <w:lang w:val="zh-CN"/>
        </w:rPr>
        <w:t>注：</w:t>
      </w:r>
      <w:r>
        <w:rPr>
          <w:rStyle w:val="67"/>
          <w:rFonts w:ascii="新宋体" w:hAnsi="新宋体" w:eastAsia="新宋体"/>
          <w:color w:val="auto"/>
          <w:kern w:val="0"/>
          <w:sz w:val="22"/>
          <w:szCs w:val="22"/>
          <w:highlight w:val="none"/>
        </w:rPr>
        <w:t>1.</w:t>
      </w:r>
      <w:r>
        <w:rPr>
          <w:rStyle w:val="67"/>
          <w:rFonts w:ascii="新宋体" w:hAnsi="新宋体" w:eastAsia="新宋体"/>
          <w:color w:val="auto"/>
          <w:sz w:val="22"/>
          <w:szCs w:val="22"/>
          <w:highlight w:val="none"/>
        </w:rPr>
        <w:t>详细配置说明一栏中需提供设备每一可拆卸部件的规格、型号、名称、性能描述等。</w:t>
      </w:r>
    </w:p>
    <w:p w14:paraId="35EF0155">
      <w:pPr>
        <w:ind w:firstLine="440" w:firstLineChars="200"/>
        <w:rPr>
          <w:rStyle w:val="67"/>
          <w:rFonts w:ascii="新宋体" w:hAnsi="新宋体" w:eastAsia="新宋体"/>
          <w:color w:val="auto"/>
          <w:sz w:val="22"/>
          <w:szCs w:val="22"/>
          <w:highlight w:val="none"/>
        </w:rPr>
      </w:pPr>
      <w:r>
        <w:rPr>
          <w:rStyle w:val="67"/>
          <w:rFonts w:ascii="新宋体" w:hAnsi="新宋体" w:eastAsia="新宋体"/>
          <w:color w:val="auto"/>
          <w:sz w:val="22"/>
          <w:szCs w:val="22"/>
          <w:highlight w:val="none"/>
        </w:rPr>
        <w:t>2.此表仅提供了表格形式，</w:t>
      </w:r>
      <w:r>
        <w:rPr>
          <w:rStyle w:val="67"/>
          <w:rFonts w:hint="eastAsia" w:ascii="新宋体" w:hAnsi="新宋体" w:eastAsia="新宋体"/>
          <w:color w:val="auto"/>
          <w:sz w:val="22"/>
          <w:szCs w:val="22"/>
          <w:highlight w:val="none"/>
        </w:rPr>
        <w:t>供应商</w:t>
      </w:r>
      <w:r>
        <w:rPr>
          <w:rStyle w:val="67"/>
          <w:rFonts w:ascii="新宋体" w:hAnsi="新宋体" w:eastAsia="新宋体"/>
          <w:color w:val="auto"/>
          <w:sz w:val="22"/>
          <w:szCs w:val="22"/>
          <w:highlight w:val="none"/>
        </w:rPr>
        <w:t>应根据需要准备足够数量的表格来填写。</w:t>
      </w:r>
    </w:p>
    <w:p w14:paraId="600F7402">
      <w:pPr>
        <w:ind w:left="760" w:leftChars="212" w:hanging="294" w:hangingChars="133"/>
        <w:rPr>
          <w:rStyle w:val="67"/>
          <w:rFonts w:ascii="新宋体" w:hAnsi="新宋体" w:eastAsia="新宋体"/>
          <w:b/>
          <w:bCs/>
          <w:color w:val="auto"/>
          <w:kern w:val="0"/>
          <w:sz w:val="22"/>
          <w:szCs w:val="22"/>
          <w:highlight w:val="none"/>
        </w:rPr>
      </w:pPr>
      <w:r>
        <w:rPr>
          <w:rStyle w:val="67"/>
          <w:rFonts w:ascii="新宋体" w:hAnsi="新宋体" w:eastAsia="新宋体"/>
          <w:b/>
          <w:bCs/>
          <w:color w:val="auto"/>
          <w:kern w:val="0"/>
          <w:sz w:val="22"/>
          <w:szCs w:val="22"/>
          <w:highlight w:val="none"/>
        </w:rPr>
        <w:t>3.不提供所投产品的品牌及型号，视为实质性偏离，做无效标处理。</w:t>
      </w:r>
    </w:p>
    <w:p w14:paraId="41C0995C">
      <w:pPr>
        <w:pStyle w:val="71"/>
        <w:ind w:left="0" w:leftChars="0" w:firstLine="0" w:firstLineChars="0"/>
        <w:rPr>
          <w:rStyle w:val="67"/>
          <w:rFonts w:ascii="新宋体" w:hAnsi="新宋体" w:eastAsia="新宋体"/>
          <w:color w:val="auto"/>
          <w:highlight w:val="none"/>
        </w:rPr>
      </w:pPr>
    </w:p>
    <w:p w14:paraId="440A1CCF">
      <w:pPr>
        <w:spacing w:line="460" w:lineRule="exact"/>
        <w:ind w:firstLine="4679" w:firstLineChars="2127"/>
        <w:rPr>
          <w:rStyle w:val="67"/>
          <w:rFonts w:ascii="新宋体" w:hAnsi="新宋体" w:eastAsia="新宋体"/>
          <w:color w:val="auto"/>
          <w:sz w:val="22"/>
          <w:szCs w:val="22"/>
          <w:highlight w:val="none"/>
        </w:rPr>
      </w:pPr>
    </w:p>
    <w:p w14:paraId="466C0E7F">
      <w:pPr>
        <w:spacing w:line="500" w:lineRule="exact"/>
        <w:ind w:firstLine="4400" w:firstLineChars="2000"/>
        <w:rPr>
          <w:rStyle w:val="67"/>
          <w:rFonts w:ascii="新宋体" w:hAnsi="新宋体" w:eastAsia="新宋体"/>
          <w:color w:val="auto"/>
          <w:sz w:val="22"/>
          <w:szCs w:val="22"/>
          <w:highlight w:val="none"/>
        </w:rPr>
      </w:pPr>
    </w:p>
    <w:p w14:paraId="766562B4">
      <w:pPr>
        <w:spacing w:line="380" w:lineRule="exact"/>
        <w:ind w:firstLine="4400" w:firstLineChars="2000"/>
        <w:rPr>
          <w:rStyle w:val="67"/>
          <w:rFonts w:ascii="新宋体" w:hAnsi="新宋体" w:eastAsia="新宋体"/>
          <w:color w:val="auto"/>
          <w:sz w:val="22"/>
          <w:szCs w:val="22"/>
          <w:highlight w:val="none"/>
        </w:rPr>
      </w:pPr>
      <w:r>
        <w:rPr>
          <w:rStyle w:val="67"/>
          <w:rFonts w:hint="eastAsia" w:ascii="新宋体" w:hAnsi="新宋体" w:eastAsia="新宋体"/>
          <w:color w:val="auto"/>
          <w:sz w:val="22"/>
          <w:szCs w:val="22"/>
          <w:highlight w:val="none"/>
        </w:rPr>
        <w:t>供应商</w:t>
      </w:r>
      <w:r>
        <w:rPr>
          <w:rStyle w:val="67"/>
          <w:rFonts w:ascii="新宋体" w:hAnsi="新宋体" w:eastAsia="新宋体"/>
          <w:color w:val="auto"/>
          <w:sz w:val="22"/>
          <w:szCs w:val="22"/>
          <w:highlight w:val="none"/>
        </w:rPr>
        <w:t>全称（盖章）：</w:t>
      </w:r>
    </w:p>
    <w:p w14:paraId="60ACC760">
      <w:pPr>
        <w:spacing w:line="380" w:lineRule="exact"/>
        <w:ind w:firstLine="4400" w:firstLineChars="2000"/>
        <w:rPr>
          <w:rStyle w:val="67"/>
          <w:rFonts w:ascii="新宋体" w:hAnsi="新宋体" w:eastAsia="新宋体"/>
          <w:color w:val="auto"/>
          <w:sz w:val="22"/>
          <w:szCs w:val="22"/>
          <w:highlight w:val="none"/>
        </w:rPr>
      </w:pPr>
      <w:r>
        <w:rPr>
          <w:rStyle w:val="67"/>
          <w:rFonts w:hint="eastAsia" w:ascii="新宋体" w:hAnsi="新宋体" w:eastAsia="新宋体"/>
          <w:color w:val="auto"/>
          <w:sz w:val="22"/>
          <w:szCs w:val="22"/>
          <w:highlight w:val="none"/>
        </w:rPr>
        <w:t>供应商</w:t>
      </w:r>
      <w:r>
        <w:rPr>
          <w:rStyle w:val="67"/>
          <w:rFonts w:ascii="新宋体" w:hAnsi="新宋体" w:eastAsia="新宋体"/>
          <w:color w:val="auto"/>
          <w:sz w:val="22"/>
          <w:szCs w:val="22"/>
          <w:highlight w:val="none"/>
        </w:rPr>
        <w:t>代表（签字或盖章）：</w:t>
      </w:r>
    </w:p>
    <w:p w14:paraId="477B1C41">
      <w:pPr>
        <w:spacing w:line="380" w:lineRule="exact"/>
        <w:ind w:firstLine="4400" w:firstLineChars="2000"/>
        <w:rPr>
          <w:rStyle w:val="67"/>
          <w:rFonts w:ascii="新宋体" w:hAnsi="新宋体" w:eastAsia="新宋体"/>
          <w:color w:val="auto"/>
          <w:sz w:val="22"/>
          <w:szCs w:val="22"/>
          <w:highlight w:val="none"/>
        </w:rPr>
      </w:pPr>
      <w:r>
        <w:rPr>
          <w:rStyle w:val="67"/>
          <w:rFonts w:ascii="新宋体" w:hAnsi="新宋体" w:eastAsia="新宋体"/>
          <w:color w:val="auto"/>
          <w:sz w:val="22"/>
          <w:szCs w:val="22"/>
          <w:highlight w:val="none"/>
        </w:rPr>
        <w:t xml:space="preserve">日期：  年   月  日  </w:t>
      </w:r>
    </w:p>
    <w:p w14:paraId="28BF66DD">
      <w:pPr>
        <w:tabs>
          <w:tab w:val="left" w:pos="780"/>
        </w:tabs>
        <w:spacing w:line="400" w:lineRule="exact"/>
        <w:ind w:left="180"/>
        <w:rPr>
          <w:rStyle w:val="67"/>
          <w:rFonts w:hint="eastAsia" w:ascii="新宋体" w:hAnsi="新宋体" w:eastAsia="新宋体" w:cs="新宋体"/>
          <w:b/>
          <w:bCs/>
          <w:color w:val="auto"/>
          <w:sz w:val="22"/>
          <w:szCs w:val="22"/>
          <w:highlight w:val="none"/>
          <w:lang w:eastAsia="zh-CN"/>
        </w:rPr>
      </w:pPr>
      <w:r>
        <w:rPr>
          <w:rStyle w:val="67"/>
          <w:rFonts w:ascii="新宋体" w:hAnsi="新宋体" w:eastAsia="新宋体"/>
          <w:color w:val="auto"/>
          <w:sz w:val="22"/>
          <w:szCs w:val="22"/>
          <w:highlight w:val="none"/>
        </w:rPr>
        <w:br w:type="page"/>
      </w:r>
      <w:r>
        <w:rPr>
          <w:rStyle w:val="67"/>
          <w:rFonts w:ascii="新宋体" w:hAnsi="新宋体" w:eastAsia="新宋体" w:cs="新宋体"/>
          <w:b/>
          <w:bCs/>
          <w:color w:val="auto"/>
          <w:sz w:val="22"/>
          <w:szCs w:val="22"/>
          <w:highlight w:val="none"/>
        </w:rPr>
        <w:t>附件</w:t>
      </w:r>
      <w:r>
        <w:rPr>
          <w:rStyle w:val="67"/>
          <w:rFonts w:hint="eastAsia" w:ascii="新宋体" w:hAnsi="新宋体" w:cs="新宋体"/>
          <w:b/>
          <w:bCs/>
          <w:color w:val="auto"/>
          <w:sz w:val="22"/>
          <w:szCs w:val="22"/>
          <w:highlight w:val="none"/>
          <w:lang w:val="en-US" w:eastAsia="zh-CN"/>
        </w:rPr>
        <w:t>四</w:t>
      </w:r>
    </w:p>
    <w:p w14:paraId="2D4A0962">
      <w:pPr>
        <w:spacing w:line="460" w:lineRule="exact"/>
        <w:jc w:val="center"/>
        <w:rPr>
          <w:rStyle w:val="67"/>
          <w:rFonts w:ascii="宋体" w:hAnsi="宋体"/>
          <w:b/>
          <w:bCs/>
          <w:color w:val="auto"/>
          <w:sz w:val="28"/>
          <w:szCs w:val="28"/>
          <w:highlight w:val="none"/>
        </w:rPr>
      </w:pPr>
      <w:r>
        <w:rPr>
          <w:rStyle w:val="67"/>
          <w:rFonts w:ascii="宋体" w:hAnsi="宋体"/>
          <w:b/>
          <w:bCs/>
          <w:color w:val="auto"/>
          <w:sz w:val="28"/>
          <w:szCs w:val="28"/>
          <w:highlight w:val="none"/>
        </w:rPr>
        <w:t>质量保证服务计划、售后服务措施及承诺表</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8863"/>
      </w:tblGrid>
      <w:tr w14:paraId="76245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6644FDF">
            <w:pPr>
              <w:jc w:val="center"/>
              <w:rPr>
                <w:rStyle w:val="67"/>
                <w:rFonts w:ascii="宋体" w:hAnsi="宋体"/>
                <w:color w:val="auto"/>
                <w:sz w:val="24"/>
                <w:highlight w:val="none"/>
              </w:rPr>
            </w:pPr>
            <w:r>
              <w:rPr>
                <w:rStyle w:val="67"/>
                <w:rFonts w:ascii="宋体" w:hAnsi="宋体"/>
                <w:color w:val="auto"/>
                <w:sz w:val="24"/>
                <w:highlight w:val="none"/>
              </w:rPr>
              <w:t>质</w:t>
            </w:r>
          </w:p>
          <w:p w14:paraId="45E0296E">
            <w:pPr>
              <w:jc w:val="center"/>
              <w:rPr>
                <w:rStyle w:val="67"/>
                <w:rFonts w:ascii="宋体" w:hAnsi="宋体"/>
                <w:color w:val="auto"/>
                <w:sz w:val="24"/>
                <w:highlight w:val="none"/>
              </w:rPr>
            </w:pPr>
            <w:r>
              <w:rPr>
                <w:rStyle w:val="67"/>
                <w:rFonts w:ascii="宋体" w:hAnsi="宋体"/>
                <w:color w:val="auto"/>
                <w:sz w:val="24"/>
                <w:highlight w:val="none"/>
              </w:rPr>
              <w:t>量</w:t>
            </w:r>
          </w:p>
          <w:p w14:paraId="033929E1">
            <w:pPr>
              <w:jc w:val="center"/>
              <w:rPr>
                <w:rStyle w:val="67"/>
                <w:rFonts w:ascii="宋体" w:hAnsi="宋体"/>
                <w:color w:val="auto"/>
                <w:sz w:val="24"/>
                <w:highlight w:val="none"/>
              </w:rPr>
            </w:pPr>
            <w:r>
              <w:rPr>
                <w:rStyle w:val="67"/>
                <w:rFonts w:ascii="宋体" w:hAnsi="宋体"/>
                <w:color w:val="auto"/>
                <w:sz w:val="24"/>
                <w:highlight w:val="none"/>
              </w:rPr>
              <w:t>保</w:t>
            </w:r>
          </w:p>
          <w:p w14:paraId="271F200D">
            <w:pPr>
              <w:jc w:val="center"/>
              <w:rPr>
                <w:rStyle w:val="67"/>
                <w:rFonts w:ascii="宋体" w:hAnsi="宋体"/>
                <w:color w:val="auto"/>
                <w:sz w:val="24"/>
                <w:highlight w:val="none"/>
              </w:rPr>
            </w:pPr>
            <w:r>
              <w:rPr>
                <w:rStyle w:val="67"/>
                <w:rFonts w:ascii="宋体" w:hAnsi="宋体"/>
                <w:color w:val="auto"/>
                <w:sz w:val="24"/>
                <w:highlight w:val="none"/>
              </w:rPr>
              <w:t>证</w:t>
            </w:r>
          </w:p>
          <w:p w14:paraId="42EDD2AA">
            <w:pPr>
              <w:jc w:val="center"/>
              <w:rPr>
                <w:rStyle w:val="67"/>
                <w:rFonts w:ascii="宋体" w:hAnsi="宋体"/>
                <w:color w:val="auto"/>
                <w:sz w:val="24"/>
                <w:highlight w:val="none"/>
              </w:rPr>
            </w:pPr>
            <w:r>
              <w:rPr>
                <w:rStyle w:val="67"/>
                <w:rFonts w:ascii="宋体" w:hAnsi="宋体"/>
                <w:color w:val="auto"/>
                <w:sz w:val="24"/>
                <w:highlight w:val="none"/>
              </w:rPr>
              <w:t>承</w:t>
            </w:r>
          </w:p>
          <w:p w14:paraId="41620CAC">
            <w:pPr>
              <w:jc w:val="center"/>
              <w:rPr>
                <w:rStyle w:val="67"/>
                <w:rFonts w:ascii="宋体" w:hAnsi="宋体"/>
                <w:color w:val="auto"/>
                <w:sz w:val="24"/>
                <w:highlight w:val="none"/>
              </w:rPr>
            </w:pPr>
            <w:r>
              <w:rPr>
                <w:rStyle w:val="67"/>
                <w:rFonts w:ascii="宋体" w:hAnsi="宋体"/>
                <w:color w:val="auto"/>
                <w:sz w:val="24"/>
                <w:highlight w:val="none"/>
              </w:rPr>
              <w:t>诺</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6B69B331">
            <w:pPr>
              <w:pStyle w:val="73"/>
              <w:spacing w:after="0"/>
              <w:rPr>
                <w:rStyle w:val="67"/>
                <w:rFonts w:ascii="宋体" w:hAnsi="宋体"/>
                <w:color w:val="auto"/>
                <w:sz w:val="24"/>
                <w:highlight w:val="none"/>
              </w:rPr>
            </w:pPr>
          </w:p>
        </w:tc>
      </w:tr>
      <w:tr w14:paraId="542C2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DB9C245">
            <w:pPr>
              <w:jc w:val="center"/>
              <w:rPr>
                <w:rStyle w:val="67"/>
                <w:rFonts w:ascii="宋体" w:hAnsi="宋体"/>
                <w:color w:val="auto"/>
                <w:sz w:val="24"/>
                <w:highlight w:val="none"/>
              </w:rPr>
            </w:pPr>
            <w:r>
              <w:rPr>
                <w:rStyle w:val="67"/>
                <w:rFonts w:ascii="宋体" w:hAnsi="宋体"/>
                <w:color w:val="auto"/>
                <w:sz w:val="24"/>
                <w:highlight w:val="none"/>
              </w:rPr>
              <w:t>售</w:t>
            </w:r>
          </w:p>
          <w:p w14:paraId="1D1D7B0E">
            <w:pPr>
              <w:jc w:val="center"/>
              <w:rPr>
                <w:rStyle w:val="67"/>
                <w:rFonts w:ascii="宋体" w:hAnsi="宋体"/>
                <w:color w:val="auto"/>
                <w:sz w:val="24"/>
                <w:highlight w:val="none"/>
              </w:rPr>
            </w:pPr>
            <w:r>
              <w:rPr>
                <w:rStyle w:val="67"/>
                <w:rFonts w:ascii="宋体" w:hAnsi="宋体"/>
                <w:color w:val="auto"/>
                <w:sz w:val="24"/>
                <w:highlight w:val="none"/>
              </w:rPr>
              <w:t>后</w:t>
            </w:r>
          </w:p>
          <w:p w14:paraId="3A682EE8">
            <w:pPr>
              <w:jc w:val="center"/>
              <w:rPr>
                <w:rStyle w:val="67"/>
                <w:rFonts w:ascii="宋体" w:hAnsi="宋体"/>
                <w:color w:val="auto"/>
                <w:sz w:val="24"/>
                <w:highlight w:val="none"/>
              </w:rPr>
            </w:pPr>
            <w:r>
              <w:rPr>
                <w:rStyle w:val="67"/>
                <w:rFonts w:ascii="宋体" w:hAnsi="宋体"/>
                <w:color w:val="auto"/>
                <w:sz w:val="24"/>
                <w:highlight w:val="none"/>
              </w:rPr>
              <w:t>服</w:t>
            </w:r>
          </w:p>
          <w:p w14:paraId="28021760">
            <w:pPr>
              <w:jc w:val="center"/>
              <w:rPr>
                <w:rStyle w:val="67"/>
                <w:rFonts w:ascii="宋体" w:hAnsi="宋体"/>
                <w:color w:val="auto"/>
                <w:sz w:val="24"/>
                <w:highlight w:val="none"/>
              </w:rPr>
            </w:pPr>
            <w:r>
              <w:rPr>
                <w:rStyle w:val="67"/>
                <w:rFonts w:ascii="宋体" w:hAnsi="宋体"/>
                <w:color w:val="auto"/>
                <w:sz w:val="24"/>
                <w:highlight w:val="none"/>
              </w:rPr>
              <w:t>务</w:t>
            </w:r>
          </w:p>
          <w:p w14:paraId="426B0D78">
            <w:pPr>
              <w:jc w:val="center"/>
              <w:rPr>
                <w:rStyle w:val="67"/>
                <w:rFonts w:ascii="宋体" w:hAnsi="宋体"/>
                <w:color w:val="auto"/>
                <w:sz w:val="24"/>
                <w:highlight w:val="none"/>
              </w:rPr>
            </w:pPr>
            <w:r>
              <w:rPr>
                <w:rStyle w:val="67"/>
                <w:rFonts w:ascii="宋体" w:hAnsi="宋体"/>
                <w:color w:val="auto"/>
                <w:sz w:val="24"/>
                <w:highlight w:val="none"/>
              </w:rPr>
              <w:t>计</w:t>
            </w:r>
          </w:p>
          <w:p w14:paraId="769D2C31">
            <w:pPr>
              <w:jc w:val="center"/>
              <w:rPr>
                <w:rStyle w:val="67"/>
                <w:rFonts w:ascii="宋体" w:hAnsi="宋体"/>
                <w:color w:val="auto"/>
                <w:sz w:val="24"/>
                <w:highlight w:val="none"/>
              </w:rPr>
            </w:pPr>
            <w:r>
              <w:rPr>
                <w:rStyle w:val="67"/>
                <w:rFonts w:ascii="宋体" w:hAnsi="宋体"/>
                <w:color w:val="auto"/>
                <w:sz w:val="24"/>
                <w:highlight w:val="none"/>
              </w:rPr>
              <w:t>划</w:t>
            </w:r>
          </w:p>
          <w:p w14:paraId="50E6CDDD">
            <w:pPr>
              <w:jc w:val="center"/>
              <w:rPr>
                <w:rStyle w:val="67"/>
                <w:rFonts w:ascii="宋体" w:hAnsi="宋体"/>
                <w:color w:val="auto"/>
                <w:sz w:val="24"/>
                <w:highlight w:val="none"/>
              </w:rPr>
            </w:pPr>
            <w:r>
              <w:rPr>
                <w:rStyle w:val="67"/>
                <w:rFonts w:ascii="宋体" w:hAnsi="宋体"/>
                <w:color w:val="auto"/>
                <w:sz w:val="24"/>
                <w:highlight w:val="none"/>
              </w:rPr>
              <w:t>承</w:t>
            </w:r>
          </w:p>
          <w:p w14:paraId="091EA27A">
            <w:pPr>
              <w:jc w:val="center"/>
              <w:rPr>
                <w:rStyle w:val="67"/>
                <w:rFonts w:ascii="宋体" w:hAnsi="宋体"/>
                <w:color w:val="auto"/>
                <w:sz w:val="24"/>
                <w:highlight w:val="none"/>
              </w:rPr>
            </w:pPr>
            <w:r>
              <w:rPr>
                <w:rStyle w:val="67"/>
                <w:rFonts w:ascii="宋体" w:hAnsi="宋体"/>
                <w:color w:val="auto"/>
                <w:sz w:val="24"/>
                <w:highlight w:val="none"/>
              </w:rPr>
              <w:t>诺</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6B6F345F">
            <w:pPr>
              <w:pStyle w:val="73"/>
              <w:spacing w:after="0"/>
              <w:rPr>
                <w:rStyle w:val="67"/>
                <w:rFonts w:ascii="宋体" w:hAnsi="宋体"/>
                <w:color w:val="auto"/>
                <w:sz w:val="24"/>
                <w:highlight w:val="none"/>
              </w:rPr>
            </w:pPr>
          </w:p>
        </w:tc>
      </w:tr>
      <w:tr w14:paraId="6C33A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49387CE">
            <w:pPr>
              <w:jc w:val="center"/>
              <w:rPr>
                <w:rStyle w:val="67"/>
                <w:rFonts w:ascii="宋体" w:hAnsi="宋体"/>
                <w:color w:val="auto"/>
                <w:sz w:val="24"/>
                <w:highlight w:val="none"/>
              </w:rPr>
            </w:pPr>
            <w:r>
              <w:rPr>
                <w:rStyle w:val="67"/>
                <w:rFonts w:ascii="宋体" w:hAnsi="宋体"/>
                <w:color w:val="auto"/>
                <w:sz w:val="24"/>
                <w:highlight w:val="none"/>
              </w:rPr>
              <w:t>其</w:t>
            </w:r>
          </w:p>
          <w:p w14:paraId="1600F382">
            <w:pPr>
              <w:jc w:val="center"/>
              <w:rPr>
                <w:rStyle w:val="67"/>
                <w:rFonts w:ascii="宋体" w:hAnsi="宋体"/>
                <w:color w:val="auto"/>
                <w:sz w:val="24"/>
                <w:highlight w:val="none"/>
              </w:rPr>
            </w:pPr>
            <w:r>
              <w:rPr>
                <w:rStyle w:val="67"/>
                <w:rFonts w:ascii="宋体" w:hAnsi="宋体"/>
                <w:color w:val="auto"/>
                <w:sz w:val="24"/>
                <w:highlight w:val="none"/>
              </w:rPr>
              <w:t>他</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447ECCDA">
            <w:pPr>
              <w:pStyle w:val="73"/>
              <w:spacing w:after="0"/>
              <w:rPr>
                <w:rStyle w:val="67"/>
                <w:rFonts w:ascii="宋体" w:hAnsi="宋体"/>
                <w:color w:val="auto"/>
                <w:sz w:val="24"/>
                <w:highlight w:val="none"/>
              </w:rPr>
            </w:pPr>
            <w:r>
              <w:rPr>
                <w:rStyle w:val="67"/>
                <w:rFonts w:ascii="宋体" w:hAnsi="宋体"/>
                <w:color w:val="auto"/>
                <w:sz w:val="22"/>
                <w:szCs w:val="22"/>
                <w:highlight w:val="none"/>
              </w:rPr>
              <w:t>（惩罚保证、优惠条件、额外服务等等）</w:t>
            </w:r>
          </w:p>
        </w:tc>
      </w:tr>
    </w:tbl>
    <w:p w14:paraId="665CE51E">
      <w:pPr>
        <w:pStyle w:val="74"/>
        <w:spacing w:line="460" w:lineRule="exact"/>
        <w:ind w:left="691" w:leftChars="314" w:firstLine="3839" w:firstLineChars="1745"/>
        <w:rPr>
          <w:rStyle w:val="67"/>
          <w:rFonts w:hAnsi="宋体"/>
          <w:color w:val="auto"/>
          <w:sz w:val="22"/>
          <w:highlight w:val="none"/>
        </w:rPr>
      </w:pPr>
      <w:r>
        <w:rPr>
          <w:rStyle w:val="67"/>
          <w:rFonts w:hint="eastAsia" w:hAnsi="宋体"/>
          <w:color w:val="auto"/>
          <w:sz w:val="22"/>
          <w:highlight w:val="none"/>
        </w:rPr>
        <w:t>供应商</w:t>
      </w:r>
      <w:r>
        <w:rPr>
          <w:rStyle w:val="67"/>
          <w:rFonts w:hAnsi="宋体"/>
          <w:color w:val="auto"/>
          <w:sz w:val="22"/>
          <w:highlight w:val="none"/>
        </w:rPr>
        <w:t>全称（盖章）：</w:t>
      </w:r>
    </w:p>
    <w:p w14:paraId="4D6A7C69">
      <w:pPr>
        <w:pStyle w:val="74"/>
        <w:spacing w:line="460" w:lineRule="exact"/>
        <w:ind w:left="660" w:hanging="660" w:hangingChars="300"/>
        <w:rPr>
          <w:rStyle w:val="67"/>
          <w:rFonts w:hAnsi="宋体"/>
          <w:color w:val="auto"/>
          <w:sz w:val="22"/>
          <w:highlight w:val="none"/>
        </w:rPr>
      </w:pPr>
      <w:r>
        <w:rPr>
          <w:rStyle w:val="67"/>
          <w:rFonts w:hAnsi="宋体"/>
          <w:color w:val="auto"/>
          <w:sz w:val="22"/>
          <w:highlight w:val="none"/>
        </w:rPr>
        <w:t xml:space="preserve">                                         </w:t>
      </w:r>
      <w:r>
        <w:rPr>
          <w:rStyle w:val="67"/>
          <w:rFonts w:hAnsi="宋体"/>
          <w:color w:val="auto"/>
          <w:sz w:val="22"/>
          <w:szCs w:val="22"/>
          <w:highlight w:val="none"/>
        </w:rPr>
        <w:t>法定代表人或授权代表（签字）：</w:t>
      </w:r>
    </w:p>
    <w:p w14:paraId="44F8549A">
      <w:pPr>
        <w:spacing w:line="380" w:lineRule="exact"/>
        <w:ind w:firstLine="4400" w:firstLineChars="2000"/>
        <w:rPr>
          <w:rStyle w:val="67"/>
          <w:rFonts w:ascii="宋体" w:hAnsi="宋体"/>
          <w:color w:val="auto"/>
          <w:sz w:val="22"/>
          <w:highlight w:val="none"/>
        </w:rPr>
      </w:pPr>
      <w:r>
        <w:rPr>
          <w:rStyle w:val="67"/>
          <w:rFonts w:ascii="宋体" w:hAnsi="宋体"/>
          <w:color w:val="auto"/>
          <w:sz w:val="22"/>
          <w:highlight w:val="none"/>
        </w:rPr>
        <w:t xml:space="preserve"> 日    期：    年   月   日</w:t>
      </w:r>
    </w:p>
    <w:p w14:paraId="751B4307">
      <w:pPr>
        <w:tabs>
          <w:tab w:val="left" w:pos="840"/>
        </w:tabs>
        <w:adjustRightInd w:val="0"/>
        <w:snapToGrid w:val="0"/>
        <w:spacing w:line="360" w:lineRule="auto"/>
        <w:ind w:left="440" w:leftChars="200" w:firstLine="330" w:firstLineChars="150"/>
        <w:rPr>
          <w:rFonts w:hint="eastAsia" w:ascii="新宋体" w:hAnsi="新宋体" w:eastAsia="新宋体"/>
          <w:color w:val="auto"/>
          <w:sz w:val="22"/>
          <w:szCs w:val="22"/>
          <w:highlight w:val="none"/>
        </w:rPr>
      </w:pPr>
    </w:p>
    <w:p w14:paraId="4127CC14">
      <w:pPr>
        <w:tabs>
          <w:tab w:val="left" w:pos="840"/>
        </w:tabs>
        <w:adjustRightInd w:val="0"/>
        <w:snapToGrid w:val="0"/>
        <w:spacing w:line="360" w:lineRule="auto"/>
        <w:ind w:left="440" w:leftChars="200" w:firstLine="330" w:firstLineChars="150"/>
        <w:rPr>
          <w:rFonts w:hint="eastAsia" w:ascii="新宋体" w:hAnsi="新宋体" w:eastAsia="新宋体"/>
          <w:color w:val="auto"/>
          <w:sz w:val="22"/>
          <w:szCs w:val="22"/>
          <w:highlight w:val="none"/>
        </w:rPr>
      </w:pPr>
    </w:p>
    <w:p w14:paraId="4A807D6D">
      <w:pPr>
        <w:tabs>
          <w:tab w:val="left" w:pos="840"/>
        </w:tabs>
        <w:adjustRightInd w:val="0"/>
        <w:snapToGrid w:val="0"/>
        <w:spacing w:line="360" w:lineRule="auto"/>
        <w:rPr>
          <w:rFonts w:hint="eastAsia" w:ascii="新宋体" w:hAnsi="新宋体" w:eastAsia="新宋体" w:cs="ˎ̥"/>
          <w:b/>
          <w:bCs/>
          <w:color w:val="auto"/>
          <w:sz w:val="22"/>
          <w:szCs w:val="22"/>
          <w:highlight w:val="none"/>
          <w:lang w:eastAsia="zh-CN"/>
        </w:rPr>
      </w:pPr>
      <w:r>
        <w:rPr>
          <w:rFonts w:hint="eastAsia" w:ascii="新宋体" w:hAnsi="新宋体" w:eastAsia="新宋体"/>
          <w:color w:val="auto"/>
          <w:sz w:val="22"/>
          <w:szCs w:val="22"/>
          <w:highlight w:val="none"/>
        </w:rPr>
        <w:br w:type="page"/>
      </w:r>
      <w:r>
        <w:rPr>
          <w:rFonts w:hint="eastAsia" w:ascii="新宋体" w:hAnsi="新宋体" w:eastAsia="新宋体" w:cs="ˎ̥"/>
          <w:b/>
          <w:bCs/>
          <w:color w:val="auto"/>
          <w:sz w:val="22"/>
          <w:szCs w:val="22"/>
          <w:highlight w:val="none"/>
        </w:rPr>
        <w:t>附件</w:t>
      </w:r>
      <w:r>
        <w:rPr>
          <w:rFonts w:hint="eastAsia" w:ascii="新宋体" w:hAnsi="新宋体" w:cs="ˎ̥"/>
          <w:b/>
          <w:bCs/>
          <w:color w:val="auto"/>
          <w:sz w:val="22"/>
          <w:szCs w:val="22"/>
          <w:highlight w:val="none"/>
          <w:lang w:val="en-US" w:eastAsia="zh-CN"/>
        </w:rPr>
        <w:t>五</w:t>
      </w:r>
    </w:p>
    <w:p w14:paraId="39118C67">
      <w:pPr>
        <w:tabs>
          <w:tab w:val="left" w:pos="780"/>
        </w:tabs>
        <w:spacing w:line="400" w:lineRule="exact"/>
        <w:jc w:val="center"/>
        <w:rPr>
          <w:rFonts w:hint="default" w:ascii="新宋体" w:hAnsi="新宋体" w:eastAsia="新宋体"/>
          <w:b/>
          <w:color w:val="auto"/>
          <w:sz w:val="22"/>
          <w:szCs w:val="22"/>
          <w:highlight w:val="none"/>
          <w:lang w:val="en-US"/>
        </w:rPr>
      </w:pPr>
      <w:r>
        <w:rPr>
          <w:rFonts w:hint="eastAsia" w:ascii="新宋体" w:hAnsi="新宋体" w:eastAsia="新宋体"/>
          <w:b/>
          <w:color w:val="auto"/>
          <w:sz w:val="22"/>
          <w:szCs w:val="22"/>
          <w:highlight w:val="none"/>
          <w:lang w:val="en-US" w:eastAsia="zh-CN"/>
        </w:rPr>
        <w:t>投标</w:t>
      </w:r>
      <w:r>
        <w:rPr>
          <w:rFonts w:hint="eastAsia" w:ascii="新宋体" w:hAnsi="新宋体" w:eastAsia="新宋体"/>
          <w:b/>
          <w:color w:val="auto"/>
          <w:sz w:val="22"/>
          <w:szCs w:val="22"/>
          <w:highlight w:val="none"/>
          <w:lang w:eastAsia="zh-CN"/>
        </w:rPr>
        <w:t>产品</w:t>
      </w:r>
      <w:r>
        <w:rPr>
          <w:rFonts w:hint="eastAsia" w:ascii="新宋体" w:hAnsi="新宋体" w:eastAsia="新宋体"/>
          <w:b/>
          <w:color w:val="auto"/>
          <w:sz w:val="22"/>
          <w:szCs w:val="22"/>
          <w:highlight w:val="none"/>
          <w:lang w:val="en-US" w:eastAsia="zh-CN"/>
        </w:rPr>
        <w:t>供货业绩</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38925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88" w:hRule="atLeast"/>
          <w:jc w:val="center"/>
        </w:trPr>
        <w:tc>
          <w:tcPr>
            <w:tcW w:w="834" w:type="dxa"/>
            <w:noWrap w:val="0"/>
            <w:vAlign w:val="center"/>
          </w:tcPr>
          <w:p w14:paraId="135C601E">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noWrap w:val="0"/>
            <w:vAlign w:val="center"/>
          </w:tcPr>
          <w:p w14:paraId="72C12094">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noWrap w:val="0"/>
            <w:vAlign w:val="center"/>
          </w:tcPr>
          <w:p w14:paraId="6FE4FEB6">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noWrap w:val="0"/>
            <w:vAlign w:val="center"/>
          </w:tcPr>
          <w:p w14:paraId="6B14819D">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noWrap w:val="0"/>
            <w:vAlign w:val="center"/>
          </w:tcPr>
          <w:p w14:paraId="326FC460">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noWrap w:val="0"/>
            <w:vAlign w:val="center"/>
          </w:tcPr>
          <w:p w14:paraId="103DB2E8">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noWrap w:val="0"/>
            <w:vAlign w:val="center"/>
          </w:tcPr>
          <w:p w14:paraId="77D69C64">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14:paraId="620C44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D97DC38">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08BE53D5">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41C2B491">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526F70B6">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3014B6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2ECB15ED">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69E59633">
            <w:pPr>
              <w:spacing w:after="120" w:line="360" w:lineRule="atLeast"/>
              <w:jc w:val="center"/>
              <w:rPr>
                <w:rFonts w:hint="eastAsia" w:ascii="新宋体" w:hAnsi="新宋体" w:eastAsia="新宋体"/>
                <w:color w:val="auto"/>
                <w:sz w:val="22"/>
                <w:szCs w:val="22"/>
                <w:highlight w:val="none"/>
              </w:rPr>
            </w:pPr>
          </w:p>
        </w:tc>
      </w:tr>
      <w:tr w14:paraId="452118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A787022">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212CA149">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3132D78F">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75EAD1CC">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2513ACAD">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22CC9E4C">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FBFD278">
            <w:pPr>
              <w:spacing w:after="120" w:line="360" w:lineRule="atLeast"/>
              <w:jc w:val="center"/>
              <w:rPr>
                <w:rFonts w:hint="eastAsia" w:ascii="新宋体" w:hAnsi="新宋体" w:eastAsia="新宋体"/>
                <w:color w:val="auto"/>
                <w:sz w:val="22"/>
                <w:szCs w:val="22"/>
                <w:highlight w:val="none"/>
              </w:rPr>
            </w:pPr>
          </w:p>
        </w:tc>
      </w:tr>
      <w:tr w14:paraId="06F25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42260CF">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60A643F7">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000AD9C6">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5A062C1D">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2F14A3EE">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371159A0">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0376703">
            <w:pPr>
              <w:spacing w:after="120" w:line="360" w:lineRule="atLeast"/>
              <w:jc w:val="center"/>
              <w:rPr>
                <w:rFonts w:hint="eastAsia" w:ascii="新宋体" w:hAnsi="新宋体" w:eastAsia="新宋体"/>
                <w:color w:val="auto"/>
                <w:sz w:val="22"/>
                <w:szCs w:val="22"/>
                <w:highlight w:val="none"/>
              </w:rPr>
            </w:pPr>
          </w:p>
        </w:tc>
      </w:tr>
      <w:tr w14:paraId="12D117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CE5DF2B">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0141BE01">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7D985088">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69D1DDB8">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D88121A">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0E03774C">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1839A084">
            <w:pPr>
              <w:spacing w:after="120" w:line="360" w:lineRule="atLeast"/>
              <w:jc w:val="center"/>
              <w:rPr>
                <w:rFonts w:hint="eastAsia" w:ascii="新宋体" w:hAnsi="新宋体" w:eastAsia="新宋体"/>
                <w:color w:val="auto"/>
                <w:sz w:val="22"/>
                <w:szCs w:val="22"/>
                <w:highlight w:val="none"/>
              </w:rPr>
            </w:pPr>
          </w:p>
        </w:tc>
      </w:tr>
      <w:tr w14:paraId="6AC61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4610DBA3">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4069B16">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BB048D4">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49BE1D9D">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085DA5BC">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4DE167B1">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2DB9659C">
            <w:pPr>
              <w:spacing w:after="120" w:line="360" w:lineRule="atLeast"/>
              <w:jc w:val="center"/>
              <w:rPr>
                <w:rFonts w:hint="eastAsia" w:ascii="新宋体" w:hAnsi="新宋体" w:eastAsia="新宋体"/>
                <w:color w:val="auto"/>
                <w:sz w:val="22"/>
                <w:szCs w:val="22"/>
                <w:highlight w:val="none"/>
              </w:rPr>
            </w:pPr>
          </w:p>
        </w:tc>
      </w:tr>
      <w:tr w14:paraId="10BCA6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E4718CC">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2B74BC87">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2F758AAD">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107BBEDE">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6333B118">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14A1FA23">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13021C56">
            <w:pPr>
              <w:spacing w:after="120" w:line="360" w:lineRule="atLeast"/>
              <w:jc w:val="center"/>
              <w:rPr>
                <w:rFonts w:hint="eastAsia" w:ascii="新宋体" w:hAnsi="新宋体" w:eastAsia="新宋体"/>
                <w:color w:val="auto"/>
                <w:sz w:val="22"/>
                <w:szCs w:val="22"/>
                <w:highlight w:val="none"/>
              </w:rPr>
            </w:pPr>
          </w:p>
        </w:tc>
      </w:tr>
      <w:tr w14:paraId="596F17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2229E79">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7A95F4A">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5BF8DE7E">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56F99E89">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307723A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658E442F">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28A16302">
            <w:pPr>
              <w:spacing w:after="120" w:line="360" w:lineRule="atLeast"/>
              <w:jc w:val="center"/>
              <w:rPr>
                <w:rFonts w:hint="eastAsia" w:ascii="新宋体" w:hAnsi="新宋体" w:eastAsia="新宋体"/>
                <w:color w:val="auto"/>
                <w:sz w:val="22"/>
                <w:szCs w:val="22"/>
                <w:highlight w:val="none"/>
              </w:rPr>
            </w:pPr>
          </w:p>
        </w:tc>
      </w:tr>
      <w:tr w14:paraId="6B53F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48127A2C">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7F9832F7">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9AF1DC8">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3D4DCE1A">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6C811EF5">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7B4B41C0">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68275477">
            <w:pPr>
              <w:spacing w:after="120" w:line="360" w:lineRule="atLeast"/>
              <w:jc w:val="center"/>
              <w:rPr>
                <w:rFonts w:hint="eastAsia" w:ascii="新宋体" w:hAnsi="新宋体" w:eastAsia="新宋体"/>
                <w:color w:val="auto"/>
                <w:sz w:val="22"/>
                <w:szCs w:val="22"/>
                <w:highlight w:val="none"/>
              </w:rPr>
            </w:pPr>
          </w:p>
        </w:tc>
      </w:tr>
      <w:tr w14:paraId="662097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259E150">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1EC7F21E">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466E8FDF">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71DD7CA0">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55A3DF16">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7245BE01">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FD17CC6">
            <w:pPr>
              <w:spacing w:after="120" w:line="360" w:lineRule="atLeast"/>
              <w:jc w:val="center"/>
              <w:rPr>
                <w:rFonts w:hint="eastAsia" w:ascii="新宋体" w:hAnsi="新宋体" w:eastAsia="新宋体"/>
                <w:color w:val="auto"/>
                <w:sz w:val="22"/>
                <w:szCs w:val="22"/>
                <w:highlight w:val="none"/>
              </w:rPr>
            </w:pPr>
          </w:p>
        </w:tc>
      </w:tr>
      <w:tr w14:paraId="6578F4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C0070A8">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126D8CCC">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38D832A3">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49717556">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E8CC411">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514FF8D9">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77547737">
            <w:pPr>
              <w:spacing w:after="120" w:line="360" w:lineRule="atLeast"/>
              <w:jc w:val="center"/>
              <w:rPr>
                <w:rFonts w:hint="eastAsia" w:ascii="新宋体" w:hAnsi="新宋体" w:eastAsia="新宋体"/>
                <w:color w:val="auto"/>
                <w:sz w:val="22"/>
                <w:szCs w:val="22"/>
                <w:highlight w:val="none"/>
              </w:rPr>
            </w:pPr>
          </w:p>
        </w:tc>
      </w:tr>
      <w:tr w14:paraId="35EDA5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43C7F3B">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75649003">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50C14E6">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3929B9CB">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214490BF">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2EC410E5">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02A142B2">
            <w:pPr>
              <w:spacing w:after="120" w:line="360" w:lineRule="atLeast"/>
              <w:jc w:val="center"/>
              <w:rPr>
                <w:rFonts w:hint="eastAsia" w:ascii="新宋体" w:hAnsi="新宋体" w:eastAsia="新宋体"/>
                <w:color w:val="auto"/>
                <w:sz w:val="22"/>
                <w:szCs w:val="22"/>
                <w:highlight w:val="none"/>
              </w:rPr>
            </w:pPr>
          </w:p>
        </w:tc>
      </w:tr>
      <w:tr w14:paraId="6B2A6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5ABA4C50">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2208C374">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57F8A502">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5B375F2A">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2C3B61FC">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5429EDB7">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03DE362A">
            <w:pPr>
              <w:spacing w:after="120" w:line="360" w:lineRule="atLeast"/>
              <w:jc w:val="center"/>
              <w:rPr>
                <w:rFonts w:hint="eastAsia" w:ascii="新宋体" w:hAnsi="新宋体" w:eastAsia="新宋体"/>
                <w:color w:val="auto"/>
                <w:sz w:val="22"/>
                <w:szCs w:val="22"/>
                <w:highlight w:val="none"/>
              </w:rPr>
            </w:pPr>
          </w:p>
        </w:tc>
      </w:tr>
    </w:tbl>
    <w:p w14:paraId="5D08F7C0">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14:paraId="6C7CE38D">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1.此表仅提供了表格形式，供应商应根据需要准备足够数量的表格来填写。</w:t>
      </w:r>
    </w:p>
    <w:p w14:paraId="20452F0F">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14:paraId="6930811A">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3.供应商不按此要求填写此项内容或未按要求提供业绩证明材料将视为无业绩，不纳入评分范围。</w:t>
      </w:r>
    </w:p>
    <w:p w14:paraId="38A35B1B">
      <w:pPr>
        <w:spacing w:line="400" w:lineRule="exact"/>
        <w:ind w:left="180"/>
        <w:rPr>
          <w:rFonts w:hint="eastAsia" w:ascii="新宋体" w:hAnsi="新宋体" w:eastAsia="新宋体"/>
          <w:b/>
          <w:color w:val="auto"/>
          <w:sz w:val="22"/>
          <w:szCs w:val="22"/>
          <w:highlight w:val="none"/>
        </w:rPr>
      </w:pPr>
    </w:p>
    <w:p w14:paraId="7D4030D9">
      <w:pPr>
        <w:tabs>
          <w:tab w:val="left" w:pos="840"/>
          <w:tab w:val="left" w:pos="5400"/>
        </w:tabs>
        <w:adjustRightInd w:val="0"/>
        <w:snapToGrid w:val="0"/>
        <w:spacing w:line="400" w:lineRule="exact"/>
        <w:ind w:left="44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14:paraId="21C74FA8">
      <w:pPr>
        <w:tabs>
          <w:tab w:val="left" w:pos="840"/>
          <w:tab w:val="left" w:pos="5400"/>
        </w:tabs>
        <w:adjustRightInd w:val="0"/>
        <w:snapToGrid w:val="0"/>
        <w:spacing w:line="400" w:lineRule="exact"/>
        <w:ind w:left="44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供应商代表（签字或盖章）：</w:t>
      </w:r>
    </w:p>
    <w:p w14:paraId="512C72A6">
      <w:pPr>
        <w:tabs>
          <w:tab w:val="left" w:pos="840"/>
          <w:tab w:val="left" w:pos="5400"/>
        </w:tabs>
        <w:adjustRightInd w:val="0"/>
        <w:snapToGrid w:val="0"/>
        <w:spacing w:line="400" w:lineRule="exact"/>
        <w:ind w:left="44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14:paraId="74F0F2FF">
      <w:pPr>
        <w:ind w:left="-202" w:right="-202"/>
        <w:rPr>
          <w:rFonts w:cs="新宋体" w:asciiTheme="majorEastAsia" w:hAnsiTheme="majorEastAsia" w:eastAsiaTheme="majorEastAsia"/>
          <w:color w:val="auto"/>
          <w:highlight w:val="none"/>
        </w:rPr>
      </w:pPr>
    </w:p>
    <w:p w14:paraId="3AE752F6">
      <w:pPr>
        <w:ind w:left="-202" w:right="-202"/>
        <w:rPr>
          <w:rFonts w:cs="新宋体" w:asciiTheme="majorEastAsia" w:hAnsiTheme="majorEastAsia" w:eastAsiaTheme="majorEastAsia"/>
          <w:color w:val="auto"/>
          <w:highlight w:val="none"/>
        </w:rPr>
      </w:pPr>
    </w:p>
    <w:p w14:paraId="470E43D5">
      <w:pPr>
        <w:ind w:left="-202" w:right="-202"/>
        <w:rPr>
          <w:rFonts w:cs="新宋体" w:asciiTheme="majorEastAsia" w:hAnsiTheme="majorEastAsia" w:eastAsiaTheme="majorEastAsia"/>
          <w:color w:val="auto"/>
          <w:highlight w:val="none"/>
          <w:u w:val="single"/>
        </w:rPr>
      </w:pPr>
    </w:p>
    <w:p w14:paraId="6D2A165B">
      <w:pPr>
        <w:ind w:left="-202" w:right="-202" w:firstLine="700"/>
        <w:jc w:val="center"/>
        <w:rPr>
          <w:rFonts w:hint="eastAsia" w:cs="新宋体" w:asciiTheme="majorEastAsia" w:hAnsiTheme="majorEastAsia" w:eastAsiaTheme="majorEastAsia"/>
          <w:color w:val="auto"/>
          <w:sz w:val="28"/>
          <w:szCs w:val="28"/>
          <w:highlight w:val="none"/>
          <w:u w:val="single"/>
        </w:rPr>
      </w:pPr>
    </w:p>
    <w:p w14:paraId="13221DFE">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投标文件</w:t>
      </w:r>
    </w:p>
    <w:p w14:paraId="45017C3F">
      <w:pPr>
        <w:ind w:left="-202" w:right="-202" w:firstLine="700"/>
        <w:rPr>
          <w:rFonts w:cs="新宋体" w:asciiTheme="majorEastAsia" w:hAnsiTheme="majorEastAsia" w:eastAsiaTheme="majorEastAsia"/>
          <w:color w:val="auto"/>
          <w:sz w:val="28"/>
          <w:szCs w:val="28"/>
          <w:highlight w:val="none"/>
        </w:rPr>
      </w:pPr>
    </w:p>
    <w:p w14:paraId="5403D026">
      <w:pPr>
        <w:pStyle w:val="14"/>
        <w:tabs>
          <w:tab w:val="left" w:pos="1951"/>
        </w:tabs>
        <w:ind w:firstLine="280"/>
        <w:jc w:val="center"/>
        <w:rPr>
          <w:rFonts w:ascii="宋体" w:hAnsi="宋体" w:eastAsia="宋体" w:cs="楷体"/>
          <w:sz w:val="28"/>
          <w:szCs w:val="28"/>
          <w:highlight w:val="none"/>
        </w:rPr>
      </w:pPr>
      <w:r>
        <w:rPr>
          <w:rFonts w:hint="eastAsia" w:ascii="宋体" w:hAnsi="宋体" w:eastAsia="宋体" w:cs="楷体"/>
          <w:sz w:val="28"/>
          <w:szCs w:val="28"/>
          <w:highlight w:val="none"/>
        </w:rPr>
        <w:t>标段</w:t>
      </w:r>
      <w:r>
        <w:rPr>
          <w:rFonts w:hint="eastAsia" w:ascii="宋体" w:hAnsi="宋体" w:eastAsia="宋体" w:cs="楷体"/>
          <w:sz w:val="28"/>
          <w:szCs w:val="28"/>
          <w:highlight w:val="none"/>
          <w:u w:val="single"/>
        </w:rPr>
        <w:t xml:space="preserve">      （标项名称）</w:t>
      </w:r>
    </w:p>
    <w:p w14:paraId="4D7B1BD4">
      <w:pPr>
        <w:ind w:left="-202" w:right="-202" w:firstLine="700"/>
        <w:rPr>
          <w:rFonts w:cs="新宋体" w:asciiTheme="majorEastAsia" w:hAnsiTheme="majorEastAsia" w:eastAsiaTheme="majorEastAsia"/>
          <w:color w:val="auto"/>
          <w:sz w:val="28"/>
          <w:szCs w:val="28"/>
          <w:highlight w:val="none"/>
        </w:rPr>
      </w:pPr>
    </w:p>
    <w:p w14:paraId="79D4FEAE">
      <w:pPr>
        <w:pStyle w:val="14"/>
        <w:ind w:left="-202" w:right="-202" w:firstLine="700"/>
        <w:rPr>
          <w:rFonts w:cs="新宋体" w:asciiTheme="majorEastAsia" w:hAnsiTheme="majorEastAsia" w:eastAsiaTheme="majorEastAsia"/>
          <w:color w:val="auto"/>
          <w:sz w:val="28"/>
          <w:szCs w:val="28"/>
          <w:highlight w:val="none"/>
        </w:rPr>
      </w:pPr>
    </w:p>
    <w:p w14:paraId="546D18D5">
      <w:pPr>
        <w:pStyle w:val="14"/>
        <w:ind w:left="-202" w:right="-202" w:firstLine="700"/>
        <w:rPr>
          <w:rFonts w:cs="新宋体" w:asciiTheme="majorEastAsia" w:hAnsiTheme="majorEastAsia" w:eastAsiaTheme="majorEastAsia"/>
          <w:color w:val="auto"/>
          <w:sz w:val="28"/>
          <w:szCs w:val="28"/>
          <w:highlight w:val="none"/>
        </w:rPr>
      </w:pPr>
    </w:p>
    <w:p w14:paraId="70E99B2B">
      <w:pPr>
        <w:ind w:left="-202" w:right="-202" w:firstLine="700"/>
        <w:rPr>
          <w:rFonts w:cs="新宋体" w:asciiTheme="majorEastAsia" w:hAnsiTheme="majorEastAsia" w:eastAsiaTheme="majorEastAsia"/>
          <w:color w:val="auto"/>
          <w:sz w:val="28"/>
          <w:szCs w:val="28"/>
          <w:highlight w:val="none"/>
        </w:rPr>
      </w:pPr>
    </w:p>
    <w:p w14:paraId="44261EB5">
      <w:pPr>
        <w:ind w:left="-202" w:right="-202" w:firstLine="700"/>
        <w:rPr>
          <w:rFonts w:cs="新宋体" w:asciiTheme="majorEastAsia" w:hAnsiTheme="majorEastAsia" w:eastAsiaTheme="majorEastAsia"/>
          <w:color w:val="auto"/>
          <w:sz w:val="28"/>
          <w:szCs w:val="28"/>
          <w:highlight w:val="none"/>
        </w:rPr>
      </w:pPr>
    </w:p>
    <w:p w14:paraId="3BF968BC">
      <w:pPr>
        <w:ind w:left="-202" w:right="-202" w:firstLine="1300"/>
        <w:jc w:val="center"/>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 xml:space="preserve">商  务  </w:t>
      </w:r>
      <w:r>
        <w:rPr>
          <w:rFonts w:hint="eastAsia" w:cs="新宋体" w:asciiTheme="majorEastAsia" w:hAnsiTheme="majorEastAsia" w:eastAsiaTheme="majorEastAsia"/>
          <w:color w:val="auto"/>
          <w:sz w:val="52"/>
          <w:szCs w:val="52"/>
          <w:highlight w:val="none"/>
          <w:lang w:val="en-US" w:eastAsia="zh-CN"/>
        </w:rPr>
        <w:t xml:space="preserve">报 价 </w:t>
      </w:r>
      <w:r>
        <w:rPr>
          <w:rFonts w:hint="eastAsia" w:cs="新宋体" w:asciiTheme="majorEastAsia" w:hAnsiTheme="majorEastAsia" w:eastAsiaTheme="majorEastAsia"/>
          <w:color w:val="auto"/>
          <w:sz w:val="52"/>
          <w:szCs w:val="52"/>
          <w:highlight w:val="none"/>
        </w:rPr>
        <w:t>标</w:t>
      </w:r>
    </w:p>
    <w:p w14:paraId="6F18D62F">
      <w:pPr>
        <w:spacing w:line="360" w:lineRule="auto"/>
        <w:ind w:left="-202" w:right="-202"/>
        <w:rPr>
          <w:rFonts w:cs="新宋体" w:asciiTheme="majorEastAsia" w:hAnsiTheme="majorEastAsia" w:eastAsiaTheme="majorEastAsia"/>
          <w:color w:val="auto"/>
          <w:szCs w:val="21"/>
          <w:highlight w:val="none"/>
        </w:rPr>
      </w:pPr>
    </w:p>
    <w:p w14:paraId="0B6C3F34">
      <w:pPr>
        <w:spacing w:line="360" w:lineRule="auto"/>
        <w:ind w:left="-202" w:right="-202"/>
        <w:rPr>
          <w:rFonts w:cs="新宋体" w:asciiTheme="majorEastAsia" w:hAnsiTheme="majorEastAsia" w:eastAsiaTheme="majorEastAsia"/>
          <w:color w:val="auto"/>
          <w:szCs w:val="21"/>
          <w:highlight w:val="none"/>
        </w:rPr>
      </w:pPr>
    </w:p>
    <w:p w14:paraId="55098B3E">
      <w:pPr>
        <w:spacing w:line="360" w:lineRule="auto"/>
        <w:ind w:left="-202" w:right="-202"/>
        <w:rPr>
          <w:rFonts w:cs="新宋体" w:asciiTheme="majorEastAsia" w:hAnsiTheme="majorEastAsia" w:eastAsiaTheme="majorEastAsia"/>
          <w:color w:val="auto"/>
          <w:szCs w:val="21"/>
          <w:highlight w:val="none"/>
        </w:rPr>
      </w:pPr>
    </w:p>
    <w:p w14:paraId="1FBDB4B8">
      <w:pPr>
        <w:spacing w:line="360" w:lineRule="auto"/>
        <w:ind w:left="-202" w:right="-202"/>
        <w:rPr>
          <w:rFonts w:cs="新宋体" w:asciiTheme="majorEastAsia" w:hAnsiTheme="majorEastAsia" w:eastAsiaTheme="majorEastAsia"/>
          <w:color w:val="auto"/>
          <w:szCs w:val="21"/>
          <w:highlight w:val="none"/>
        </w:rPr>
      </w:pPr>
    </w:p>
    <w:p w14:paraId="68F40907">
      <w:pPr>
        <w:spacing w:line="360" w:lineRule="auto"/>
        <w:ind w:left="-202" w:right="-202"/>
        <w:rPr>
          <w:rFonts w:cs="新宋体" w:asciiTheme="majorEastAsia" w:hAnsiTheme="majorEastAsia" w:eastAsiaTheme="majorEastAsia"/>
          <w:color w:val="auto"/>
          <w:szCs w:val="21"/>
          <w:highlight w:val="none"/>
        </w:rPr>
      </w:pPr>
    </w:p>
    <w:p w14:paraId="6C9978AC">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lang w:val="en-US" w:eastAsia="zh-CN"/>
        </w:rPr>
        <w:t>供应商</w:t>
      </w:r>
      <w:r>
        <w:rPr>
          <w:rFonts w:hint="eastAsia" w:cs="新宋体" w:asciiTheme="majorEastAsia" w:hAnsiTheme="majorEastAsia" w:eastAsiaTheme="majorEastAsia"/>
          <w:color w:val="auto"/>
          <w:sz w:val="28"/>
          <w:szCs w:val="28"/>
          <w:highlight w:val="none"/>
        </w:rPr>
        <w:t>：</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46FBB30E">
      <w:pPr>
        <w:ind w:left="-202" w:right="-202" w:firstLine="700"/>
        <w:rPr>
          <w:rFonts w:cs="新宋体" w:asciiTheme="majorEastAsia" w:hAnsiTheme="majorEastAsia" w:eastAsiaTheme="majorEastAsia"/>
          <w:color w:val="auto"/>
          <w:sz w:val="28"/>
          <w:szCs w:val="28"/>
          <w:highlight w:val="none"/>
          <w:u w:val="single"/>
        </w:rPr>
      </w:pPr>
    </w:p>
    <w:p w14:paraId="309C24A3">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44DA61AD">
      <w:pPr>
        <w:ind w:left="-202" w:right="-202" w:firstLine="700"/>
        <w:rPr>
          <w:rFonts w:cs="新宋体" w:asciiTheme="majorEastAsia" w:hAnsiTheme="majorEastAsia" w:eastAsiaTheme="majorEastAsia"/>
          <w:color w:val="auto"/>
          <w:sz w:val="28"/>
          <w:szCs w:val="28"/>
          <w:highlight w:val="none"/>
        </w:rPr>
      </w:pPr>
    </w:p>
    <w:p w14:paraId="29C7AB50">
      <w:pPr>
        <w:overflowPunct w:val="0"/>
        <w:spacing w:line="380" w:lineRule="exact"/>
        <w:ind w:left="-202" w:right="-202" w:firstLine="2738" w:firstLineChars="978"/>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2DF6861F">
      <w:pPr>
        <w:overflowPunct w:val="0"/>
        <w:spacing w:line="380" w:lineRule="exact"/>
        <w:ind w:left="-202" w:right="-202" w:firstLine="550"/>
        <w:rPr>
          <w:rFonts w:asciiTheme="majorEastAsia" w:hAnsiTheme="majorEastAsia" w:eastAsiaTheme="majorEastAsia"/>
          <w:b/>
          <w:bCs/>
          <w:color w:val="auto"/>
          <w:szCs w:val="22"/>
          <w:highlight w:val="none"/>
        </w:rPr>
      </w:pPr>
      <w:r>
        <w:rPr>
          <w:rFonts w:asciiTheme="majorEastAsia" w:hAnsiTheme="majorEastAsia" w:eastAsiaTheme="majorEastAsia"/>
          <w:color w:val="auto"/>
          <w:szCs w:val="22"/>
          <w:highlight w:val="none"/>
        </w:rPr>
        <w:br w:type="page"/>
      </w:r>
      <w:r>
        <w:rPr>
          <w:rFonts w:hint="eastAsia" w:asciiTheme="majorEastAsia" w:hAnsiTheme="majorEastAsia" w:eastAsiaTheme="majorEastAsia"/>
          <w:b/>
          <w:bCs/>
          <w:color w:val="auto"/>
          <w:szCs w:val="22"/>
          <w:highlight w:val="none"/>
        </w:rPr>
        <w:t>附件一</w:t>
      </w:r>
    </w:p>
    <w:p w14:paraId="223AC482">
      <w:pPr>
        <w:autoSpaceDE w:val="0"/>
        <w:autoSpaceDN w:val="0"/>
        <w:adjustRightInd w:val="0"/>
        <w:spacing w:line="460" w:lineRule="atLeast"/>
        <w:ind w:left="-202" w:right="-202" w:firstLine="703"/>
        <w:jc w:val="center"/>
        <w:rPr>
          <w:rFonts w:cs="新宋体" w:asciiTheme="majorEastAsia" w:hAnsiTheme="majorEastAsia" w:eastAsiaTheme="majorEastAsia"/>
          <w:b/>
          <w:bCs/>
          <w:color w:val="auto"/>
          <w:kern w:val="0"/>
          <w:sz w:val="28"/>
          <w:szCs w:val="28"/>
          <w:highlight w:val="none"/>
          <w:lang w:val="zh-CN"/>
        </w:rPr>
      </w:pPr>
    </w:p>
    <w:p w14:paraId="7BB7E887">
      <w:pPr>
        <w:autoSpaceDE w:val="0"/>
        <w:autoSpaceDN w:val="0"/>
        <w:adjustRightInd w:val="0"/>
        <w:spacing w:line="460" w:lineRule="atLeast"/>
        <w:jc w:val="center"/>
        <w:rPr>
          <w:rFonts w:hint="default" w:ascii="新宋体" w:hAnsi="新宋体" w:eastAsia="新宋体" w:cs="新宋体"/>
          <w:b/>
          <w:bCs/>
          <w:color w:val="auto"/>
          <w:kern w:val="0"/>
          <w:sz w:val="28"/>
          <w:szCs w:val="28"/>
          <w:highlight w:val="none"/>
          <w:lang w:val="en-US" w:eastAsia="zh-CN"/>
        </w:rPr>
      </w:pPr>
      <w:r>
        <w:rPr>
          <w:rFonts w:hint="eastAsia" w:cs="新宋体" w:asciiTheme="majorEastAsia" w:hAnsiTheme="majorEastAsia" w:eastAsiaTheme="majorEastAsia"/>
          <w:b/>
          <w:bCs/>
          <w:color w:val="auto"/>
          <w:kern w:val="0"/>
          <w:sz w:val="28"/>
          <w:szCs w:val="28"/>
          <w:highlight w:val="none"/>
          <w:lang w:val="zh-CN"/>
        </w:rPr>
        <w:t>开标一览表</w:t>
      </w:r>
    </w:p>
    <w:p w14:paraId="5A980105">
      <w:pPr>
        <w:autoSpaceDE w:val="0"/>
        <w:autoSpaceDN w:val="0"/>
        <w:adjustRightInd w:val="0"/>
        <w:spacing w:line="460" w:lineRule="atLeast"/>
        <w:ind w:left="-202" w:right="-202" w:firstLine="703"/>
        <w:jc w:val="center"/>
        <w:rPr>
          <w:rFonts w:cs="新宋体" w:asciiTheme="majorEastAsia" w:hAnsiTheme="majorEastAsia" w:eastAsiaTheme="majorEastAsia"/>
          <w:b/>
          <w:bCs/>
          <w:color w:val="auto"/>
          <w:kern w:val="0"/>
          <w:sz w:val="28"/>
          <w:szCs w:val="28"/>
          <w:highlight w:val="none"/>
          <w:lang w:val="zh-CN"/>
        </w:rPr>
      </w:pPr>
    </w:p>
    <w:p w14:paraId="744CA65B">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项目名称：</w:t>
      </w:r>
      <w:r>
        <w:rPr>
          <w:rFonts w:cs="新宋体" w:asciiTheme="majorEastAsia" w:hAnsiTheme="majorEastAsia" w:eastAsiaTheme="majorEastAsia"/>
          <w:color w:val="auto"/>
          <w:kern w:val="0"/>
          <w:szCs w:val="22"/>
          <w:highlight w:val="none"/>
          <w:lang w:val="zh-CN"/>
        </w:rPr>
        <w:t xml:space="preserve">                                          </w:t>
      </w:r>
      <w:r>
        <w:rPr>
          <w:rFonts w:hint="eastAsia" w:cs="新宋体" w:asciiTheme="majorEastAsia" w:hAnsiTheme="majorEastAsia" w:eastAsiaTheme="majorEastAsia"/>
          <w:color w:val="auto"/>
          <w:kern w:val="0"/>
          <w:szCs w:val="22"/>
          <w:highlight w:val="none"/>
          <w:lang w:val="zh-CN"/>
        </w:rPr>
        <w:t>项目编号：</w:t>
      </w:r>
    </w:p>
    <w:tbl>
      <w:tblPr>
        <w:tblStyle w:val="29"/>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7"/>
        <w:gridCol w:w="3960"/>
        <w:gridCol w:w="4913"/>
      </w:tblGrid>
      <w:tr w14:paraId="3BC7F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jc w:val="center"/>
        </w:trPr>
        <w:tc>
          <w:tcPr>
            <w:tcW w:w="1327" w:type="dxa"/>
            <w:tcBorders>
              <w:left w:val="single" w:color="auto" w:sz="12" w:space="0"/>
              <w:bottom w:val="single" w:color="auto" w:sz="4" w:space="0"/>
              <w:right w:val="single" w:color="auto" w:sz="4" w:space="0"/>
            </w:tcBorders>
            <w:vAlign w:val="center"/>
          </w:tcPr>
          <w:p w14:paraId="7C71696E">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标段</w:t>
            </w:r>
          </w:p>
        </w:tc>
        <w:tc>
          <w:tcPr>
            <w:tcW w:w="3960" w:type="dxa"/>
            <w:tcBorders>
              <w:left w:val="single" w:color="auto" w:sz="4" w:space="0"/>
              <w:bottom w:val="single" w:color="auto" w:sz="4" w:space="0"/>
              <w:right w:val="single" w:color="auto" w:sz="4" w:space="0"/>
            </w:tcBorders>
            <w:vAlign w:val="center"/>
          </w:tcPr>
          <w:p w14:paraId="6CDECEF0">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标项内容</w:t>
            </w:r>
          </w:p>
        </w:tc>
        <w:tc>
          <w:tcPr>
            <w:tcW w:w="4913" w:type="dxa"/>
            <w:tcBorders>
              <w:left w:val="single" w:color="auto" w:sz="4" w:space="0"/>
              <w:bottom w:val="single" w:color="auto" w:sz="4" w:space="0"/>
              <w:right w:val="single" w:color="auto" w:sz="12" w:space="0"/>
            </w:tcBorders>
            <w:vAlign w:val="center"/>
          </w:tcPr>
          <w:p w14:paraId="7D42CA09">
            <w:pPr>
              <w:jc w:val="center"/>
              <w:rPr>
                <w:rFonts w:hint="eastAsia" w:ascii="宋体" w:hAnsi="宋体" w:eastAsia="宋体" w:cs="宋体"/>
                <w:b/>
                <w:bCs/>
                <w:sz w:val="22"/>
                <w:szCs w:val="22"/>
              </w:rPr>
            </w:pPr>
            <w:r>
              <w:rPr>
                <w:rFonts w:hint="eastAsia" w:ascii="宋体" w:hAnsi="宋体" w:eastAsia="宋体" w:cs="宋体"/>
                <w:b/>
                <w:bCs/>
                <w:sz w:val="22"/>
                <w:szCs w:val="22"/>
              </w:rPr>
              <w:t>投标总价</w:t>
            </w:r>
          </w:p>
        </w:tc>
      </w:tr>
      <w:tr w14:paraId="4A7D5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6" w:hRule="atLeast"/>
          <w:jc w:val="center"/>
        </w:trPr>
        <w:tc>
          <w:tcPr>
            <w:tcW w:w="1327" w:type="dxa"/>
            <w:tcBorders>
              <w:top w:val="single" w:color="auto" w:sz="4" w:space="0"/>
              <w:left w:val="single" w:color="auto" w:sz="12" w:space="0"/>
              <w:bottom w:val="single" w:color="auto" w:sz="12" w:space="0"/>
              <w:right w:val="single" w:color="auto" w:sz="4" w:space="0"/>
            </w:tcBorders>
            <w:vAlign w:val="center"/>
          </w:tcPr>
          <w:p w14:paraId="55E63F4A">
            <w:pPr>
              <w:jc w:val="center"/>
              <w:rPr>
                <w:rFonts w:hint="eastAsia" w:ascii="宋体" w:hAnsi="宋体" w:eastAsia="宋体" w:cs="宋体"/>
                <w:sz w:val="22"/>
                <w:szCs w:val="22"/>
              </w:rPr>
            </w:pPr>
          </w:p>
        </w:tc>
        <w:tc>
          <w:tcPr>
            <w:tcW w:w="3960" w:type="dxa"/>
            <w:tcBorders>
              <w:top w:val="single" w:color="auto" w:sz="4" w:space="0"/>
              <w:left w:val="single" w:color="auto" w:sz="4" w:space="0"/>
              <w:bottom w:val="single" w:color="auto" w:sz="12" w:space="0"/>
              <w:right w:val="single" w:color="auto" w:sz="4" w:space="0"/>
            </w:tcBorders>
            <w:vAlign w:val="center"/>
          </w:tcPr>
          <w:p w14:paraId="05036E51">
            <w:pPr>
              <w:jc w:val="center"/>
              <w:rPr>
                <w:rFonts w:hint="eastAsia" w:ascii="宋体" w:hAnsi="宋体" w:eastAsia="宋体" w:cs="宋体"/>
                <w:sz w:val="22"/>
                <w:szCs w:val="22"/>
              </w:rPr>
            </w:pPr>
          </w:p>
        </w:tc>
        <w:tc>
          <w:tcPr>
            <w:tcW w:w="4913" w:type="dxa"/>
            <w:tcBorders>
              <w:top w:val="single" w:color="auto" w:sz="4" w:space="0"/>
              <w:left w:val="single" w:color="auto" w:sz="4" w:space="0"/>
              <w:bottom w:val="single" w:color="auto" w:sz="12" w:space="0"/>
              <w:right w:val="single" w:color="auto" w:sz="12" w:space="0"/>
            </w:tcBorders>
            <w:vAlign w:val="center"/>
          </w:tcPr>
          <w:p w14:paraId="638B18E2">
            <w:pPr>
              <w:jc w:val="left"/>
              <w:rPr>
                <w:rFonts w:hint="eastAsia" w:ascii="宋体" w:hAnsi="宋体" w:eastAsia="宋体" w:cs="宋体"/>
                <w:sz w:val="22"/>
                <w:szCs w:val="22"/>
              </w:rPr>
            </w:pPr>
            <w:r>
              <w:rPr>
                <w:rFonts w:hint="eastAsia" w:ascii="宋体" w:hAnsi="宋体" w:eastAsia="宋体" w:cs="宋体"/>
                <w:sz w:val="22"/>
                <w:szCs w:val="22"/>
              </w:rPr>
              <w:t>（大写）：</w:t>
            </w:r>
          </w:p>
          <w:p w14:paraId="41F8E42B">
            <w:pPr>
              <w:jc w:val="left"/>
              <w:rPr>
                <w:rFonts w:hint="eastAsia" w:ascii="宋体" w:hAnsi="宋体" w:eastAsia="宋体" w:cs="宋体"/>
                <w:sz w:val="22"/>
                <w:szCs w:val="22"/>
              </w:rPr>
            </w:pPr>
          </w:p>
          <w:p w14:paraId="0EC381F2">
            <w:pPr>
              <w:jc w:val="left"/>
              <w:rPr>
                <w:rFonts w:hint="eastAsia" w:ascii="宋体" w:hAnsi="宋体" w:eastAsia="宋体" w:cs="宋体"/>
                <w:sz w:val="22"/>
                <w:szCs w:val="22"/>
              </w:rPr>
            </w:pPr>
            <w:r>
              <w:rPr>
                <w:rFonts w:hint="eastAsia" w:ascii="宋体" w:hAnsi="宋体" w:eastAsia="宋体" w:cs="宋体"/>
                <w:sz w:val="22"/>
                <w:szCs w:val="22"/>
              </w:rPr>
              <w:t>（小写）¥</w:t>
            </w:r>
          </w:p>
        </w:tc>
      </w:tr>
    </w:tbl>
    <w:p w14:paraId="24120E1D">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rPr>
      </w:pPr>
    </w:p>
    <w:p w14:paraId="33FE660D">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注：</w:t>
      </w:r>
    </w:p>
    <w:p w14:paraId="3F4D74EA">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1.此栏内</w:t>
      </w:r>
      <w:r>
        <w:rPr>
          <w:rFonts w:hint="eastAsia" w:cs="宋体" w:asciiTheme="majorEastAsia" w:hAnsiTheme="majorEastAsia" w:eastAsiaTheme="majorEastAsia"/>
          <w:color w:val="auto"/>
          <w:spacing w:val="-3"/>
          <w:szCs w:val="22"/>
          <w:highlight w:val="none"/>
        </w:rPr>
        <w:t>投标总价</w:t>
      </w:r>
      <w:r>
        <w:rPr>
          <w:rFonts w:hint="eastAsia" w:cs="新宋体" w:asciiTheme="majorEastAsia" w:hAnsiTheme="majorEastAsia" w:eastAsiaTheme="majorEastAsia"/>
          <w:color w:val="auto"/>
          <w:kern w:val="0"/>
          <w:szCs w:val="22"/>
          <w:highlight w:val="none"/>
          <w:lang w:val="zh-CN"/>
        </w:rPr>
        <w:t>应与附件三</w:t>
      </w:r>
      <w:r>
        <w:rPr>
          <w:rFonts w:cs="新宋体" w:asciiTheme="majorEastAsia" w:hAnsiTheme="majorEastAsia" w:eastAsiaTheme="majorEastAsia"/>
          <w:color w:val="auto"/>
          <w:kern w:val="0"/>
          <w:szCs w:val="22"/>
          <w:highlight w:val="none"/>
          <w:lang w:val="zh-CN"/>
        </w:rPr>
        <w:t>“</w:t>
      </w:r>
      <w:r>
        <w:rPr>
          <w:rFonts w:hint="eastAsia" w:cs="新宋体" w:asciiTheme="majorEastAsia" w:hAnsiTheme="majorEastAsia" w:eastAsiaTheme="majorEastAsia"/>
          <w:color w:val="auto"/>
          <w:kern w:val="0"/>
          <w:szCs w:val="22"/>
          <w:highlight w:val="none"/>
          <w:lang w:val="zh-CN"/>
        </w:rPr>
        <w:t>分项报价表</w:t>
      </w:r>
      <w:r>
        <w:rPr>
          <w:rFonts w:cs="新宋体" w:asciiTheme="majorEastAsia" w:hAnsiTheme="majorEastAsia" w:eastAsiaTheme="majorEastAsia"/>
          <w:color w:val="auto"/>
          <w:kern w:val="0"/>
          <w:szCs w:val="22"/>
          <w:highlight w:val="none"/>
          <w:lang w:val="zh-CN"/>
        </w:rPr>
        <w:t>”</w:t>
      </w:r>
      <w:r>
        <w:rPr>
          <w:rFonts w:hint="eastAsia" w:cs="新宋体" w:asciiTheme="majorEastAsia" w:hAnsiTheme="majorEastAsia" w:eastAsiaTheme="majorEastAsia"/>
          <w:color w:val="auto"/>
          <w:kern w:val="0"/>
          <w:szCs w:val="22"/>
          <w:highlight w:val="none"/>
          <w:lang w:val="zh-CN"/>
        </w:rPr>
        <w:t>中</w:t>
      </w:r>
      <w:r>
        <w:rPr>
          <w:rFonts w:hint="eastAsia" w:cs="宋体" w:asciiTheme="majorEastAsia" w:hAnsiTheme="majorEastAsia" w:eastAsiaTheme="majorEastAsia"/>
          <w:color w:val="auto"/>
          <w:spacing w:val="-1"/>
          <w:szCs w:val="22"/>
          <w:highlight w:val="none"/>
        </w:rPr>
        <w:t>总计价</w:t>
      </w:r>
      <w:r>
        <w:rPr>
          <w:rFonts w:hint="eastAsia" w:cs="新宋体" w:asciiTheme="majorEastAsia" w:hAnsiTheme="majorEastAsia" w:eastAsiaTheme="majorEastAsia"/>
          <w:color w:val="auto"/>
          <w:kern w:val="0"/>
          <w:szCs w:val="22"/>
          <w:highlight w:val="none"/>
          <w:lang w:val="zh-CN"/>
        </w:rPr>
        <w:t>相一致。</w:t>
      </w:r>
    </w:p>
    <w:p w14:paraId="0260C68F">
      <w:pPr>
        <w:autoSpaceDE w:val="0"/>
        <w:autoSpaceDN w:val="0"/>
        <w:adjustRightInd w:val="0"/>
        <w:spacing w:line="400" w:lineRule="atLeast"/>
        <w:ind w:left="-202" w:right="-202" w:firstLine="552"/>
        <w:rPr>
          <w:rFonts w:cs="新宋体" w:asciiTheme="majorEastAsia" w:hAnsiTheme="majorEastAsia" w:eastAsiaTheme="majorEastAsia"/>
          <w:b/>
          <w:bCs/>
          <w:color w:val="auto"/>
          <w:kern w:val="0"/>
          <w:szCs w:val="22"/>
          <w:highlight w:val="none"/>
          <w:u w:val="wave"/>
          <w:lang w:val="zh-CN"/>
        </w:rPr>
      </w:pPr>
      <w:r>
        <w:rPr>
          <w:rFonts w:hint="eastAsia" w:cs="新宋体" w:asciiTheme="majorEastAsia" w:hAnsiTheme="majorEastAsia" w:eastAsiaTheme="majorEastAsia"/>
          <w:b/>
          <w:bCs/>
          <w:color w:val="auto"/>
          <w:kern w:val="0"/>
          <w:szCs w:val="22"/>
          <w:highlight w:val="none"/>
          <w:lang w:val="zh-CN"/>
        </w:rPr>
        <w:t>2.</w:t>
      </w:r>
      <w:r>
        <w:rPr>
          <w:rFonts w:hint="eastAsia" w:cs="新宋体" w:asciiTheme="majorEastAsia" w:hAnsiTheme="majorEastAsia" w:eastAsiaTheme="majorEastAsia"/>
          <w:b/>
          <w:bCs/>
          <w:color w:val="auto"/>
          <w:kern w:val="0"/>
          <w:szCs w:val="22"/>
          <w:highlight w:val="none"/>
          <w:u w:val="single"/>
          <w:lang w:val="zh-CN"/>
        </w:rPr>
        <w:t>不提供此表格</w:t>
      </w:r>
      <w:r>
        <w:rPr>
          <w:rFonts w:hint="eastAsia" w:asciiTheme="majorEastAsia" w:hAnsiTheme="majorEastAsia" w:eastAsiaTheme="majorEastAsia"/>
          <w:b/>
          <w:color w:val="auto"/>
          <w:szCs w:val="22"/>
          <w:highlight w:val="none"/>
          <w:u w:val="single"/>
        </w:rPr>
        <w:t>的投标文件将被视为未实质性响应采购文件。</w:t>
      </w:r>
    </w:p>
    <w:p w14:paraId="235D4031">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52DB95BD">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434EB32E">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19F66960">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3CBB1AD5">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21BFE728">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11D1E68D">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6E6D6186">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B80824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0A05632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63D0552E">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23CEA854">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lang w:val="zh-CN"/>
        </w:rPr>
      </w:pPr>
      <w:r>
        <w:rPr>
          <w:rFonts w:cs="新宋体" w:asciiTheme="majorEastAsia" w:hAnsiTheme="majorEastAsia" w:eastAsiaTheme="majorEastAsia"/>
          <w:b/>
          <w:bCs/>
          <w:color w:val="auto"/>
          <w:kern w:val="0"/>
          <w:szCs w:val="22"/>
          <w:highlight w:val="none"/>
          <w:lang w:val="zh-CN"/>
        </w:rPr>
        <w:br w:type="page"/>
      </w:r>
      <w:r>
        <w:rPr>
          <w:rFonts w:hint="eastAsia" w:cs="新宋体" w:asciiTheme="majorEastAsia" w:hAnsiTheme="majorEastAsia" w:eastAsiaTheme="majorEastAsia"/>
          <w:b/>
          <w:bCs/>
          <w:color w:val="auto"/>
          <w:kern w:val="0"/>
          <w:szCs w:val="22"/>
          <w:highlight w:val="none"/>
          <w:lang w:val="zh-CN"/>
        </w:rPr>
        <w:t>附件二</w:t>
      </w:r>
    </w:p>
    <w:p w14:paraId="7858D4E7">
      <w:pPr>
        <w:autoSpaceDE w:val="0"/>
        <w:autoSpaceDN w:val="0"/>
        <w:adjustRightInd w:val="0"/>
        <w:spacing w:line="380" w:lineRule="atLeast"/>
        <w:ind w:left="-202" w:right="-202" w:firstLine="703"/>
        <w:jc w:val="center"/>
        <w:rPr>
          <w:rFonts w:cs="新宋体" w:asciiTheme="majorEastAsia" w:hAnsiTheme="majorEastAsia" w:eastAsiaTheme="majorEastAsia"/>
          <w:b/>
          <w:bCs/>
          <w:color w:val="auto"/>
          <w:kern w:val="0"/>
          <w:sz w:val="28"/>
          <w:szCs w:val="28"/>
          <w:highlight w:val="none"/>
          <w:lang w:val="zh-CN"/>
        </w:rPr>
      </w:pPr>
      <w:r>
        <w:rPr>
          <w:rFonts w:hint="eastAsia" w:cs="新宋体" w:asciiTheme="majorEastAsia" w:hAnsiTheme="majorEastAsia" w:eastAsiaTheme="majorEastAsia"/>
          <w:b/>
          <w:bCs/>
          <w:color w:val="auto"/>
          <w:kern w:val="0"/>
          <w:sz w:val="28"/>
          <w:szCs w:val="28"/>
          <w:highlight w:val="none"/>
          <w:lang w:val="zh-CN"/>
        </w:rPr>
        <w:t>分项报价表（</w:t>
      </w:r>
      <w:r>
        <w:rPr>
          <w:rFonts w:hint="eastAsia" w:cs="新宋体" w:asciiTheme="majorEastAsia" w:hAnsiTheme="majorEastAsia" w:eastAsiaTheme="majorEastAsia"/>
          <w:b/>
          <w:bCs/>
          <w:color w:val="auto"/>
          <w:kern w:val="0"/>
          <w:sz w:val="28"/>
          <w:szCs w:val="28"/>
          <w:highlight w:val="none"/>
          <w:lang w:val="en-US" w:eastAsia="zh-CN"/>
        </w:rPr>
        <w:t xml:space="preserve">标段   </w:t>
      </w:r>
      <w:r>
        <w:rPr>
          <w:rFonts w:hint="eastAsia" w:cs="新宋体" w:asciiTheme="majorEastAsia" w:hAnsiTheme="majorEastAsia" w:eastAsiaTheme="majorEastAsia"/>
          <w:b/>
          <w:bCs/>
          <w:color w:val="auto"/>
          <w:kern w:val="0"/>
          <w:sz w:val="28"/>
          <w:szCs w:val="28"/>
          <w:highlight w:val="none"/>
          <w:lang w:val="zh-CN"/>
        </w:rPr>
        <w:t>）</w:t>
      </w:r>
    </w:p>
    <w:p w14:paraId="40B44CBB">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lang w:val="zh-CN"/>
        </w:rPr>
      </w:pPr>
    </w:p>
    <w:p w14:paraId="2F8694A9">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项目名称：            （价格单位：人民币）                   采购编号：</w:t>
      </w:r>
    </w:p>
    <w:tbl>
      <w:tblPr>
        <w:tblStyle w:val="29"/>
        <w:tblW w:w="0" w:type="auto"/>
        <w:tblInd w:w="0" w:type="dxa"/>
        <w:tblLayout w:type="fixed"/>
        <w:tblCellMar>
          <w:top w:w="0" w:type="dxa"/>
          <w:left w:w="108" w:type="dxa"/>
          <w:bottom w:w="0" w:type="dxa"/>
          <w:right w:w="108" w:type="dxa"/>
        </w:tblCellMar>
      </w:tblPr>
      <w:tblGrid>
        <w:gridCol w:w="437"/>
        <w:gridCol w:w="2912"/>
        <w:gridCol w:w="1382"/>
        <w:gridCol w:w="774"/>
        <w:gridCol w:w="796"/>
        <w:gridCol w:w="1173"/>
        <w:gridCol w:w="1180"/>
        <w:gridCol w:w="1198"/>
      </w:tblGrid>
      <w:tr w14:paraId="63F43E2A">
        <w:tblPrEx>
          <w:tblCellMar>
            <w:top w:w="0" w:type="dxa"/>
            <w:left w:w="108" w:type="dxa"/>
            <w:bottom w:w="0" w:type="dxa"/>
            <w:right w:w="108" w:type="dxa"/>
          </w:tblCellMar>
        </w:tblPrEx>
        <w:trPr>
          <w:trHeight w:val="1310" w:hRule="exact"/>
        </w:trPr>
        <w:tc>
          <w:tcPr>
            <w:tcW w:w="437" w:type="dxa"/>
            <w:tcBorders>
              <w:top w:val="single" w:color="000000" w:sz="12" w:space="0"/>
              <w:left w:val="single" w:color="000000" w:sz="12" w:space="0"/>
              <w:bottom w:val="single" w:color="000000" w:sz="2" w:space="0"/>
              <w:right w:val="single" w:color="000000" w:sz="2" w:space="0"/>
            </w:tcBorders>
            <w:noWrap w:val="0"/>
            <w:vAlign w:val="center"/>
          </w:tcPr>
          <w:p w14:paraId="358B522D">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序号</w:t>
            </w:r>
          </w:p>
          <w:p w14:paraId="4E93E849">
            <w:pPr>
              <w:spacing w:line="400" w:lineRule="exact"/>
              <w:jc w:val="center"/>
              <w:rPr>
                <w:rFonts w:hint="eastAsia" w:ascii="新宋体" w:hAnsi="新宋体" w:eastAsia="新宋体" w:cs="新宋体"/>
                <w:color w:val="auto"/>
                <w:kern w:val="1"/>
                <w:sz w:val="22"/>
                <w:szCs w:val="22"/>
                <w:highlight w:val="none"/>
              </w:rPr>
            </w:pPr>
          </w:p>
        </w:tc>
        <w:tc>
          <w:tcPr>
            <w:tcW w:w="2912" w:type="dxa"/>
            <w:tcBorders>
              <w:top w:val="single" w:color="000000" w:sz="12" w:space="0"/>
              <w:left w:val="single" w:color="000000" w:sz="2" w:space="0"/>
              <w:bottom w:val="single" w:color="000000" w:sz="2" w:space="0"/>
              <w:right w:val="single" w:color="000000" w:sz="2" w:space="0"/>
            </w:tcBorders>
            <w:noWrap w:val="0"/>
            <w:vAlign w:val="center"/>
          </w:tcPr>
          <w:p w14:paraId="6FB685F9">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项目内容</w:t>
            </w:r>
          </w:p>
        </w:tc>
        <w:tc>
          <w:tcPr>
            <w:tcW w:w="1382" w:type="dxa"/>
            <w:tcBorders>
              <w:top w:val="single" w:color="000000" w:sz="12" w:space="0"/>
              <w:left w:val="single" w:color="000000" w:sz="2" w:space="0"/>
              <w:bottom w:val="single" w:color="000000" w:sz="2" w:space="0"/>
              <w:right w:val="single" w:color="000000" w:sz="2" w:space="0"/>
            </w:tcBorders>
            <w:noWrap w:val="0"/>
            <w:vAlign w:val="center"/>
          </w:tcPr>
          <w:p w14:paraId="51C94144">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lang w:val="en-US" w:eastAsia="zh-CN"/>
              </w:rPr>
              <w:t>品牌、</w:t>
            </w:r>
            <w:r>
              <w:rPr>
                <w:rFonts w:hint="eastAsia" w:ascii="新宋体" w:hAnsi="新宋体" w:eastAsia="新宋体" w:cs="新宋体"/>
                <w:color w:val="auto"/>
                <w:kern w:val="1"/>
                <w:sz w:val="22"/>
                <w:szCs w:val="22"/>
                <w:highlight w:val="none"/>
              </w:rPr>
              <w:t>型号和规格</w:t>
            </w:r>
          </w:p>
        </w:tc>
        <w:tc>
          <w:tcPr>
            <w:tcW w:w="774" w:type="dxa"/>
            <w:tcBorders>
              <w:top w:val="single" w:color="000000" w:sz="12" w:space="0"/>
              <w:left w:val="single" w:color="000000" w:sz="2" w:space="0"/>
              <w:bottom w:val="single" w:color="000000" w:sz="2" w:space="0"/>
              <w:right w:val="single" w:color="000000" w:sz="2" w:space="0"/>
            </w:tcBorders>
            <w:noWrap w:val="0"/>
            <w:vAlign w:val="center"/>
          </w:tcPr>
          <w:p w14:paraId="4D7F2526">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数量</w:t>
            </w:r>
          </w:p>
        </w:tc>
        <w:tc>
          <w:tcPr>
            <w:tcW w:w="796" w:type="dxa"/>
            <w:tcBorders>
              <w:top w:val="single" w:color="000000" w:sz="12" w:space="0"/>
              <w:left w:val="single" w:color="000000" w:sz="2" w:space="0"/>
              <w:bottom w:val="single" w:color="000000" w:sz="2" w:space="0"/>
              <w:right w:val="single" w:color="000000" w:sz="2" w:space="0"/>
            </w:tcBorders>
            <w:noWrap w:val="0"/>
            <w:vAlign w:val="center"/>
          </w:tcPr>
          <w:p w14:paraId="38E01B5D">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产地</w:t>
            </w:r>
          </w:p>
        </w:tc>
        <w:tc>
          <w:tcPr>
            <w:tcW w:w="1173" w:type="dxa"/>
            <w:tcBorders>
              <w:top w:val="single" w:color="000000" w:sz="12" w:space="0"/>
              <w:left w:val="single" w:color="000000" w:sz="2" w:space="0"/>
              <w:bottom w:val="single" w:color="000000" w:sz="2" w:space="0"/>
              <w:right w:val="single" w:color="000000" w:sz="2" w:space="0"/>
            </w:tcBorders>
            <w:noWrap w:val="0"/>
            <w:vAlign w:val="center"/>
          </w:tcPr>
          <w:p w14:paraId="45BA6468">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制造厂商名称</w:t>
            </w:r>
          </w:p>
        </w:tc>
        <w:tc>
          <w:tcPr>
            <w:tcW w:w="1180" w:type="dxa"/>
            <w:tcBorders>
              <w:top w:val="single" w:color="000000" w:sz="12" w:space="0"/>
              <w:left w:val="single" w:color="000000" w:sz="2" w:space="0"/>
              <w:bottom w:val="single" w:color="000000" w:sz="2" w:space="0"/>
              <w:right w:val="single" w:color="000000" w:sz="2" w:space="0"/>
            </w:tcBorders>
            <w:noWrap w:val="0"/>
            <w:vAlign w:val="center"/>
          </w:tcPr>
          <w:p w14:paraId="2D05C2A9">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单价（元）</w:t>
            </w:r>
          </w:p>
        </w:tc>
        <w:tc>
          <w:tcPr>
            <w:tcW w:w="1198" w:type="dxa"/>
            <w:tcBorders>
              <w:top w:val="single" w:color="000000" w:sz="12" w:space="0"/>
              <w:left w:val="single" w:color="000000" w:sz="2" w:space="0"/>
              <w:bottom w:val="single" w:color="000000" w:sz="2" w:space="0"/>
              <w:right w:val="single" w:color="000000" w:sz="12" w:space="0"/>
            </w:tcBorders>
            <w:noWrap w:val="0"/>
            <w:vAlign w:val="center"/>
          </w:tcPr>
          <w:p w14:paraId="5238A042">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合价（元）</w:t>
            </w:r>
          </w:p>
        </w:tc>
      </w:tr>
      <w:tr w14:paraId="24769201">
        <w:tblPrEx>
          <w:tblCellMar>
            <w:top w:w="0" w:type="dxa"/>
            <w:left w:w="108" w:type="dxa"/>
            <w:bottom w:w="0" w:type="dxa"/>
            <w:right w:w="108" w:type="dxa"/>
          </w:tblCellMar>
        </w:tblPrEx>
        <w:trPr>
          <w:trHeight w:val="104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226F6B61">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1</w:t>
            </w:r>
          </w:p>
        </w:tc>
        <w:tc>
          <w:tcPr>
            <w:tcW w:w="2912" w:type="dxa"/>
            <w:tcBorders>
              <w:top w:val="single" w:color="000000" w:sz="2" w:space="0"/>
              <w:left w:val="single" w:color="000000" w:sz="2" w:space="0"/>
              <w:bottom w:val="single" w:color="auto" w:sz="4" w:space="0"/>
              <w:right w:val="single" w:color="000000" w:sz="2" w:space="0"/>
            </w:tcBorders>
            <w:noWrap w:val="0"/>
            <w:vAlign w:val="center"/>
          </w:tcPr>
          <w:p w14:paraId="1B9F0129">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产品和标准附件 (含税)（按配置清单逐项列出）</w:t>
            </w:r>
          </w:p>
        </w:tc>
        <w:tc>
          <w:tcPr>
            <w:tcW w:w="1382" w:type="dxa"/>
            <w:tcBorders>
              <w:top w:val="single" w:color="000000" w:sz="2" w:space="0"/>
              <w:left w:val="single" w:color="000000" w:sz="2" w:space="0"/>
              <w:bottom w:val="single" w:color="000000" w:sz="2" w:space="0"/>
              <w:right w:val="single" w:color="000000" w:sz="2" w:space="0"/>
            </w:tcBorders>
            <w:noWrap w:val="0"/>
            <w:vAlign w:val="center"/>
          </w:tcPr>
          <w:p w14:paraId="08EFD322">
            <w:pPr>
              <w:spacing w:line="400" w:lineRule="exact"/>
              <w:jc w:val="center"/>
              <w:rPr>
                <w:rFonts w:hint="eastAsia" w:ascii="新宋体" w:hAnsi="新宋体" w:eastAsia="新宋体" w:cs="新宋体"/>
                <w:color w:val="auto"/>
                <w:kern w:val="1"/>
                <w:sz w:val="22"/>
                <w:szCs w:val="22"/>
                <w:highlight w:val="none"/>
              </w:rPr>
            </w:pPr>
          </w:p>
        </w:tc>
        <w:tc>
          <w:tcPr>
            <w:tcW w:w="774" w:type="dxa"/>
            <w:tcBorders>
              <w:top w:val="single" w:color="000000" w:sz="2" w:space="0"/>
              <w:left w:val="single" w:color="000000" w:sz="2" w:space="0"/>
              <w:bottom w:val="single" w:color="000000" w:sz="2" w:space="0"/>
              <w:right w:val="single" w:color="000000" w:sz="2" w:space="0"/>
            </w:tcBorders>
            <w:noWrap w:val="0"/>
            <w:vAlign w:val="center"/>
          </w:tcPr>
          <w:p w14:paraId="2ECEB89C">
            <w:pPr>
              <w:spacing w:line="400" w:lineRule="exact"/>
              <w:jc w:val="center"/>
              <w:rPr>
                <w:rFonts w:hint="eastAsia" w:ascii="新宋体" w:hAnsi="新宋体" w:eastAsia="新宋体" w:cs="新宋体"/>
                <w:color w:val="auto"/>
                <w:kern w:val="1"/>
                <w:sz w:val="22"/>
                <w:szCs w:val="22"/>
                <w:highlight w:val="none"/>
              </w:rPr>
            </w:pPr>
          </w:p>
        </w:tc>
        <w:tc>
          <w:tcPr>
            <w:tcW w:w="796" w:type="dxa"/>
            <w:tcBorders>
              <w:top w:val="single" w:color="000000" w:sz="2" w:space="0"/>
              <w:left w:val="single" w:color="000000" w:sz="2" w:space="0"/>
              <w:bottom w:val="single" w:color="000000" w:sz="2" w:space="0"/>
              <w:right w:val="single" w:color="000000" w:sz="2" w:space="0"/>
            </w:tcBorders>
            <w:noWrap w:val="0"/>
            <w:vAlign w:val="center"/>
          </w:tcPr>
          <w:p w14:paraId="63227EAE">
            <w:pPr>
              <w:spacing w:line="400" w:lineRule="exact"/>
              <w:jc w:val="center"/>
              <w:rPr>
                <w:rFonts w:hint="eastAsia" w:ascii="新宋体" w:hAnsi="新宋体" w:eastAsia="新宋体" w:cs="新宋体"/>
                <w:color w:val="auto"/>
                <w:kern w:val="1"/>
                <w:sz w:val="22"/>
                <w:szCs w:val="22"/>
                <w:highlight w:val="none"/>
              </w:rPr>
            </w:pPr>
          </w:p>
        </w:tc>
        <w:tc>
          <w:tcPr>
            <w:tcW w:w="1173" w:type="dxa"/>
            <w:tcBorders>
              <w:top w:val="single" w:color="000000" w:sz="2" w:space="0"/>
              <w:left w:val="single" w:color="000000" w:sz="2" w:space="0"/>
              <w:bottom w:val="single" w:color="000000" w:sz="2" w:space="0"/>
              <w:right w:val="single" w:color="000000" w:sz="2" w:space="0"/>
            </w:tcBorders>
            <w:noWrap w:val="0"/>
            <w:vAlign w:val="center"/>
          </w:tcPr>
          <w:p w14:paraId="26991C8C">
            <w:pPr>
              <w:spacing w:line="400" w:lineRule="exact"/>
              <w:jc w:val="center"/>
              <w:rPr>
                <w:rFonts w:hint="eastAsia" w:ascii="新宋体" w:hAnsi="新宋体" w:eastAsia="新宋体" w:cs="新宋体"/>
                <w:color w:val="auto"/>
                <w:kern w:val="1"/>
                <w:sz w:val="22"/>
                <w:szCs w:val="22"/>
                <w:highlight w:val="none"/>
              </w:rPr>
            </w:pPr>
          </w:p>
        </w:tc>
        <w:tc>
          <w:tcPr>
            <w:tcW w:w="1180" w:type="dxa"/>
            <w:tcBorders>
              <w:top w:val="single" w:color="000000" w:sz="2" w:space="0"/>
              <w:left w:val="single" w:color="000000" w:sz="2" w:space="0"/>
              <w:bottom w:val="single" w:color="000000" w:sz="2" w:space="0"/>
              <w:right w:val="single" w:color="000000" w:sz="2" w:space="0"/>
            </w:tcBorders>
            <w:noWrap w:val="0"/>
            <w:vAlign w:val="center"/>
          </w:tcPr>
          <w:p w14:paraId="2D0848E2">
            <w:pPr>
              <w:spacing w:line="400" w:lineRule="exact"/>
              <w:jc w:val="center"/>
              <w:rPr>
                <w:rFonts w:hint="eastAsia" w:ascii="新宋体" w:hAnsi="新宋体" w:eastAsia="新宋体" w:cs="新宋体"/>
                <w:color w:val="auto"/>
                <w:kern w:val="1"/>
                <w:sz w:val="22"/>
                <w:szCs w:val="22"/>
                <w:highlight w:val="none"/>
              </w:rPr>
            </w:pPr>
          </w:p>
        </w:tc>
        <w:tc>
          <w:tcPr>
            <w:tcW w:w="1198" w:type="dxa"/>
            <w:tcBorders>
              <w:top w:val="single" w:color="000000" w:sz="2" w:space="0"/>
              <w:left w:val="single" w:color="000000" w:sz="2" w:space="0"/>
              <w:bottom w:val="single" w:color="000000" w:sz="2" w:space="0"/>
              <w:right w:val="single" w:color="000000" w:sz="12" w:space="0"/>
            </w:tcBorders>
            <w:noWrap w:val="0"/>
            <w:vAlign w:val="center"/>
          </w:tcPr>
          <w:p w14:paraId="7FBF2F92">
            <w:pPr>
              <w:spacing w:line="400" w:lineRule="exact"/>
              <w:jc w:val="center"/>
              <w:rPr>
                <w:rFonts w:hint="eastAsia" w:ascii="新宋体" w:hAnsi="新宋体" w:eastAsia="新宋体" w:cs="新宋体"/>
                <w:color w:val="auto"/>
                <w:kern w:val="1"/>
                <w:sz w:val="22"/>
                <w:szCs w:val="22"/>
                <w:highlight w:val="none"/>
              </w:rPr>
            </w:pPr>
          </w:p>
        </w:tc>
      </w:tr>
      <w:tr w14:paraId="79A8BADA">
        <w:tblPrEx>
          <w:tblCellMar>
            <w:top w:w="0" w:type="dxa"/>
            <w:left w:w="108" w:type="dxa"/>
            <w:bottom w:w="0" w:type="dxa"/>
            <w:right w:w="108" w:type="dxa"/>
          </w:tblCellMar>
        </w:tblPrEx>
        <w:trPr>
          <w:trHeight w:val="968"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42B7B0BB">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2</w:t>
            </w:r>
          </w:p>
        </w:tc>
        <w:tc>
          <w:tcPr>
            <w:tcW w:w="2912" w:type="dxa"/>
            <w:tcBorders>
              <w:top w:val="single" w:color="auto" w:sz="4" w:space="0"/>
              <w:left w:val="single" w:color="000000" w:sz="2" w:space="0"/>
              <w:bottom w:val="single" w:color="000000" w:sz="2" w:space="0"/>
              <w:right w:val="single" w:color="000000" w:sz="2" w:space="0"/>
            </w:tcBorders>
            <w:noWrap w:val="0"/>
            <w:vAlign w:val="center"/>
          </w:tcPr>
          <w:p w14:paraId="5D671469">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随机备品备件、耗材、专用工具（如有）</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6A30EA9B">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4821B93A">
        <w:tblPrEx>
          <w:tblCellMar>
            <w:top w:w="0" w:type="dxa"/>
            <w:left w:w="108" w:type="dxa"/>
            <w:bottom w:w="0" w:type="dxa"/>
            <w:right w:w="108" w:type="dxa"/>
          </w:tblCellMar>
        </w:tblPrEx>
        <w:trPr>
          <w:trHeight w:val="936"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591AEE41">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3</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160D9904">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安装、调试、检验费（含第三方检验费）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54C700D4">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1889519D">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68365048">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4</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483BC44E">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人员培训费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22839BF3">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10CBB6BA">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6886F69F">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5</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012DAEF4">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技术服务费（如有）</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5D164BA3">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64326DD8">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3F96A7EA">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6</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21A342F5">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至最终目的地的运费、保险费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5461B98D">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3783956E">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67ECF3B0">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7</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0C8BCB6A">
            <w:pPr>
              <w:spacing w:line="38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其它</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6775A558">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043C5D5B">
        <w:tblPrEx>
          <w:tblCellMar>
            <w:top w:w="0" w:type="dxa"/>
            <w:left w:w="108" w:type="dxa"/>
            <w:bottom w:w="0" w:type="dxa"/>
            <w:right w:w="108" w:type="dxa"/>
          </w:tblCellMar>
        </w:tblPrEx>
        <w:trPr>
          <w:trHeight w:val="724" w:hRule="exact"/>
        </w:trPr>
        <w:tc>
          <w:tcPr>
            <w:tcW w:w="3349" w:type="dxa"/>
            <w:gridSpan w:val="2"/>
            <w:tcBorders>
              <w:top w:val="single" w:color="000000" w:sz="2" w:space="0"/>
              <w:left w:val="single" w:color="000000" w:sz="12" w:space="0"/>
              <w:bottom w:val="single" w:color="000000" w:sz="12" w:space="0"/>
              <w:right w:val="single" w:color="000000" w:sz="2" w:space="0"/>
            </w:tcBorders>
            <w:noWrap w:val="0"/>
            <w:vAlign w:val="center"/>
          </w:tcPr>
          <w:p w14:paraId="16AF26CF">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总    计   价（元）</w:t>
            </w:r>
          </w:p>
        </w:tc>
        <w:tc>
          <w:tcPr>
            <w:tcW w:w="6503" w:type="dxa"/>
            <w:gridSpan w:val="6"/>
            <w:tcBorders>
              <w:top w:val="single" w:color="000000" w:sz="2" w:space="0"/>
              <w:left w:val="single" w:color="000000" w:sz="2" w:space="0"/>
              <w:bottom w:val="single" w:color="000000" w:sz="12" w:space="0"/>
              <w:right w:val="single" w:color="000000" w:sz="12" w:space="0"/>
            </w:tcBorders>
            <w:noWrap w:val="0"/>
            <w:vAlign w:val="center"/>
          </w:tcPr>
          <w:p w14:paraId="572CD980">
            <w:pPr>
              <w:spacing w:line="400" w:lineRule="exact"/>
              <w:jc w:val="center"/>
              <w:rPr>
                <w:rFonts w:hint="eastAsia" w:ascii="新宋体" w:hAnsi="新宋体" w:eastAsia="新宋体" w:cs="新宋体"/>
                <w:color w:val="auto"/>
                <w:kern w:val="1"/>
                <w:sz w:val="22"/>
                <w:szCs w:val="22"/>
                <w:highlight w:val="none"/>
              </w:rPr>
            </w:pPr>
          </w:p>
        </w:tc>
      </w:tr>
    </w:tbl>
    <w:p w14:paraId="43AD0FD3">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p>
    <w:p w14:paraId="0F093B3D">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14697E1E">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 总计价应与附件一“开标一览表”中投标总价相一致。</w:t>
      </w:r>
    </w:p>
    <w:p w14:paraId="4AF1B41B">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2. 各项费用如已包含在总计价中请注明“含”，若免费请注明“免”, 若没有请注明“无”。</w:t>
      </w:r>
    </w:p>
    <w:p w14:paraId="5D1CADE9">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3. 不提供投标分项报价表的投标文件将被视为未实质性响应采购文件。 </w:t>
      </w:r>
    </w:p>
    <w:p w14:paraId="15003040">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4. 本表可在不改变格式的情况下根据具体需要自行增减。</w:t>
      </w:r>
    </w:p>
    <w:p w14:paraId="79E42F9F">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lang w:val="zh-CN"/>
        </w:rPr>
      </w:pPr>
    </w:p>
    <w:p w14:paraId="06B32D3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601FEFB9">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7A377D4B">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481EB9C8">
      <w:pPr>
        <w:autoSpaceDE w:val="0"/>
        <w:autoSpaceDN w:val="0"/>
        <w:adjustRightInd w:val="0"/>
        <w:spacing w:line="360" w:lineRule="auto"/>
        <w:ind w:left="-202" w:right="-202" w:firstLine="600"/>
        <w:jc w:val="right"/>
        <w:rPr>
          <w:rFonts w:cs="Arial" w:asciiTheme="majorEastAsia" w:hAnsiTheme="majorEastAsia" w:eastAsiaTheme="majorEastAsia"/>
          <w:color w:val="auto"/>
          <w:highlight w:val="none"/>
        </w:rPr>
      </w:pPr>
      <w:r>
        <w:rPr>
          <w:rFonts w:cs="Arial" w:asciiTheme="majorEastAsia" w:hAnsiTheme="majorEastAsia" w:eastAsiaTheme="majorEastAsia"/>
          <w:color w:val="auto"/>
          <w:highlight w:val="none"/>
        </w:rPr>
        <w:t xml:space="preserve">  </w:t>
      </w:r>
      <w:r>
        <w:rPr>
          <w:rFonts w:cs="Arial" w:asciiTheme="majorEastAsia" w:hAnsiTheme="majorEastAsia" w:eastAsiaTheme="majorEastAsia"/>
          <w:color w:val="auto"/>
          <w:highlight w:val="none"/>
        </w:rPr>
        <w:br w:type="page"/>
      </w:r>
    </w:p>
    <w:p w14:paraId="7CC4C99F">
      <w:pPr>
        <w:spacing w:before="240" w:after="60"/>
        <w:ind w:left="-202" w:right="-202" w:firstLine="904"/>
        <w:jc w:val="center"/>
        <w:outlineLvl w:val="0"/>
        <w:rPr>
          <w:rFonts w:hint="eastAsia" w:ascii="宋体" w:hAnsi="宋体" w:eastAsia="宋体" w:cs="Times New Roman"/>
          <w:b/>
          <w:bCs/>
          <w:color w:val="auto"/>
          <w:sz w:val="36"/>
          <w:szCs w:val="36"/>
          <w:highlight w:val="none"/>
          <w:lang w:eastAsia="zh-CN"/>
        </w:rPr>
      </w:pPr>
      <w:bookmarkStart w:id="30" w:name="_Toc78294259"/>
      <w:bookmarkStart w:id="31" w:name="_Toc18925"/>
      <w:r>
        <w:rPr>
          <w:rFonts w:hint="eastAsia" w:ascii="宋体" w:hAnsi="宋体" w:eastAsia="宋体" w:cs="Times New Roman"/>
          <w:b/>
          <w:bCs/>
          <w:color w:val="auto"/>
          <w:sz w:val="36"/>
          <w:szCs w:val="36"/>
          <w:highlight w:val="none"/>
        </w:rPr>
        <w:t>第四部分</w:t>
      </w:r>
      <w:r>
        <w:rPr>
          <w:rFonts w:ascii="宋体" w:hAnsi="宋体" w:eastAsia="宋体" w:cs="Times New Roman"/>
          <w:b/>
          <w:bCs/>
          <w:color w:val="auto"/>
          <w:sz w:val="36"/>
          <w:szCs w:val="36"/>
          <w:highlight w:val="none"/>
        </w:rPr>
        <w:t xml:space="preserve">   </w:t>
      </w:r>
      <w:bookmarkEnd w:id="30"/>
      <w:r>
        <w:rPr>
          <w:rFonts w:hint="eastAsia" w:ascii="宋体" w:hAnsi="宋体" w:eastAsia="宋体" w:cs="Times New Roman"/>
          <w:b/>
          <w:bCs/>
          <w:color w:val="auto"/>
          <w:sz w:val="36"/>
          <w:szCs w:val="36"/>
          <w:highlight w:val="none"/>
          <w:lang w:eastAsia="zh-CN"/>
        </w:rPr>
        <w:t>采购内容及要求</w:t>
      </w:r>
    </w:p>
    <w:p w14:paraId="524DE3A9">
      <w:pPr>
        <w:keepNext w:val="0"/>
        <w:keepLines w:val="0"/>
        <w:pageBreakBefore w:val="0"/>
        <w:kinsoku/>
        <w:wordWrap/>
        <w:overflowPunct/>
        <w:topLinePunct w:val="0"/>
        <w:autoSpaceDE/>
        <w:autoSpaceDN/>
        <w:bidi w:val="0"/>
        <w:adjustRightInd/>
        <w:snapToGrid/>
        <w:spacing w:line="440" w:lineRule="exact"/>
        <w:jc w:val="center"/>
        <w:rPr>
          <w:b/>
          <w:bCs/>
          <w:color w:val="auto"/>
          <w:sz w:val="28"/>
          <w:szCs w:val="28"/>
          <w:highlight w:val="none"/>
        </w:rPr>
      </w:pPr>
      <w:r>
        <w:rPr>
          <w:rFonts w:hint="eastAsia"/>
          <w:b/>
          <w:bCs/>
          <w:color w:val="auto"/>
          <w:sz w:val="28"/>
          <w:szCs w:val="28"/>
          <w:highlight w:val="none"/>
        </w:rPr>
        <w:t>一、 总则</w:t>
      </w:r>
    </w:p>
    <w:p w14:paraId="6B0A36CC">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ascii="新宋体" w:hAnsi="新宋体" w:eastAsia="新宋体" w:cs="新宋体"/>
          <w:sz w:val="22"/>
          <w:szCs w:val="22"/>
          <w:highlight w:val="none"/>
        </w:rPr>
      </w:pPr>
      <w:r>
        <w:rPr>
          <w:rFonts w:hint="eastAsia" w:ascii="新宋体" w:hAnsi="新宋体" w:eastAsia="新宋体" w:cs="新宋体"/>
          <w:sz w:val="22"/>
          <w:szCs w:val="22"/>
          <w:highlight w:val="none"/>
        </w:rPr>
        <w:t>1.本技术规格书只是设备及安装的一些原则性规定，并不是详尽的要求，供应商有责任对该设备设计符合技术规格书要求负责。</w:t>
      </w:r>
    </w:p>
    <w:p w14:paraId="02ADABB3">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ascii="新宋体" w:hAnsi="新宋体" w:eastAsia="新宋体" w:cs="新宋体"/>
          <w:sz w:val="22"/>
          <w:szCs w:val="22"/>
          <w:highlight w:val="none"/>
        </w:rPr>
      </w:pPr>
      <w:r>
        <w:rPr>
          <w:rFonts w:hint="eastAsia" w:ascii="新宋体" w:hAnsi="新宋体" w:eastAsia="新宋体" w:cs="新宋体"/>
          <w:sz w:val="22"/>
          <w:szCs w:val="22"/>
          <w:highlight w:val="none"/>
        </w:rPr>
        <w:t>2.采购的设备所涉及的产品标准、规范，验收标准、规范，应符合国家有关条例及规范，如有新的标准应采纳新标准，如是国外相应标准应征得采购人认可。</w:t>
      </w:r>
    </w:p>
    <w:p w14:paraId="2BC7C1E7">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ascii="新宋体" w:hAnsi="新宋体" w:eastAsia="新宋体" w:cs="新宋体"/>
          <w:sz w:val="22"/>
          <w:szCs w:val="22"/>
          <w:highlight w:val="none"/>
        </w:rPr>
      </w:pPr>
      <w:r>
        <w:rPr>
          <w:rFonts w:hint="eastAsia" w:ascii="新宋体" w:hAnsi="新宋体" w:eastAsia="新宋体" w:cs="新宋体"/>
          <w:sz w:val="22"/>
          <w:szCs w:val="22"/>
          <w:highlight w:val="none"/>
        </w:rPr>
        <w:t>3.供应商应根据采购文件所提出的技术规格、参数、数量和服务要求，综合考虑货物的适应性，选择具有最佳性能价格比的货物前来报价。希望供应商以精良的货物、优良的服务和优惠的价格，充分显示自身的竞争实力。</w:t>
      </w:r>
    </w:p>
    <w:p w14:paraId="75DD2F25">
      <w:pPr>
        <w:keepNext w:val="0"/>
        <w:keepLines w:val="0"/>
        <w:pageBreakBefore w:val="0"/>
        <w:tabs>
          <w:tab w:val="left" w:pos="420"/>
        </w:tabs>
        <w:kinsoku/>
        <w:wordWrap/>
        <w:overflowPunct/>
        <w:topLinePunct w:val="0"/>
        <w:autoSpaceDE/>
        <w:autoSpaceDN/>
        <w:bidi w:val="0"/>
        <w:adjustRightInd/>
        <w:snapToGrid/>
        <w:spacing w:line="440" w:lineRule="exact"/>
        <w:ind w:firstLine="442" w:firstLineChars="200"/>
        <w:rPr>
          <w:rFonts w:ascii="新宋体" w:hAnsi="新宋体" w:eastAsia="新宋体" w:cs="新宋体"/>
          <w:sz w:val="22"/>
          <w:szCs w:val="22"/>
          <w:highlight w:val="none"/>
        </w:rPr>
      </w:pPr>
      <w:r>
        <w:rPr>
          <w:rFonts w:hint="eastAsia" w:ascii="新宋体" w:hAnsi="新宋体" w:eastAsia="新宋体" w:cs="新宋体"/>
          <w:b/>
          <w:sz w:val="22"/>
          <w:szCs w:val="22"/>
          <w:highlight w:val="none"/>
        </w:rPr>
        <w:t>4.本次招标项目投标供应商必须对</w:t>
      </w:r>
      <w:r>
        <w:rPr>
          <w:rFonts w:hint="eastAsia" w:ascii="新宋体" w:hAnsi="新宋体" w:eastAsia="新宋体" w:cs="新宋体"/>
          <w:b/>
          <w:sz w:val="22"/>
          <w:szCs w:val="22"/>
          <w:highlight w:val="none"/>
          <w:lang w:val="en-US" w:eastAsia="zh-CN"/>
        </w:rPr>
        <w:t>所投标段</w:t>
      </w:r>
      <w:r>
        <w:rPr>
          <w:rFonts w:hint="eastAsia" w:ascii="新宋体" w:hAnsi="新宋体" w:eastAsia="新宋体" w:cs="新宋体"/>
          <w:b/>
          <w:sz w:val="22"/>
          <w:szCs w:val="22"/>
          <w:highlight w:val="none"/>
        </w:rPr>
        <w:t>所有货物进行投标，不得只投其中一部分内容</w:t>
      </w:r>
      <w:r>
        <w:rPr>
          <w:rFonts w:hint="eastAsia" w:ascii="新宋体" w:hAnsi="新宋体" w:eastAsia="新宋体" w:cs="新宋体"/>
          <w:sz w:val="22"/>
          <w:szCs w:val="22"/>
          <w:highlight w:val="none"/>
        </w:rPr>
        <w:t>。</w:t>
      </w:r>
    </w:p>
    <w:p w14:paraId="5C832378">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sz w:val="22"/>
          <w:szCs w:val="22"/>
          <w:highlight w:val="none"/>
        </w:rPr>
        <w:t>5.供应商所投产品及主要部件的名称、品牌、型号、技术参数、性能、数量、单价、合价、厂商、产地、质保期等应在投标文件中明确，对采购文件的技术条款及要求应予以实质性响应，如有偏离应在偏离表中注明</w:t>
      </w:r>
      <w:r>
        <w:rPr>
          <w:rFonts w:hint="eastAsia" w:ascii="新宋体" w:hAnsi="新宋体" w:eastAsia="新宋体" w:cs="新宋体"/>
          <w:color w:val="auto"/>
          <w:sz w:val="22"/>
          <w:szCs w:val="22"/>
          <w:highlight w:val="none"/>
        </w:rPr>
        <w:t>。</w:t>
      </w:r>
    </w:p>
    <w:p w14:paraId="073702AD">
      <w:pPr>
        <w:keepNext w:val="0"/>
        <w:keepLines w:val="0"/>
        <w:pageBreakBefore w:val="0"/>
        <w:tabs>
          <w:tab w:val="left" w:pos="420"/>
        </w:tabs>
        <w:kinsoku/>
        <w:wordWrap/>
        <w:overflowPunct/>
        <w:topLinePunct w:val="0"/>
        <w:autoSpaceDE/>
        <w:autoSpaceDN/>
        <w:bidi w:val="0"/>
        <w:adjustRightInd/>
        <w:snapToGrid/>
        <w:spacing w:line="440" w:lineRule="exact"/>
        <w:jc w:val="center"/>
        <w:rPr>
          <w:rFonts w:hint="eastAsia" w:ascii="宋体" w:hAnsi="宋体" w:eastAsia="宋体" w:cs="宋体"/>
          <w:b/>
          <w:sz w:val="22"/>
          <w:szCs w:val="22"/>
          <w:highlight w:val="none"/>
        </w:rPr>
      </w:pPr>
      <w:r>
        <w:rPr>
          <w:rFonts w:hint="eastAsia" w:ascii="Times New Roman" w:hAnsi="Times New Roman" w:eastAsia="宋体" w:cs="Times New Roman"/>
          <w:b/>
          <w:bCs/>
          <w:color w:val="auto"/>
          <w:sz w:val="28"/>
          <w:szCs w:val="28"/>
          <w:highlight w:val="none"/>
          <w:lang w:val="en-US" w:eastAsia="zh-CN"/>
        </w:rPr>
        <w:t>二、采购内容及技术要求</w:t>
      </w:r>
      <w:bookmarkStart w:id="32" w:name="_Toc78294260"/>
    </w:p>
    <w:p w14:paraId="67A6D1CB">
      <w:pPr>
        <w:pStyle w:val="14"/>
        <w:keepNext w:val="0"/>
        <w:keepLines w:val="0"/>
        <w:pageBreakBefore w:val="0"/>
        <w:widowControl w:val="0"/>
        <w:kinsoku/>
        <w:wordWrap/>
        <w:overflowPunct/>
        <w:topLinePunct w:val="0"/>
        <w:autoSpaceDE/>
        <w:autoSpaceDN/>
        <w:bidi w:val="0"/>
        <w:snapToGrid/>
        <w:spacing w:line="440" w:lineRule="exact"/>
        <w:ind w:firstLine="0" w:firstLineChars="0"/>
        <w:jc w:val="left"/>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rPr>
        <w:t>一、项目基本情况</w:t>
      </w:r>
    </w:p>
    <w:p w14:paraId="4907B977">
      <w:pPr>
        <w:pStyle w:val="82"/>
        <w:keepNext w:val="0"/>
        <w:keepLines w:val="0"/>
        <w:pageBreakBefore w:val="0"/>
        <w:widowControl w:val="0"/>
        <w:kinsoku/>
        <w:wordWrap/>
        <w:overflowPunct/>
        <w:topLinePunct w:val="0"/>
        <w:autoSpaceDE/>
        <w:autoSpaceDN/>
        <w:bidi w:val="0"/>
        <w:snapToGrid/>
        <w:spacing w:line="440" w:lineRule="exac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超精密制造技术象征着一个国家机械制造的能力水平，在提高光机电高科技产品的性能、质量、寿命等方面具有十分重要的作用，现其市场需求正在快速增长。</w:t>
      </w:r>
    </w:p>
    <w:p w14:paraId="192186A2">
      <w:pPr>
        <w:keepNext w:val="0"/>
        <w:keepLines w:val="0"/>
        <w:pageBreakBefore w:val="0"/>
        <w:widowControl w:val="0"/>
        <w:kinsoku/>
        <w:wordWrap/>
        <w:overflowPunct/>
        <w:topLinePunct w:val="0"/>
        <w:autoSpaceDE/>
        <w:autoSpaceDN/>
        <w:bidi w:val="0"/>
        <w:snapToGrid/>
        <w:spacing w:line="440" w:lineRule="exact"/>
        <w:ind w:right="-202" w:firstLine="440" w:firstLineChars="200"/>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sz w:val="22"/>
          <w:szCs w:val="22"/>
          <w:highlight w:val="none"/>
        </w:rPr>
        <w:t>为</w:t>
      </w:r>
      <w:r>
        <w:rPr>
          <w:rFonts w:hint="eastAsia" w:ascii="宋体" w:hAnsi="宋体" w:eastAsia="宋体" w:cs="宋体"/>
          <w:sz w:val="22"/>
          <w:szCs w:val="22"/>
          <w:highlight w:val="none"/>
          <w:lang w:val="en-US" w:eastAsia="zh-CN"/>
        </w:rPr>
        <w:t>推进超精密制造技术在温州当地的落地转换</w:t>
      </w:r>
      <w:r>
        <w:rPr>
          <w:rFonts w:hint="eastAsia" w:ascii="宋体" w:hAnsi="宋体" w:eastAsia="宋体" w:cs="宋体"/>
          <w:sz w:val="22"/>
          <w:szCs w:val="22"/>
          <w:highlight w:val="none"/>
        </w:rPr>
        <w:t>，此项目采购</w:t>
      </w:r>
      <w:r>
        <w:rPr>
          <w:rFonts w:hint="eastAsia" w:ascii="宋体" w:hAnsi="宋体" w:eastAsia="宋体" w:cs="宋体"/>
          <w:sz w:val="22"/>
          <w:szCs w:val="22"/>
          <w:highlight w:val="none"/>
          <w:lang w:val="en-US" w:eastAsia="zh-CN"/>
        </w:rPr>
        <w:t>超精密</w:t>
      </w:r>
      <w:r>
        <w:rPr>
          <w:rFonts w:hint="eastAsia" w:ascii="宋体" w:hAnsi="宋体" w:eastAsia="宋体" w:cs="宋体"/>
          <w:sz w:val="22"/>
          <w:szCs w:val="22"/>
          <w:highlight w:val="none"/>
        </w:rPr>
        <w:t>设备</w:t>
      </w:r>
      <w:r>
        <w:rPr>
          <w:rFonts w:hint="eastAsia" w:ascii="宋体" w:hAnsi="宋体" w:eastAsia="宋体" w:cs="宋体"/>
          <w:sz w:val="22"/>
          <w:szCs w:val="22"/>
          <w:highlight w:val="none"/>
          <w:lang w:val="en-US" w:eastAsia="zh-CN"/>
        </w:rPr>
        <w:t>建设超精密加工实验室和超精密测量实验室，致力于针对先进光学、生物医学等战略性重要产业的跨学科应用发展和需求，研发各类型的超精密制造技术及仪器，破“卡脖子”式技术限制。</w:t>
      </w:r>
    </w:p>
    <w:p w14:paraId="045413CB">
      <w:pPr>
        <w:pStyle w:val="2"/>
        <w:numPr>
          <w:ilvl w:val="0"/>
          <w:numId w:val="0"/>
        </w:numPr>
        <w:ind w:leftChars="0"/>
        <w:jc w:val="center"/>
        <w:rPr>
          <w:rFonts w:hint="eastAsia"/>
          <w:sz w:val="24"/>
          <w:szCs w:val="24"/>
          <w:lang w:val="en-US" w:eastAsia="zh-CN"/>
        </w:rPr>
      </w:pPr>
    </w:p>
    <w:p w14:paraId="59C46349">
      <w:pPr>
        <w:pStyle w:val="2"/>
        <w:numPr>
          <w:ilvl w:val="0"/>
          <w:numId w:val="0"/>
        </w:numPr>
        <w:ind w:leftChars="0"/>
        <w:jc w:val="center"/>
        <w:rPr>
          <w:rFonts w:hint="default"/>
          <w:sz w:val="24"/>
          <w:szCs w:val="24"/>
          <w:lang w:val="en-US" w:eastAsia="zh-CN"/>
        </w:rPr>
      </w:pPr>
      <w:r>
        <w:rPr>
          <w:rFonts w:hint="eastAsia"/>
          <w:sz w:val="24"/>
          <w:szCs w:val="24"/>
          <w:lang w:val="en-US" w:eastAsia="zh-CN"/>
        </w:rPr>
        <w:t>标段一：光学轮廓测量系统（1套）</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22"/>
        <w:gridCol w:w="690"/>
        <w:gridCol w:w="1896"/>
        <w:gridCol w:w="4851"/>
      </w:tblGrid>
      <w:tr w14:paraId="7B09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52" w:type="pct"/>
            <w:vAlign w:val="center"/>
          </w:tcPr>
          <w:p w14:paraId="6E456F0B">
            <w:pPr>
              <w:widowControl/>
              <w:spacing w:line="240"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序号</w:t>
            </w:r>
          </w:p>
        </w:tc>
        <w:tc>
          <w:tcPr>
            <w:tcW w:w="873" w:type="pct"/>
            <w:vAlign w:val="center"/>
          </w:tcPr>
          <w:p w14:paraId="63D1CA33">
            <w:pPr>
              <w:widowControl/>
              <w:spacing w:line="240" w:lineRule="auto"/>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设备名称</w:t>
            </w:r>
          </w:p>
        </w:tc>
        <w:tc>
          <w:tcPr>
            <w:tcW w:w="350" w:type="pct"/>
            <w:vAlign w:val="center"/>
          </w:tcPr>
          <w:p w14:paraId="4B65DC5A">
            <w:pPr>
              <w:widowControl/>
              <w:spacing w:line="240" w:lineRule="auto"/>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数量</w:t>
            </w:r>
          </w:p>
        </w:tc>
        <w:tc>
          <w:tcPr>
            <w:tcW w:w="962" w:type="pct"/>
            <w:vAlign w:val="center"/>
          </w:tcPr>
          <w:p w14:paraId="42BE596D">
            <w:pPr>
              <w:widowControl/>
              <w:spacing w:line="240" w:lineRule="auto"/>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项目</w:t>
            </w:r>
          </w:p>
        </w:tc>
        <w:tc>
          <w:tcPr>
            <w:tcW w:w="2461" w:type="pct"/>
            <w:vAlign w:val="center"/>
          </w:tcPr>
          <w:p w14:paraId="67CEB3AC">
            <w:pPr>
              <w:widowControl/>
              <w:spacing w:line="240" w:lineRule="auto"/>
              <w:jc w:val="center"/>
              <w:rPr>
                <w:rFonts w:hint="default"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参数要求</w:t>
            </w:r>
          </w:p>
        </w:tc>
      </w:tr>
      <w:tr w14:paraId="6233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restart"/>
            <w:vAlign w:val="center"/>
          </w:tcPr>
          <w:p w14:paraId="51D8A489">
            <w:pPr>
              <w:pStyle w:val="2"/>
              <w:numPr>
                <w:ilvl w:val="0"/>
                <w:numId w:val="0"/>
              </w:numPr>
              <w:ind w:left="0" w:leftChars="0" w:firstLine="0" w:firstLineChars="0"/>
              <w:jc w:val="center"/>
              <w:rPr>
                <w:rFonts w:hint="eastAsia" w:ascii="宋体" w:hAnsi="宋体" w:eastAsia="宋体" w:cs="宋体"/>
                <w:kern w:val="0"/>
                <w:sz w:val="22"/>
                <w:szCs w:val="22"/>
                <w:highlight w:val="none"/>
                <w:lang w:eastAsia="zh-CN"/>
              </w:rPr>
            </w:pPr>
            <w:r>
              <w:rPr>
                <w:rFonts w:hint="eastAsia" w:ascii="宋体" w:hAnsi="宋体" w:eastAsia="宋体" w:cs="宋体"/>
                <w:b w:val="0"/>
                <w:bCs w:val="0"/>
                <w:kern w:val="0"/>
                <w:sz w:val="22"/>
                <w:szCs w:val="22"/>
                <w:lang w:val="en-US" w:eastAsia="zh-CN"/>
              </w:rPr>
              <w:t>1</w:t>
            </w:r>
          </w:p>
        </w:tc>
        <w:tc>
          <w:tcPr>
            <w:tcW w:w="1722" w:type="dxa"/>
            <w:vMerge w:val="restart"/>
            <w:vAlign w:val="center"/>
          </w:tcPr>
          <w:p w14:paraId="263AC312">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Cs w:val="22"/>
              </w:rPr>
              <w:t>光学轮廓测量系统</w:t>
            </w:r>
          </w:p>
        </w:tc>
        <w:tc>
          <w:tcPr>
            <w:tcW w:w="690" w:type="dxa"/>
            <w:vMerge w:val="restart"/>
            <w:noWrap/>
            <w:vAlign w:val="center"/>
          </w:tcPr>
          <w:p w14:paraId="34663AE0">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Cs w:val="22"/>
              </w:rPr>
              <w:t>1</w:t>
            </w:r>
          </w:p>
        </w:tc>
        <w:tc>
          <w:tcPr>
            <w:tcW w:w="1896" w:type="dxa"/>
            <w:noWrap/>
            <w:vAlign w:val="center"/>
          </w:tcPr>
          <w:p w14:paraId="5A6D776F">
            <w:pPr>
              <w:jc w:val="center"/>
              <w:rPr>
                <w:rFonts w:hint="eastAsia" w:ascii="宋体" w:hAnsi="宋体" w:eastAsia="宋体" w:cs="宋体"/>
                <w:b/>
                <w:color w:val="000000"/>
                <w:kern w:val="2"/>
                <w:sz w:val="22"/>
                <w:szCs w:val="22"/>
                <w:highlight w:val="none"/>
                <w:u w:val="single"/>
                <w:lang w:val="en-US" w:eastAsia="zh-CN" w:bidi="ar-SA"/>
              </w:rPr>
            </w:pPr>
            <w:r>
              <w:rPr>
                <w:rFonts w:hint="eastAsia" w:ascii="宋体" w:hAnsi="宋体" w:eastAsia="宋体" w:cs="宋体"/>
                <w:color w:val="000000"/>
                <w:szCs w:val="22"/>
              </w:rPr>
              <w:t>系统配置</w:t>
            </w:r>
          </w:p>
        </w:tc>
        <w:tc>
          <w:tcPr>
            <w:tcW w:w="4851" w:type="dxa"/>
            <w:vAlign w:val="top"/>
          </w:tcPr>
          <w:p w14:paraId="30CE5A2A">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气动见证平台- 电动Y轴(</w:t>
            </w:r>
            <w:r>
              <w:rPr>
                <w:rFonts w:hint="eastAsia" w:ascii="宋体" w:hAnsi="宋体" w:eastAsia="宋体" w:cs="宋体"/>
                <w:color w:val="000000"/>
                <w:szCs w:val="22"/>
                <w:lang w:val="en-US" w:eastAsia="zh-CN"/>
              </w:rPr>
              <w:t>2</w:t>
            </w:r>
            <w:r>
              <w:rPr>
                <w:rFonts w:hint="eastAsia" w:ascii="宋体" w:hAnsi="宋体" w:eastAsia="宋体" w:cs="宋体"/>
                <w:color w:val="000000"/>
                <w:szCs w:val="22"/>
              </w:rPr>
              <w:t>00mm)和旋转工作台</w:t>
            </w:r>
          </w:p>
          <w:p w14:paraId="153B93FE">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电脑连视窗 10或以上版本软件(64bit)，附有硬盘和CD/DVD光盘</w:t>
            </w:r>
          </w:p>
          <w:p w14:paraId="7951CF44">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 xml:space="preserve"> 24寸或以上 LCD显示器</w:t>
            </w:r>
          </w:p>
          <w:p w14:paraId="021D9808">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测针自动升降系统</w:t>
            </w:r>
          </w:p>
          <w:p w14:paraId="11306394">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测力可调整系统</w:t>
            </w:r>
          </w:p>
          <w:p w14:paraId="4458C2BD">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传感器防护系统: 仪器内置的快速碰撞检测系统保护设备免受意外撞击损坏</w:t>
            </w:r>
          </w:p>
          <w:p w14:paraId="25E97002">
            <w:pPr>
              <w:numPr>
                <w:ilvl w:val="0"/>
                <w:numId w:val="15"/>
              </w:num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误差补偿系统</w:t>
            </w:r>
          </w:p>
          <w:p w14:paraId="21B58217">
            <w:pPr>
              <w:numPr>
                <w:ilvl w:val="0"/>
                <w:numId w:val="15"/>
              </w:numPr>
              <w:autoSpaceDE w:val="0"/>
              <w:autoSpaceDN w:val="0"/>
              <w:adjustRightInd w:val="0"/>
              <w:ind w:left="480" w:leftChars="0" w:hanging="480" w:firstLineChars="0"/>
              <w:rPr>
                <w:rFonts w:hint="eastAsia" w:ascii="宋体" w:hAnsi="宋体" w:eastAsia="宋体" w:cs="宋体"/>
                <w:b/>
                <w:color w:val="000000"/>
                <w:kern w:val="2"/>
                <w:sz w:val="22"/>
                <w:szCs w:val="22"/>
                <w:highlight w:val="none"/>
                <w:u w:val="single"/>
                <w:lang w:val="en-US" w:eastAsia="zh-CN" w:bidi="ar-SA"/>
              </w:rPr>
            </w:pPr>
            <w:r>
              <w:rPr>
                <w:rFonts w:hint="eastAsia" w:ascii="宋体" w:hAnsi="宋体" w:eastAsia="宋体" w:cs="宋体"/>
                <w:color w:val="000000"/>
                <w:szCs w:val="22"/>
              </w:rPr>
              <w:t>虚拟显示系统</w:t>
            </w:r>
          </w:p>
        </w:tc>
      </w:tr>
      <w:tr w14:paraId="0B20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1F1A27D4">
            <w:pPr>
              <w:widowControl/>
              <w:jc w:val="center"/>
              <w:rPr>
                <w:rFonts w:hint="eastAsia" w:ascii="宋体" w:hAnsi="宋体" w:eastAsia="宋体" w:cs="宋体"/>
                <w:kern w:val="0"/>
                <w:sz w:val="22"/>
                <w:szCs w:val="22"/>
                <w:highlight w:val="none"/>
                <w:lang w:eastAsia="zh-CN"/>
              </w:rPr>
            </w:pPr>
          </w:p>
        </w:tc>
        <w:tc>
          <w:tcPr>
            <w:tcW w:w="1722" w:type="dxa"/>
            <w:vMerge w:val="continue"/>
            <w:vAlign w:val="center"/>
          </w:tcPr>
          <w:p w14:paraId="54A9C33C">
            <w:pPr>
              <w:widowControl/>
              <w:jc w:val="center"/>
              <w:rPr>
                <w:rFonts w:hint="eastAsia" w:ascii="宋体" w:hAnsi="宋体" w:eastAsia="宋体" w:cs="宋体"/>
                <w:kern w:val="0"/>
                <w:sz w:val="22"/>
                <w:szCs w:val="22"/>
                <w:highlight w:val="none"/>
                <w:lang w:val="en-US" w:eastAsia="zh-CN"/>
              </w:rPr>
            </w:pPr>
          </w:p>
        </w:tc>
        <w:tc>
          <w:tcPr>
            <w:tcW w:w="690" w:type="dxa"/>
            <w:vMerge w:val="continue"/>
            <w:noWrap/>
            <w:vAlign w:val="top"/>
          </w:tcPr>
          <w:p w14:paraId="0D766849">
            <w:pPr>
              <w:widowControl/>
              <w:jc w:val="center"/>
              <w:rPr>
                <w:rFonts w:hint="eastAsia" w:ascii="宋体" w:hAnsi="宋体" w:eastAsia="宋体" w:cs="宋体"/>
                <w:kern w:val="0"/>
                <w:sz w:val="22"/>
                <w:szCs w:val="22"/>
                <w:highlight w:val="none"/>
                <w:lang w:val="en-US" w:eastAsia="zh-CN"/>
              </w:rPr>
            </w:pPr>
          </w:p>
        </w:tc>
        <w:tc>
          <w:tcPr>
            <w:tcW w:w="1896" w:type="dxa"/>
            <w:noWrap/>
            <w:vAlign w:val="center"/>
          </w:tcPr>
          <w:p w14:paraId="1FC241E0">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Cs w:val="22"/>
              </w:rPr>
              <w:t>测量范围</w:t>
            </w:r>
          </w:p>
        </w:tc>
        <w:tc>
          <w:tcPr>
            <w:tcW w:w="4851" w:type="dxa"/>
            <w:vAlign w:val="top"/>
          </w:tcPr>
          <w:p w14:paraId="3A9DC386">
            <w:pPr>
              <w:autoSpaceDE w:val="0"/>
              <w:autoSpaceDN w:val="0"/>
              <w:adjustRightInd w:val="0"/>
              <w:ind w:left="165"/>
              <w:rPr>
                <w:rFonts w:ascii="宋体" w:hAnsi="宋体" w:eastAsia="宋体" w:cs="宋体"/>
                <w:color w:val="000000"/>
                <w:szCs w:val="22"/>
              </w:rPr>
            </w:pPr>
            <w:r>
              <w:rPr>
                <w:rFonts w:hint="eastAsia" w:ascii="宋体" w:hAnsi="宋体" w:eastAsia="宋体" w:cs="宋体"/>
                <w:color w:val="000000"/>
                <w:szCs w:val="22"/>
              </w:rPr>
              <w:t>300 mm 口径,40 mm矢高, 55°倾角</w:t>
            </w:r>
          </w:p>
          <w:p w14:paraId="4589CB4A">
            <w:pPr>
              <w:autoSpaceDE w:val="0"/>
              <w:autoSpaceDN w:val="0"/>
              <w:adjustRightInd w:val="0"/>
              <w:ind w:left="165"/>
              <w:rPr>
                <w:rFonts w:ascii="宋体" w:hAnsi="宋体" w:eastAsia="宋体" w:cs="宋体"/>
                <w:color w:val="000000"/>
                <w:szCs w:val="22"/>
              </w:rPr>
            </w:pPr>
            <w:r>
              <w:rPr>
                <w:rFonts w:hint="eastAsia" w:ascii="宋体" w:hAnsi="宋体" w:eastAsia="宋体" w:cs="宋体"/>
                <w:color w:val="000000"/>
                <w:szCs w:val="22"/>
              </w:rPr>
              <w:t>100 mm 测针提供20mm的传感器测量范围</w:t>
            </w:r>
          </w:p>
          <w:p w14:paraId="2450745D">
            <w:pPr>
              <w:autoSpaceDE w:val="0"/>
              <w:autoSpaceDN w:val="0"/>
              <w:adjustRightInd w:val="0"/>
              <w:ind w:left="165"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Cs w:val="22"/>
              </w:rPr>
              <w:t>200 mm 测针提供40mm的传感器测量范围</w:t>
            </w:r>
          </w:p>
        </w:tc>
      </w:tr>
      <w:tr w14:paraId="2838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759ECB99">
            <w:pPr>
              <w:widowControl/>
              <w:jc w:val="center"/>
              <w:rPr>
                <w:rFonts w:hint="eastAsia" w:ascii="宋体" w:hAnsi="宋体" w:eastAsia="宋体" w:cs="宋体"/>
                <w:kern w:val="0"/>
                <w:sz w:val="22"/>
                <w:szCs w:val="22"/>
                <w:highlight w:val="none"/>
                <w:lang w:eastAsia="zh-CN"/>
              </w:rPr>
            </w:pPr>
          </w:p>
        </w:tc>
        <w:tc>
          <w:tcPr>
            <w:tcW w:w="1722" w:type="dxa"/>
            <w:vMerge w:val="continue"/>
            <w:vAlign w:val="center"/>
          </w:tcPr>
          <w:p w14:paraId="267DD110">
            <w:pPr>
              <w:widowControl/>
              <w:jc w:val="center"/>
              <w:rPr>
                <w:rFonts w:hint="eastAsia" w:ascii="宋体" w:hAnsi="宋体" w:eastAsia="宋体" w:cs="宋体"/>
                <w:kern w:val="0"/>
                <w:sz w:val="22"/>
                <w:szCs w:val="22"/>
                <w:highlight w:val="none"/>
                <w:lang w:val="en-US" w:eastAsia="zh-CN"/>
              </w:rPr>
            </w:pPr>
          </w:p>
        </w:tc>
        <w:tc>
          <w:tcPr>
            <w:tcW w:w="690" w:type="dxa"/>
            <w:vMerge w:val="continue"/>
            <w:noWrap/>
            <w:vAlign w:val="center"/>
          </w:tcPr>
          <w:p w14:paraId="523C85F2">
            <w:pPr>
              <w:widowControl/>
              <w:jc w:val="center"/>
              <w:rPr>
                <w:rFonts w:hint="eastAsia" w:ascii="宋体" w:hAnsi="宋体" w:eastAsia="宋体" w:cs="宋体"/>
                <w:kern w:val="0"/>
                <w:sz w:val="22"/>
                <w:szCs w:val="22"/>
                <w:highlight w:val="none"/>
                <w:lang w:val="en-US" w:eastAsia="zh-CN"/>
              </w:rPr>
            </w:pPr>
          </w:p>
        </w:tc>
        <w:tc>
          <w:tcPr>
            <w:tcW w:w="1896" w:type="dxa"/>
            <w:noWrap/>
            <w:vAlign w:val="center"/>
          </w:tcPr>
          <w:p w14:paraId="28E04B71">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Cs w:val="22"/>
              </w:rPr>
              <w:t>工件材料类型</w:t>
            </w:r>
          </w:p>
        </w:tc>
        <w:tc>
          <w:tcPr>
            <w:tcW w:w="4851" w:type="dxa"/>
            <w:vAlign w:val="top"/>
          </w:tcPr>
          <w:p w14:paraId="635AB88D">
            <w:pPr>
              <w:autoSpaceDE w:val="0"/>
              <w:autoSpaceDN w:val="0"/>
              <w:adjustRightInd w:val="0"/>
              <w:rPr>
                <w:rFonts w:hint="eastAsia" w:ascii="宋体" w:hAnsi="宋体" w:eastAsia="宋体" w:cs="宋体"/>
                <w:color w:val="000000"/>
                <w:kern w:val="2"/>
                <w:sz w:val="22"/>
                <w:szCs w:val="22"/>
                <w:highlight w:val="none"/>
                <w:lang w:val="en-US" w:eastAsia="zh-CN" w:bidi="ar-SA"/>
              </w:rPr>
            </w:pPr>
          </w:p>
        </w:tc>
      </w:tr>
      <w:tr w14:paraId="5F9D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64FD31A0">
            <w:pPr>
              <w:widowControl/>
              <w:jc w:val="center"/>
              <w:rPr>
                <w:rFonts w:hint="eastAsia" w:ascii="宋体" w:hAnsi="宋体" w:eastAsia="宋体" w:cs="宋体"/>
                <w:kern w:val="0"/>
                <w:sz w:val="22"/>
                <w:szCs w:val="22"/>
                <w:highlight w:val="none"/>
                <w:lang w:eastAsia="zh-CN"/>
              </w:rPr>
            </w:pPr>
          </w:p>
        </w:tc>
        <w:tc>
          <w:tcPr>
            <w:tcW w:w="1722" w:type="dxa"/>
            <w:vMerge w:val="continue"/>
            <w:vAlign w:val="center"/>
          </w:tcPr>
          <w:p w14:paraId="3B6B9E70">
            <w:pPr>
              <w:widowControl/>
              <w:jc w:val="center"/>
              <w:rPr>
                <w:rFonts w:hint="eastAsia" w:ascii="宋体" w:hAnsi="宋体" w:eastAsia="宋体" w:cs="宋体"/>
                <w:kern w:val="0"/>
                <w:sz w:val="22"/>
                <w:szCs w:val="22"/>
                <w:highlight w:val="none"/>
                <w:lang w:val="en-US" w:eastAsia="zh-CN"/>
              </w:rPr>
            </w:pPr>
          </w:p>
        </w:tc>
        <w:tc>
          <w:tcPr>
            <w:tcW w:w="690" w:type="dxa"/>
            <w:vMerge w:val="continue"/>
            <w:tcBorders>
              <w:bottom w:val="single" w:color="auto" w:sz="4" w:space="0"/>
            </w:tcBorders>
            <w:noWrap/>
            <w:vAlign w:val="top"/>
          </w:tcPr>
          <w:p w14:paraId="5D3964D0">
            <w:pPr>
              <w:widowControl/>
              <w:jc w:val="center"/>
              <w:rPr>
                <w:rFonts w:hint="eastAsia" w:ascii="宋体" w:hAnsi="宋体" w:eastAsia="宋体" w:cs="宋体"/>
                <w:kern w:val="0"/>
                <w:sz w:val="22"/>
                <w:szCs w:val="22"/>
                <w:highlight w:val="none"/>
                <w:lang w:val="en-US" w:eastAsia="zh-CN"/>
              </w:rPr>
            </w:pPr>
          </w:p>
        </w:tc>
        <w:tc>
          <w:tcPr>
            <w:tcW w:w="1896" w:type="dxa"/>
            <w:noWrap/>
            <w:vAlign w:val="center"/>
          </w:tcPr>
          <w:p w14:paraId="58B63B1B">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Cs w:val="22"/>
              </w:rPr>
              <w:t>测量性能</w:t>
            </w:r>
          </w:p>
        </w:tc>
        <w:tc>
          <w:tcPr>
            <w:tcW w:w="4851" w:type="dxa"/>
            <w:vAlign w:val="top"/>
          </w:tcPr>
          <w:p w14:paraId="74A67525">
            <w:pPr>
              <w:rPr>
                <w:rFonts w:ascii="宋体" w:hAnsi="宋体" w:eastAsia="宋体" w:cs="宋体"/>
                <w:color w:val="000000"/>
                <w:szCs w:val="22"/>
              </w:rPr>
            </w:pPr>
            <w:r>
              <w:rPr>
                <w:rFonts w:hint="eastAsia" w:ascii="宋体" w:hAnsi="宋体" w:eastAsia="宋体" w:cs="宋体"/>
                <w:color w:val="000000"/>
                <w:szCs w:val="22"/>
              </w:rPr>
              <w:t>X 轴</w:t>
            </w:r>
          </w:p>
          <w:p w14:paraId="580AE1A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横移长度:≧</w:t>
            </w:r>
            <w:r>
              <w:rPr>
                <w:rFonts w:hint="eastAsia" w:ascii="宋体" w:hAnsi="宋体" w:eastAsia="PMingLiU" w:cs="宋体"/>
                <w:color w:val="000000"/>
                <w:szCs w:val="22"/>
                <w:lang w:eastAsia="zh-TW"/>
              </w:rPr>
              <w:t>3</w:t>
            </w:r>
            <w:r>
              <w:rPr>
                <w:rFonts w:hint="eastAsia" w:ascii="宋体" w:hAnsi="宋体" w:eastAsia="宋体" w:cs="宋体"/>
                <w:color w:val="000000"/>
                <w:szCs w:val="22"/>
              </w:rPr>
              <w:t>00mm</w:t>
            </w:r>
          </w:p>
          <w:p w14:paraId="7D41CDF4">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横移/测量速度:最大 13mm/s</w:t>
            </w:r>
          </w:p>
          <w:p w14:paraId="468EC9E8">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 xml:space="preserve">X 方向数据采样间隔:≦ </w:t>
            </w:r>
            <w:r>
              <w:rPr>
                <w:rFonts w:hint="eastAsia" w:ascii="宋体" w:hAnsi="宋体" w:eastAsia="PMingLiU" w:cs="宋体"/>
                <w:color w:val="000000"/>
                <w:szCs w:val="22"/>
              </w:rPr>
              <w:t>25nm</w:t>
            </w:r>
          </w:p>
          <w:p w14:paraId="0AF1DDB0">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直线度误差 (Pt): ≦</w:t>
            </w:r>
            <w:r>
              <w:rPr>
                <w:rFonts w:hint="eastAsia" w:ascii="宋体" w:hAnsi="宋体" w:eastAsia="PMingLiU" w:cs="宋体"/>
                <w:color w:val="000000"/>
                <w:szCs w:val="22"/>
                <w:lang w:eastAsia="zh-TW"/>
              </w:rPr>
              <w:t>110nm</w:t>
            </w:r>
          </w:p>
          <w:p w14:paraId="3CCEBA2A">
            <w:pPr>
              <w:rPr>
                <w:rFonts w:ascii="宋体" w:hAnsi="宋体" w:eastAsia="宋体" w:cs="宋体"/>
                <w:color w:val="000000"/>
                <w:szCs w:val="22"/>
              </w:rPr>
            </w:pPr>
            <w:r>
              <w:rPr>
                <w:rFonts w:hint="eastAsia" w:ascii="宋体" w:hAnsi="宋体" w:eastAsia="宋体" w:cs="宋体"/>
                <w:color w:val="000000"/>
                <w:szCs w:val="22"/>
              </w:rPr>
              <w:t>Z 轴</w:t>
            </w:r>
          </w:p>
          <w:p w14:paraId="331D3643">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 xml:space="preserve">标称测量范围 (Z): ≥20m/40mm </w:t>
            </w:r>
          </w:p>
          <w:p w14:paraId="1437ADD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范围与分辨率之比: ≥104,000,000 : 1</w:t>
            </w:r>
          </w:p>
          <w:p w14:paraId="409DC77F">
            <w:pPr>
              <w:numPr>
                <w:ilvl w:val="0"/>
                <w:numId w:val="15"/>
              </w:numPr>
              <w:autoSpaceDE w:val="0"/>
              <w:autoSpaceDN w:val="0"/>
              <w:adjustRightInd w:val="0"/>
              <w:ind w:hanging="315"/>
              <w:rPr>
                <w:rFonts w:ascii="宋体" w:hAnsi="宋体" w:eastAsia="PMingLiU" w:cs="宋体"/>
                <w:color w:val="000000"/>
                <w:szCs w:val="22"/>
              </w:rPr>
            </w:pPr>
            <w:r>
              <w:rPr>
                <w:rFonts w:hint="eastAsia" w:ascii="宋体" w:hAnsi="宋体" w:eastAsia="宋体" w:cs="宋体"/>
                <w:color w:val="000000"/>
                <w:szCs w:val="22"/>
              </w:rPr>
              <w:t>传感器分辨率 ≦  0.2 nm@20mm</w:t>
            </w:r>
          </w:p>
          <w:p w14:paraId="77964586">
            <w:pPr>
              <w:rPr>
                <w:rFonts w:ascii="宋体" w:hAnsi="宋体" w:eastAsia="PMingLiU" w:cs="宋体"/>
                <w:color w:val="000000"/>
                <w:szCs w:val="22"/>
                <w:lang w:eastAsia="zh-TW"/>
              </w:rPr>
            </w:pPr>
            <w:r>
              <w:rPr>
                <w:rFonts w:hint="eastAsia" w:ascii="宋体" w:hAnsi="宋体" w:eastAsia="PMingLiU" w:cs="宋体"/>
                <w:color w:val="000000"/>
                <w:szCs w:val="22"/>
                <w:lang w:eastAsia="zh-TW"/>
              </w:rPr>
              <w:t>Y</w:t>
            </w:r>
            <w:r>
              <w:rPr>
                <w:rFonts w:hint="eastAsia" w:ascii="宋体" w:hAnsi="宋体" w:eastAsia="宋体" w:cs="宋体"/>
                <w:color w:val="000000"/>
                <w:szCs w:val="22"/>
              </w:rPr>
              <w:t xml:space="preserve"> 轴</w:t>
            </w:r>
          </w:p>
          <w:p w14:paraId="04A4B9E6">
            <w:pPr>
              <w:numPr>
                <w:ilvl w:val="0"/>
                <w:numId w:val="15"/>
              </w:numPr>
              <w:autoSpaceDE w:val="0"/>
              <w:autoSpaceDN w:val="0"/>
              <w:adjustRightInd w:val="0"/>
              <w:ind w:hanging="315"/>
              <w:rPr>
                <w:rFonts w:hint="eastAsia" w:ascii="宋体" w:hAnsi="宋体" w:eastAsia="宋体" w:cs="宋体"/>
                <w:color w:val="000000"/>
                <w:szCs w:val="22"/>
              </w:rPr>
            </w:pPr>
            <w:r>
              <w:rPr>
                <w:rFonts w:hint="eastAsia" w:ascii="宋体" w:hAnsi="宋体" w:eastAsia="宋体" w:cs="宋体"/>
                <w:color w:val="000000"/>
                <w:szCs w:val="22"/>
              </w:rPr>
              <w:t>标称测量范围(Y):≥200mm</w:t>
            </w:r>
          </w:p>
          <w:p w14:paraId="5E041B84">
            <w:pPr>
              <w:numPr>
                <w:ilvl w:val="0"/>
                <w:numId w:val="15"/>
              </w:numPr>
              <w:autoSpaceDE w:val="0"/>
              <w:autoSpaceDN w:val="0"/>
              <w:adjustRightInd w:val="0"/>
              <w:ind w:hanging="315"/>
              <w:rPr>
                <w:rFonts w:hint="eastAsia" w:ascii="宋体" w:hAnsi="宋体" w:eastAsia="宋体" w:cs="宋体"/>
                <w:color w:val="000000"/>
                <w:szCs w:val="22"/>
              </w:rPr>
            </w:pPr>
            <w:r>
              <w:rPr>
                <w:rFonts w:hint="eastAsia" w:ascii="宋体" w:hAnsi="宋体" w:eastAsia="宋体" w:cs="宋体"/>
                <w:color w:val="000000"/>
                <w:szCs w:val="22"/>
              </w:rPr>
              <w:t>最大速度:≥50mm/s</w:t>
            </w:r>
          </w:p>
          <w:p w14:paraId="446FA7BD">
            <w:pPr>
              <w:numPr>
                <w:ilvl w:val="0"/>
                <w:numId w:val="15"/>
              </w:numPr>
              <w:autoSpaceDE w:val="0"/>
              <w:autoSpaceDN w:val="0"/>
              <w:adjustRightInd w:val="0"/>
              <w:ind w:hanging="315"/>
              <w:rPr>
                <w:rFonts w:hint="eastAsia" w:ascii="宋体" w:hAnsi="宋体" w:eastAsia="宋体" w:cs="宋体"/>
                <w:color w:val="000000"/>
                <w:szCs w:val="22"/>
              </w:rPr>
            </w:pPr>
            <w:r>
              <w:rPr>
                <w:rFonts w:hint="eastAsia" w:ascii="宋体" w:hAnsi="宋体" w:eastAsia="宋体" w:cs="宋体"/>
                <w:color w:val="000000"/>
                <w:szCs w:val="22"/>
              </w:rPr>
              <w:t>全程直线度:≤± 4m</w:t>
            </w:r>
          </w:p>
          <w:p w14:paraId="1753803D">
            <w:pPr>
              <w:numPr>
                <w:ilvl w:val="0"/>
                <w:numId w:val="15"/>
              </w:numPr>
              <w:autoSpaceDE w:val="0"/>
              <w:autoSpaceDN w:val="0"/>
              <w:adjustRightInd w:val="0"/>
              <w:ind w:hanging="315"/>
              <w:rPr>
                <w:rFonts w:hint="eastAsia" w:ascii="宋体" w:hAnsi="宋体" w:eastAsia="宋体" w:cs="宋体"/>
                <w:color w:val="000000"/>
                <w:szCs w:val="22"/>
              </w:rPr>
            </w:pPr>
            <w:r>
              <w:rPr>
                <w:rFonts w:hint="eastAsia" w:ascii="宋体" w:hAnsi="宋体" w:eastAsia="宋体" w:cs="宋体"/>
                <w:color w:val="000000"/>
                <w:szCs w:val="22"/>
              </w:rPr>
              <w:t>定位重复性≤0.8μm</w:t>
            </w:r>
          </w:p>
          <w:p w14:paraId="0B319D65"/>
          <w:p w14:paraId="50943DBB">
            <w:pPr>
              <w:autoSpaceDE w:val="0"/>
              <w:autoSpaceDN w:val="0"/>
              <w:adjustRightInd w:val="0"/>
              <w:rPr>
                <w:rFonts w:ascii="宋体" w:hAnsi="宋体" w:eastAsia="宋体" w:cs="宋体"/>
                <w:color w:val="000000"/>
                <w:szCs w:val="22"/>
              </w:rPr>
            </w:pPr>
            <w:r>
              <w:rPr>
                <w:rFonts w:hint="eastAsia" w:ascii="宋体" w:hAnsi="宋体" w:eastAsia="宋体" w:cs="宋体"/>
                <w:color w:val="000000"/>
                <w:szCs w:val="22"/>
              </w:rPr>
              <w:t>能力</w:t>
            </w:r>
          </w:p>
          <w:p w14:paraId="30D08263">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形状误差 – Pt:&lt;</w:t>
            </w:r>
            <w:r>
              <w:rPr>
                <w:rFonts w:hint="eastAsia" w:ascii="宋体" w:hAnsi="宋体" w:eastAsia="PMingLiU" w:cs="宋体"/>
                <w:color w:val="000000"/>
                <w:szCs w:val="22"/>
                <w:lang w:eastAsia="zh-TW"/>
              </w:rPr>
              <w:t>100nm</w:t>
            </w:r>
          </w:p>
          <w:p w14:paraId="0E81497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半径测量不确定性</w:t>
            </w:r>
            <w:r>
              <w:rPr>
                <w:rFonts w:hint="eastAsia" w:ascii="宋体" w:hAnsi="宋体" w:eastAsia="PMingLiU" w:cs="宋体"/>
                <w:color w:val="000000"/>
                <w:szCs w:val="22"/>
              </w:rPr>
              <w:t>:±1um (0.1mm-10mm)/±(0.41+R[mm]/17)um(10mm- 360 mm)</w:t>
            </w:r>
          </w:p>
          <w:p w14:paraId="507FA879">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系统噪声 – Rq:2nm</w:t>
            </w:r>
          </w:p>
          <w:p w14:paraId="615A7947">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误差补偿系统: :一次测量即可计算和校正金刚石车削零件的偏移、半径和形状误差</w:t>
            </w:r>
          </w:p>
          <w:p w14:paraId="244776B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测力可调整系统: 30mgf (~0.3 mN) 至 220mgf (~22 mN) 可调</w:t>
            </w:r>
          </w:p>
          <w:p w14:paraId="7D67FB3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虚拟显示系统: 模拟测量过程，实现屏幕显示、实时反馈及远程控制</w:t>
            </w:r>
          </w:p>
          <w:p w14:paraId="38FCC4B8">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一键式完成零件的测量及重复测量。自动找顶点和自动分析选项之间进行选，可选择生成单个或多个报告文件，或应用模板</w:t>
            </w:r>
          </w:p>
          <w:p w14:paraId="74B4F43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非球面和衍射分析</w:t>
            </w:r>
          </w:p>
          <w:p w14:paraId="315777EF">
            <w:pPr>
              <w:numPr>
                <w:ilvl w:val="0"/>
                <w:numId w:val="15"/>
              </w:numPr>
              <w:autoSpaceDE w:val="0"/>
              <w:autoSpaceDN w:val="0"/>
              <w:adjustRightInd w:val="0"/>
              <w:ind w:hanging="315"/>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Cs w:val="22"/>
              </w:rPr>
              <w:t>3D 亚斯分析</w:t>
            </w:r>
          </w:p>
        </w:tc>
      </w:tr>
    </w:tbl>
    <w:p w14:paraId="5D6537B2">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szCs w:val="22"/>
          <w:lang w:eastAsia="zh-CN"/>
        </w:rPr>
      </w:pPr>
      <w:r>
        <w:rPr>
          <w:rFonts w:hint="eastAsia" w:ascii="宋体" w:hAnsi="宋体" w:eastAsia="宋体" w:cs="宋体"/>
          <w:b/>
          <w:bCs/>
          <w:szCs w:val="22"/>
          <w:lang w:val="en-US" w:eastAsia="zh-CN"/>
        </w:rPr>
        <w:t>其他</w:t>
      </w:r>
      <w:r>
        <w:rPr>
          <w:rFonts w:hint="eastAsia" w:ascii="宋体" w:hAnsi="宋体" w:eastAsia="宋体" w:cs="宋体"/>
          <w:b/>
          <w:bCs/>
          <w:szCs w:val="22"/>
        </w:rPr>
        <w:t>商务要求</w:t>
      </w:r>
      <w:r>
        <w:rPr>
          <w:rFonts w:hint="eastAsia" w:ascii="宋体" w:hAnsi="宋体" w:eastAsia="宋体" w:cs="宋体"/>
          <w:b/>
          <w:bCs/>
          <w:szCs w:val="22"/>
          <w:lang w:eastAsia="zh-CN"/>
        </w:rPr>
        <w:t>：</w:t>
      </w:r>
    </w:p>
    <w:p w14:paraId="75B929AA">
      <w:pPr>
        <w:numPr>
          <w:ilvl w:val="0"/>
          <w:numId w:val="0"/>
        </w:numPr>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1.</w:t>
      </w:r>
      <w:r>
        <w:rPr>
          <w:rFonts w:hint="eastAsia" w:ascii="宋体" w:hAnsi="宋体" w:eastAsia="宋体" w:cs="宋体"/>
          <w:szCs w:val="22"/>
          <w:highlight w:val="none"/>
        </w:rPr>
        <w:t>付款方式和条件</w:t>
      </w:r>
      <w:r>
        <w:rPr>
          <w:rFonts w:hint="eastAsia" w:ascii="宋体" w:hAnsi="宋体" w:eastAsia="宋体" w:cs="宋体"/>
          <w:szCs w:val="22"/>
          <w:highlight w:val="none"/>
          <w:lang w:eastAsia="zh-CN"/>
        </w:rPr>
        <w:t>：</w:t>
      </w:r>
      <w:r>
        <w:rPr>
          <w:rFonts w:hint="eastAsia" w:ascii="宋体" w:hAnsi="宋体" w:eastAsia="宋体" w:cs="宋体"/>
          <w:b w:val="0"/>
          <w:bCs w:val="0"/>
          <w:color w:val="auto"/>
          <w:sz w:val="22"/>
          <w:szCs w:val="22"/>
          <w:highlight w:val="none"/>
        </w:rPr>
        <w:t>详见合同条款</w:t>
      </w:r>
    </w:p>
    <w:p w14:paraId="0F9BB52A">
      <w:pPr>
        <w:numPr>
          <w:ilvl w:val="0"/>
          <w:numId w:val="0"/>
        </w:numPr>
        <w:spacing w:line="440" w:lineRule="exact"/>
        <w:ind w:firstLine="440" w:firstLineChars="200"/>
        <w:rPr>
          <w:rFonts w:hint="eastAsia" w:ascii="宋体" w:hAnsi="宋体" w:eastAsia="宋体" w:cs="宋体"/>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Cs w:val="22"/>
          <w:highlight w:val="none"/>
        </w:rPr>
        <w:t>供货要求</w:t>
      </w:r>
    </w:p>
    <w:p w14:paraId="1F329F7E">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交货时间：</w:t>
      </w:r>
      <w:r>
        <w:rPr>
          <w:rFonts w:hint="eastAsia" w:cs="新宋体" w:asciiTheme="majorEastAsia" w:hAnsiTheme="majorEastAsia"/>
          <w:b w:val="0"/>
          <w:bCs/>
          <w:color w:val="auto"/>
          <w:kern w:val="0"/>
          <w:szCs w:val="21"/>
          <w:highlight w:val="none"/>
          <w:lang w:val="en-US" w:eastAsia="zh-CN"/>
        </w:rPr>
        <w:t>合同签订生效后12周内完成供货、安装、调试。</w:t>
      </w:r>
    </w:p>
    <w:p w14:paraId="1C285100">
      <w:pPr>
        <w:pageBreakBefore w:val="0"/>
        <w:widowControl w:val="0"/>
        <w:kinsoku/>
        <w:wordWrap/>
        <w:overflowPunct/>
        <w:topLinePunct w:val="0"/>
        <w:autoSpaceDE/>
        <w:autoSpaceDN/>
        <w:bidi w:val="0"/>
        <w:adjustRightInd/>
        <w:snapToGrid/>
        <w:spacing w:line="440" w:lineRule="exact"/>
        <w:ind w:right="-202" w:firstLine="440" w:firstLineChars="200"/>
        <w:jc w:val="both"/>
        <w:textAlignment w:val="auto"/>
        <w:outlineLvl w:val="0"/>
        <w:rPr>
          <w:rFonts w:hint="eastAsia" w:ascii="宋体" w:hAnsi="宋体" w:eastAsia="宋体" w:cs="宋体"/>
          <w:szCs w:val="22"/>
          <w:highlight w:val="none"/>
        </w:rPr>
      </w:pPr>
      <w:r>
        <w:rPr>
          <w:rFonts w:hint="eastAsia" w:ascii="宋体" w:hAnsi="宋体" w:eastAsia="宋体" w:cs="宋体"/>
          <w:szCs w:val="22"/>
          <w:highlight w:val="none"/>
        </w:rPr>
        <w:t>交货地点：采购人指定地点</w:t>
      </w:r>
    </w:p>
    <w:p w14:paraId="7AEB6B09">
      <w:pPr>
        <w:pageBreakBefore w:val="0"/>
        <w:widowControl w:val="0"/>
        <w:kinsoku/>
        <w:wordWrap/>
        <w:overflowPunct/>
        <w:topLinePunct w:val="0"/>
        <w:autoSpaceDE/>
        <w:autoSpaceDN/>
        <w:bidi w:val="0"/>
        <w:adjustRightInd/>
        <w:snapToGrid/>
        <w:spacing w:line="440" w:lineRule="exact"/>
        <w:ind w:right="-202" w:firstLine="440" w:firstLineChars="200"/>
        <w:jc w:val="both"/>
        <w:textAlignment w:val="auto"/>
        <w:outlineLvl w:val="0"/>
        <w:rPr>
          <w:rFonts w:hint="eastAsia" w:ascii="宋体" w:hAnsi="宋体" w:eastAsia="宋体" w:cs="宋体"/>
          <w:szCs w:val="22"/>
          <w:highlight w:val="none"/>
        </w:rPr>
      </w:pPr>
      <w:r>
        <w:rPr>
          <w:rFonts w:hint="eastAsia" w:ascii="宋体" w:hAnsi="宋体" w:eastAsia="宋体" w:cs="宋体"/>
          <w:szCs w:val="22"/>
          <w:highlight w:val="none"/>
          <w:lang w:val="en-US" w:eastAsia="zh-CN"/>
        </w:rPr>
        <w:t>3.质量保质期:</w:t>
      </w:r>
      <w:r>
        <w:rPr>
          <w:rFonts w:hint="eastAsia" w:ascii="宋体" w:hAnsi="宋体" w:eastAsia="宋体" w:cs="宋体"/>
          <w:szCs w:val="22"/>
          <w:highlight w:val="none"/>
        </w:rPr>
        <w:t>自项目通过验收之日起，所有货物免费质保期不得低于1年。</w:t>
      </w:r>
    </w:p>
    <w:p w14:paraId="1BCE06F7">
      <w:pPr>
        <w:pStyle w:val="2"/>
        <w:numPr>
          <w:ilvl w:val="0"/>
          <w:numId w:val="0"/>
        </w:numPr>
        <w:ind w:leftChars="0"/>
        <w:jc w:val="center"/>
        <w:rPr>
          <w:rFonts w:hint="eastAsia"/>
          <w:sz w:val="24"/>
          <w:szCs w:val="24"/>
          <w:lang w:val="en-US" w:eastAsia="zh-CN"/>
        </w:rPr>
      </w:pPr>
    </w:p>
    <w:p w14:paraId="0F2458EB">
      <w:pPr>
        <w:pStyle w:val="2"/>
        <w:numPr>
          <w:ilvl w:val="0"/>
          <w:numId w:val="0"/>
        </w:numPr>
        <w:ind w:leftChars="0"/>
        <w:jc w:val="center"/>
        <w:rPr>
          <w:rFonts w:hint="eastAsia"/>
          <w:sz w:val="24"/>
          <w:szCs w:val="24"/>
          <w:lang w:val="en-US" w:eastAsia="zh-CN"/>
        </w:rPr>
      </w:pPr>
      <w:r>
        <w:rPr>
          <w:rFonts w:hint="eastAsia"/>
          <w:sz w:val="24"/>
          <w:szCs w:val="24"/>
          <w:lang w:val="en-US" w:eastAsia="zh-CN"/>
        </w:rPr>
        <w:t>标段二：注塑机（2套）</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22"/>
        <w:gridCol w:w="690"/>
        <w:gridCol w:w="1896"/>
        <w:gridCol w:w="4851"/>
      </w:tblGrid>
      <w:tr w14:paraId="7E36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52" w:type="pct"/>
            <w:vAlign w:val="center"/>
          </w:tcPr>
          <w:p w14:paraId="2CB51A00">
            <w:pPr>
              <w:widowControl/>
              <w:spacing w:line="240" w:lineRule="auto"/>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序号</w:t>
            </w:r>
          </w:p>
        </w:tc>
        <w:tc>
          <w:tcPr>
            <w:tcW w:w="873" w:type="pct"/>
            <w:vAlign w:val="center"/>
          </w:tcPr>
          <w:p w14:paraId="4A1F22FF">
            <w:pPr>
              <w:widowControl/>
              <w:spacing w:line="240" w:lineRule="auto"/>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设备名称</w:t>
            </w:r>
          </w:p>
        </w:tc>
        <w:tc>
          <w:tcPr>
            <w:tcW w:w="350" w:type="pct"/>
            <w:vAlign w:val="center"/>
          </w:tcPr>
          <w:p w14:paraId="542012DC">
            <w:pPr>
              <w:widowControl/>
              <w:spacing w:line="240" w:lineRule="auto"/>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数量</w:t>
            </w:r>
          </w:p>
        </w:tc>
        <w:tc>
          <w:tcPr>
            <w:tcW w:w="962" w:type="pct"/>
            <w:vAlign w:val="center"/>
          </w:tcPr>
          <w:p w14:paraId="61A314A8">
            <w:pPr>
              <w:widowControl/>
              <w:spacing w:line="240" w:lineRule="auto"/>
              <w:jc w:val="center"/>
              <w:rPr>
                <w:rFonts w:hint="eastAsia" w:ascii="宋体" w:hAnsi="宋体" w:eastAsia="宋体" w:cs="宋体"/>
                <w:b/>
                <w:bCs/>
                <w:kern w:val="0"/>
                <w:sz w:val="22"/>
                <w:szCs w:val="22"/>
                <w:highlight w:val="none"/>
                <w:lang w:val="en-US" w:eastAsia="zh-CN"/>
              </w:rPr>
            </w:pPr>
            <w:r>
              <w:rPr>
                <w:rFonts w:hint="eastAsia" w:ascii="宋体" w:hAnsi="宋体" w:eastAsia="宋体" w:cs="宋体"/>
                <w:b/>
                <w:bCs/>
                <w:kern w:val="0"/>
                <w:sz w:val="22"/>
                <w:szCs w:val="22"/>
                <w:highlight w:val="none"/>
                <w:lang w:val="en-US" w:eastAsia="zh-CN"/>
              </w:rPr>
              <w:t>项目</w:t>
            </w:r>
          </w:p>
        </w:tc>
        <w:tc>
          <w:tcPr>
            <w:tcW w:w="2461" w:type="pct"/>
            <w:vAlign w:val="center"/>
          </w:tcPr>
          <w:p w14:paraId="7C7E18BD">
            <w:pPr>
              <w:widowControl/>
              <w:spacing w:line="240" w:lineRule="auto"/>
              <w:jc w:val="center"/>
              <w:rPr>
                <w:rFonts w:hint="eastAsia" w:ascii="宋体" w:hAnsi="宋体" w:eastAsia="宋体" w:cs="宋体"/>
                <w:b/>
                <w:bCs/>
                <w:kern w:val="0"/>
                <w:sz w:val="22"/>
                <w:szCs w:val="22"/>
                <w:highlight w:val="none"/>
                <w:lang w:eastAsia="zh-CN"/>
              </w:rPr>
            </w:pPr>
            <w:r>
              <w:rPr>
                <w:rFonts w:hint="eastAsia" w:ascii="宋体" w:hAnsi="宋体" w:eastAsia="宋体" w:cs="宋体"/>
                <w:b/>
                <w:bCs/>
                <w:kern w:val="0"/>
                <w:sz w:val="22"/>
                <w:szCs w:val="22"/>
                <w:highlight w:val="none"/>
                <w:lang w:val="en-US" w:eastAsia="zh-CN"/>
              </w:rPr>
              <w:t>规格</w:t>
            </w:r>
          </w:p>
        </w:tc>
      </w:tr>
      <w:tr w14:paraId="3B36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restart"/>
            <w:vAlign w:val="center"/>
          </w:tcPr>
          <w:p w14:paraId="52E8544E">
            <w:pPr>
              <w:widowControl/>
              <w:jc w:val="center"/>
              <w:rPr>
                <w:rFonts w:hint="eastAsia" w:ascii="宋体" w:hAnsi="宋体" w:eastAsia="宋体" w:cs="宋体"/>
                <w:kern w:val="0"/>
                <w:sz w:val="22"/>
                <w:szCs w:val="22"/>
                <w:highlight w:val="none"/>
                <w:lang w:eastAsia="zh-CN"/>
              </w:rPr>
            </w:pPr>
            <w:r>
              <w:rPr>
                <w:rFonts w:hint="eastAsia" w:ascii="宋体" w:hAnsi="宋体" w:eastAsia="宋体" w:cs="宋体"/>
                <w:kern w:val="0"/>
                <w:szCs w:val="22"/>
                <w:lang w:val="en-US" w:eastAsia="zh-CN"/>
              </w:rPr>
              <w:t>1</w:t>
            </w:r>
          </w:p>
        </w:tc>
        <w:tc>
          <w:tcPr>
            <w:tcW w:w="1722" w:type="dxa"/>
            <w:vMerge w:val="restart"/>
            <w:vAlign w:val="center"/>
          </w:tcPr>
          <w:p w14:paraId="14B9894A">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Cs w:val="22"/>
              </w:rPr>
              <w:t>注塑机</w:t>
            </w:r>
          </w:p>
        </w:tc>
        <w:tc>
          <w:tcPr>
            <w:tcW w:w="690" w:type="dxa"/>
            <w:vMerge w:val="restart"/>
            <w:tcBorders>
              <w:top w:val="single" w:color="auto" w:sz="4" w:space="0"/>
            </w:tcBorders>
            <w:vAlign w:val="center"/>
          </w:tcPr>
          <w:p w14:paraId="3D52F70B">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Cs w:val="22"/>
              </w:rPr>
              <w:t>2</w:t>
            </w:r>
          </w:p>
        </w:tc>
        <w:tc>
          <w:tcPr>
            <w:tcW w:w="1896" w:type="dxa"/>
            <w:vAlign w:val="center"/>
          </w:tcPr>
          <w:p w14:paraId="1BA02072">
            <w:pPr>
              <w:widowControl/>
              <w:jc w:val="center"/>
              <w:rPr>
                <w:rFonts w:hint="eastAsia" w:ascii="宋体" w:hAnsi="宋体" w:eastAsia="宋体" w:cs="宋体"/>
                <w:kern w:val="0"/>
                <w:sz w:val="22"/>
                <w:szCs w:val="22"/>
                <w:highlight w:val="none"/>
                <w:lang w:val="en-US" w:eastAsia="zh-CN"/>
              </w:rPr>
            </w:pPr>
            <w:r>
              <w:rPr>
                <w:rFonts w:hint="eastAsia" w:ascii="宋体" w:hAnsi="宋体" w:eastAsia="宋体" w:cs="宋体"/>
                <w:color w:val="000000"/>
                <w:szCs w:val="22"/>
              </w:rPr>
              <w:t>夹紧装置</w:t>
            </w:r>
          </w:p>
        </w:tc>
        <w:tc>
          <w:tcPr>
            <w:tcW w:w="4851" w:type="dxa"/>
            <w:vAlign w:val="center"/>
          </w:tcPr>
          <w:p w14:paraId="7435E42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夹紧力：130吨-150吨（电动、机械式）</w:t>
            </w:r>
          </w:p>
          <w:p w14:paraId="43F04650">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拉杆间隙（宽x高） 500mmX500mm -550mmX550mm</w:t>
            </w:r>
          </w:p>
          <w:p w14:paraId="6758E1B0">
            <w:pPr>
              <w:numPr>
                <w:ilvl w:val="0"/>
                <w:numId w:val="15"/>
              </w:numPr>
              <w:autoSpaceDE w:val="0"/>
              <w:autoSpaceDN w:val="0"/>
              <w:adjustRightInd w:val="0"/>
              <w:ind w:hanging="315"/>
              <w:jc w:val="left"/>
              <w:rPr>
                <w:rFonts w:ascii="宋体" w:hAnsi="宋体" w:eastAsia="宋体" w:cs="宋体"/>
                <w:color w:val="000000"/>
                <w:szCs w:val="22"/>
              </w:rPr>
            </w:pPr>
            <w:r>
              <w:rPr>
                <w:rFonts w:hint="eastAsia" w:ascii="宋体" w:hAnsi="宋体" w:eastAsia="宋体" w:cs="宋体"/>
                <w:color w:val="000000"/>
                <w:szCs w:val="22"/>
              </w:rPr>
              <w:t>模具厚度 （最小 - 最大）：       500mmX500mm~800mm~950mm</w:t>
            </w:r>
          </w:p>
          <w:p w14:paraId="74E29D3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压板尺寸（宽x高）：500mmX500mm~700mmX700mm</w:t>
            </w:r>
          </w:p>
          <w:p w14:paraId="68A25BE9">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顶出力： 3-3.5吨（电动、 机械式）</w:t>
            </w:r>
          </w:p>
          <w:p w14:paraId="7C2FAD8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顶出速度： 250mm/s-300mm/s</w:t>
            </w:r>
          </w:p>
          <w:p w14:paraId="385AB22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顶出行程： 60mm~150mm</w:t>
            </w:r>
          </w:p>
          <w:p w14:paraId="39EF27F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开/关速度编程控制（5 段/3 段）</w:t>
            </w:r>
          </w:p>
          <w:p w14:paraId="169B0F23">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模具保护 5-6 阶段</w:t>
            </w:r>
          </w:p>
          <w:p w14:paraId="5777B3C3">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低压夹紧装置</w:t>
            </w:r>
          </w:p>
          <w:p w14:paraId="38A0022E">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开模/合模暂停</w:t>
            </w:r>
          </w:p>
          <w:p w14:paraId="54B41BC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夹紧力远程控制</w:t>
            </w:r>
          </w:p>
          <w:p w14:paraId="57F6D6A7">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喷射器远程设置（2 个速度控制、压力、行程、延迟计时器、多个时间突起）</w:t>
            </w:r>
          </w:p>
          <w:p w14:paraId="238F393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阀针式浇口驱动电路</w:t>
            </w:r>
          </w:p>
          <w:p w14:paraId="19B0FAD0">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合模联锁装置（电气式、机械式）</w:t>
            </w:r>
          </w:p>
          <w:p w14:paraId="4B8533A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带聚碳酸酯窗口的夹盖</w:t>
            </w:r>
          </w:p>
          <w:p w14:paraId="09C33483">
            <w:pPr>
              <w:numPr>
                <w:ilvl w:val="0"/>
                <w:numId w:val="15"/>
              </w:numPr>
              <w:autoSpaceDE w:val="0"/>
              <w:autoSpaceDN w:val="0"/>
              <w:adjustRightInd w:val="0"/>
              <w:ind w:left="480" w:leftChars="0" w:hanging="315" w:firstLineChars="0"/>
              <w:rPr>
                <w:rFonts w:hint="eastAsia" w:ascii="宋体" w:hAnsi="宋体" w:eastAsia="宋体" w:cs="宋体"/>
                <w:kern w:val="0"/>
                <w:sz w:val="22"/>
                <w:szCs w:val="22"/>
                <w:highlight w:val="none"/>
              </w:rPr>
            </w:pPr>
            <w:r>
              <w:rPr>
                <w:rFonts w:hint="eastAsia" w:ascii="宋体" w:hAnsi="宋体" w:eastAsia="宋体" w:cs="宋体"/>
                <w:color w:val="000000"/>
                <w:szCs w:val="22"/>
              </w:rPr>
              <w:t>最小合模成型</w:t>
            </w:r>
          </w:p>
        </w:tc>
      </w:tr>
      <w:tr w14:paraId="358C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31C2F736">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4199D209">
            <w:pPr>
              <w:widowControl/>
              <w:jc w:val="center"/>
              <w:rPr>
                <w:rFonts w:hint="eastAsia" w:ascii="宋体" w:hAnsi="宋体" w:eastAsia="宋体" w:cs="宋体"/>
                <w:kern w:val="0"/>
                <w:sz w:val="22"/>
                <w:szCs w:val="22"/>
                <w:highlight w:val="none"/>
                <w:lang w:val="en-US" w:eastAsia="zh-CN"/>
              </w:rPr>
            </w:pPr>
          </w:p>
        </w:tc>
        <w:tc>
          <w:tcPr>
            <w:tcW w:w="690" w:type="dxa"/>
            <w:vMerge w:val="continue"/>
            <w:vAlign w:val="center"/>
          </w:tcPr>
          <w:p w14:paraId="4D8CA172">
            <w:pPr>
              <w:widowControl/>
              <w:jc w:val="center"/>
              <w:rPr>
                <w:rFonts w:hint="eastAsia" w:ascii="宋体" w:hAnsi="宋体" w:eastAsia="宋体" w:cs="宋体"/>
                <w:kern w:val="0"/>
                <w:sz w:val="22"/>
                <w:szCs w:val="22"/>
                <w:highlight w:val="none"/>
                <w:lang w:val="en-US" w:eastAsia="zh-CN"/>
              </w:rPr>
            </w:pPr>
          </w:p>
        </w:tc>
        <w:tc>
          <w:tcPr>
            <w:tcW w:w="1896" w:type="dxa"/>
            <w:vAlign w:val="center"/>
          </w:tcPr>
          <w:p w14:paraId="7BE1E769">
            <w:pPr>
              <w:widowControl/>
              <w:jc w:val="center"/>
              <w:rPr>
                <w:rFonts w:ascii="宋体" w:hAnsi="宋体" w:eastAsia="宋体" w:cs="宋体"/>
                <w:color w:val="000000"/>
                <w:szCs w:val="22"/>
              </w:rPr>
            </w:pPr>
            <w:r>
              <w:rPr>
                <w:rFonts w:hint="eastAsia" w:ascii="宋体" w:hAnsi="宋体" w:eastAsia="宋体" w:cs="宋体"/>
                <w:color w:val="000000"/>
                <w:szCs w:val="22"/>
              </w:rPr>
              <w:t>注射单元</w:t>
            </w:r>
          </w:p>
          <w:p w14:paraId="4B65028A">
            <w:pPr>
              <w:widowControl/>
              <w:jc w:val="center"/>
              <w:rPr>
                <w:rFonts w:hint="eastAsia" w:ascii="宋体" w:hAnsi="宋体" w:eastAsia="宋体" w:cs="宋体"/>
                <w:color w:val="000000"/>
                <w:sz w:val="22"/>
                <w:szCs w:val="22"/>
                <w:highlight w:val="none"/>
                <w:lang w:val="en-US" w:eastAsia="zh-CN"/>
              </w:rPr>
            </w:pPr>
          </w:p>
        </w:tc>
        <w:tc>
          <w:tcPr>
            <w:tcW w:w="4851" w:type="dxa"/>
            <w:vAlign w:val="center"/>
          </w:tcPr>
          <w:p w14:paraId="5EE587E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螺丝组件（光学喷嘴）：32mm-40mm</w:t>
            </w:r>
          </w:p>
          <w:p w14:paraId="30FFDF4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螺丝位置；数显：0.01mm-0.02mm</w:t>
            </w:r>
          </w:p>
          <w:p w14:paraId="2004BE4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注射压力：200-250MPa</w:t>
            </w:r>
          </w:p>
          <w:p w14:paraId="1BB8412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注射保压压力：200-250MPa</w:t>
            </w:r>
          </w:p>
          <w:p w14:paraId="668E992E">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最大注射速度： 250 毫米/秒-450 毫米/秒</w:t>
            </w:r>
          </w:p>
          <w:p w14:paraId="361B119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注射速度：400-500cm3/s</w:t>
            </w:r>
          </w:p>
          <w:p w14:paraId="5E5E4653">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螺杆最大转速（rpm）：300 毫米-450 毫米</w:t>
            </w:r>
          </w:p>
          <w:p w14:paraId="48AFE3A7">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喷嘴接触力：23kN-30kN</w:t>
            </w:r>
          </w:p>
          <w:p w14:paraId="0A35840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喷嘴 年级：光学的</w:t>
            </w:r>
          </w:p>
          <w:p w14:paraId="3197BFA1">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喷嘴温度：±0.1 ºC</w:t>
            </w:r>
          </w:p>
          <w:p w14:paraId="7AC4A251">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拉杆 平行度 30mm  ±0.03mm</w:t>
            </w:r>
          </w:p>
          <w:p w14:paraId="07C48833">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压缩成型程序：5mm-10mm</w:t>
            </w:r>
          </w:p>
          <w:p w14:paraId="2F10C460">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喷嘴内部 CrN-TiN 涂层</w:t>
            </w:r>
          </w:p>
          <w:p w14:paraId="1317D7AF">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四至六轴同步</w:t>
            </w:r>
          </w:p>
          <w:p w14:paraId="2D83D1D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使用 IJ 设备状态确认进行自动吹扫</w:t>
            </w:r>
          </w:p>
          <w:p w14:paraId="728E374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气缸温度模式设置</w:t>
            </w:r>
          </w:p>
          <w:p w14:paraId="11933A8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螺杆转速数字指示器</w:t>
            </w:r>
          </w:p>
          <w:p w14:paraId="08E6264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气缸温度控制 5 区</w:t>
            </w:r>
          </w:p>
          <w:p w14:paraId="211377D9">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浇口断开行程远程设置</w:t>
            </w:r>
          </w:p>
          <w:p w14:paraId="42933A0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注射/保持响应</w:t>
            </w:r>
          </w:p>
          <w:p w14:paraId="054F3C70">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水冷套温控装置</w:t>
            </w:r>
          </w:p>
          <w:p w14:paraId="6778139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灌装压力多级控制</w:t>
            </w:r>
          </w:p>
          <w:p w14:paraId="5268B855">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L 螺丝：自动同步比例调整</w:t>
            </w:r>
          </w:p>
          <w:p w14:paraId="499E88F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喷嘴温度控制</w:t>
            </w:r>
          </w:p>
          <w:p w14:paraId="66618651">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回拉延迟控制</w:t>
            </w:r>
          </w:p>
          <w:p w14:paraId="65573B44">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流前控制</w:t>
            </w:r>
          </w:p>
        </w:tc>
      </w:tr>
      <w:tr w14:paraId="10BD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2FCA6D3B">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5E65C0B3">
            <w:pPr>
              <w:widowControl/>
              <w:jc w:val="center"/>
              <w:rPr>
                <w:rFonts w:hint="eastAsia" w:ascii="宋体" w:hAnsi="宋体" w:eastAsia="宋体" w:cs="宋体"/>
                <w:kern w:val="0"/>
                <w:sz w:val="22"/>
                <w:szCs w:val="22"/>
                <w:highlight w:val="none"/>
                <w:lang w:val="en-US" w:eastAsia="zh-CN"/>
              </w:rPr>
            </w:pPr>
          </w:p>
        </w:tc>
        <w:tc>
          <w:tcPr>
            <w:tcW w:w="690" w:type="dxa"/>
            <w:vMerge w:val="continue"/>
            <w:tcBorders>
              <w:bottom w:val="nil"/>
            </w:tcBorders>
            <w:vAlign w:val="center"/>
          </w:tcPr>
          <w:p w14:paraId="5D9969EA">
            <w:pPr>
              <w:widowControl/>
              <w:jc w:val="center"/>
              <w:rPr>
                <w:rFonts w:hint="eastAsia" w:ascii="宋体" w:hAnsi="宋体" w:eastAsia="宋体" w:cs="宋体"/>
                <w:kern w:val="0"/>
                <w:sz w:val="22"/>
                <w:szCs w:val="22"/>
                <w:highlight w:val="none"/>
                <w:lang w:val="en-US" w:eastAsia="zh-CN"/>
              </w:rPr>
            </w:pPr>
          </w:p>
        </w:tc>
        <w:tc>
          <w:tcPr>
            <w:tcW w:w="1896" w:type="dxa"/>
            <w:vAlign w:val="center"/>
          </w:tcPr>
          <w:p w14:paraId="47E11A3A">
            <w:pPr>
              <w:widowControl/>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控制单元</w:t>
            </w:r>
          </w:p>
        </w:tc>
        <w:tc>
          <w:tcPr>
            <w:tcW w:w="4851" w:type="dxa"/>
            <w:vAlign w:val="center"/>
          </w:tcPr>
          <w:p w14:paraId="71F659E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TFT彩色液晶屏</w:t>
            </w:r>
          </w:p>
          <w:p w14:paraId="32E859B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触摸屏设置输入装置</w:t>
            </w:r>
          </w:p>
          <w:p w14:paraId="6321CEB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成型条件的内部记忆</w:t>
            </w:r>
          </w:p>
          <w:p w14:paraId="55D560F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成型轮廓显示功能</w:t>
            </w:r>
          </w:p>
          <w:p w14:paraId="5E912CD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USB 连接电路 （Memory）</w:t>
            </w:r>
          </w:p>
          <w:p w14:paraId="0C9B3680">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自动启动/停止功能（降低温度、加热器打开、机器关闭）</w:t>
            </w:r>
          </w:p>
          <w:p w14:paraId="05A07759">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运营支持功能</w:t>
            </w:r>
          </w:p>
          <w:p w14:paraId="23B33F4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屏幕快照功能</w:t>
            </w:r>
          </w:p>
          <w:p w14:paraId="2DFE460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输入速度、位置、压力和转速的工业单位</w:t>
            </w:r>
          </w:p>
          <w:p w14:paraId="3A351B8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初始剔除和中断剔除功能</w:t>
            </w:r>
          </w:p>
          <w:p w14:paraId="3C375FC5">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数字和字符输入键布局更改</w:t>
            </w:r>
          </w:p>
          <w:p w14:paraId="0D15D0CE">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节能模式：节能控制</w:t>
            </w:r>
          </w:p>
          <w:p w14:paraId="5236841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开模时向取出机器人发出信号</w:t>
            </w:r>
          </w:p>
          <w:p w14:paraId="064B9C6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指示灯有三种颜色（红色、黄色、绿色，带模式选择功能）</w:t>
            </w:r>
          </w:p>
          <w:p w14:paraId="0784E08F">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用户可以自定义显示</w:t>
            </w:r>
          </w:p>
          <w:p w14:paraId="7FDD7CD2">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最大持有时间可任意设置</w:t>
            </w:r>
          </w:p>
        </w:tc>
      </w:tr>
      <w:tr w14:paraId="5EE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18751D26">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25F6BC5E">
            <w:pPr>
              <w:widowControl/>
              <w:jc w:val="center"/>
              <w:rPr>
                <w:rFonts w:hint="eastAsia" w:ascii="宋体" w:hAnsi="宋体" w:eastAsia="宋体" w:cs="宋体"/>
                <w:kern w:val="0"/>
                <w:sz w:val="22"/>
                <w:szCs w:val="22"/>
                <w:highlight w:val="none"/>
                <w:lang w:val="en-US" w:eastAsia="zh-CN"/>
              </w:rPr>
            </w:pPr>
          </w:p>
        </w:tc>
        <w:tc>
          <w:tcPr>
            <w:tcW w:w="690" w:type="dxa"/>
            <w:vMerge w:val="restart"/>
            <w:tcBorders>
              <w:top w:val="nil"/>
            </w:tcBorders>
            <w:vAlign w:val="center"/>
          </w:tcPr>
          <w:p w14:paraId="31BC692D">
            <w:pPr>
              <w:widowControl/>
              <w:jc w:val="center"/>
              <w:rPr>
                <w:rFonts w:hint="eastAsia" w:ascii="宋体" w:hAnsi="宋体" w:eastAsia="宋体" w:cs="宋体"/>
                <w:kern w:val="0"/>
                <w:sz w:val="22"/>
                <w:szCs w:val="22"/>
                <w:highlight w:val="none"/>
                <w:lang w:val="en-US" w:eastAsia="zh-CN"/>
              </w:rPr>
            </w:pPr>
          </w:p>
        </w:tc>
        <w:tc>
          <w:tcPr>
            <w:tcW w:w="1896" w:type="dxa"/>
            <w:vAlign w:val="center"/>
          </w:tcPr>
          <w:p w14:paraId="7CA8043E">
            <w:pPr>
              <w:widowControl/>
              <w:jc w:val="center"/>
              <w:rPr>
                <w:rFonts w:ascii="宋体" w:hAnsi="宋体" w:eastAsia="宋体" w:cs="宋体"/>
                <w:color w:val="000000"/>
                <w:szCs w:val="22"/>
              </w:rPr>
            </w:pPr>
            <w:r>
              <w:rPr>
                <w:rFonts w:hint="eastAsia" w:ascii="宋体" w:hAnsi="宋体" w:eastAsia="宋体" w:cs="宋体"/>
                <w:color w:val="000000"/>
                <w:szCs w:val="22"/>
              </w:rPr>
              <w:t>注塑机氮气 （N2） 供应控制系统</w:t>
            </w:r>
          </w:p>
          <w:p w14:paraId="6452EBC1">
            <w:pPr>
              <w:widowControl/>
              <w:jc w:val="center"/>
              <w:rPr>
                <w:rFonts w:hint="eastAsia" w:ascii="宋体" w:hAnsi="宋体" w:eastAsia="宋体" w:cs="宋体"/>
                <w:color w:val="000000"/>
                <w:sz w:val="22"/>
                <w:szCs w:val="22"/>
                <w:highlight w:val="none"/>
                <w:lang w:val="en-US" w:eastAsia="zh-CN"/>
              </w:rPr>
            </w:pPr>
          </w:p>
        </w:tc>
        <w:tc>
          <w:tcPr>
            <w:tcW w:w="4851" w:type="dxa"/>
            <w:vAlign w:val="center"/>
          </w:tcPr>
          <w:p w14:paraId="4EFEF28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 xml:space="preserve">系统配置 </w:t>
            </w:r>
          </w:p>
          <w:p w14:paraId="492BEF27">
            <w:pPr>
              <w:autoSpaceDE w:val="0"/>
              <w:autoSpaceDN w:val="0"/>
              <w:adjustRightInd w:val="0"/>
              <w:ind w:left="165"/>
              <w:rPr>
                <w:rFonts w:ascii="宋体" w:hAnsi="宋体" w:eastAsia="宋体" w:cs="宋体"/>
                <w:color w:val="000000"/>
                <w:szCs w:val="22"/>
              </w:rPr>
            </w:pPr>
            <w:r>
              <w:rPr>
                <w:rFonts w:hint="eastAsia" w:ascii="宋体" w:hAnsi="宋体" w:eastAsia="宋体" w:cs="宋体"/>
                <w:color w:val="000000"/>
                <w:szCs w:val="22"/>
              </w:rPr>
              <w:t>1） 显示氮气供应温度和氧气浓度。</w:t>
            </w:r>
          </w:p>
          <w:p w14:paraId="561D6822">
            <w:pPr>
              <w:numPr>
                <w:ilvl w:val="0"/>
                <w:numId w:val="15"/>
              </w:numPr>
              <w:autoSpaceDE w:val="0"/>
              <w:autoSpaceDN w:val="0"/>
              <w:adjustRightInd w:val="0"/>
              <w:ind w:hanging="315"/>
              <w:rPr>
                <w:rFonts w:ascii="宋体" w:hAnsi="宋体" w:eastAsia="宋体" w:cs="宋体"/>
                <w:color w:val="000000"/>
                <w:szCs w:val="22"/>
                <w:lang w:eastAsia="ja-JP"/>
              </w:rPr>
            </w:pPr>
            <w:r>
              <w:rPr>
                <w:rFonts w:hint="eastAsia" w:ascii="宋体" w:hAnsi="宋体" w:eastAsia="宋体" w:cs="宋体"/>
                <w:color w:val="000000"/>
                <w:szCs w:val="22"/>
                <w:lang w:eastAsia="ja-JP"/>
              </w:rPr>
              <w:t>氮气流量：</w:t>
            </w:r>
          </w:p>
          <w:p w14:paraId="478253B4">
            <w:pPr>
              <w:autoSpaceDE w:val="0"/>
              <w:autoSpaceDN w:val="0"/>
              <w:adjustRightInd w:val="0"/>
              <w:ind w:left="165" w:firstLine="220" w:firstLineChars="100"/>
              <w:rPr>
                <w:rFonts w:ascii="宋体" w:hAnsi="宋体" w:eastAsia="宋体" w:cs="宋体"/>
                <w:color w:val="000000"/>
                <w:szCs w:val="22"/>
                <w:lang w:eastAsia="ja-JP"/>
              </w:rPr>
            </w:pPr>
            <w:r>
              <w:rPr>
                <w:rFonts w:hint="eastAsia" w:ascii="宋体" w:hAnsi="宋体" w:eastAsia="宋体" w:cs="宋体"/>
                <w:color w:val="000000"/>
                <w:szCs w:val="22"/>
                <w:lang w:eastAsia="ja-JP"/>
              </w:rPr>
              <w:t>・ 控制氮气供应和停止气</w:t>
            </w:r>
          </w:p>
          <w:p w14:paraId="11215474">
            <w:pPr>
              <w:autoSpaceDE w:val="0"/>
              <w:autoSpaceDN w:val="0"/>
              <w:adjustRightInd w:val="0"/>
              <w:ind w:left="165" w:firstLine="220" w:firstLineChars="100"/>
              <w:rPr>
                <w:rFonts w:ascii="宋体" w:hAnsi="宋体" w:eastAsia="宋体" w:cs="宋体"/>
                <w:color w:val="000000"/>
                <w:szCs w:val="22"/>
                <w:lang w:eastAsia="ja-JP"/>
              </w:rPr>
            </w:pPr>
            <w:r>
              <w:rPr>
                <w:rFonts w:hint="eastAsia" w:ascii="宋体" w:hAnsi="宋体" w:eastAsia="宋体" w:cs="宋体"/>
                <w:color w:val="000000"/>
                <w:szCs w:val="22"/>
                <w:lang w:eastAsia="ja-JP"/>
              </w:rPr>
              <w:t>・ 监视浓度、流量</w:t>
            </w:r>
          </w:p>
          <w:p w14:paraId="7CA4A19B">
            <w:pPr>
              <w:autoSpaceDE w:val="0"/>
              <w:autoSpaceDN w:val="0"/>
              <w:adjustRightInd w:val="0"/>
              <w:ind w:left="165"/>
              <w:rPr>
                <w:rFonts w:ascii="宋体" w:hAnsi="宋体" w:eastAsia="宋体" w:cs="宋体"/>
                <w:color w:val="000000"/>
                <w:szCs w:val="22"/>
                <w:lang w:eastAsia="ja-JP"/>
              </w:rPr>
            </w:pPr>
            <w:r>
              <w:rPr>
                <w:rFonts w:hint="eastAsia" w:ascii="宋体" w:hAnsi="宋体" w:eastAsia="宋体" w:cs="宋体"/>
                <w:color w:val="000000"/>
                <w:szCs w:val="22"/>
                <w:lang w:eastAsia="ja-JP"/>
              </w:rPr>
              <w:t>2） 工件容量</w:t>
            </w:r>
          </w:p>
          <w:p w14:paraId="358E0F2E">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 xml:space="preserve">1.氮气流量 10-15L/min </w:t>
            </w:r>
          </w:p>
          <w:p w14:paraId="788AB11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2.氮气压力 0.3 MPa</w:t>
            </w:r>
          </w:p>
          <w:p w14:paraId="6BD0E891">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3.</w:t>
            </w:r>
            <w:r>
              <w:rPr>
                <w:rFonts w:hint="eastAsia" w:ascii="宋体" w:hAnsi="宋体" w:eastAsia="宋体" w:cs="宋体"/>
                <w:color w:val="000000"/>
                <w:szCs w:val="22"/>
                <w:lang w:eastAsia="zh-TW"/>
              </w:rPr>
              <w:t>氮气系统</w:t>
            </w:r>
          </w:p>
          <w:p w14:paraId="5D6BD86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4.氮气纯度 99.9%</w:t>
            </w:r>
          </w:p>
          <w:p w14:paraId="36C53A6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5.所需风量 40L/min</w:t>
            </w:r>
          </w:p>
          <w:p w14:paraId="41168D15">
            <w:pPr>
              <w:autoSpaceDE w:val="0"/>
              <w:autoSpaceDN w:val="0"/>
              <w:adjustRightInd w:val="0"/>
              <w:ind w:left="165"/>
              <w:rPr>
                <w:rFonts w:ascii="宋体" w:hAnsi="宋体" w:eastAsia="宋体" w:cs="宋体"/>
                <w:color w:val="000000"/>
                <w:szCs w:val="22"/>
              </w:rPr>
            </w:pPr>
            <w:r>
              <w:rPr>
                <w:rFonts w:hint="eastAsia" w:ascii="宋体" w:hAnsi="宋体" w:eastAsia="宋体" w:cs="宋体"/>
                <w:color w:val="000000"/>
                <w:szCs w:val="22"/>
              </w:rPr>
              <w:t>3） 控制 （N2）</w:t>
            </w:r>
          </w:p>
          <w:p w14:paraId="6ED7CFD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1. 注塑机 设定值、 测量值 氧气浓度 氮气流量</w:t>
            </w:r>
          </w:p>
          <w:p w14:paraId="0D2A20FD">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2. 电子数字控制</w:t>
            </w:r>
          </w:p>
          <w:p w14:paraId="51AC709B">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3.自生成 N2 不需要外部连接设备</w:t>
            </w:r>
          </w:p>
        </w:tc>
      </w:tr>
      <w:tr w14:paraId="74B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1E31403F">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415E708A">
            <w:pPr>
              <w:widowControl/>
              <w:jc w:val="center"/>
              <w:rPr>
                <w:rFonts w:hint="eastAsia" w:ascii="宋体" w:hAnsi="宋体" w:eastAsia="宋体" w:cs="宋体"/>
                <w:kern w:val="0"/>
                <w:sz w:val="22"/>
                <w:szCs w:val="22"/>
                <w:highlight w:val="none"/>
                <w:lang w:val="en-US" w:eastAsia="zh-CN"/>
              </w:rPr>
            </w:pPr>
          </w:p>
        </w:tc>
        <w:tc>
          <w:tcPr>
            <w:tcW w:w="690" w:type="dxa"/>
            <w:vMerge w:val="continue"/>
            <w:vAlign w:val="center"/>
          </w:tcPr>
          <w:p w14:paraId="73939D22">
            <w:pPr>
              <w:widowControl/>
              <w:jc w:val="center"/>
              <w:rPr>
                <w:rFonts w:hint="eastAsia" w:ascii="宋体" w:hAnsi="宋体" w:eastAsia="宋体" w:cs="宋体"/>
                <w:kern w:val="0"/>
                <w:sz w:val="22"/>
                <w:szCs w:val="22"/>
                <w:highlight w:val="none"/>
                <w:lang w:val="en-US" w:eastAsia="zh-CN"/>
              </w:rPr>
            </w:pPr>
          </w:p>
        </w:tc>
        <w:tc>
          <w:tcPr>
            <w:tcW w:w="1896" w:type="dxa"/>
            <w:vAlign w:val="center"/>
          </w:tcPr>
          <w:p w14:paraId="24DBB4D1">
            <w:pPr>
              <w:widowControl/>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成型保护</w:t>
            </w:r>
          </w:p>
        </w:tc>
        <w:tc>
          <w:tcPr>
            <w:tcW w:w="4851" w:type="dxa"/>
            <w:vAlign w:val="center"/>
          </w:tcPr>
          <w:p w14:paraId="58B53CFF">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实时监控 监控每个周期中伺服电机的负载</w:t>
            </w:r>
          </w:p>
          <w:p w14:paraId="1123D3C4">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问题检测 检测负载偏差</w:t>
            </w:r>
          </w:p>
          <w:p w14:paraId="4360D327">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保护 立即中断夹紧和顶出运动</w:t>
            </w:r>
          </w:p>
          <w:p w14:paraId="6DE251B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夹紧伺服电机</w:t>
            </w:r>
          </w:p>
          <w:p w14:paraId="5220FEB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顶出伺服电机</w:t>
            </w:r>
          </w:p>
          <w:p w14:paraId="3F87EA5E">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检测合模过程中的剩余成型品或异常滑动的型芯</w:t>
            </w:r>
          </w:p>
          <w:p w14:paraId="5CA16970">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开模时的高精度运动</w:t>
            </w:r>
          </w:p>
        </w:tc>
      </w:tr>
      <w:tr w14:paraId="5ED2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5DF5CC6E">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67D60A04">
            <w:pPr>
              <w:widowControl/>
              <w:jc w:val="center"/>
              <w:rPr>
                <w:rFonts w:hint="eastAsia" w:ascii="宋体" w:hAnsi="宋体" w:eastAsia="宋体" w:cs="宋体"/>
                <w:kern w:val="0"/>
                <w:sz w:val="22"/>
                <w:szCs w:val="22"/>
                <w:highlight w:val="none"/>
                <w:lang w:val="en-US" w:eastAsia="zh-CN"/>
              </w:rPr>
            </w:pPr>
          </w:p>
        </w:tc>
        <w:tc>
          <w:tcPr>
            <w:tcW w:w="690" w:type="dxa"/>
            <w:vMerge w:val="continue"/>
            <w:vAlign w:val="center"/>
          </w:tcPr>
          <w:p w14:paraId="4EEA8543">
            <w:pPr>
              <w:widowControl/>
              <w:jc w:val="center"/>
              <w:rPr>
                <w:rFonts w:hint="eastAsia" w:ascii="宋体" w:hAnsi="宋体" w:eastAsia="宋体" w:cs="宋体"/>
                <w:kern w:val="0"/>
                <w:sz w:val="22"/>
                <w:szCs w:val="22"/>
                <w:highlight w:val="none"/>
                <w:lang w:val="en-US" w:eastAsia="zh-CN"/>
              </w:rPr>
            </w:pPr>
          </w:p>
        </w:tc>
        <w:tc>
          <w:tcPr>
            <w:tcW w:w="1896" w:type="dxa"/>
            <w:vAlign w:val="center"/>
          </w:tcPr>
          <w:p w14:paraId="1639960A">
            <w:pPr>
              <w:widowControl/>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监控设备</w:t>
            </w:r>
          </w:p>
        </w:tc>
        <w:tc>
          <w:tcPr>
            <w:tcW w:w="4851" w:type="dxa"/>
            <w:vAlign w:val="center"/>
          </w:tcPr>
          <w:p w14:paraId="3FFF19E5">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实际值显示功能</w:t>
            </w:r>
          </w:p>
          <w:p w14:paraId="45274A45">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加热器破损监测器</w:t>
            </w:r>
          </w:p>
          <w:p w14:paraId="581E08E1">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辅助设施监视器</w:t>
            </w:r>
          </w:p>
          <w:p w14:paraId="6F3C672E">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注射压力监控功能 （5 点）</w:t>
            </w:r>
          </w:p>
          <w:p w14:paraId="53CAA272">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循环分析</w:t>
            </w:r>
          </w:p>
          <w:p w14:paraId="62437D2B">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自动启动装置</w:t>
            </w:r>
          </w:p>
          <w:p w14:paraId="06019C6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顶出器扭矩监控</w:t>
            </w:r>
          </w:p>
          <w:p w14:paraId="59C74DB6">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列表设置界面</w:t>
            </w:r>
          </w:p>
        </w:tc>
      </w:tr>
      <w:tr w14:paraId="4FED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5A7F7EC6">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5B92F748">
            <w:pPr>
              <w:widowControl/>
              <w:jc w:val="center"/>
              <w:rPr>
                <w:rFonts w:hint="eastAsia" w:ascii="宋体" w:hAnsi="宋体" w:eastAsia="宋体" w:cs="宋体"/>
                <w:kern w:val="0"/>
                <w:sz w:val="22"/>
                <w:szCs w:val="22"/>
                <w:highlight w:val="none"/>
                <w:lang w:val="en-US" w:eastAsia="zh-CN"/>
              </w:rPr>
            </w:pPr>
          </w:p>
        </w:tc>
        <w:tc>
          <w:tcPr>
            <w:tcW w:w="690" w:type="dxa"/>
            <w:vMerge w:val="continue"/>
            <w:vAlign w:val="center"/>
          </w:tcPr>
          <w:p w14:paraId="50BB0EC4">
            <w:pPr>
              <w:widowControl/>
              <w:jc w:val="center"/>
              <w:rPr>
                <w:rFonts w:hint="eastAsia" w:ascii="宋体" w:hAnsi="宋体" w:eastAsia="宋体" w:cs="宋体"/>
                <w:kern w:val="0"/>
                <w:sz w:val="22"/>
                <w:szCs w:val="22"/>
                <w:highlight w:val="none"/>
                <w:lang w:val="en-US" w:eastAsia="zh-CN"/>
              </w:rPr>
            </w:pPr>
            <w:bookmarkStart w:id="33" w:name="OLE_LINK82"/>
            <w:bookmarkStart w:id="34" w:name="OLE_LINK81"/>
          </w:p>
          <w:bookmarkEnd w:id="33"/>
          <w:bookmarkEnd w:id="34"/>
        </w:tc>
        <w:tc>
          <w:tcPr>
            <w:tcW w:w="1896" w:type="dxa"/>
            <w:vAlign w:val="center"/>
          </w:tcPr>
          <w:p w14:paraId="32F57B6F">
            <w:pPr>
              <w:widowControl/>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其他要求</w:t>
            </w:r>
          </w:p>
        </w:tc>
        <w:tc>
          <w:tcPr>
            <w:tcW w:w="4851" w:type="dxa"/>
            <w:vAlign w:val="center"/>
          </w:tcPr>
          <w:p w14:paraId="7D653575">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模具冷却水冷头</w:t>
            </w:r>
          </w:p>
          <w:p w14:paraId="2041420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容易夹緊裝置</w:t>
            </w:r>
          </w:p>
          <w:p w14:paraId="6514238C">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 xml:space="preserve">手册： </w:t>
            </w:r>
          </w:p>
          <w:p w14:paraId="21157E59">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系统必须采用行业标准的高规格控制系统和全面的整体 PLC，以确保功能安全可靠。提供完整的控制系统和软件描述手册，使工程师/操作员 能够开发自己独特的处理能力。</w:t>
            </w:r>
          </w:p>
          <w:p w14:paraId="3CFD39C6">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必须提供维护和模块配置手册。这些手册允许受过培训的人员进行初步诊断、维护和机器模块重新配置/更换（在基于互联网的远程支持下）。</w:t>
            </w:r>
          </w:p>
        </w:tc>
      </w:tr>
      <w:tr w14:paraId="7DF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vMerge w:val="continue"/>
            <w:vAlign w:val="center"/>
          </w:tcPr>
          <w:p w14:paraId="1E434819">
            <w:pPr>
              <w:widowControl/>
              <w:jc w:val="center"/>
              <w:rPr>
                <w:rFonts w:hint="eastAsia" w:ascii="宋体" w:hAnsi="宋体" w:eastAsia="宋体" w:cs="宋体"/>
                <w:kern w:val="0"/>
                <w:sz w:val="22"/>
                <w:szCs w:val="22"/>
                <w:highlight w:val="none"/>
                <w:lang w:val="en-US" w:eastAsia="zh-CN"/>
              </w:rPr>
            </w:pPr>
          </w:p>
        </w:tc>
        <w:tc>
          <w:tcPr>
            <w:tcW w:w="1722" w:type="dxa"/>
            <w:vMerge w:val="continue"/>
            <w:vAlign w:val="center"/>
          </w:tcPr>
          <w:p w14:paraId="4330E942">
            <w:pPr>
              <w:widowControl/>
              <w:jc w:val="center"/>
              <w:rPr>
                <w:rFonts w:hint="eastAsia" w:ascii="宋体" w:hAnsi="宋体" w:eastAsia="宋体" w:cs="宋体"/>
                <w:kern w:val="0"/>
                <w:sz w:val="22"/>
                <w:szCs w:val="22"/>
                <w:highlight w:val="none"/>
                <w:lang w:val="en-US" w:eastAsia="zh-CN"/>
              </w:rPr>
            </w:pPr>
          </w:p>
        </w:tc>
        <w:tc>
          <w:tcPr>
            <w:tcW w:w="690" w:type="dxa"/>
            <w:vMerge w:val="continue"/>
            <w:vAlign w:val="center"/>
          </w:tcPr>
          <w:p w14:paraId="25230373">
            <w:pPr>
              <w:widowControl/>
              <w:jc w:val="center"/>
              <w:rPr>
                <w:rFonts w:hint="eastAsia" w:ascii="宋体" w:hAnsi="宋体" w:eastAsia="宋体" w:cs="宋体"/>
                <w:kern w:val="0"/>
                <w:sz w:val="22"/>
                <w:szCs w:val="22"/>
                <w:highlight w:val="none"/>
                <w:lang w:val="en-US" w:eastAsia="zh-CN"/>
              </w:rPr>
            </w:pPr>
          </w:p>
        </w:tc>
        <w:tc>
          <w:tcPr>
            <w:tcW w:w="1896" w:type="dxa"/>
            <w:vAlign w:val="center"/>
          </w:tcPr>
          <w:p w14:paraId="4072E1FD">
            <w:pPr>
              <w:widowControl/>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性能验收测试</w:t>
            </w:r>
          </w:p>
        </w:tc>
        <w:tc>
          <w:tcPr>
            <w:tcW w:w="4851" w:type="dxa"/>
            <w:vAlign w:val="center"/>
          </w:tcPr>
          <w:p w14:paraId="691DC22A">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气缸温度 +/- 2ºC</w:t>
            </w:r>
          </w:p>
          <w:p w14:paraId="65AC3F69">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螺丝位置 +/- 0.01mm</w:t>
            </w:r>
          </w:p>
          <w:p w14:paraId="64F99E3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夹具位置 +/- 0.01mm</w:t>
            </w:r>
          </w:p>
          <w:p w14:paraId="03A2D80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注射速度 +/- 0.1mm</w:t>
            </w:r>
          </w:p>
          <w:p w14:paraId="33A8B611">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喷嘴接触力 +/-10kN</w:t>
            </w:r>
          </w:p>
          <w:p w14:paraId="39F5D756">
            <w:pPr>
              <w:numPr>
                <w:ilvl w:val="0"/>
                <w:numId w:val="15"/>
              </w:numPr>
              <w:autoSpaceDE w:val="0"/>
              <w:autoSpaceDN w:val="0"/>
              <w:adjustRightInd w:val="0"/>
              <w:ind w:hanging="315"/>
              <w:rPr>
                <w:rFonts w:ascii="宋体" w:hAnsi="宋体" w:eastAsia="宋体" w:cs="宋体"/>
                <w:color w:val="000000"/>
                <w:szCs w:val="22"/>
              </w:rPr>
            </w:pPr>
            <w:r>
              <w:rPr>
                <w:rFonts w:hint="eastAsia" w:ascii="宋体" w:hAnsi="宋体" w:eastAsia="宋体" w:cs="宋体"/>
                <w:color w:val="000000"/>
                <w:szCs w:val="22"/>
              </w:rPr>
              <w:t>注射质量  +/-2%</w:t>
            </w:r>
          </w:p>
          <w:p w14:paraId="16C3037D">
            <w:pPr>
              <w:numPr>
                <w:ilvl w:val="0"/>
                <w:numId w:val="15"/>
              </w:numPr>
              <w:autoSpaceDE w:val="0"/>
              <w:autoSpaceDN w:val="0"/>
              <w:adjustRightInd w:val="0"/>
              <w:ind w:left="480" w:leftChars="0" w:hanging="315" w:firstLineChars="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Cs w:val="22"/>
              </w:rPr>
              <w:t>夹紧力 +/-3%</w:t>
            </w:r>
          </w:p>
        </w:tc>
      </w:tr>
    </w:tbl>
    <w:p w14:paraId="2B62FD1A">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szCs w:val="22"/>
          <w:lang w:eastAsia="zh-CN"/>
        </w:rPr>
      </w:pPr>
      <w:r>
        <w:rPr>
          <w:rFonts w:hint="eastAsia" w:ascii="宋体" w:hAnsi="宋体" w:eastAsia="宋体" w:cs="宋体"/>
          <w:b/>
          <w:bCs/>
          <w:szCs w:val="22"/>
          <w:lang w:val="en-US" w:eastAsia="zh-CN"/>
        </w:rPr>
        <w:t>其他</w:t>
      </w:r>
      <w:r>
        <w:rPr>
          <w:rFonts w:hint="eastAsia" w:ascii="宋体" w:hAnsi="宋体" w:eastAsia="宋体" w:cs="宋体"/>
          <w:b/>
          <w:bCs/>
          <w:szCs w:val="22"/>
        </w:rPr>
        <w:t>商务要求</w:t>
      </w:r>
      <w:r>
        <w:rPr>
          <w:rFonts w:hint="eastAsia" w:ascii="宋体" w:hAnsi="宋体" w:eastAsia="宋体" w:cs="宋体"/>
          <w:b/>
          <w:bCs/>
          <w:szCs w:val="22"/>
          <w:lang w:eastAsia="zh-CN"/>
        </w:rPr>
        <w:t>：</w:t>
      </w:r>
    </w:p>
    <w:p w14:paraId="24638A92">
      <w:pPr>
        <w:spacing w:line="440" w:lineRule="exact"/>
        <w:ind w:firstLine="440" w:firstLineChars="200"/>
        <w:rPr>
          <w:rFonts w:hint="default" w:ascii="宋体" w:hAnsi="宋体" w:eastAsia="宋体" w:cs="宋体"/>
          <w:szCs w:val="22"/>
          <w:highlight w:val="none"/>
          <w:lang w:val="en-US" w:eastAsia="zh-CN"/>
        </w:rPr>
      </w:pPr>
      <w:r>
        <w:rPr>
          <w:rFonts w:hint="eastAsia" w:ascii="宋体" w:hAnsi="宋体" w:eastAsia="宋体" w:cs="宋体"/>
          <w:szCs w:val="22"/>
          <w:highlight w:val="none"/>
        </w:rPr>
        <w:t>1.付款方式和条件</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详见合同条款</w:t>
      </w:r>
      <w:r>
        <w:rPr>
          <w:rFonts w:hint="eastAsia" w:ascii="宋体" w:hAnsi="宋体" w:cs="宋体"/>
          <w:kern w:val="0"/>
          <w:szCs w:val="21"/>
          <w:highlight w:val="none"/>
        </w:rPr>
        <w:t>。</w:t>
      </w:r>
    </w:p>
    <w:p w14:paraId="1ADBD7C0">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2.供货要求</w:t>
      </w:r>
    </w:p>
    <w:p w14:paraId="5722A662">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交货时间：</w:t>
      </w:r>
      <w:r>
        <w:rPr>
          <w:rFonts w:hint="eastAsia" w:cs="新宋体" w:asciiTheme="majorEastAsia" w:hAnsiTheme="majorEastAsia"/>
          <w:b w:val="0"/>
          <w:bCs/>
          <w:color w:val="auto"/>
          <w:kern w:val="0"/>
          <w:szCs w:val="21"/>
          <w:highlight w:val="none"/>
          <w:lang w:val="en-US" w:eastAsia="zh-CN"/>
        </w:rPr>
        <w:t>合同签订生效后2个月内完成供货、安装、调试。</w:t>
      </w:r>
    </w:p>
    <w:p w14:paraId="11CEA68D">
      <w:pPr>
        <w:pageBreakBefore w:val="0"/>
        <w:widowControl w:val="0"/>
        <w:kinsoku/>
        <w:wordWrap/>
        <w:overflowPunct/>
        <w:topLinePunct w:val="0"/>
        <w:autoSpaceDE/>
        <w:autoSpaceDN/>
        <w:bidi w:val="0"/>
        <w:adjustRightInd/>
        <w:snapToGrid/>
        <w:spacing w:line="440" w:lineRule="exact"/>
        <w:ind w:right="-202" w:firstLine="440" w:firstLineChars="200"/>
        <w:jc w:val="both"/>
        <w:textAlignment w:val="auto"/>
        <w:outlineLvl w:val="0"/>
        <w:rPr>
          <w:rFonts w:hint="eastAsia" w:ascii="宋体" w:hAnsi="宋体" w:eastAsia="宋体" w:cs="宋体"/>
          <w:szCs w:val="22"/>
          <w:highlight w:val="none"/>
        </w:rPr>
      </w:pPr>
      <w:r>
        <w:rPr>
          <w:rFonts w:hint="eastAsia" w:ascii="宋体" w:hAnsi="宋体" w:eastAsia="宋体" w:cs="宋体"/>
          <w:szCs w:val="22"/>
          <w:highlight w:val="none"/>
        </w:rPr>
        <w:t>交货地点：采购人指定地点</w:t>
      </w:r>
    </w:p>
    <w:p w14:paraId="28817556">
      <w:pPr>
        <w:pageBreakBefore w:val="0"/>
        <w:widowControl w:val="0"/>
        <w:numPr>
          <w:ilvl w:val="0"/>
          <w:numId w:val="0"/>
        </w:numPr>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lang w:val="en-US" w:eastAsia="zh-CN"/>
        </w:rPr>
        <w:t>3.质量保质期:</w:t>
      </w:r>
      <w:r>
        <w:rPr>
          <w:rFonts w:hint="eastAsia" w:ascii="宋体" w:hAnsi="宋体" w:eastAsia="宋体" w:cs="宋体"/>
          <w:szCs w:val="22"/>
          <w:highlight w:val="none"/>
        </w:rPr>
        <w:t>自项目通过验收之日起，所有货物免费质保期不得低于</w:t>
      </w:r>
      <w:r>
        <w:rPr>
          <w:rFonts w:hint="eastAsia" w:ascii="宋体" w:hAnsi="宋体" w:eastAsia="宋体" w:cs="宋体"/>
          <w:szCs w:val="22"/>
          <w:highlight w:val="none"/>
          <w:lang w:val="en-US" w:eastAsia="zh-CN"/>
        </w:rPr>
        <w:t>3</w:t>
      </w:r>
      <w:r>
        <w:rPr>
          <w:rFonts w:hint="eastAsia" w:ascii="宋体" w:hAnsi="宋体" w:eastAsia="宋体" w:cs="宋体"/>
          <w:szCs w:val="22"/>
          <w:highlight w:val="none"/>
        </w:rPr>
        <w:t>年。</w:t>
      </w:r>
    </w:p>
    <w:p w14:paraId="0BAEA16D">
      <w:pPr>
        <w:pageBreakBefore w:val="0"/>
        <w:widowControl w:val="0"/>
        <w:kinsoku/>
        <w:wordWrap/>
        <w:overflowPunct/>
        <w:topLinePunct w:val="0"/>
        <w:autoSpaceDE/>
        <w:autoSpaceDN/>
        <w:bidi w:val="0"/>
        <w:adjustRightInd/>
        <w:snapToGrid/>
        <w:spacing w:line="440" w:lineRule="exact"/>
        <w:ind w:firstLine="442" w:firstLineChars="200"/>
        <w:jc w:val="center"/>
        <w:textAlignment w:val="auto"/>
        <w:rPr>
          <w:rFonts w:hint="eastAsia" w:ascii="宋体" w:hAnsi="宋体" w:eastAsia="宋体" w:cs="宋体"/>
          <w:b/>
          <w:bCs/>
          <w:lang w:val="en-US" w:eastAsia="zh-CN"/>
        </w:rPr>
      </w:pPr>
    </w:p>
    <w:p w14:paraId="2C415BAA">
      <w:pPr>
        <w:pageBreakBefore w:val="0"/>
        <w:widowControl w:val="0"/>
        <w:kinsoku/>
        <w:wordWrap/>
        <w:overflowPunct/>
        <w:topLinePunct w:val="0"/>
        <w:autoSpaceDE/>
        <w:autoSpaceDN/>
        <w:bidi w:val="0"/>
        <w:adjustRightInd/>
        <w:snapToGrid/>
        <w:spacing w:line="440" w:lineRule="exact"/>
        <w:ind w:firstLine="44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三、其他商务要求：（标段1-2通用）</w:t>
      </w:r>
    </w:p>
    <w:p w14:paraId="3795C275">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售后服务要求</w:t>
      </w:r>
    </w:p>
    <w:p w14:paraId="39A2DAFA">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1</w:t>
      </w:r>
      <w:r>
        <w:rPr>
          <w:rFonts w:hint="eastAsia" w:ascii="宋体" w:hAnsi="宋体" w:eastAsia="宋体" w:cs="宋体"/>
          <w:szCs w:val="22"/>
        </w:rPr>
        <w:t>）运输、装卸、安装、调试由中标人负责。</w:t>
      </w:r>
    </w:p>
    <w:p w14:paraId="0F8665DD">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2</w:t>
      </w:r>
      <w:r>
        <w:rPr>
          <w:rFonts w:hint="eastAsia" w:ascii="宋体" w:hAnsi="宋体" w:eastAsia="宋体" w:cs="宋体"/>
          <w:szCs w:val="22"/>
        </w:rPr>
        <w:t>）根据此次项目的实际情况，中标人须提供专业化的培训和技术交流，帮助采购人提高技术水平和解决常见故障的能力。根据采购人的需求进行技术培训，培训内容包括但不限于：设备的功能介绍、日常操作、保养和维护。</w:t>
      </w:r>
    </w:p>
    <w:p w14:paraId="04840E4E">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）中标人须指派专人负责与采购人联系售后服务事宜，售后服务至少包含以下内容：</w:t>
      </w:r>
    </w:p>
    <w:p w14:paraId="148C37D3">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①7x24电话支持响应</w:t>
      </w:r>
    </w:p>
    <w:p w14:paraId="42F7C690">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要求提供7x24不间断的电话服务支持，不限次。采购人工作人员在项目范围内的软硬件设备如遇到问题,无论是软件或硬件,都随时可以得到中标人的电话支持与帮助。中标人需指定一名主要联系人及一名替补联系人与采购人联系。一旦接到采购人请求电话,中标人的技术人员将在规定时间内通过电话解决或回答采购人所提出的问题。若中标人指定工程师如果因特殊原因离职或更换电话，及时通知采购人，并指定合格的接替人员。</w:t>
      </w:r>
    </w:p>
    <w:p w14:paraId="254CDB6E">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②日常操作技术支持</w:t>
      </w:r>
    </w:p>
    <w:p w14:paraId="3E06AEC8">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中标人需要对采购人提供日常的技术支持，针对采购人无法完成的操作，提供远程和电话技术支持，以及到现场提供技术支持。</w:t>
      </w:r>
    </w:p>
    <w:p w14:paraId="0A8E26D4">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4</w:t>
      </w:r>
      <w:r>
        <w:rPr>
          <w:rFonts w:hint="eastAsia" w:ascii="宋体" w:hAnsi="宋体" w:eastAsia="宋体" w:cs="宋体"/>
          <w:szCs w:val="22"/>
        </w:rPr>
        <w:t>）中标人需提供售后服务方案，方案包含售后培训方案、服务计划（含人员、网点、联系方式等）、维修响应时间及保障方案等。</w:t>
      </w:r>
    </w:p>
    <w:p w14:paraId="347D21B7">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lang w:val="en-US" w:eastAsia="zh-CN"/>
        </w:rPr>
        <w:t>2</w:t>
      </w:r>
      <w:r>
        <w:rPr>
          <w:rFonts w:hint="eastAsia" w:ascii="宋体" w:hAnsi="宋体" w:eastAsia="宋体" w:cs="宋体"/>
          <w:szCs w:val="22"/>
        </w:rPr>
        <w:t>.验收要求</w:t>
      </w:r>
    </w:p>
    <w:p w14:paraId="34A1C204">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（1）本项目安装开工前须提供专项的安装和实施方案，经采购人认可后方可安装施工，安装位置需科学合理并经采购人确认，安装施工必须符合国家相关的安装技术规范要求；</w:t>
      </w:r>
    </w:p>
    <w:p w14:paraId="64E7F41D">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（2）项目完成后，中标人须负责全部系统的保护和清洁工作，直至设备验收合格并交付采购人正常使用为止。</w:t>
      </w:r>
    </w:p>
    <w:p w14:paraId="484458FA">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lang w:val="en-US" w:eastAsia="zh-CN"/>
        </w:rPr>
        <w:t>3</w:t>
      </w:r>
      <w:r>
        <w:rPr>
          <w:rFonts w:hint="eastAsia" w:ascii="宋体" w:hAnsi="宋体" w:eastAsia="宋体" w:cs="宋体"/>
          <w:szCs w:val="22"/>
        </w:rPr>
        <w:t>.质量要求</w:t>
      </w:r>
    </w:p>
    <w:p w14:paraId="4953D448">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（1）中标人须提供全新的货物且权属清楚，不得侵害他人的知识产权。</w:t>
      </w:r>
    </w:p>
    <w:p w14:paraId="73C1E557">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（2）货物必须符合或优于国家（行业）标准，以及本项目招标文件的质量要求和技术指标与出厂标准。</w:t>
      </w:r>
    </w:p>
    <w:p w14:paraId="0A55AC0C">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Cs w:val="22"/>
        </w:rPr>
      </w:pPr>
      <w:r>
        <w:rPr>
          <w:rFonts w:hint="eastAsia" w:ascii="宋体" w:hAnsi="宋体" w:eastAsia="宋体" w:cs="宋体"/>
          <w:szCs w:val="22"/>
        </w:rPr>
        <w:t>（3）在质保期内，如产品质量或规格参数与采购人要求不符，或证实产品有缺陷的，中标人必须在24小时内采取补救措施或赔偿。如中标人在约定的时间内未能弥补缺陷，采购人可采取必要补救措施，但其风险和费用将由中标人承担。</w:t>
      </w:r>
    </w:p>
    <w:p w14:paraId="567BE283">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其他要求</w:t>
      </w:r>
    </w:p>
    <w:p w14:paraId="782D435C">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1</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投标人应对招标、实施、操作等过程中采取保密和安全措施，因投标人造成的不良影响和损失，投标人应承担相应责任。</w:t>
      </w:r>
    </w:p>
    <w:p w14:paraId="744928D6">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采购人认为投标人提供的产品和服务不能满足需求，可否决、终止本次采购。</w:t>
      </w:r>
    </w:p>
    <w:p w14:paraId="756FB5FC">
      <w:pPr>
        <w:spacing w:before="240" w:after="60"/>
        <w:ind w:right="-202"/>
        <w:jc w:val="both"/>
        <w:outlineLvl w:val="0"/>
        <w:rPr>
          <w:rFonts w:hint="eastAsia" w:ascii="宋体" w:hAnsi="宋体" w:eastAsia="宋体" w:cs="Times New Roman"/>
          <w:b/>
          <w:bCs/>
          <w:color w:val="auto"/>
          <w:sz w:val="36"/>
          <w:szCs w:val="36"/>
          <w:highlight w:val="none"/>
        </w:rPr>
      </w:pPr>
    </w:p>
    <w:p w14:paraId="11380309">
      <w:pPr>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br w:type="page"/>
      </w:r>
    </w:p>
    <w:p w14:paraId="6F6D99B7">
      <w:pPr>
        <w:spacing w:before="240" w:after="60"/>
        <w:ind w:left="-202" w:right="-202" w:firstLine="904"/>
        <w:jc w:val="center"/>
        <w:outlineLvl w:val="0"/>
        <w:rPr>
          <w:rFonts w:hint="eastAsia" w:ascii="宋体" w:hAnsi="宋体" w:eastAsia="宋体" w:cs="Times New Roman"/>
          <w:b/>
          <w:bCs/>
          <w:color w:val="auto"/>
          <w:sz w:val="36"/>
          <w:szCs w:val="36"/>
          <w:highlight w:val="none"/>
          <w:lang w:eastAsia="zh-CN"/>
        </w:rPr>
      </w:pPr>
      <w:r>
        <w:rPr>
          <w:rFonts w:hint="eastAsia" w:ascii="宋体" w:hAnsi="宋体" w:eastAsia="宋体" w:cs="Times New Roman"/>
          <w:b/>
          <w:bCs/>
          <w:color w:val="auto"/>
          <w:sz w:val="36"/>
          <w:szCs w:val="36"/>
          <w:highlight w:val="none"/>
          <w:lang w:eastAsia="zh-CN"/>
        </w:rPr>
        <w:t>第五部分    评标原则及方法</w:t>
      </w:r>
      <w:bookmarkEnd w:id="32"/>
    </w:p>
    <w:p w14:paraId="55D45FBF">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一</w:t>
      </w:r>
      <w:r>
        <w:rPr>
          <w:rFonts w:ascii="宋体" w:hAnsi="宋体" w:eastAsia="宋体" w:cs="新宋体"/>
          <w:b/>
          <w:bCs/>
          <w:color w:val="auto"/>
          <w:kern w:val="0"/>
          <w:highlight w:val="none"/>
          <w:lang w:val="zh-CN"/>
        </w:rPr>
        <w:t>.</w:t>
      </w:r>
      <w:r>
        <w:rPr>
          <w:rFonts w:hint="eastAsia" w:ascii="宋体" w:hAnsi="宋体" w:eastAsia="宋体" w:cs="新宋体"/>
          <w:b/>
          <w:bCs/>
          <w:color w:val="auto"/>
          <w:kern w:val="0"/>
          <w:highlight w:val="none"/>
          <w:lang w:val="zh-CN"/>
        </w:rPr>
        <w:t>总</w:t>
      </w:r>
      <w:r>
        <w:rPr>
          <w:rFonts w:ascii="宋体" w:hAnsi="宋体" w:eastAsia="宋体" w:cs="新宋体"/>
          <w:b/>
          <w:bCs/>
          <w:color w:val="auto"/>
          <w:kern w:val="0"/>
          <w:highlight w:val="none"/>
          <w:lang w:val="zh-CN"/>
        </w:rPr>
        <w:t xml:space="preserve">  </w:t>
      </w:r>
      <w:r>
        <w:rPr>
          <w:rFonts w:hint="eastAsia" w:ascii="宋体" w:hAnsi="宋体" w:eastAsia="宋体" w:cs="新宋体"/>
          <w:b/>
          <w:bCs/>
          <w:color w:val="auto"/>
          <w:kern w:val="0"/>
          <w:highlight w:val="none"/>
          <w:lang w:val="zh-CN"/>
        </w:rPr>
        <w:t>则</w:t>
      </w:r>
    </w:p>
    <w:p w14:paraId="6A1791A7">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评标工作遵循公平、公正、科学、择优原则和诚实、信誉、效率的服务原则。本着科学、严谨的态度，认真进行评标。择优选用，推进技术进步，确保</w:t>
      </w:r>
      <w:r>
        <w:rPr>
          <w:rFonts w:hint="eastAsia" w:ascii="宋体" w:hAnsi="宋体" w:eastAsia="宋体" w:cs="新宋体"/>
          <w:color w:val="auto"/>
          <w:kern w:val="0"/>
          <w:highlight w:val="none"/>
          <w:lang w:val="en-US" w:eastAsia="zh-CN"/>
        </w:rPr>
        <w:t>产品</w:t>
      </w:r>
      <w:r>
        <w:rPr>
          <w:rFonts w:hint="eastAsia" w:ascii="宋体" w:hAnsi="宋体" w:eastAsia="宋体" w:cs="新宋体"/>
          <w:color w:val="auto"/>
          <w:kern w:val="0"/>
          <w:highlight w:val="none"/>
          <w:lang w:val="zh-CN"/>
        </w:rPr>
        <w:t>质量、交货期，节约投资，最大限度的保护当事人权益，严格按照采购文件的商务、技术要求，对投标文件进行综合评定，提出优选方案，编写评标报告。对落标单位，评委会不作任何落标解释。供应商不得以任何方式干扰招投标工作的进行，一经发现其投标文件将被拒绝。</w:t>
      </w:r>
    </w:p>
    <w:p w14:paraId="1B54D4BA">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二、评标组织</w:t>
      </w:r>
    </w:p>
    <w:p w14:paraId="2BC71272">
      <w:pPr>
        <w:keepNext w:val="0"/>
        <w:keepLines w:val="0"/>
        <w:pageBreakBefore w:val="0"/>
        <w:widowControl w:val="0"/>
        <w:kinsoku/>
        <w:wordWrap/>
        <w:overflowPunct/>
        <w:topLinePunct w:val="0"/>
        <w:autoSpaceDE w:val="0"/>
        <w:autoSpaceDN w:val="0"/>
        <w:bidi w:val="0"/>
        <w:adjustRightInd w:val="0"/>
        <w:snapToGrid/>
        <w:spacing w:line="348" w:lineRule="auto"/>
        <w:ind w:right="-202"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评标工作由采购人依法组建的评标委员会负责，评标全过程由有关部门指导监督。</w:t>
      </w:r>
    </w:p>
    <w:p w14:paraId="24321C3D">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三、评标程序</w:t>
      </w:r>
    </w:p>
    <w:p w14:paraId="1DB9FE8E">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开标后，采购人或采购代理机构对各供应商的资格进行审查；然后评标委员会对合格供应商的进行符合性审查，按照采购文件中规定的评标方法和标准，对符合性审查合格的投标文件进行商务和技术评估，综合比较与评价。</w:t>
      </w:r>
    </w:p>
    <w:p w14:paraId="537D0FFB">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四、评标办法</w:t>
      </w:r>
    </w:p>
    <w:p w14:paraId="1E828E92">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本次采购采用百分制综合评分法，</w:t>
      </w:r>
      <w:r>
        <w:rPr>
          <w:rFonts w:hint="eastAsia" w:ascii="新宋体" w:hAnsi="新宋体" w:eastAsia="新宋体"/>
          <w:color w:val="auto"/>
          <w:sz w:val="22"/>
          <w:szCs w:val="22"/>
          <w:highlight w:val="none"/>
        </w:rPr>
        <w:t>即最大限度地满足采购文件实质性要求前提下，按照采购文件中规定的各项评分内容进行综合评审。以最终得分（即</w:t>
      </w:r>
      <w:r>
        <w:rPr>
          <w:rFonts w:hint="eastAsia" w:ascii="新宋体" w:hAnsi="新宋体"/>
          <w:color w:val="auto"/>
          <w:sz w:val="22"/>
          <w:szCs w:val="22"/>
          <w:highlight w:val="none"/>
          <w:lang w:val="en-US" w:eastAsia="zh-CN"/>
        </w:rPr>
        <w:t>技术资信</w:t>
      </w:r>
      <w:r>
        <w:rPr>
          <w:rFonts w:hint="eastAsia" w:ascii="新宋体" w:hAnsi="新宋体" w:eastAsia="新宋体"/>
          <w:color w:val="auto"/>
          <w:sz w:val="22"/>
          <w:szCs w:val="22"/>
          <w:highlight w:val="none"/>
        </w:rPr>
        <w:t>得分与</w:t>
      </w:r>
      <w:r>
        <w:rPr>
          <w:rFonts w:hint="eastAsia" w:ascii="新宋体" w:hAnsi="新宋体"/>
          <w:color w:val="auto"/>
          <w:sz w:val="22"/>
          <w:szCs w:val="22"/>
          <w:highlight w:val="none"/>
          <w:lang w:val="en-US" w:eastAsia="zh-CN"/>
        </w:rPr>
        <w:t>商务</w:t>
      </w:r>
      <w:r>
        <w:rPr>
          <w:rFonts w:hint="eastAsia" w:ascii="新宋体" w:hAnsi="新宋体" w:eastAsia="新宋体"/>
          <w:color w:val="auto"/>
          <w:sz w:val="22"/>
          <w:szCs w:val="22"/>
          <w:highlight w:val="none"/>
          <w:lang w:eastAsia="zh-CN"/>
        </w:rPr>
        <w:t>报价分</w:t>
      </w:r>
      <w:r>
        <w:rPr>
          <w:rFonts w:hint="eastAsia" w:ascii="新宋体" w:hAnsi="新宋体" w:eastAsia="新宋体"/>
          <w:color w:val="auto"/>
          <w:sz w:val="22"/>
          <w:szCs w:val="22"/>
          <w:highlight w:val="none"/>
        </w:rPr>
        <w:t>之和）高低进行排序，得分第一名的供应商确定为</w:t>
      </w:r>
      <w:r>
        <w:rPr>
          <w:rFonts w:hint="eastAsia" w:ascii="新宋体" w:hAnsi="新宋体"/>
          <w:color w:val="auto"/>
          <w:sz w:val="22"/>
          <w:szCs w:val="22"/>
          <w:highlight w:val="none"/>
          <w:lang w:eastAsia="zh-CN"/>
        </w:rPr>
        <w:t>中标候选供应商</w:t>
      </w:r>
      <w:r>
        <w:rPr>
          <w:rFonts w:hint="eastAsia" w:ascii="新宋体" w:hAnsi="新宋体" w:eastAsia="新宋体"/>
          <w:color w:val="auto"/>
          <w:sz w:val="22"/>
          <w:szCs w:val="22"/>
          <w:highlight w:val="none"/>
        </w:rPr>
        <w:t>（</w:t>
      </w:r>
      <w:r>
        <w:rPr>
          <w:rFonts w:hint="eastAsia" w:ascii="新宋体" w:hAnsi="新宋体" w:eastAsia="新宋体" w:cs="新宋体"/>
          <w:color w:val="auto"/>
          <w:sz w:val="22"/>
          <w:szCs w:val="22"/>
          <w:highlight w:val="none"/>
        </w:rPr>
        <w:t>得分相同投标报价低的排序前位；得分且投标报价相同的并列，投标文件满足采购文件全部实质性要求，且按照评审因素的量化指标评审得分最高的供应商为</w:t>
      </w:r>
      <w:r>
        <w:rPr>
          <w:rFonts w:hint="eastAsia" w:ascii="新宋体" w:hAnsi="新宋体" w:cs="新宋体"/>
          <w:color w:val="auto"/>
          <w:sz w:val="22"/>
          <w:szCs w:val="22"/>
          <w:highlight w:val="none"/>
          <w:lang w:eastAsia="zh-CN"/>
        </w:rPr>
        <w:t>中标候选供应商</w:t>
      </w:r>
      <w:r>
        <w:rPr>
          <w:rFonts w:hint="eastAsia" w:ascii="新宋体" w:hAnsi="新宋体" w:eastAsia="新宋体"/>
          <w:color w:val="auto"/>
          <w:sz w:val="22"/>
          <w:szCs w:val="22"/>
          <w:highlight w:val="none"/>
        </w:rPr>
        <w:t>），得分第二名的供应商推荐为</w:t>
      </w:r>
      <w:r>
        <w:rPr>
          <w:rFonts w:hint="eastAsia" w:ascii="新宋体" w:hAnsi="新宋体"/>
          <w:color w:val="auto"/>
          <w:sz w:val="22"/>
          <w:szCs w:val="22"/>
          <w:highlight w:val="none"/>
          <w:lang w:eastAsia="zh-CN"/>
        </w:rPr>
        <w:t>中标备选供应商</w:t>
      </w:r>
      <w:r>
        <w:rPr>
          <w:rFonts w:hint="eastAsia" w:ascii="新宋体" w:hAnsi="新宋体" w:eastAsia="新宋体"/>
          <w:color w:val="auto"/>
          <w:sz w:val="22"/>
          <w:szCs w:val="22"/>
          <w:highlight w:val="none"/>
        </w:rPr>
        <w:t>。</w:t>
      </w:r>
    </w:p>
    <w:p w14:paraId="55B12B35">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五、评分细则（</w:t>
      </w:r>
      <w:r>
        <w:rPr>
          <w:rFonts w:hint="eastAsia" w:ascii="宋体" w:hAnsi="宋体" w:eastAsia="宋体" w:cs="新宋体"/>
          <w:b/>
          <w:bCs/>
          <w:color w:val="auto"/>
          <w:kern w:val="0"/>
          <w:highlight w:val="none"/>
          <w:lang w:val="en-US" w:eastAsia="zh-CN"/>
        </w:rPr>
        <w:t>标段1-2通用</w:t>
      </w:r>
      <w:r>
        <w:rPr>
          <w:rFonts w:hint="eastAsia" w:ascii="宋体" w:hAnsi="宋体" w:eastAsia="宋体" w:cs="新宋体"/>
          <w:b/>
          <w:bCs/>
          <w:color w:val="auto"/>
          <w:kern w:val="0"/>
          <w:highlight w:val="none"/>
          <w:lang w:val="zh-CN"/>
        </w:rPr>
        <w:t>）</w:t>
      </w:r>
    </w:p>
    <w:p w14:paraId="101E5BAA">
      <w:pPr>
        <w:keepNext w:val="0"/>
        <w:keepLines w:val="0"/>
        <w:pageBreakBefore w:val="0"/>
        <w:widowControl w:val="0"/>
        <w:kinsoku/>
        <w:wordWrap/>
        <w:overflowPunct/>
        <w:topLinePunct w:val="0"/>
        <w:autoSpaceDE w:val="0"/>
        <w:autoSpaceDN w:val="0"/>
        <w:bidi w:val="0"/>
        <w:adjustRightInd w:val="0"/>
        <w:snapToGrid/>
        <w:spacing w:line="348" w:lineRule="auto"/>
        <w:ind w:right="-202"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1.技术资信分（</w:t>
      </w:r>
      <w:r>
        <w:rPr>
          <w:rFonts w:hint="eastAsia" w:ascii="宋体" w:hAnsi="宋体" w:eastAsia="宋体" w:cs="新宋体"/>
          <w:color w:val="auto"/>
          <w:kern w:val="0"/>
          <w:highlight w:val="none"/>
          <w:lang w:val="en-US" w:eastAsia="zh-CN"/>
        </w:rPr>
        <w:t>7</w:t>
      </w:r>
      <w:r>
        <w:rPr>
          <w:rFonts w:hint="eastAsia" w:ascii="宋体" w:hAnsi="宋体" w:eastAsia="宋体" w:cs="新宋体"/>
          <w:color w:val="auto"/>
          <w:kern w:val="0"/>
          <w:highlight w:val="none"/>
        </w:rPr>
        <w:t>0</w:t>
      </w:r>
      <w:r>
        <w:rPr>
          <w:rFonts w:hint="eastAsia" w:ascii="宋体" w:hAnsi="宋体" w:eastAsia="宋体" w:cs="新宋体"/>
          <w:color w:val="auto"/>
          <w:kern w:val="0"/>
          <w:highlight w:val="none"/>
          <w:lang w:val="zh-CN"/>
        </w:rPr>
        <w:t>分）</w:t>
      </w:r>
    </w:p>
    <w:p w14:paraId="23E57E4D">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hint="eastAsia"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技术部分的最终得分（四舍五入，保留小数点后二位）。</w:t>
      </w:r>
    </w:p>
    <w:tbl>
      <w:tblPr>
        <w:tblStyle w:val="29"/>
        <w:tblW w:w="4990"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902"/>
        <w:gridCol w:w="1059"/>
      </w:tblGrid>
      <w:tr w14:paraId="07744E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4" w:type="pct"/>
            <w:tcBorders>
              <w:top w:val="double" w:color="auto" w:sz="2" w:space="0"/>
            </w:tcBorders>
            <w:noWrap w:val="0"/>
            <w:vAlign w:val="center"/>
          </w:tcPr>
          <w:p w14:paraId="7E208B4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序号</w:t>
            </w:r>
          </w:p>
        </w:tc>
        <w:tc>
          <w:tcPr>
            <w:tcW w:w="4016" w:type="pct"/>
            <w:tcBorders>
              <w:top w:val="double" w:color="auto" w:sz="2" w:space="0"/>
            </w:tcBorders>
            <w:noWrap w:val="0"/>
            <w:vAlign w:val="center"/>
          </w:tcPr>
          <w:p w14:paraId="15DDA57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评分细则</w:t>
            </w:r>
          </w:p>
        </w:tc>
        <w:tc>
          <w:tcPr>
            <w:tcW w:w="538" w:type="pct"/>
            <w:tcBorders>
              <w:top w:val="double" w:color="auto" w:sz="2" w:space="0"/>
            </w:tcBorders>
            <w:noWrap w:val="0"/>
            <w:vAlign w:val="center"/>
          </w:tcPr>
          <w:p w14:paraId="41E2D59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分值</w:t>
            </w:r>
          </w:p>
        </w:tc>
      </w:tr>
      <w:tr w14:paraId="5548C4A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5E38816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一</w:t>
            </w:r>
          </w:p>
        </w:tc>
        <w:tc>
          <w:tcPr>
            <w:tcW w:w="4016" w:type="pct"/>
            <w:noWrap w:val="0"/>
            <w:vAlign w:val="center"/>
          </w:tcPr>
          <w:p w14:paraId="0FC98F8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2"/>
                <w:szCs w:val="22"/>
              </w:rPr>
            </w:pPr>
            <w:r>
              <w:rPr>
                <w:rFonts w:hint="eastAsia" w:ascii="宋体" w:hAnsi="宋体" w:eastAsia="宋体" w:cs="宋体"/>
                <w:sz w:val="22"/>
                <w:szCs w:val="22"/>
              </w:rPr>
              <w:t>技术</w:t>
            </w:r>
          </w:p>
        </w:tc>
        <w:tc>
          <w:tcPr>
            <w:tcW w:w="538" w:type="pct"/>
            <w:noWrap w:val="0"/>
            <w:vAlign w:val="center"/>
          </w:tcPr>
          <w:p w14:paraId="123FF33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p>
        </w:tc>
      </w:tr>
      <w:tr w14:paraId="12FF193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4F6E450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4016" w:type="pct"/>
            <w:noWrap w:val="0"/>
            <w:vAlign w:val="center"/>
          </w:tcPr>
          <w:p w14:paraId="00C66C2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t>技术功能符合度：对应于采购文件</w:t>
            </w:r>
            <w:r>
              <w:rPr>
                <w:rFonts w:hint="eastAsia" w:ascii="宋体" w:hAnsi="宋体" w:eastAsia="宋体" w:cs="宋体"/>
                <w:sz w:val="22"/>
                <w:szCs w:val="22"/>
                <w:lang w:val="en-US" w:eastAsia="zh-CN"/>
              </w:rPr>
              <w:t>第四部分</w:t>
            </w:r>
            <w:r>
              <w:rPr>
                <w:rFonts w:hint="eastAsia" w:ascii="宋体" w:hAnsi="宋体" w:eastAsia="宋体" w:cs="宋体"/>
                <w:sz w:val="22"/>
                <w:szCs w:val="22"/>
              </w:rPr>
              <w:t>“采购内容及</w:t>
            </w:r>
            <w:r>
              <w:rPr>
                <w:rFonts w:hint="eastAsia" w:ascii="宋体" w:hAnsi="宋体" w:eastAsia="宋体" w:cs="宋体"/>
                <w:sz w:val="22"/>
                <w:szCs w:val="22"/>
                <w:lang w:val="en-US" w:eastAsia="zh-CN"/>
              </w:rPr>
              <w:t>技术要求</w:t>
            </w:r>
            <w:r>
              <w:rPr>
                <w:rFonts w:hint="eastAsia" w:ascii="宋体" w:hAnsi="宋体" w:eastAsia="宋体" w:cs="宋体"/>
                <w:sz w:val="22"/>
                <w:szCs w:val="22"/>
              </w:rPr>
              <w:t>”中“</w:t>
            </w:r>
            <w:r>
              <w:rPr>
                <w:rFonts w:hint="eastAsia" w:ascii="宋体" w:hAnsi="宋体" w:eastAsia="宋体" w:cs="宋体"/>
                <w:sz w:val="22"/>
                <w:szCs w:val="22"/>
                <w:lang w:val="en-US" w:eastAsia="zh-CN"/>
              </w:rPr>
              <w:t>参数要求</w:t>
            </w:r>
            <w:r>
              <w:rPr>
                <w:rFonts w:hint="eastAsia" w:ascii="宋体" w:hAnsi="宋体" w:eastAsia="宋体" w:cs="宋体"/>
                <w:sz w:val="22"/>
                <w:szCs w:val="22"/>
              </w:rPr>
              <w:t>”</w:t>
            </w:r>
            <w:r>
              <w:rPr>
                <w:rFonts w:hint="eastAsia" w:ascii="宋体" w:hAnsi="宋体" w:eastAsia="宋体" w:cs="宋体"/>
                <w:sz w:val="22"/>
                <w:szCs w:val="22"/>
                <w:lang w:val="en-US" w:eastAsia="zh-CN"/>
              </w:rPr>
              <w:t>表格</w:t>
            </w:r>
            <w:r>
              <w:rPr>
                <w:rFonts w:hint="eastAsia" w:ascii="宋体" w:hAnsi="宋体" w:eastAsia="宋体" w:cs="宋体"/>
                <w:sz w:val="22"/>
                <w:szCs w:val="22"/>
              </w:rPr>
              <w:t>的符合度，每一</w:t>
            </w:r>
            <w:r>
              <w:rPr>
                <w:rFonts w:hint="eastAsia" w:ascii="宋体" w:hAnsi="宋体" w:eastAsia="宋体" w:cs="宋体"/>
                <w:sz w:val="22"/>
                <w:szCs w:val="22"/>
                <w:lang w:val="en-US" w:eastAsia="zh-CN"/>
              </w:rPr>
              <w:t>项参数条</w:t>
            </w:r>
            <w:r>
              <w:rPr>
                <w:rFonts w:hint="eastAsia" w:ascii="宋体" w:hAnsi="宋体" w:eastAsia="宋体" w:cs="宋体"/>
                <w:sz w:val="22"/>
                <w:szCs w:val="22"/>
              </w:rPr>
              <w:t>款不满足采购文件要求扣</w:t>
            </w:r>
            <w:r>
              <w:rPr>
                <w:rFonts w:hint="eastAsia" w:ascii="宋体" w:hAnsi="宋体" w:eastAsia="宋体" w:cs="宋体"/>
                <w:sz w:val="22"/>
                <w:szCs w:val="22"/>
                <w:lang w:val="en-US" w:eastAsia="zh-CN"/>
              </w:rPr>
              <w:t>1</w:t>
            </w:r>
            <w:r>
              <w:rPr>
                <w:rFonts w:hint="eastAsia" w:ascii="宋体" w:hAnsi="宋体" w:eastAsia="宋体" w:cs="宋体"/>
                <w:sz w:val="22"/>
                <w:szCs w:val="22"/>
              </w:rPr>
              <w:t>分，扣完为止。</w:t>
            </w:r>
          </w:p>
          <w:p w14:paraId="0E83BF6C">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kern w:val="2"/>
                <w:sz w:val="22"/>
                <w:szCs w:val="22"/>
              </w:rPr>
              <w:t>（如要求提供证明材料未按要求提供的，视为不满足采购文件要求。）</w:t>
            </w:r>
          </w:p>
        </w:tc>
        <w:tc>
          <w:tcPr>
            <w:tcW w:w="538" w:type="pct"/>
            <w:noWrap w:val="0"/>
            <w:vAlign w:val="center"/>
          </w:tcPr>
          <w:p w14:paraId="6512C36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39</w:t>
            </w:r>
          </w:p>
        </w:tc>
      </w:tr>
      <w:tr w14:paraId="33E6593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 w:type="dxa"/>
            <w:noWrap w:val="0"/>
            <w:vAlign w:val="center"/>
          </w:tcPr>
          <w:p w14:paraId="1E81AD9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7902" w:type="dxa"/>
            <w:noWrap w:val="0"/>
            <w:vAlign w:val="center"/>
          </w:tcPr>
          <w:p w14:paraId="07BBCD3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kern w:val="2"/>
                <w:sz w:val="22"/>
                <w:szCs w:val="22"/>
              </w:rPr>
            </w:pPr>
            <w:r>
              <w:rPr>
                <w:rFonts w:hint="eastAsia" w:ascii="宋体" w:hAnsi="宋体" w:eastAsia="宋体" w:cs="宋体"/>
                <w:sz w:val="22"/>
                <w:szCs w:val="22"/>
              </w:rPr>
              <w:t>投标货物的技术性能：根据所投货物技术性能先进程度、在</w:t>
            </w:r>
            <w:r>
              <w:rPr>
                <w:rFonts w:hint="eastAsia" w:ascii="宋体" w:hAnsi="宋体" w:eastAsia="宋体" w:cs="宋体"/>
                <w:sz w:val="22"/>
                <w:szCs w:val="22"/>
                <w:lang w:eastAsia="zh-CN"/>
              </w:rPr>
              <w:t>实验</w:t>
            </w:r>
            <w:r>
              <w:rPr>
                <w:rFonts w:hint="eastAsia" w:ascii="宋体" w:hAnsi="宋体" w:eastAsia="宋体" w:cs="宋体"/>
                <w:sz w:val="22"/>
                <w:szCs w:val="22"/>
              </w:rPr>
              <w:t>使用效果</w:t>
            </w:r>
            <w:r>
              <w:rPr>
                <w:rFonts w:hint="eastAsia" w:ascii="宋体" w:hAnsi="宋体" w:eastAsia="宋体" w:cs="宋体"/>
                <w:sz w:val="22"/>
                <w:szCs w:val="22"/>
                <w:lang w:val="en-US" w:eastAsia="zh-CN"/>
              </w:rPr>
              <w:t>综合打分</w:t>
            </w:r>
            <w:r>
              <w:rPr>
                <w:rFonts w:hint="eastAsia" w:ascii="宋体" w:hAnsi="宋体" w:eastAsia="宋体" w:cs="宋体"/>
                <w:sz w:val="22"/>
                <w:szCs w:val="22"/>
              </w:rPr>
              <w:t>评分</w:t>
            </w:r>
            <w:r>
              <w:rPr>
                <w:rFonts w:hint="eastAsia" w:ascii="宋体" w:hAnsi="宋体" w:eastAsia="宋体" w:cs="宋体"/>
                <w:sz w:val="22"/>
                <w:szCs w:val="22"/>
                <w:lang w:val="en-US" w:eastAsia="zh-CN"/>
              </w:rPr>
              <w:t>（8，6，4，2，0）。</w:t>
            </w:r>
          </w:p>
        </w:tc>
        <w:tc>
          <w:tcPr>
            <w:tcW w:w="1059" w:type="dxa"/>
            <w:noWrap w:val="0"/>
            <w:vAlign w:val="center"/>
          </w:tcPr>
          <w:p w14:paraId="71A4E88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新宋体" w:cs="宋体"/>
                <w:sz w:val="22"/>
                <w:szCs w:val="22"/>
                <w:lang w:val="en-US" w:eastAsia="zh-CN"/>
              </w:rPr>
            </w:pPr>
            <w:r>
              <w:rPr>
                <w:rFonts w:hint="eastAsia" w:ascii="宋体" w:hAnsi="宋体" w:eastAsia="宋体" w:cs="宋体"/>
                <w:sz w:val="22"/>
                <w:szCs w:val="22"/>
                <w:lang w:val="en-US" w:eastAsia="zh-CN"/>
              </w:rPr>
              <w:t>8</w:t>
            </w:r>
          </w:p>
        </w:tc>
      </w:tr>
      <w:tr w14:paraId="303625A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289F10A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二</w:t>
            </w:r>
          </w:p>
        </w:tc>
        <w:tc>
          <w:tcPr>
            <w:tcW w:w="4016" w:type="pct"/>
            <w:noWrap w:val="0"/>
            <w:vAlign w:val="center"/>
          </w:tcPr>
          <w:p w14:paraId="6C7F3D2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t>资信</w:t>
            </w:r>
          </w:p>
        </w:tc>
        <w:tc>
          <w:tcPr>
            <w:tcW w:w="538" w:type="pct"/>
            <w:noWrap w:val="0"/>
            <w:vAlign w:val="center"/>
          </w:tcPr>
          <w:p w14:paraId="1E600F2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p>
        </w:tc>
      </w:tr>
      <w:tr w14:paraId="3B5F744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0607084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4016" w:type="pct"/>
            <w:noWrap w:val="0"/>
            <w:vAlign w:val="center"/>
          </w:tcPr>
          <w:p w14:paraId="4E6384D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同类产品</w:t>
            </w:r>
            <w:r>
              <w:rPr>
                <w:rFonts w:hint="eastAsia" w:ascii="宋体" w:hAnsi="宋体" w:eastAsia="宋体" w:cs="宋体"/>
                <w:sz w:val="22"/>
                <w:szCs w:val="22"/>
              </w:rPr>
              <w:t>销售业绩：</w:t>
            </w:r>
            <w:r>
              <w:rPr>
                <w:rFonts w:hint="eastAsia" w:ascii="宋体" w:hAnsi="宋体" w:eastAsia="宋体" w:cs="宋体"/>
                <w:sz w:val="22"/>
                <w:szCs w:val="22"/>
                <w:lang w:val="en-US" w:eastAsia="zh-CN"/>
              </w:rPr>
              <w:t>投标供应商</w:t>
            </w:r>
            <w:r>
              <w:rPr>
                <w:rFonts w:hint="eastAsia" w:ascii="宋体" w:hAnsi="宋体" w:eastAsia="宋体" w:cs="宋体"/>
                <w:sz w:val="22"/>
                <w:szCs w:val="22"/>
                <w:highlight w:val="none"/>
                <w:lang w:val="en-US" w:eastAsia="zh-CN"/>
              </w:rPr>
              <w:t>或制造商</w:t>
            </w:r>
            <w:r>
              <w:rPr>
                <w:rFonts w:hint="eastAsia" w:ascii="宋体" w:hAnsi="宋体" w:eastAsia="宋体" w:cs="宋体"/>
                <w:sz w:val="22"/>
                <w:szCs w:val="22"/>
                <w:highlight w:val="none"/>
              </w:rPr>
              <w:t>自202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月1日起（以合同签订时间为准）与不同的最终用户签订的销售合同评分。每提供一个合同复印件得1分，最高3分。</w:t>
            </w:r>
          </w:p>
        </w:tc>
        <w:tc>
          <w:tcPr>
            <w:tcW w:w="538" w:type="pct"/>
            <w:noWrap w:val="0"/>
            <w:vAlign w:val="center"/>
          </w:tcPr>
          <w:p w14:paraId="3408EE4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r>
      <w:tr w14:paraId="6EAFDC6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6CEA89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三</w:t>
            </w:r>
          </w:p>
        </w:tc>
        <w:tc>
          <w:tcPr>
            <w:tcW w:w="4016" w:type="pct"/>
            <w:noWrap w:val="0"/>
            <w:vAlign w:val="center"/>
          </w:tcPr>
          <w:p w14:paraId="4E8D696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t>商务</w:t>
            </w:r>
          </w:p>
        </w:tc>
        <w:tc>
          <w:tcPr>
            <w:tcW w:w="538" w:type="pct"/>
            <w:noWrap w:val="0"/>
            <w:vAlign w:val="center"/>
          </w:tcPr>
          <w:p w14:paraId="02E654F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p>
        </w:tc>
      </w:tr>
      <w:tr w14:paraId="2C64E81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46AFF2C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4016" w:type="pct"/>
            <w:noWrap w:val="0"/>
            <w:vAlign w:val="center"/>
          </w:tcPr>
          <w:p w14:paraId="603A7C3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r>
              <w:rPr>
                <w:rFonts w:hint="eastAsia" w:ascii="宋体" w:hAnsi="宋体" w:eastAsia="宋体" w:cs="宋体"/>
                <w:b w:val="0"/>
                <w:bCs w:val="0"/>
                <w:sz w:val="22"/>
                <w:szCs w:val="22"/>
              </w:rPr>
              <w:t>质保期在满足采购文件的基础上每增加1年</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加</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不足1年不得分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，最多加</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。（提供承诺函，格式自拟）</w:t>
            </w:r>
          </w:p>
        </w:tc>
        <w:tc>
          <w:tcPr>
            <w:tcW w:w="538" w:type="pct"/>
            <w:noWrap w:val="0"/>
            <w:vAlign w:val="center"/>
          </w:tcPr>
          <w:p w14:paraId="422B04F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r>
      <w:tr w14:paraId="046021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416F867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四</w:t>
            </w:r>
          </w:p>
        </w:tc>
        <w:tc>
          <w:tcPr>
            <w:tcW w:w="4016" w:type="pct"/>
            <w:noWrap w:val="0"/>
            <w:vAlign w:val="center"/>
          </w:tcPr>
          <w:p w14:paraId="05C9971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t>售后</w:t>
            </w:r>
          </w:p>
        </w:tc>
        <w:tc>
          <w:tcPr>
            <w:tcW w:w="538" w:type="pct"/>
            <w:noWrap w:val="0"/>
            <w:vAlign w:val="center"/>
          </w:tcPr>
          <w:p w14:paraId="57B974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p>
        </w:tc>
      </w:tr>
      <w:tr w14:paraId="344D7B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2B4FA64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4016" w:type="pct"/>
            <w:noWrap w:val="0"/>
            <w:vAlign w:val="center"/>
          </w:tcPr>
          <w:p w14:paraId="4EFEBCD5">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运行及</w:t>
            </w:r>
            <w:r>
              <w:rPr>
                <w:rFonts w:hint="eastAsia" w:ascii="宋体" w:hAnsi="宋体" w:eastAsia="宋体" w:cs="宋体"/>
                <w:sz w:val="22"/>
                <w:szCs w:val="22"/>
              </w:rPr>
              <w:t>维修成本：包括</w:t>
            </w:r>
            <w:r>
              <w:rPr>
                <w:rFonts w:hint="eastAsia" w:ascii="宋体" w:hAnsi="宋体" w:eastAsia="宋体" w:cs="宋体"/>
                <w:sz w:val="22"/>
                <w:szCs w:val="22"/>
                <w:lang w:val="en-US" w:eastAsia="zh-CN"/>
              </w:rPr>
              <w:t>但不仅限于系统运行维护价格、</w:t>
            </w:r>
            <w:r>
              <w:rPr>
                <w:rFonts w:hint="eastAsia" w:ascii="宋体" w:hAnsi="宋体" w:eastAsia="宋体" w:cs="宋体"/>
                <w:sz w:val="22"/>
                <w:szCs w:val="22"/>
              </w:rPr>
              <w:t>保修价格、设备配件价格，维修服务费等维修价格</w:t>
            </w:r>
            <w:r>
              <w:rPr>
                <w:rFonts w:hint="eastAsia" w:ascii="宋体" w:hAnsi="宋体" w:eastAsia="宋体" w:cs="宋体"/>
                <w:sz w:val="22"/>
                <w:szCs w:val="22"/>
                <w:lang w:val="en-US" w:eastAsia="zh-CN"/>
              </w:rPr>
              <w:t>等方面综合打分（4，3，2，1，0）。</w:t>
            </w:r>
          </w:p>
        </w:tc>
        <w:tc>
          <w:tcPr>
            <w:tcW w:w="538" w:type="pct"/>
            <w:noWrap w:val="0"/>
            <w:vAlign w:val="center"/>
          </w:tcPr>
          <w:p w14:paraId="50932FC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p>
        </w:tc>
      </w:tr>
      <w:tr w14:paraId="5DED793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70CA94E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4016" w:type="pct"/>
            <w:noWrap w:val="0"/>
            <w:vAlign w:val="center"/>
          </w:tcPr>
          <w:p w14:paraId="71F9A87A">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sz w:val="22"/>
                <w:szCs w:val="22"/>
                <w:lang w:val="en-US" w:eastAsia="zh-CN"/>
              </w:rPr>
            </w:pPr>
            <w:r>
              <w:rPr>
                <w:rFonts w:hint="eastAsia" w:ascii="宋体" w:hAnsi="宋体" w:eastAsia="宋体" w:cs="宋体"/>
                <w:sz w:val="22"/>
                <w:szCs w:val="22"/>
              </w:rPr>
              <w:t>售后服务方案</w:t>
            </w:r>
            <w:r>
              <w:rPr>
                <w:rFonts w:hint="eastAsia" w:ascii="宋体" w:hAnsi="宋体" w:eastAsia="宋体" w:cs="宋体"/>
                <w:sz w:val="22"/>
                <w:szCs w:val="22"/>
                <w:lang w:eastAsia="zh-CN"/>
              </w:rPr>
              <w:t>：</w:t>
            </w:r>
            <w:r>
              <w:rPr>
                <w:rFonts w:hint="eastAsia" w:ascii="宋体" w:hAnsi="宋体" w:eastAsia="宋体" w:cs="宋体"/>
                <w:sz w:val="22"/>
                <w:szCs w:val="22"/>
              </w:rPr>
              <w:t>包括但不限于售后服务机构备品备件储备情况</w:t>
            </w:r>
            <w:r>
              <w:rPr>
                <w:rFonts w:hint="eastAsia" w:ascii="宋体" w:hAnsi="宋体" w:eastAsia="宋体" w:cs="宋体"/>
                <w:sz w:val="22"/>
                <w:szCs w:val="22"/>
                <w:lang w:eastAsia="zh-CN"/>
              </w:rPr>
              <w:t>、</w:t>
            </w:r>
            <w:r>
              <w:rPr>
                <w:rFonts w:hint="eastAsia" w:ascii="宋体" w:hAnsi="宋体" w:eastAsia="宋体" w:cs="宋体"/>
                <w:sz w:val="22"/>
                <w:szCs w:val="22"/>
              </w:rPr>
              <w:t>售后服务机构技术服务人员</w:t>
            </w:r>
            <w:r>
              <w:rPr>
                <w:rFonts w:hint="eastAsia" w:ascii="宋体" w:hAnsi="宋体" w:eastAsia="宋体" w:cs="宋体"/>
                <w:sz w:val="22"/>
                <w:szCs w:val="22"/>
                <w:lang w:eastAsia="zh-CN"/>
              </w:rPr>
              <w:t>、</w:t>
            </w:r>
            <w:r>
              <w:rPr>
                <w:rFonts w:hint="eastAsia" w:ascii="宋体" w:hAnsi="宋体" w:eastAsia="宋体" w:cs="宋体"/>
                <w:sz w:val="22"/>
                <w:szCs w:val="22"/>
              </w:rPr>
              <w:t>服务响应时间、故障解决方案</w:t>
            </w:r>
            <w:r>
              <w:rPr>
                <w:rFonts w:hint="eastAsia" w:ascii="宋体" w:hAnsi="宋体" w:eastAsia="宋体" w:cs="宋体"/>
                <w:sz w:val="22"/>
                <w:szCs w:val="22"/>
                <w:lang w:val="en-US" w:eastAsia="zh-CN"/>
              </w:rPr>
              <w:t>等方面综合打分（4，3，2，1，0）。</w:t>
            </w:r>
          </w:p>
        </w:tc>
        <w:tc>
          <w:tcPr>
            <w:tcW w:w="538" w:type="pct"/>
            <w:noWrap w:val="0"/>
            <w:vAlign w:val="center"/>
          </w:tcPr>
          <w:p w14:paraId="42DF1A4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r>
      <w:tr w14:paraId="0B7A0E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452AF8E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五</w:t>
            </w:r>
          </w:p>
        </w:tc>
        <w:tc>
          <w:tcPr>
            <w:tcW w:w="4016" w:type="pct"/>
            <w:noWrap w:val="0"/>
            <w:vAlign w:val="center"/>
          </w:tcPr>
          <w:p w14:paraId="37B54D1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rPr>
            </w:pPr>
            <w:r>
              <w:rPr>
                <w:rFonts w:hint="eastAsia" w:ascii="宋体" w:hAnsi="宋体" w:eastAsia="宋体" w:cs="宋体"/>
                <w:sz w:val="22"/>
                <w:szCs w:val="22"/>
              </w:rPr>
              <w:t>安装、培训</w:t>
            </w:r>
          </w:p>
        </w:tc>
        <w:tc>
          <w:tcPr>
            <w:tcW w:w="538" w:type="pct"/>
            <w:noWrap w:val="0"/>
            <w:vAlign w:val="center"/>
          </w:tcPr>
          <w:p w14:paraId="151BD91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p>
        </w:tc>
      </w:tr>
      <w:tr w14:paraId="23BBEEF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0268A34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4016" w:type="pct"/>
            <w:noWrap w:val="0"/>
            <w:vAlign w:val="center"/>
          </w:tcPr>
          <w:p w14:paraId="7A3B58D3">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sz w:val="22"/>
                <w:szCs w:val="22"/>
                <w:lang w:val="en-US" w:eastAsia="zh-CN"/>
              </w:rPr>
            </w:pPr>
            <w:r>
              <w:rPr>
                <w:rFonts w:hint="eastAsia" w:ascii="宋体" w:hAnsi="宋体" w:eastAsia="宋体" w:cs="宋体"/>
                <w:sz w:val="22"/>
                <w:szCs w:val="22"/>
              </w:rPr>
              <w:t>安装调试方案，包括对场地环境的了解、人员的安排、时间进度的规划，对设备的调试进度安排，调试的步骤、措施，问题的解决方案等</w:t>
            </w:r>
            <w:r>
              <w:rPr>
                <w:rFonts w:hint="eastAsia" w:ascii="宋体" w:hAnsi="宋体" w:eastAsia="宋体" w:cs="宋体"/>
                <w:sz w:val="22"/>
                <w:szCs w:val="22"/>
                <w:lang w:val="en-US" w:eastAsia="zh-CN"/>
              </w:rPr>
              <w:t>综合打分（4，3，2，1，0）。</w:t>
            </w:r>
          </w:p>
        </w:tc>
        <w:tc>
          <w:tcPr>
            <w:tcW w:w="538" w:type="pct"/>
            <w:noWrap w:val="0"/>
            <w:vAlign w:val="center"/>
          </w:tcPr>
          <w:p w14:paraId="515D3C2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4</w:t>
            </w:r>
          </w:p>
        </w:tc>
      </w:tr>
      <w:tr w14:paraId="49842BD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bottom w:val="double" w:color="auto" w:sz="2" w:space="0"/>
            </w:tcBorders>
            <w:noWrap w:val="0"/>
            <w:vAlign w:val="center"/>
          </w:tcPr>
          <w:p w14:paraId="6D71F61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4016" w:type="pct"/>
            <w:tcBorders>
              <w:bottom w:val="double" w:color="auto" w:sz="2" w:space="0"/>
            </w:tcBorders>
            <w:noWrap w:val="0"/>
            <w:vAlign w:val="center"/>
          </w:tcPr>
          <w:p w14:paraId="7FDDB081">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sz w:val="22"/>
                <w:szCs w:val="22"/>
                <w:lang w:val="en-US" w:eastAsia="zh-CN"/>
              </w:rPr>
            </w:pPr>
            <w:r>
              <w:rPr>
                <w:rFonts w:hint="eastAsia" w:ascii="宋体" w:hAnsi="宋体" w:eastAsia="宋体" w:cs="宋体"/>
                <w:sz w:val="22"/>
                <w:szCs w:val="22"/>
              </w:rPr>
              <w:t>培训方案，包括但不限于培训对象、课时安排、师资力量安排等</w:t>
            </w:r>
            <w:r>
              <w:rPr>
                <w:rFonts w:hint="eastAsia" w:ascii="宋体" w:hAnsi="宋体" w:eastAsia="宋体" w:cs="宋体"/>
                <w:sz w:val="22"/>
                <w:szCs w:val="22"/>
                <w:lang w:val="en-US" w:eastAsia="zh-CN"/>
              </w:rPr>
              <w:t>综合打分（4，3，2，1，0）。</w:t>
            </w:r>
          </w:p>
        </w:tc>
        <w:tc>
          <w:tcPr>
            <w:tcW w:w="538" w:type="pct"/>
            <w:tcBorders>
              <w:bottom w:val="double" w:color="auto" w:sz="2" w:space="0"/>
            </w:tcBorders>
            <w:noWrap w:val="0"/>
            <w:vAlign w:val="center"/>
          </w:tcPr>
          <w:p w14:paraId="0300EEF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4</w:t>
            </w:r>
          </w:p>
        </w:tc>
      </w:tr>
    </w:tbl>
    <w:p w14:paraId="4083B9D9">
      <w:pPr>
        <w:keepNext w:val="0"/>
        <w:keepLines w:val="0"/>
        <w:pageBreakBefore w:val="0"/>
        <w:widowControl w:val="0"/>
        <w:kinsoku/>
        <w:wordWrap/>
        <w:overflowPunct/>
        <w:topLinePunct w:val="0"/>
        <w:bidi w:val="0"/>
        <w:snapToGrid/>
        <w:spacing w:line="348" w:lineRule="auto"/>
        <w:ind w:firstLine="330" w:firstLineChars="150"/>
        <w:textAlignment w:val="auto"/>
        <w:rPr>
          <w:rFonts w:ascii="新宋体" w:hAnsi="新宋体" w:cs="新宋体"/>
          <w:color w:val="auto"/>
          <w:szCs w:val="22"/>
          <w:highlight w:val="none"/>
        </w:rPr>
      </w:pPr>
      <w:r>
        <w:rPr>
          <w:rFonts w:hint="eastAsia" w:ascii="新宋体" w:hAnsi="新宋体" w:cs="新宋体"/>
          <w:color w:val="auto"/>
          <w:szCs w:val="22"/>
          <w:highlight w:val="none"/>
        </w:rPr>
        <w:t>备注：</w:t>
      </w:r>
    </w:p>
    <w:p w14:paraId="0B21FD44">
      <w:pPr>
        <w:keepNext w:val="0"/>
        <w:keepLines w:val="0"/>
        <w:pageBreakBefore w:val="0"/>
        <w:widowControl w:val="0"/>
        <w:numPr>
          <w:ilvl w:val="0"/>
          <w:numId w:val="16"/>
        </w:numPr>
        <w:kinsoku/>
        <w:wordWrap/>
        <w:overflowPunct/>
        <w:topLinePunct w:val="0"/>
        <w:bidi w:val="0"/>
        <w:snapToGrid/>
        <w:spacing w:line="348" w:lineRule="auto"/>
        <w:ind w:firstLine="330" w:firstLineChars="15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投标文件中的合同文本原件，予以确认其的真实性和有效性，如出现与事实不符等情况，将根据有关规定以“提供虚假材料谋取中标”予以处理。</w:t>
      </w:r>
    </w:p>
    <w:p w14:paraId="2B28435B">
      <w:pPr>
        <w:keepNext w:val="0"/>
        <w:keepLines w:val="0"/>
        <w:pageBreakBefore w:val="0"/>
        <w:widowControl w:val="0"/>
        <w:kinsoku/>
        <w:wordWrap/>
        <w:overflowPunct/>
        <w:topLinePunct w:val="0"/>
        <w:autoSpaceDE w:val="0"/>
        <w:autoSpaceDN w:val="0"/>
        <w:bidi w:val="0"/>
        <w:adjustRightInd w:val="0"/>
        <w:snapToGrid/>
        <w:spacing w:line="348" w:lineRule="auto"/>
        <w:ind w:right="-1"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2.</w:t>
      </w:r>
      <w:r>
        <w:rPr>
          <w:rFonts w:hint="eastAsia" w:ascii="宋体" w:hAnsi="宋体" w:eastAsia="宋体" w:cs="新宋体"/>
          <w:b/>
          <w:bCs/>
          <w:color w:val="auto"/>
          <w:kern w:val="0"/>
          <w:highlight w:val="none"/>
          <w:lang w:val="en-US" w:eastAsia="zh-CN"/>
        </w:rPr>
        <w:t>商务报价</w:t>
      </w:r>
      <w:r>
        <w:rPr>
          <w:rFonts w:hint="eastAsia" w:ascii="宋体" w:hAnsi="宋体" w:eastAsia="宋体" w:cs="新宋体"/>
          <w:b/>
          <w:bCs/>
          <w:color w:val="auto"/>
          <w:kern w:val="0"/>
          <w:highlight w:val="none"/>
          <w:lang w:val="zh-CN"/>
        </w:rPr>
        <w:t>评分（</w:t>
      </w:r>
      <w:r>
        <w:rPr>
          <w:rFonts w:hint="eastAsia" w:ascii="宋体" w:hAnsi="宋体" w:eastAsia="宋体" w:cs="新宋体"/>
          <w:b/>
          <w:bCs/>
          <w:color w:val="auto"/>
          <w:kern w:val="0"/>
          <w:highlight w:val="none"/>
          <w:lang w:val="en-US" w:eastAsia="zh-CN"/>
        </w:rPr>
        <w:t>3</w:t>
      </w:r>
      <w:r>
        <w:rPr>
          <w:rFonts w:hint="eastAsia" w:ascii="宋体" w:hAnsi="宋体" w:eastAsia="宋体" w:cs="新宋体"/>
          <w:b/>
          <w:bCs/>
          <w:color w:val="auto"/>
          <w:kern w:val="0"/>
          <w:highlight w:val="none"/>
        </w:rPr>
        <w:t>0</w:t>
      </w:r>
      <w:r>
        <w:rPr>
          <w:rFonts w:hint="eastAsia" w:ascii="宋体" w:hAnsi="宋体" w:eastAsia="宋体" w:cs="新宋体"/>
          <w:b/>
          <w:bCs/>
          <w:color w:val="auto"/>
          <w:kern w:val="0"/>
          <w:highlight w:val="none"/>
          <w:lang w:val="zh-CN"/>
        </w:rPr>
        <w:t>分）：</w:t>
      </w:r>
    </w:p>
    <w:p w14:paraId="25A687E0">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满足采购文件要求且投标价格最低的投标报价为评标基准价</w:t>
      </w:r>
      <w:r>
        <w:rPr>
          <w:rFonts w:ascii="宋体" w:hAnsi="宋体" w:eastAsia="宋体" w:cs="新宋体"/>
          <w:color w:val="auto"/>
          <w:kern w:val="0"/>
          <w:highlight w:val="none"/>
          <w:lang w:val="zh-CN"/>
        </w:rPr>
        <w:t>;</w:t>
      </w:r>
    </w:p>
    <w:p w14:paraId="4E8D5A1E">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1</w:t>
      </w:r>
      <w:r>
        <w:rPr>
          <w:rFonts w:hint="eastAsia" w:ascii="宋体" w:hAnsi="宋体" w:eastAsia="宋体" w:cs="新宋体"/>
          <w:color w:val="auto"/>
          <w:kern w:val="0"/>
          <w:highlight w:val="none"/>
          <w:lang w:val="zh-CN"/>
        </w:rPr>
        <w:t>）有效供应商的投标价等于评标基准价时，其商务报价评分值为满分</w:t>
      </w:r>
      <w:r>
        <w:rPr>
          <w:rFonts w:hint="eastAsia" w:ascii="宋体" w:hAnsi="宋体" w:eastAsia="宋体" w:cs="新宋体"/>
          <w:color w:val="auto"/>
          <w:kern w:val="0"/>
          <w:highlight w:val="none"/>
          <w:lang w:val="en-US" w:eastAsia="zh-CN"/>
        </w:rPr>
        <w:t>3</w:t>
      </w:r>
      <w:r>
        <w:rPr>
          <w:rFonts w:hint="eastAsia" w:ascii="宋体" w:hAnsi="宋体" w:eastAsia="宋体" w:cs="新宋体"/>
          <w:color w:val="auto"/>
          <w:kern w:val="0"/>
          <w:highlight w:val="none"/>
        </w:rPr>
        <w:t>0</w:t>
      </w:r>
      <w:r>
        <w:rPr>
          <w:rFonts w:hint="eastAsia" w:ascii="宋体" w:hAnsi="宋体" w:eastAsia="宋体" w:cs="新宋体"/>
          <w:color w:val="auto"/>
          <w:kern w:val="0"/>
          <w:highlight w:val="none"/>
          <w:lang w:val="zh-CN"/>
        </w:rPr>
        <w:t>分；</w:t>
      </w:r>
    </w:p>
    <w:p w14:paraId="374AE008">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2</w:t>
      </w:r>
      <w:r>
        <w:rPr>
          <w:rFonts w:hint="eastAsia" w:ascii="宋体" w:hAnsi="宋体" w:eastAsia="宋体" w:cs="新宋体"/>
          <w:color w:val="auto"/>
          <w:kern w:val="0"/>
          <w:highlight w:val="none"/>
          <w:lang w:val="zh-CN"/>
        </w:rPr>
        <w:t>）其他供应商的</w:t>
      </w:r>
      <w:r>
        <w:rPr>
          <w:rFonts w:hint="eastAsia" w:ascii="宋体" w:hAnsi="宋体" w:eastAsia="宋体" w:cs="新宋体"/>
          <w:color w:val="auto"/>
          <w:kern w:val="0"/>
          <w:highlight w:val="none"/>
          <w:lang w:val="en-US" w:eastAsia="zh-CN"/>
        </w:rPr>
        <w:t>商务报价</w:t>
      </w:r>
      <w:r>
        <w:rPr>
          <w:rFonts w:hint="eastAsia" w:ascii="宋体" w:hAnsi="宋体" w:eastAsia="宋体" w:cs="新宋体"/>
          <w:color w:val="auto"/>
          <w:kern w:val="0"/>
          <w:highlight w:val="none"/>
          <w:lang w:val="zh-CN"/>
        </w:rPr>
        <w:t>分按以下公式计算：</w:t>
      </w:r>
    </w:p>
    <w:p w14:paraId="732264BE">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商务</w:t>
      </w:r>
      <w:r>
        <w:rPr>
          <w:rFonts w:hint="eastAsia" w:ascii="宋体" w:hAnsi="宋体" w:eastAsia="宋体" w:cs="新宋体"/>
          <w:color w:val="auto"/>
          <w:kern w:val="0"/>
          <w:highlight w:val="none"/>
          <w:lang w:val="en-US" w:eastAsia="zh-CN"/>
        </w:rPr>
        <w:t>报价</w:t>
      </w:r>
      <w:r>
        <w:rPr>
          <w:rFonts w:hint="eastAsia" w:ascii="宋体" w:hAnsi="宋体" w:eastAsia="宋体" w:cs="新宋体"/>
          <w:color w:val="auto"/>
          <w:kern w:val="0"/>
          <w:highlight w:val="none"/>
          <w:lang w:val="zh-CN"/>
        </w:rPr>
        <w:t>分得分</w:t>
      </w:r>
      <w:r>
        <w:rPr>
          <w:rFonts w:ascii="宋体" w:hAnsi="宋体" w:eastAsia="宋体" w:cs="新宋体"/>
          <w:color w:val="auto"/>
          <w:kern w:val="0"/>
          <w:highlight w:val="none"/>
          <w:lang w:val="zh-CN"/>
        </w:rPr>
        <w:t>=</w:t>
      </w:r>
      <w:r>
        <w:rPr>
          <w:rFonts w:hint="eastAsia" w:ascii="宋体" w:hAnsi="宋体" w:eastAsia="宋体" w:cs="新宋体"/>
          <w:color w:val="auto"/>
          <w:kern w:val="0"/>
          <w:highlight w:val="none"/>
          <w:lang w:val="zh-CN"/>
        </w:rPr>
        <w:t>（评标基准价</w:t>
      </w:r>
      <w:r>
        <w:rPr>
          <w:rFonts w:ascii="宋体" w:hAnsi="宋体" w:eastAsia="宋体" w:cs="新宋体"/>
          <w:color w:val="auto"/>
          <w:kern w:val="0"/>
          <w:highlight w:val="none"/>
          <w:lang w:val="zh-CN"/>
        </w:rPr>
        <w:t>/</w:t>
      </w:r>
      <w:r>
        <w:rPr>
          <w:rFonts w:hint="eastAsia" w:ascii="宋体" w:hAnsi="宋体" w:eastAsia="宋体" w:cs="新宋体"/>
          <w:color w:val="auto"/>
          <w:kern w:val="0"/>
          <w:highlight w:val="none"/>
          <w:lang w:val="zh-CN"/>
        </w:rPr>
        <w:t>供应商投标报价）×价格权值×</w:t>
      </w:r>
      <w:r>
        <w:rPr>
          <w:rFonts w:ascii="宋体" w:hAnsi="宋体" w:eastAsia="宋体" w:cs="新宋体"/>
          <w:color w:val="auto"/>
          <w:kern w:val="0"/>
          <w:highlight w:val="none"/>
          <w:lang w:val="zh-CN"/>
        </w:rPr>
        <w:t>100</w:t>
      </w:r>
      <w:r>
        <w:rPr>
          <w:rFonts w:hint="eastAsia" w:ascii="宋体" w:hAnsi="宋体" w:eastAsia="宋体" w:cs="新宋体"/>
          <w:color w:val="auto"/>
          <w:kern w:val="0"/>
          <w:highlight w:val="none"/>
          <w:lang w:val="zh-CN"/>
        </w:rPr>
        <w:t>（四舍五入后保留小数</w:t>
      </w:r>
      <w:r>
        <w:rPr>
          <w:rFonts w:ascii="宋体" w:hAnsi="宋体" w:eastAsia="宋体" w:cs="新宋体"/>
          <w:color w:val="auto"/>
          <w:kern w:val="0"/>
          <w:highlight w:val="none"/>
          <w:lang w:val="zh-CN"/>
        </w:rPr>
        <w:t>2</w:t>
      </w:r>
      <w:r>
        <w:rPr>
          <w:rFonts w:hint="eastAsia" w:ascii="宋体" w:hAnsi="宋体" w:eastAsia="宋体" w:cs="新宋体"/>
          <w:color w:val="auto"/>
          <w:kern w:val="0"/>
          <w:highlight w:val="none"/>
          <w:lang w:val="zh-CN"/>
        </w:rPr>
        <w:t>位，价格权值为</w:t>
      </w:r>
      <w:r>
        <w:rPr>
          <w:rFonts w:hint="eastAsia" w:ascii="宋体" w:hAnsi="宋体" w:eastAsia="宋体" w:cs="新宋体"/>
          <w:color w:val="auto"/>
          <w:kern w:val="0"/>
          <w:highlight w:val="none"/>
          <w:lang w:val="en-US" w:eastAsia="zh-CN"/>
        </w:rPr>
        <w:t>3</w:t>
      </w:r>
      <w:r>
        <w:rPr>
          <w:rFonts w:hint="eastAsia" w:ascii="宋体" w:hAnsi="宋体" w:eastAsia="宋体" w:cs="新宋体"/>
          <w:color w:val="auto"/>
          <w:kern w:val="0"/>
          <w:highlight w:val="none"/>
        </w:rPr>
        <w:t>0</w:t>
      </w:r>
      <w:r>
        <w:rPr>
          <w:rFonts w:ascii="宋体" w:hAnsi="宋体" w:eastAsia="宋体" w:cs="新宋体"/>
          <w:color w:val="auto"/>
          <w:kern w:val="0"/>
          <w:highlight w:val="none"/>
          <w:lang w:val="zh-CN"/>
        </w:rPr>
        <w:t>%</w:t>
      </w:r>
      <w:r>
        <w:rPr>
          <w:rFonts w:hint="eastAsia" w:ascii="宋体" w:hAnsi="宋体" w:eastAsia="宋体" w:cs="新宋体"/>
          <w:color w:val="auto"/>
          <w:kern w:val="0"/>
          <w:highlight w:val="none"/>
          <w:lang w:val="zh-CN"/>
        </w:rPr>
        <w:t>）</w:t>
      </w:r>
    </w:p>
    <w:p w14:paraId="5AE379ED">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3</w:t>
      </w:r>
      <w:r>
        <w:rPr>
          <w:rFonts w:hint="eastAsia" w:ascii="宋体" w:hAnsi="宋体" w:eastAsia="宋体" w:cs="新宋体"/>
          <w:color w:val="auto"/>
          <w:kern w:val="0"/>
          <w:highlight w:val="none"/>
          <w:lang w:val="zh-CN"/>
        </w:rPr>
        <w:t>）如供应商报价超过采购预算，其投标文件作无效标处理。</w:t>
      </w:r>
    </w:p>
    <w:p w14:paraId="383441CF">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4</w:t>
      </w:r>
      <w:r>
        <w:rPr>
          <w:rFonts w:hint="eastAsia" w:ascii="宋体" w:hAnsi="宋体" w:eastAsia="宋体" w:cs="新宋体"/>
          <w:color w:val="auto"/>
          <w:kern w:val="0"/>
          <w:highlight w:val="none"/>
          <w:lang w:val="zh-CN"/>
        </w:rPr>
        <w:t>）所有供应商商务报价均超采购预算，重新组织招标。</w:t>
      </w:r>
    </w:p>
    <w:p w14:paraId="2F8C9B4C">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3.有效供应商的综合得分为技术分和商务（报价）分的总和。</w:t>
      </w:r>
      <w:bookmarkEnd w:id="31"/>
    </w:p>
    <w:p w14:paraId="4EF882FC">
      <w:pPr>
        <w:autoSpaceDE w:val="0"/>
        <w:autoSpaceDN w:val="0"/>
        <w:adjustRightInd w:val="0"/>
        <w:spacing w:line="460" w:lineRule="exact"/>
        <w:ind w:right="-1" w:firstLine="440" w:firstLineChars="200"/>
        <w:rPr>
          <w:rFonts w:ascii="宋体" w:hAnsi="宋体" w:eastAsia="宋体" w:cs="新宋体"/>
          <w:color w:val="auto"/>
          <w:kern w:val="0"/>
          <w:highlight w:val="none"/>
          <w:lang w:val="zh-CN"/>
        </w:rPr>
      </w:pPr>
    </w:p>
    <w:sectPr>
      <w:footerReference r:id="rId8" w:type="first"/>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苹方-简">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hakuyoxingshu7000">
    <w:altName w:val="宋体"/>
    <w:panose1 w:val="00000000000000000000"/>
    <w:charset w:val="86"/>
    <w:family w:val="auto"/>
    <w:pitch w:val="default"/>
    <w:sig w:usb0="00000000" w:usb1="00000000" w:usb2="0000003F" w:usb3="00000000" w:csb0="603F00FF" w:csb1="FFFF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BA0C">
    <w:pPr>
      <w:pStyle w:val="23"/>
      <w:ind w:left="-202" w:right="-202" w:firstLine="450"/>
      <w:jc w:val="center"/>
    </w:pPr>
    <w:r>
      <w:rPr>
        <w:rFonts w:hint="eastAsia"/>
      </w:rPr>
      <w:t>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AF5DB">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9FC6">
    <w:pPr>
      <w:pStyle w:val="23"/>
      <w:ind w:left="-202" w:right="-202" w:firstLine="4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54D83F30">
                          <w:pPr>
                            <w:pStyle w:val="23"/>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F4ko0gAAAAMBAAAPAAAAAAAAAAEAIAAAACIAAABkcnMvZG93bnJldi54bWxQSwECFAAU&#10;AAAACACHTuJArkQ1qjACAABTBAAADgAAAAAAAAABACAAAAAhAQAAZHJzL2Uyb0RvYy54bWxQSwUG&#10;AAAAAAYABgBZAQAAwwUAAAAA&#10;">
              <v:fill on="f" focussize="0,0"/>
              <v:stroke on="f" weight="0.5pt"/>
              <v:imagedata o:title=""/>
              <o:lock v:ext="edit" aspectratio="f"/>
              <v:textbox inset="0mm,0mm,0mm,0mm" style="mso-fit-shape-to-text:t;">
                <w:txbxContent>
                  <w:p w14:paraId="54D83F30">
                    <w:pPr>
                      <w:pStyle w:val="23"/>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DC3B">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28DB29E1">
                          <w:pPr>
                            <w:pStyle w:val="23"/>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NKLViwuAgAAUwQAAA4AAAAAAAAAAQAgAAAAIQEAAGRycy9lMm9Eb2MueG1sUEsFBgAA&#10;AAAGAAYAWQEAAMEFAAAAAA==&#10;">
              <v:fill on="f" focussize="0,0"/>
              <v:stroke on="f" weight="0.5pt"/>
              <v:imagedata o:title=""/>
              <o:lock v:ext="edit" aspectratio="f"/>
              <v:textbox inset="0mm,0mm,0mm,0mm" style="mso-fit-shape-to-text:t;">
                <w:txbxContent>
                  <w:p w14:paraId="28DB29E1">
                    <w:pPr>
                      <w:pStyle w:val="23"/>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FF82">
    <w:pPr>
      <w:pStyle w:val="24"/>
      <w:pBdr>
        <w:bottom w:val="none" w:color="auto" w:sz="0" w:space="1"/>
      </w:pBdr>
      <w:ind w:left="-202" w:right="-202" w:firstLine="450"/>
      <w:jc w:val="left"/>
    </w:pPr>
    <w:r>
      <w:rPr>
        <w:rFonts w:hint="eastAsia"/>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3C0">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10D"/>
    <w:multiLevelType w:val="singleLevel"/>
    <w:tmpl w:val="A111B10D"/>
    <w:lvl w:ilvl="0" w:tentative="0">
      <w:start w:val="1"/>
      <w:numFmt w:val="decimal"/>
      <w:lvlText w:val="%1."/>
      <w:lvlJc w:val="left"/>
      <w:pPr>
        <w:tabs>
          <w:tab w:val="left" w:pos="312"/>
        </w:tabs>
      </w:pPr>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B6E8BC12"/>
    <w:multiLevelType w:val="singleLevel"/>
    <w:tmpl w:val="B6E8BC12"/>
    <w:lvl w:ilvl="0" w:tentative="0">
      <w:start w:val="1"/>
      <w:numFmt w:val="chineseCounting"/>
      <w:suff w:val="nothing"/>
      <w:lvlText w:val="%1、"/>
      <w:lvlJc w:val="left"/>
      <w:rPr>
        <w:rFonts w:hint="eastAsia"/>
      </w:rPr>
    </w:lvl>
  </w:abstractNum>
  <w:abstractNum w:abstractNumId="3">
    <w:nsid w:val="EAAC6DD3"/>
    <w:multiLevelType w:val="singleLevel"/>
    <w:tmpl w:val="EAAC6DD3"/>
    <w:lvl w:ilvl="0" w:tentative="0">
      <w:start w:val="1"/>
      <w:numFmt w:val="decimal"/>
      <w:suff w:val="nothing"/>
      <w:lvlText w:val="%1．"/>
      <w:lvlJc w:val="left"/>
      <w:pPr>
        <w:ind w:left="0" w:firstLine="400"/>
      </w:pPr>
      <w:rPr>
        <w:rFonts w:hint="default"/>
      </w:rPr>
    </w:lvl>
  </w:abstractNum>
  <w:abstractNum w:abstractNumId="4">
    <w:nsid w:val="FA09830C"/>
    <w:multiLevelType w:val="singleLevel"/>
    <w:tmpl w:val="FA09830C"/>
    <w:lvl w:ilvl="0" w:tentative="0">
      <w:start w:val="1"/>
      <w:numFmt w:val="decimal"/>
      <w:suff w:val="nothing"/>
      <w:lvlText w:val="%1."/>
      <w:lvlJc w:val="left"/>
    </w:lvl>
  </w:abstractNum>
  <w:abstractNum w:abstractNumId="5">
    <w:nsid w:val="0B893AAF"/>
    <w:multiLevelType w:val="multilevel"/>
    <w:tmpl w:val="0B893AAF"/>
    <w:lvl w:ilvl="0" w:tentative="0">
      <w:start w:val="1"/>
      <w:numFmt w:val="decimal"/>
      <w:pStyle w:val="57"/>
      <w:lvlText w:val="%1．"/>
      <w:lvlJc w:val="left"/>
      <w:pPr>
        <w:tabs>
          <w:tab w:val="left" w:pos="1095"/>
        </w:tabs>
        <w:ind w:left="1095" w:hanging="360"/>
      </w:pPr>
      <w:rPr>
        <w:rFonts w:hint="eastAsia"/>
      </w:rPr>
    </w:lvl>
    <w:lvl w:ilvl="1" w:tentative="0">
      <w:start w:val="1"/>
      <w:numFmt w:val="lowerLetter"/>
      <w:pStyle w:val="58"/>
      <w:lvlText w:val="%2)"/>
      <w:lvlJc w:val="left"/>
      <w:pPr>
        <w:tabs>
          <w:tab w:val="left" w:pos="1575"/>
        </w:tabs>
        <w:ind w:left="1575" w:hanging="420"/>
      </w:pPr>
    </w:lvl>
    <w:lvl w:ilvl="2" w:tentative="0">
      <w:start w:val="1"/>
      <w:numFmt w:val="lowerRoman"/>
      <w:pStyle w:val="59"/>
      <w:lvlText w:val="%3."/>
      <w:lvlJc w:val="right"/>
      <w:pPr>
        <w:tabs>
          <w:tab w:val="left" w:pos="1995"/>
        </w:tabs>
        <w:ind w:left="1995" w:hanging="420"/>
      </w:pPr>
    </w:lvl>
    <w:lvl w:ilvl="3" w:tentative="0">
      <w:start w:val="1"/>
      <w:numFmt w:val="decimal"/>
      <w:pStyle w:val="60"/>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6">
    <w:nsid w:val="137361C0"/>
    <w:multiLevelType w:val="multilevel"/>
    <w:tmpl w:val="137361C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0F7776F"/>
    <w:multiLevelType w:val="singleLevel"/>
    <w:tmpl w:val="20F7776F"/>
    <w:lvl w:ilvl="0" w:tentative="0">
      <w:start w:val="1"/>
      <w:numFmt w:val="decimal"/>
      <w:suff w:val="space"/>
      <w:lvlText w:val="%1)"/>
      <w:lvlJc w:val="left"/>
    </w:lvl>
  </w:abstractNum>
  <w:abstractNum w:abstractNumId="8">
    <w:nsid w:val="4CD962E0"/>
    <w:multiLevelType w:val="multilevel"/>
    <w:tmpl w:val="4CD962E0"/>
    <w:lvl w:ilvl="0" w:tentative="0">
      <w:start w:val="1"/>
      <w:numFmt w:val="chineseCountingThousand"/>
      <w:pStyle w:val="2"/>
      <w:lvlText w:val="%1、"/>
      <w:lvlJc w:val="left"/>
      <w:pPr>
        <w:ind w:left="57" w:hanging="57"/>
      </w:pPr>
      <w:rPr>
        <w:rFonts w:hint="eastAsia"/>
      </w:rPr>
    </w:lvl>
    <w:lvl w:ilvl="1" w:tentative="0">
      <w:start w:val="1"/>
      <w:numFmt w:val="decimal"/>
      <w:pStyle w:val="3"/>
      <w:isLgl/>
      <w:lvlText w:val="%1.%2"/>
      <w:lvlJc w:val="left"/>
      <w:pPr>
        <w:ind w:left="57" w:hanging="5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tentative="0">
      <w:start w:val="1"/>
      <w:numFmt w:val="decimal"/>
      <w:pStyle w:val="4"/>
      <w:isLgl/>
      <w:suff w:val="space"/>
      <w:lvlText w:val="%1.%2.%3"/>
      <w:lvlJc w:val="left"/>
      <w:pPr>
        <w:ind w:left="171" w:hanging="57"/>
      </w:pPr>
      <w:rPr>
        <w:rFonts w:hint="eastAsia"/>
      </w:rPr>
    </w:lvl>
    <w:lvl w:ilvl="3" w:tentative="0">
      <w:start w:val="1"/>
      <w:numFmt w:val="decimal"/>
      <w:pStyle w:val="5"/>
      <w:isLgl/>
      <w:lvlText w:val="%1.%2.%3.%4"/>
      <w:lvlJc w:val="left"/>
      <w:pPr>
        <w:ind w:left="228" w:hanging="57"/>
      </w:pPr>
      <w:rPr>
        <w:rFonts w:hint="eastAsia"/>
      </w:rPr>
    </w:lvl>
    <w:lvl w:ilvl="4" w:tentative="0">
      <w:start w:val="1"/>
      <w:numFmt w:val="decimal"/>
      <w:isLgl/>
      <w:lvlText w:val="%1.%2.%3.%4.%5"/>
      <w:lvlJc w:val="left"/>
      <w:pPr>
        <w:ind w:left="285" w:hanging="57"/>
      </w:pPr>
      <w:rPr>
        <w:rFonts w:hint="eastAsia"/>
      </w:rPr>
    </w:lvl>
    <w:lvl w:ilvl="5" w:tentative="0">
      <w:start w:val="1"/>
      <w:numFmt w:val="decimal"/>
      <w:isLgl/>
      <w:lvlText w:val="%1.%2.%3.%4.%5.%6"/>
      <w:lvlJc w:val="left"/>
      <w:pPr>
        <w:ind w:left="342" w:hanging="57"/>
      </w:pPr>
      <w:rPr>
        <w:rFonts w:hint="eastAsia"/>
      </w:rPr>
    </w:lvl>
    <w:lvl w:ilvl="6" w:tentative="0">
      <w:start w:val="1"/>
      <w:numFmt w:val="decimal"/>
      <w:isLgl/>
      <w:lvlText w:val="%1.%2.%3.%4.%5.%6.%7"/>
      <w:lvlJc w:val="left"/>
      <w:pPr>
        <w:ind w:left="399" w:hanging="57"/>
      </w:pPr>
      <w:rPr>
        <w:rFonts w:hint="eastAsia"/>
      </w:rPr>
    </w:lvl>
    <w:lvl w:ilvl="7" w:tentative="0">
      <w:start w:val="1"/>
      <w:numFmt w:val="decimal"/>
      <w:lvlText w:val="%1.%2.%3.%4.%5.%6.%7.%8"/>
      <w:lvlJc w:val="left"/>
      <w:pPr>
        <w:ind w:left="456" w:hanging="57"/>
      </w:pPr>
      <w:rPr>
        <w:rFonts w:hint="eastAsia"/>
      </w:rPr>
    </w:lvl>
    <w:lvl w:ilvl="8" w:tentative="0">
      <w:start w:val="1"/>
      <w:numFmt w:val="decimal"/>
      <w:lvlText w:val="%1.%2.%3.%4.%5.%6.%7.%8.%9"/>
      <w:lvlJc w:val="left"/>
      <w:pPr>
        <w:ind w:left="513" w:hanging="57"/>
      </w:pPr>
      <w:rPr>
        <w:rFonts w:hint="eastAsia"/>
      </w:rPr>
    </w:lvl>
  </w:abstractNum>
  <w:abstractNum w:abstractNumId="9">
    <w:nsid w:val="59A26567"/>
    <w:multiLevelType w:val="multilevel"/>
    <w:tmpl w:val="59A2656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A0A7B15"/>
    <w:multiLevelType w:val="multilevel"/>
    <w:tmpl w:val="5A0A7B15"/>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A1B8D0C"/>
    <w:multiLevelType w:val="singleLevel"/>
    <w:tmpl w:val="5A1B8D0C"/>
    <w:lvl w:ilvl="0" w:tentative="0">
      <w:start w:val="1"/>
      <w:numFmt w:val="decimal"/>
      <w:suff w:val="nothing"/>
      <w:lvlText w:val="%1．"/>
      <w:lvlJc w:val="left"/>
      <w:pPr>
        <w:ind w:left="0" w:firstLine="400"/>
      </w:pPr>
      <w:rPr>
        <w:rFonts w:hint="default"/>
      </w:rPr>
    </w:lvl>
  </w:abstractNum>
  <w:abstractNum w:abstractNumId="12">
    <w:nsid w:val="5BFB4AE7"/>
    <w:multiLevelType w:val="singleLevel"/>
    <w:tmpl w:val="5BFB4AE7"/>
    <w:lvl w:ilvl="0" w:tentative="0">
      <w:start w:val="1"/>
      <w:numFmt w:val="chineseCounting"/>
      <w:suff w:val="nothing"/>
      <w:lvlText w:val="%1、"/>
      <w:lvlJc w:val="left"/>
      <w:pPr>
        <w:ind w:left="0" w:firstLine="420"/>
      </w:pPr>
      <w:rPr>
        <w:rFonts w:hint="eastAsia"/>
        <w:b w:val="0"/>
      </w:rPr>
    </w:lvl>
  </w:abstractNum>
  <w:abstractNum w:abstractNumId="13">
    <w:nsid w:val="6B0B47B0"/>
    <w:multiLevelType w:val="multilevel"/>
    <w:tmpl w:val="6B0B47B0"/>
    <w:lvl w:ilvl="0" w:tentative="0">
      <w:start w:val="1"/>
      <w:numFmt w:val="bullet"/>
      <w:lvlText w:val=""/>
      <w:lvlJc w:val="left"/>
      <w:pPr>
        <w:tabs>
          <w:tab w:val="left" w:pos="480"/>
        </w:tabs>
        <w:ind w:left="480" w:hanging="480"/>
      </w:pPr>
      <w:rPr>
        <w:rFonts w:hint="default" w:ascii="Wingdings" w:hAnsi="Wingdings"/>
        <w:sz w:val="20"/>
        <w:szCs w:val="20"/>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14">
    <w:nsid w:val="6C07C839"/>
    <w:multiLevelType w:val="singleLevel"/>
    <w:tmpl w:val="6C07C839"/>
    <w:lvl w:ilvl="0" w:tentative="0">
      <w:start w:val="1"/>
      <w:numFmt w:val="decimal"/>
      <w:suff w:val="nothing"/>
      <w:lvlText w:val="（%1）"/>
      <w:lvlJc w:val="left"/>
    </w:lvl>
  </w:abstractNum>
  <w:abstractNum w:abstractNumId="15">
    <w:nsid w:val="6F65C8FF"/>
    <w:multiLevelType w:val="singleLevel"/>
    <w:tmpl w:val="6F65C8FF"/>
    <w:lvl w:ilvl="0" w:tentative="0">
      <w:start w:val="27"/>
      <w:numFmt w:val="decimal"/>
      <w:suff w:val="space"/>
      <w:lvlText w:val="%1."/>
      <w:lvlJc w:val="left"/>
    </w:lvl>
  </w:abstractNum>
  <w:num w:numId="1">
    <w:abstractNumId w:val="8"/>
  </w:num>
  <w:num w:numId="2">
    <w:abstractNumId w:val="5"/>
  </w:num>
  <w:num w:numId="3">
    <w:abstractNumId w:val="2"/>
  </w:num>
  <w:num w:numId="4">
    <w:abstractNumId w:val="3"/>
  </w:num>
  <w:num w:numId="5">
    <w:abstractNumId w:val="11"/>
  </w:num>
  <w:num w:numId="6">
    <w:abstractNumId w:val="1"/>
  </w:num>
  <w:num w:numId="7">
    <w:abstractNumId w:val="9"/>
  </w:num>
  <w:num w:numId="8">
    <w:abstractNumId w:val="6"/>
  </w:num>
  <w:num w:numId="9">
    <w:abstractNumId w:val="10"/>
  </w:num>
  <w:num w:numId="10">
    <w:abstractNumId w:val="7"/>
  </w:num>
  <w:num w:numId="11">
    <w:abstractNumId w:val="15"/>
  </w:num>
  <w:num w:numId="12">
    <w:abstractNumId w:val="12"/>
  </w:num>
  <w:num w:numId="13">
    <w:abstractNumId w:val="4"/>
  </w:num>
  <w:num w:numId="14">
    <w:abstractNumId w:val="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MzQ4NjBiNGNhMWFkMWZhMTFjZjczNTRiY2UzZTIifQ=="/>
    <w:docVar w:name="KSO_WPS_MARK_KEY" w:val="211dabb8-7488-47f8-9db6-d6787d1e0a35"/>
  </w:docVars>
  <w:rsids>
    <w:rsidRoot w:val="FDE9CBDF"/>
    <w:rsid w:val="00000B42"/>
    <w:rsid w:val="0000183C"/>
    <w:rsid w:val="00010220"/>
    <w:rsid w:val="000115AB"/>
    <w:rsid w:val="00013921"/>
    <w:rsid w:val="00020FF9"/>
    <w:rsid w:val="00022D3A"/>
    <w:rsid w:val="000248C5"/>
    <w:rsid w:val="000353D5"/>
    <w:rsid w:val="00036116"/>
    <w:rsid w:val="00042953"/>
    <w:rsid w:val="00045573"/>
    <w:rsid w:val="00045B59"/>
    <w:rsid w:val="000504E3"/>
    <w:rsid w:val="000508D5"/>
    <w:rsid w:val="00052754"/>
    <w:rsid w:val="0005747C"/>
    <w:rsid w:val="00062011"/>
    <w:rsid w:val="0006324F"/>
    <w:rsid w:val="00063FD0"/>
    <w:rsid w:val="00064D8A"/>
    <w:rsid w:val="00065469"/>
    <w:rsid w:val="00066344"/>
    <w:rsid w:val="00070175"/>
    <w:rsid w:val="000719F6"/>
    <w:rsid w:val="00074579"/>
    <w:rsid w:val="00074C0E"/>
    <w:rsid w:val="0008027C"/>
    <w:rsid w:val="000821C6"/>
    <w:rsid w:val="000846F6"/>
    <w:rsid w:val="00084D82"/>
    <w:rsid w:val="00085862"/>
    <w:rsid w:val="00085C08"/>
    <w:rsid w:val="00090310"/>
    <w:rsid w:val="000911CF"/>
    <w:rsid w:val="000939D6"/>
    <w:rsid w:val="000B02F4"/>
    <w:rsid w:val="000C26B9"/>
    <w:rsid w:val="000C476E"/>
    <w:rsid w:val="000C6FE7"/>
    <w:rsid w:val="000D5985"/>
    <w:rsid w:val="000E14BC"/>
    <w:rsid w:val="000E5200"/>
    <w:rsid w:val="000E5ECC"/>
    <w:rsid w:val="000E7ED3"/>
    <w:rsid w:val="000F05D3"/>
    <w:rsid w:val="000F46DB"/>
    <w:rsid w:val="000F5327"/>
    <w:rsid w:val="00102BAE"/>
    <w:rsid w:val="001054D2"/>
    <w:rsid w:val="0010790B"/>
    <w:rsid w:val="00115C8F"/>
    <w:rsid w:val="00115F42"/>
    <w:rsid w:val="00117040"/>
    <w:rsid w:val="00122F09"/>
    <w:rsid w:val="00124F48"/>
    <w:rsid w:val="00127222"/>
    <w:rsid w:val="00133014"/>
    <w:rsid w:val="0013501E"/>
    <w:rsid w:val="00136FEB"/>
    <w:rsid w:val="0014121C"/>
    <w:rsid w:val="00144EBD"/>
    <w:rsid w:val="0014601B"/>
    <w:rsid w:val="00152598"/>
    <w:rsid w:val="00162D4F"/>
    <w:rsid w:val="001645D2"/>
    <w:rsid w:val="0016643B"/>
    <w:rsid w:val="00166FE7"/>
    <w:rsid w:val="00170C00"/>
    <w:rsid w:val="001717EF"/>
    <w:rsid w:val="00171A21"/>
    <w:rsid w:val="001760BB"/>
    <w:rsid w:val="00176145"/>
    <w:rsid w:val="0018284A"/>
    <w:rsid w:val="0018596B"/>
    <w:rsid w:val="00194FA9"/>
    <w:rsid w:val="00197AF5"/>
    <w:rsid w:val="001A025B"/>
    <w:rsid w:val="001A163A"/>
    <w:rsid w:val="001A2807"/>
    <w:rsid w:val="001A3E4C"/>
    <w:rsid w:val="001A6670"/>
    <w:rsid w:val="001B27F5"/>
    <w:rsid w:val="001B6D9A"/>
    <w:rsid w:val="001C0423"/>
    <w:rsid w:val="001C486D"/>
    <w:rsid w:val="001C4A70"/>
    <w:rsid w:val="001C54A8"/>
    <w:rsid w:val="001D0F6D"/>
    <w:rsid w:val="001E4069"/>
    <w:rsid w:val="001E7FDC"/>
    <w:rsid w:val="001F202A"/>
    <w:rsid w:val="001F70A9"/>
    <w:rsid w:val="001F7986"/>
    <w:rsid w:val="001F7D09"/>
    <w:rsid w:val="00202EB9"/>
    <w:rsid w:val="00207F2C"/>
    <w:rsid w:val="002132F5"/>
    <w:rsid w:val="00216C66"/>
    <w:rsid w:val="0021767E"/>
    <w:rsid w:val="00220768"/>
    <w:rsid w:val="00226439"/>
    <w:rsid w:val="00231D14"/>
    <w:rsid w:val="00233020"/>
    <w:rsid w:val="002338DC"/>
    <w:rsid w:val="00237793"/>
    <w:rsid w:val="00243399"/>
    <w:rsid w:val="00245360"/>
    <w:rsid w:val="0025220E"/>
    <w:rsid w:val="002528A5"/>
    <w:rsid w:val="00254010"/>
    <w:rsid w:val="00257A37"/>
    <w:rsid w:val="00267E1F"/>
    <w:rsid w:val="002715D0"/>
    <w:rsid w:val="00281993"/>
    <w:rsid w:val="002839B6"/>
    <w:rsid w:val="002869FD"/>
    <w:rsid w:val="002874EC"/>
    <w:rsid w:val="0029264E"/>
    <w:rsid w:val="002973D1"/>
    <w:rsid w:val="002A0766"/>
    <w:rsid w:val="002A25A4"/>
    <w:rsid w:val="002A3827"/>
    <w:rsid w:val="002B05A3"/>
    <w:rsid w:val="002B182F"/>
    <w:rsid w:val="002B262C"/>
    <w:rsid w:val="002B2FDB"/>
    <w:rsid w:val="002B3387"/>
    <w:rsid w:val="002B4C69"/>
    <w:rsid w:val="002B5F5D"/>
    <w:rsid w:val="002C0A5D"/>
    <w:rsid w:val="002C59BE"/>
    <w:rsid w:val="002C766A"/>
    <w:rsid w:val="002C7788"/>
    <w:rsid w:val="002D379F"/>
    <w:rsid w:val="002D3894"/>
    <w:rsid w:val="002D3C90"/>
    <w:rsid w:val="002D5F84"/>
    <w:rsid w:val="002E30A9"/>
    <w:rsid w:val="002E4DAB"/>
    <w:rsid w:val="002F292A"/>
    <w:rsid w:val="002F39F0"/>
    <w:rsid w:val="002F4B8A"/>
    <w:rsid w:val="0030104C"/>
    <w:rsid w:val="0030270A"/>
    <w:rsid w:val="00311ACE"/>
    <w:rsid w:val="003127B3"/>
    <w:rsid w:val="00313F9A"/>
    <w:rsid w:val="00314149"/>
    <w:rsid w:val="003160FD"/>
    <w:rsid w:val="00316AC2"/>
    <w:rsid w:val="00316F38"/>
    <w:rsid w:val="003217C6"/>
    <w:rsid w:val="0032266C"/>
    <w:rsid w:val="00325B17"/>
    <w:rsid w:val="00327F06"/>
    <w:rsid w:val="00330C24"/>
    <w:rsid w:val="00331984"/>
    <w:rsid w:val="0033234B"/>
    <w:rsid w:val="00332782"/>
    <w:rsid w:val="0033516F"/>
    <w:rsid w:val="003361CF"/>
    <w:rsid w:val="003373C8"/>
    <w:rsid w:val="00337FB3"/>
    <w:rsid w:val="003401B9"/>
    <w:rsid w:val="003524E5"/>
    <w:rsid w:val="00352B5E"/>
    <w:rsid w:val="00356559"/>
    <w:rsid w:val="003618FB"/>
    <w:rsid w:val="00364846"/>
    <w:rsid w:val="00365DA9"/>
    <w:rsid w:val="0037136C"/>
    <w:rsid w:val="0037280A"/>
    <w:rsid w:val="00380635"/>
    <w:rsid w:val="00385A3A"/>
    <w:rsid w:val="003879DC"/>
    <w:rsid w:val="00392FB9"/>
    <w:rsid w:val="003A1428"/>
    <w:rsid w:val="003A18A2"/>
    <w:rsid w:val="003A2A31"/>
    <w:rsid w:val="003A2B38"/>
    <w:rsid w:val="003A5B28"/>
    <w:rsid w:val="003B0748"/>
    <w:rsid w:val="003B105A"/>
    <w:rsid w:val="003B4EF0"/>
    <w:rsid w:val="003B6137"/>
    <w:rsid w:val="003C22D1"/>
    <w:rsid w:val="003C448E"/>
    <w:rsid w:val="003C45D7"/>
    <w:rsid w:val="003D1878"/>
    <w:rsid w:val="003D5A62"/>
    <w:rsid w:val="003E2A1D"/>
    <w:rsid w:val="003E318B"/>
    <w:rsid w:val="003F091D"/>
    <w:rsid w:val="003F2175"/>
    <w:rsid w:val="003F2CE0"/>
    <w:rsid w:val="004005A5"/>
    <w:rsid w:val="004061EB"/>
    <w:rsid w:val="00411D81"/>
    <w:rsid w:val="00414150"/>
    <w:rsid w:val="00415C5C"/>
    <w:rsid w:val="00420BBC"/>
    <w:rsid w:val="004240A2"/>
    <w:rsid w:val="004257B7"/>
    <w:rsid w:val="00430080"/>
    <w:rsid w:val="0043209D"/>
    <w:rsid w:val="00435C3A"/>
    <w:rsid w:val="00435E07"/>
    <w:rsid w:val="0043665A"/>
    <w:rsid w:val="00437C80"/>
    <w:rsid w:val="004449E6"/>
    <w:rsid w:val="004463AB"/>
    <w:rsid w:val="004477B6"/>
    <w:rsid w:val="004528EC"/>
    <w:rsid w:val="00452DBB"/>
    <w:rsid w:val="004535B9"/>
    <w:rsid w:val="0045512B"/>
    <w:rsid w:val="0045667B"/>
    <w:rsid w:val="00465E69"/>
    <w:rsid w:val="004718FB"/>
    <w:rsid w:val="00471EB8"/>
    <w:rsid w:val="00474CC1"/>
    <w:rsid w:val="00483E49"/>
    <w:rsid w:val="0048469E"/>
    <w:rsid w:val="00484AD8"/>
    <w:rsid w:val="00486B8C"/>
    <w:rsid w:val="00487E53"/>
    <w:rsid w:val="00493996"/>
    <w:rsid w:val="00493A50"/>
    <w:rsid w:val="004A119C"/>
    <w:rsid w:val="004C07B1"/>
    <w:rsid w:val="004C1233"/>
    <w:rsid w:val="004C641C"/>
    <w:rsid w:val="004D71C1"/>
    <w:rsid w:val="004E7CD4"/>
    <w:rsid w:val="004F047D"/>
    <w:rsid w:val="0050216B"/>
    <w:rsid w:val="005125C6"/>
    <w:rsid w:val="005160DF"/>
    <w:rsid w:val="005168EC"/>
    <w:rsid w:val="00521006"/>
    <w:rsid w:val="0052157E"/>
    <w:rsid w:val="00522197"/>
    <w:rsid w:val="00522DDC"/>
    <w:rsid w:val="00526652"/>
    <w:rsid w:val="00526966"/>
    <w:rsid w:val="00526ED7"/>
    <w:rsid w:val="00530B55"/>
    <w:rsid w:val="00533013"/>
    <w:rsid w:val="00540C64"/>
    <w:rsid w:val="00541F92"/>
    <w:rsid w:val="0054579A"/>
    <w:rsid w:val="005459D8"/>
    <w:rsid w:val="00550CE4"/>
    <w:rsid w:val="00551924"/>
    <w:rsid w:val="0055424F"/>
    <w:rsid w:val="00556E50"/>
    <w:rsid w:val="00556FF1"/>
    <w:rsid w:val="0056002E"/>
    <w:rsid w:val="0057162D"/>
    <w:rsid w:val="0057359F"/>
    <w:rsid w:val="005761CD"/>
    <w:rsid w:val="00581D11"/>
    <w:rsid w:val="00583729"/>
    <w:rsid w:val="00586DD0"/>
    <w:rsid w:val="00586FF5"/>
    <w:rsid w:val="005910E5"/>
    <w:rsid w:val="00591D73"/>
    <w:rsid w:val="00591E7F"/>
    <w:rsid w:val="00591F43"/>
    <w:rsid w:val="0059209D"/>
    <w:rsid w:val="00594B43"/>
    <w:rsid w:val="005957E7"/>
    <w:rsid w:val="005A00AC"/>
    <w:rsid w:val="005A774D"/>
    <w:rsid w:val="005B0636"/>
    <w:rsid w:val="005B217C"/>
    <w:rsid w:val="005B484A"/>
    <w:rsid w:val="005B625B"/>
    <w:rsid w:val="005B75D4"/>
    <w:rsid w:val="005B7757"/>
    <w:rsid w:val="005C36EF"/>
    <w:rsid w:val="005D17FF"/>
    <w:rsid w:val="005D2301"/>
    <w:rsid w:val="005D3C1D"/>
    <w:rsid w:val="005E1C57"/>
    <w:rsid w:val="005E2EB7"/>
    <w:rsid w:val="005E3841"/>
    <w:rsid w:val="005E5B8A"/>
    <w:rsid w:val="005E6D4F"/>
    <w:rsid w:val="005E729C"/>
    <w:rsid w:val="005F6397"/>
    <w:rsid w:val="005F703D"/>
    <w:rsid w:val="005F70BD"/>
    <w:rsid w:val="00606230"/>
    <w:rsid w:val="00607432"/>
    <w:rsid w:val="006100CD"/>
    <w:rsid w:val="00616774"/>
    <w:rsid w:val="00616D80"/>
    <w:rsid w:val="006171D1"/>
    <w:rsid w:val="006245EE"/>
    <w:rsid w:val="00632A43"/>
    <w:rsid w:val="0063385A"/>
    <w:rsid w:val="00633FE4"/>
    <w:rsid w:val="00635F13"/>
    <w:rsid w:val="00636ACD"/>
    <w:rsid w:val="00637ADA"/>
    <w:rsid w:val="00640041"/>
    <w:rsid w:val="0064154F"/>
    <w:rsid w:val="006451FC"/>
    <w:rsid w:val="0064731E"/>
    <w:rsid w:val="00650139"/>
    <w:rsid w:val="006544BD"/>
    <w:rsid w:val="006618EA"/>
    <w:rsid w:val="00670E73"/>
    <w:rsid w:val="00675B92"/>
    <w:rsid w:val="00677BB6"/>
    <w:rsid w:val="00681293"/>
    <w:rsid w:val="00685540"/>
    <w:rsid w:val="00695825"/>
    <w:rsid w:val="006A0406"/>
    <w:rsid w:val="006A3D43"/>
    <w:rsid w:val="006A7574"/>
    <w:rsid w:val="006A781E"/>
    <w:rsid w:val="006A7843"/>
    <w:rsid w:val="006B070E"/>
    <w:rsid w:val="006B779D"/>
    <w:rsid w:val="006C1FB8"/>
    <w:rsid w:val="006C2434"/>
    <w:rsid w:val="006C5A9D"/>
    <w:rsid w:val="006D6136"/>
    <w:rsid w:val="006F1CBD"/>
    <w:rsid w:val="006F7650"/>
    <w:rsid w:val="006F77B1"/>
    <w:rsid w:val="00704526"/>
    <w:rsid w:val="00706725"/>
    <w:rsid w:val="00706ED7"/>
    <w:rsid w:val="00710E5E"/>
    <w:rsid w:val="007165C6"/>
    <w:rsid w:val="00717687"/>
    <w:rsid w:val="007214CF"/>
    <w:rsid w:val="007219F7"/>
    <w:rsid w:val="00723B90"/>
    <w:rsid w:val="00726554"/>
    <w:rsid w:val="00727DB0"/>
    <w:rsid w:val="0073104D"/>
    <w:rsid w:val="007415A4"/>
    <w:rsid w:val="00743123"/>
    <w:rsid w:val="007461C4"/>
    <w:rsid w:val="00751A3F"/>
    <w:rsid w:val="0075300C"/>
    <w:rsid w:val="007577AF"/>
    <w:rsid w:val="00763F00"/>
    <w:rsid w:val="00767724"/>
    <w:rsid w:val="007823A1"/>
    <w:rsid w:val="007836FC"/>
    <w:rsid w:val="0078394B"/>
    <w:rsid w:val="00784432"/>
    <w:rsid w:val="00785A14"/>
    <w:rsid w:val="00785DFB"/>
    <w:rsid w:val="00786113"/>
    <w:rsid w:val="00786596"/>
    <w:rsid w:val="007927E5"/>
    <w:rsid w:val="007976A9"/>
    <w:rsid w:val="007A35FF"/>
    <w:rsid w:val="007A4BB4"/>
    <w:rsid w:val="007A7105"/>
    <w:rsid w:val="007A7765"/>
    <w:rsid w:val="007B1351"/>
    <w:rsid w:val="007B63E6"/>
    <w:rsid w:val="007B6A63"/>
    <w:rsid w:val="007C04B7"/>
    <w:rsid w:val="007C2981"/>
    <w:rsid w:val="007D19F6"/>
    <w:rsid w:val="007D3446"/>
    <w:rsid w:val="007D3C84"/>
    <w:rsid w:val="007D6833"/>
    <w:rsid w:val="007E4EE7"/>
    <w:rsid w:val="007F142C"/>
    <w:rsid w:val="007F203A"/>
    <w:rsid w:val="007F38CE"/>
    <w:rsid w:val="00803017"/>
    <w:rsid w:val="008045E5"/>
    <w:rsid w:val="00804CB0"/>
    <w:rsid w:val="0080594C"/>
    <w:rsid w:val="008150AC"/>
    <w:rsid w:val="008205C0"/>
    <w:rsid w:val="008213E9"/>
    <w:rsid w:val="00822407"/>
    <w:rsid w:val="0082569E"/>
    <w:rsid w:val="00825AAB"/>
    <w:rsid w:val="00825B89"/>
    <w:rsid w:val="00826F85"/>
    <w:rsid w:val="008304A6"/>
    <w:rsid w:val="008331E6"/>
    <w:rsid w:val="0083465C"/>
    <w:rsid w:val="008405C4"/>
    <w:rsid w:val="00841228"/>
    <w:rsid w:val="00841E95"/>
    <w:rsid w:val="00843A60"/>
    <w:rsid w:val="00843D26"/>
    <w:rsid w:val="008460D3"/>
    <w:rsid w:val="008463C3"/>
    <w:rsid w:val="008546CA"/>
    <w:rsid w:val="00861710"/>
    <w:rsid w:val="0086345F"/>
    <w:rsid w:val="008643AB"/>
    <w:rsid w:val="0086619C"/>
    <w:rsid w:val="00866F0E"/>
    <w:rsid w:val="00867205"/>
    <w:rsid w:val="008748FE"/>
    <w:rsid w:val="00874D54"/>
    <w:rsid w:val="008750DE"/>
    <w:rsid w:val="00875980"/>
    <w:rsid w:val="008765AA"/>
    <w:rsid w:val="00877885"/>
    <w:rsid w:val="00883BDC"/>
    <w:rsid w:val="00883DB7"/>
    <w:rsid w:val="00884E24"/>
    <w:rsid w:val="00885218"/>
    <w:rsid w:val="00894646"/>
    <w:rsid w:val="00895054"/>
    <w:rsid w:val="00895C3A"/>
    <w:rsid w:val="008965FC"/>
    <w:rsid w:val="00896A91"/>
    <w:rsid w:val="0089780F"/>
    <w:rsid w:val="008A5483"/>
    <w:rsid w:val="008B22DA"/>
    <w:rsid w:val="008B3C88"/>
    <w:rsid w:val="008B701E"/>
    <w:rsid w:val="008C273F"/>
    <w:rsid w:val="008D1C6B"/>
    <w:rsid w:val="008D3A7A"/>
    <w:rsid w:val="008D6245"/>
    <w:rsid w:val="008D6D97"/>
    <w:rsid w:val="008E26B7"/>
    <w:rsid w:val="008E5D3E"/>
    <w:rsid w:val="008E777E"/>
    <w:rsid w:val="008F2818"/>
    <w:rsid w:val="008F336B"/>
    <w:rsid w:val="008F48B3"/>
    <w:rsid w:val="008F5533"/>
    <w:rsid w:val="008F5D57"/>
    <w:rsid w:val="008F64BD"/>
    <w:rsid w:val="00901A53"/>
    <w:rsid w:val="00902B2D"/>
    <w:rsid w:val="00903170"/>
    <w:rsid w:val="009044A6"/>
    <w:rsid w:val="009051EA"/>
    <w:rsid w:val="009052E1"/>
    <w:rsid w:val="00905AA8"/>
    <w:rsid w:val="009117D8"/>
    <w:rsid w:val="009222EA"/>
    <w:rsid w:val="0092348B"/>
    <w:rsid w:val="0092422A"/>
    <w:rsid w:val="00925126"/>
    <w:rsid w:val="0092725E"/>
    <w:rsid w:val="009307B5"/>
    <w:rsid w:val="00930C7D"/>
    <w:rsid w:val="00931AD3"/>
    <w:rsid w:val="00931D69"/>
    <w:rsid w:val="009360DB"/>
    <w:rsid w:val="00937D36"/>
    <w:rsid w:val="00951183"/>
    <w:rsid w:val="0095230E"/>
    <w:rsid w:val="00957D80"/>
    <w:rsid w:val="00960B20"/>
    <w:rsid w:val="00960E6D"/>
    <w:rsid w:val="0096108A"/>
    <w:rsid w:val="009620A3"/>
    <w:rsid w:val="0096238B"/>
    <w:rsid w:val="00964043"/>
    <w:rsid w:val="00967367"/>
    <w:rsid w:val="009750AE"/>
    <w:rsid w:val="0097521B"/>
    <w:rsid w:val="009777B2"/>
    <w:rsid w:val="00986F82"/>
    <w:rsid w:val="009915BE"/>
    <w:rsid w:val="00993488"/>
    <w:rsid w:val="00993562"/>
    <w:rsid w:val="00995B6E"/>
    <w:rsid w:val="009A0C80"/>
    <w:rsid w:val="009A2713"/>
    <w:rsid w:val="009A4535"/>
    <w:rsid w:val="009A4D4C"/>
    <w:rsid w:val="009A4DC7"/>
    <w:rsid w:val="009A5DEB"/>
    <w:rsid w:val="009A6C7D"/>
    <w:rsid w:val="009B10F2"/>
    <w:rsid w:val="009B23C0"/>
    <w:rsid w:val="009B3BA2"/>
    <w:rsid w:val="009B5FD0"/>
    <w:rsid w:val="009B6272"/>
    <w:rsid w:val="009B6F6D"/>
    <w:rsid w:val="009B70A5"/>
    <w:rsid w:val="009C4402"/>
    <w:rsid w:val="009C483D"/>
    <w:rsid w:val="009C7936"/>
    <w:rsid w:val="009D12EF"/>
    <w:rsid w:val="009D1FCF"/>
    <w:rsid w:val="009D396A"/>
    <w:rsid w:val="009D4295"/>
    <w:rsid w:val="009D63E8"/>
    <w:rsid w:val="009D6821"/>
    <w:rsid w:val="009D6D3E"/>
    <w:rsid w:val="009E2C11"/>
    <w:rsid w:val="009F5871"/>
    <w:rsid w:val="009F778C"/>
    <w:rsid w:val="00A03307"/>
    <w:rsid w:val="00A042DB"/>
    <w:rsid w:val="00A05BE2"/>
    <w:rsid w:val="00A061CC"/>
    <w:rsid w:val="00A13509"/>
    <w:rsid w:val="00A15DBD"/>
    <w:rsid w:val="00A16455"/>
    <w:rsid w:val="00A20D1F"/>
    <w:rsid w:val="00A258EC"/>
    <w:rsid w:val="00A416D8"/>
    <w:rsid w:val="00A417AF"/>
    <w:rsid w:val="00A45961"/>
    <w:rsid w:val="00A52E19"/>
    <w:rsid w:val="00A53283"/>
    <w:rsid w:val="00A54F88"/>
    <w:rsid w:val="00A6154F"/>
    <w:rsid w:val="00A63C81"/>
    <w:rsid w:val="00A64C47"/>
    <w:rsid w:val="00A676C0"/>
    <w:rsid w:val="00A7185E"/>
    <w:rsid w:val="00A71DAD"/>
    <w:rsid w:val="00A72790"/>
    <w:rsid w:val="00A769B8"/>
    <w:rsid w:val="00A76B87"/>
    <w:rsid w:val="00A76FA1"/>
    <w:rsid w:val="00A80121"/>
    <w:rsid w:val="00A87EEE"/>
    <w:rsid w:val="00A90F44"/>
    <w:rsid w:val="00A956EE"/>
    <w:rsid w:val="00A9609A"/>
    <w:rsid w:val="00AA1577"/>
    <w:rsid w:val="00AA42EC"/>
    <w:rsid w:val="00AA5832"/>
    <w:rsid w:val="00AA7446"/>
    <w:rsid w:val="00AA7F6D"/>
    <w:rsid w:val="00AC0A75"/>
    <w:rsid w:val="00AC3F9C"/>
    <w:rsid w:val="00AC58EF"/>
    <w:rsid w:val="00AC5FD9"/>
    <w:rsid w:val="00AC6F92"/>
    <w:rsid w:val="00AD0F5D"/>
    <w:rsid w:val="00AD3B3F"/>
    <w:rsid w:val="00AD4B70"/>
    <w:rsid w:val="00AD4F2C"/>
    <w:rsid w:val="00AD721A"/>
    <w:rsid w:val="00AE1058"/>
    <w:rsid w:val="00AE119B"/>
    <w:rsid w:val="00AF2C5C"/>
    <w:rsid w:val="00AF586E"/>
    <w:rsid w:val="00B01510"/>
    <w:rsid w:val="00B021A2"/>
    <w:rsid w:val="00B031DC"/>
    <w:rsid w:val="00B05AC8"/>
    <w:rsid w:val="00B0629E"/>
    <w:rsid w:val="00B137CF"/>
    <w:rsid w:val="00B16CC1"/>
    <w:rsid w:val="00B216C3"/>
    <w:rsid w:val="00B25401"/>
    <w:rsid w:val="00B30C22"/>
    <w:rsid w:val="00B404B4"/>
    <w:rsid w:val="00B40AA8"/>
    <w:rsid w:val="00B43606"/>
    <w:rsid w:val="00B4599F"/>
    <w:rsid w:val="00B459A6"/>
    <w:rsid w:val="00B47528"/>
    <w:rsid w:val="00B51A27"/>
    <w:rsid w:val="00B537EE"/>
    <w:rsid w:val="00B619E8"/>
    <w:rsid w:val="00B63E1F"/>
    <w:rsid w:val="00B73EBA"/>
    <w:rsid w:val="00B81D6C"/>
    <w:rsid w:val="00B8667D"/>
    <w:rsid w:val="00B86F51"/>
    <w:rsid w:val="00B90BCD"/>
    <w:rsid w:val="00B93F7D"/>
    <w:rsid w:val="00B9594C"/>
    <w:rsid w:val="00BA33A5"/>
    <w:rsid w:val="00BA57B7"/>
    <w:rsid w:val="00BB1F58"/>
    <w:rsid w:val="00BB3EE9"/>
    <w:rsid w:val="00BB5FFE"/>
    <w:rsid w:val="00BB685C"/>
    <w:rsid w:val="00BC006C"/>
    <w:rsid w:val="00BC127F"/>
    <w:rsid w:val="00BC4F07"/>
    <w:rsid w:val="00BD2708"/>
    <w:rsid w:val="00BD4C5E"/>
    <w:rsid w:val="00BD716B"/>
    <w:rsid w:val="00BD79FA"/>
    <w:rsid w:val="00BE08C2"/>
    <w:rsid w:val="00BE250E"/>
    <w:rsid w:val="00BE749C"/>
    <w:rsid w:val="00BF02BF"/>
    <w:rsid w:val="00BF0DFA"/>
    <w:rsid w:val="00BF1219"/>
    <w:rsid w:val="00BF2693"/>
    <w:rsid w:val="00BF2937"/>
    <w:rsid w:val="00BF2B73"/>
    <w:rsid w:val="00BF3608"/>
    <w:rsid w:val="00BF529D"/>
    <w:rsid w:val="00BF5B96"/>
    <w:rsid w:val="00BF5F9F"/>
    <w:rsid w:val="00BF653D"/>
    <w:rsid w:val="00C0145B"/>
    <w:rsid w:val="00C05E01"/>
    <w:rsid w:val="00C10329"/>
    <w:rsid w:val="00C10A6B"/>
    <w:rsid w:val="00C12559"/>
    <w:rsid w:val="00C13B69"/>
    <w:rsid w:val="00C1614A"/>
    <w:rsid w:val="00C163F6"/>
    <w:rsid w:val="00C17229"/>
    <w:rsid w:val="00C17560"/>
    <w:rsid w:val="00C20F60"/>
    <w:rsid w:val="00C20F6D"/>
    <w:rsid w:val="00C301C1"/>
    <w:rsid w:val="00C31D96"/>
    <w:rsid w:val="00C3398A"/>
    <w:rsid w:val="00C33BEA"/>
    <w:rsid w:val="00C35595"/>
    <w:rsid w:val="00C372BF"/>
    <w:rsid w:val="00C411D6"/>
    <w:rsid w:val="00C4618D"/>
    <w:rsid w:val="00C52165"/>
    <w:rsid w:val="00C61AA8"/>
    <w:rsid w:val="00C62BFF"/>
    <w:rsid w:val="00C6327B"/>
    <w:rsid w:val="00C74070"/>
    <w:rsid w:val="00C74201"/>
    <w:rsid w:val="00C75848"/>
    <w:rsid w:val="00C849AB"/>
    <w:rsid w:val="00C86A40"/>
    <w:rsid w:val="00C93A20"/>
    <w:rsid w:val="00C95CED"/>
    <w:rsid w:val="00C96FE8"/>
    <w:rsid w:val="00C97B10"/>
    <w:rsid w:val="00CA0212"/>
    <w:rsid w:val="00CA593F"/>
    <w:rsid w:val="00CA5BE7"/>
    <w:rsid w:val="00CB2E57"/>
    <w:rsid w:val="00CB383C"/>
    <w:rsid w:val="00CC0979"/>
    <w:rsid w:val="00CC43FE"/>
    <w:rsid w:val="00CC44AE"/>
    <w:rsid w:val="00CC6F7E"/>
    <w:rsid w:val="00CD4B72"/>
    <w:rsid w:val="00CD5EA0"/>
    <w:rsid w:val="00CE2D2A"/>
    <w:rsid w:val="00CE33C9"/>
    <w:rsid w:val="00CE5FE7"/>
    <w:rsid w:val="00CF2DE9"/>
    <w:rsid w:val="00CF331D"/>
    <w:rsid w:val="00CF7677"/>
    <w:rsid w:val="00D033F6"/>
    <w:rsid w:val="00D13088"/>
    <w:rsid w:val="00D15BE9"/>
    <w:rsid w:val="00D17760"/>
    <w:rsid w:val="00D22DD8"/>
    <w:rsid w:val="00D23AB9"/>
    <w:rsid w:val="00D23CEF"/>
    <w:rsid w:val="00D411D6"/>
    <w:rsid w:val="00D42E43"/>
    <w:rsid w:val="00D52356"/>
    <w:rsid w:val="00D564CA"/>
    <w:rsid w:val="00D5797C"/>
    <w:rsid w:val="00D62AA3"/>
    <w:rsid w:val="00D65FEC"/>
    <w:rsid w:val="00D714D3"/>
    <w:rsid w:val="00D73076"/>
    <w:rsid w:val="00D7797E"/>
    <w:rsid w:val="00D80FB6"/>
    <w:rsid w:val="00D95751"/>
    <w:rsid w:val="00DA2407"/>
    <w:rsid w:val="00DA3AEE"/>
    <w:rsid w:val="00DA5CFC"/>
    <w:rsid w:val="00DB06F0"/>
    <w:rsid w:val="00DB1263"/>
    <w:rsid w:val="00DB17F5"/>
    <w:rsid w:val="00DB19E5"/>
    <w:rsid w:val="00DC1174"/>
    <w:rsid w:val="00DC2809"/>
    <w:rsid w:val="00DC4D22"/>
    <w:rsid w:val="00DC6566"/>
    <w:rsid w:val="00DD1C29"/>
    <w:rsid w:val="00DD30D8"/>
    <w:rsid w:val="00DE1C1C"/>
    <w:rsid w:val="00DE4C6E"/>
    <w:rsid w:val="00DE6608"/>
    <w:rsid w:val="00DF0636"/>
    <w:rsid w:val="00DF27C6"/>
    <w:rsid w:val="00DF3E17"/>
    <w:rsid w:val="00DF6D1B"/>
    <w:rsid w:val="00E01708"/>
    <w:rsid w:val="00E031D0"/>
    <w:rsid w:val="00E0474B"/>
    <w:rsid w:val="00E107DB"/>
    <w:rsid w:val="00E12B2E"/>
    <w:rsid w:val="00E12F8B"/>
    <w:rsid w:val="00E14733"/>
    <w:rsid w:val="00E16BA3"/>
    <w:rsid w:val="00E17B25"/>
    <w:rsid w:val="00E17CD7"/>
    <w:rsid w:val="00E229E8"/>
    <w:rsid w:val="00E23D79"/>
    <w:rsid w:val="00E24C6B"/>
    <w:rsid w:val="00E26CAD"/>
    <w:rsid w:val="00E27552"/>
    <w:rsid w:val="00E37AEB"/>
    <w:rsid w:val="00E441D1"/>
    <w:rsid w:val="00E51BF0"/>
    <w:rsid w:val="00E527E2"/>
    <w:rsid w:val="00E54E21"/>
    <w:rsid w:val="00E5544F"/>
    <w:rsid w:val="00E82152"/>
    <w:rsid w:val="00E90882"/>
    <w:rsid w:val="00E90A9D"/>
    <w:rsid w:val="00E91773"/>
    <w:rsid w:val="00E91E11"/>
    <w:rsid w:val="00E93691"/>
    <w:rsid w:val="00E93B60"/>
    <w:rsid w:val="00E93F47"/>
    <w:rsid w:val="00E94BAC"/>
    <w:rsid w:val="00E96641"/>
    <w:rsid w:val="00EA3E76"/>
    <w:rsid w:val="00EA474A"/>
    <w:rsid w:val="00EA5289"/>
    <w:rsid w:val="00EA6E3D"/>
    <w:rsid w:val="00EB2C2A"/>
    <w:rsid w:val="00EB4683"/>
    <w:rsid w:val="00EC0833"/>
    <w:rsid w:val="00EC598F"/>
    <w:rsid w:val="00ED3A63"/>
    <w:rsid w:val="00ED3E78"/>
    <w:rsid w:val="00EE58E9"/>
    <w:rsid w:val="00EE7816"/>
    <w:rsid w:val="00EE7B05"/>
    <w:rsid w:val="00EE7C9A"/>
    <w:rsid w:val="00EF2B98"/>
    <w:rsid w:val="00EF3733"/>
    <w:rsid w:val="00EF65C3"/>
    <w:rsid w:val="00F01F7B"/>
    <w:rsid w:val="00F048A0"/>
    <w:rsid w:val="00F05175"/>
    <w:rsid w:val="00F11937"/>
    <w:rsid w:val="00F123B5"/>
    <w:rsid w:val="00F15B0B"/>
    <w:rsid w:val="00F1678F"/>
    <w:rsid w:val="00F22A9C"/>
    <w:rsid w:val="00F25BB3"/>
    <w:rsid w:val="00F25DFD"/>
    <w:rsid w:val="00F317BC"/>
    <w:rsid w:val="00F35D86"/>
    <w:rsid w:val="00F47FDC"/>
    <w:rsid w:val="00F50DA3"/>
    <w:rsid w:val="00F624DC"/>
    <w:rsid w:val="00F67B6D"/>
    <w:rsid w:val="00F74635"/>
    <w:rsid w:val="00F74872"/>
    <w:rsid w:val="00F76CBA"/>
    <w:rsid w:val="00F81F1E"/>
    <w:rsid w:val="00F82827"/>
    <w:rsid w:val="00F8298D"/>
    <w:rsid w:val="00F82F53"/>
    <w:rsid w:val="00F8479A"/>
    <w:rsid w:val="00F86F2C"/>
    <w:rsid w:val="00F90172"/>
    <w:rsid w:val="00F951E7"/>
    <w:rsid w:val="00F96544"/>
    <w:rsid w:val="00FA2FE1"/>
    <w:rsid w:val="00FA5775"/>
    <w:rsid w:val="00FA6BEF"/>
    <w:rsid w:val="00FB1E01"/>
    <w:rsid w:val="00FB496F"/>
    <w:rsid w:val="00FB73CB"/>
    <w:rsid w:val="00FC4144"/>
    <w:rsid w:val="00FC51DF"/>
    <w:rsid w:val="00FC6954"/>
    <w:rsid w:val="00FD2FE5"/>
    <w:rsid w:val="00FE09BB"/>
    <w:rsid w:val="00FE34E8"/>
    <w:rsid w:val="00FE4B10"/>
    <w:rsid w:val="00FE6070"/>
    <w:rsid w:val="00FE6B4C"/>
    <w:rsid w:val="00FE72F5"/>
    <w:rsid w:val="00FE7C75"/>
    <w:rsid w:val="00FF3761"/>
    <w:rsid w:val="00FF467F"/>
    <w:rsid w:val="01211959"/>
    <w:rsid w:val="01293751"/>
    <w:rsid w:val="01431AA5"/>
    <w:rsid w:val="01761E20"/>
    <w:rsid w:val="01EA3B09"/>
    <w:rsid w:val="02222BFC"/>
    <w:rsid w:val="022C6A0F"/>
    <w:rsid w:val="022F420B"/>
    <w:rsid w:val="023868EF"/>
    <w:rsid w:val="0248731A"/>
    <w:rsid w:val="02497414"/>
    <w:rsid w:val="027311CC"/>
    <w:rsid w:val="02DF5B18"/>
    <w:rsid w:val="02E85BFD"/>
    <w:rsid w:val="033824AE"/>
    <w:rsid w:val="03674EDA"/>
    <w:rsid w:val="03A06351"/>
    <w:rsid w:val="03A91A32"/>
    <w:rsid w:val="03AD232D"/>
    <w:rsid w:val="03D1251A"/>
    <w:rsid w:val="03D31FD9"/>
    <w:rsid w:val="03D80B70"/>
    <w:rsid w:val="0440448F"/>
    <w:rsid w:val="045648A3"/>
    <w:rsid w:val="04564B75"/>
    <w:rsid w:val="04621D06"/>
    <w:rsid w:val="048E4EE6"/>
    <w:rsid w:val="04D56E5D"/>
    <w:rsid w:val="0533029E"/>
    <w:rsid w:val="059C2219"/>
    <w:rsid w:val="05B04FB2"/>
    <w:rsid w:val="05B10164"/>
    <w:rsid w:val="05B900E5"/>
    <w:rsid w:val="05E8737A"/>
    <w:rsid w:val="05F460C3"/>
    <w:rsid w:val="060E4F02"/>
    <w:rsid w:val="0620083A"/>
    <w:rsid w:val="06673E8D"/>
    <w:rsid w:val="067C5EF3"/>
    <w:rsid w:val="068D6C14"/>
    <w:rsid w:val="06A82ED2"/>
    <w:rsid w:val="06B2654E"/>
    <w:rsid w:val="06D67B90"/>
    <w:rsid w:val="06D93C98"/>
    <w:rsid w:val="06F85085"/>
    <w:rsid w:val="06FB3D5C"/>
    <w:rsid w:val="06FD69CF"/>
    <w:rsid w:val="07370458"/>
    <w:rsid w:val="0766640F"/>
    <w:rsid w:val="07D17DB0"/>
    <w:rsid w:val="07E7483F"/>
    <w:rsid w:val="082214FE"/>
    <w:rsid w:val="08251981"/>
    <w:rsid w:val="08267BEB"/>
    <w:rsid w:val="083C6E79"/>
    <w:rsid w:val="083F3B6A"/>
    <w:rsid w:val="084E7A94"/>
    <w:rsid w:val="089112ED"/>
    <w:rsid w:val="08D37B58"/>
    <w:rsid w:val="08F96490"/>
    <w:rsid w:val="08FB0E73"/>
    <w:rsid w:val="090C3113"/>
    <w:rsid w:val="0914363D"/>
    <w:rsid w:val="09BB5CF8"/>
    <w:rsid w:val="09C93BBD"/>
    <w:rsid w:val="09D65B51"/>
    <w:rsid w:val="09DE7E5F"/>
    <w:rsid w:val="0A25007B"/>
    <w:rsid w:val="0A542CDA"/>
    <w:rsid w:val="0A6752D1"/>
    <w:rsid w:val="0A6845A4"/>
    <w:rsid w:val="0A7D5FCD"/>
    <w:rsid w:val="0A85459C"/>
    <w:rsid w:val="0AA1744B"/>
    <w:rsid w:val="0AB013C8"/>
    <w:rsid w:val="0AB508C2"/>
    <w:rsid w:val="0ACA6FAD"/>
    <w:rsid w:val="0AE016D7"/>
    <w:rsid w:val="0AF73C7F"/>
    <w:rsid w:val="0B0465D7"/>
    <w:rsid w:val="0B1937FF"/>
    <w:rsid w:val="0B6C5E87"/>
    <w:rsid w:val="0B724BE0"/>
    <w:rsid w:val="0BAD34B0"/>
    <w:rsid w:val="0BED7B05"/>
    <w:rsid w:val="0C0A2813"/>
    <w:rsid w:val="0C1C2151"/>
    <w:rsid w:val="0C5E4D10"/>
    <w:rsid w:val="0C696F5E"/>
    <w:rsid w:val="0C6F0916"/>
    <w:rsid w:val="0C873661"/>
    <w:rsid w:val="0CF14956"/>
    <w:rsid w:val="0D1A77CB"/>
    <w:rsid w:val="0D315ECA"/>
    <w:rsid w:val="0D3F1C3E"/>
    <w:rsid w:val="0D4C65C3"/>
    <w:rsid w:val="0D6F78E5"/>
    <w:rsid w:val="0D895DB9"/>
    <w:rsid w:val="0DC2551A"/>
    <w:rsid w:val="0E1C5AFD"/>
    <w:rsid w:val="0E2978FA"/>
    <w:rsid w:val="0E310493"/>
    <w:rsid w:val="0E431112"/>
    <w:rsid w:val="0E7B620A"/>
    <w:rsid w:val="0EC57DBD"/>
    <w:rsid w:val="0EE52C10"/>
    <w:rsid w:val="0F221070"/>
    <w:rsid w:val="0F383732"/>
    <w:rsid w:val="0F611395"/>
    <w:rsid w:val="0F8338F9"/>
    <w:rsid w:val="0FB65770"/>
    <w:rsid w:val="10201306"/>
    <w:rsid w:val="1057638D"/>
    <w:rsid w:val="107B1911"/>
    <w:rsid w:val="10D86A70"/>
    <w:rsid w:val="10F402B9"/>
    <w:rsid w:val="11002D49"/>
    <w:rsid w:val="11054009"/>
    <w:rsid w:val="11291F54"/>
    <w:rsid w:val="113D5D03"/>
    <w:rsid w:val="114E355A"/>
    <w:rsid w:val="116A4481"/>
    <w:rsid w:val="117A117E"/>
    <w:rsid w:val="11865D2E"/>
    <w:rsid w:val="122331A7"/>
    <w:rsid w:val="124B4792"/>
    <w:rsid w:val="12604E7A"/>
    <w:rsid w:val="12E7492B"/>
    <w:rsid w:val="12FE15BA"/>
    <w:rsid w:val="13724144"/>
    <w:rsid w:val="13C822B1"/>
    <w:rsid w:val="140354F9"/>
    <w:rsid w:val="14145A71"/>
    <w:rsid w:val="14667A16"/>
    <w:rsid w:val="14857CFF"/>
    <w:rsid w:val="1506719C"/>
    <w:rsid w:val="150B41FA"/>
    <w:rsid w:val="150C23B1"/>
    <w:rsid w:val="15117357"/>
    <w:rsid w:val="152778F5"/>
    <w:rsid w:val="15315A79"/>
    <w:rsid w:val="15335E6F"/>
    <w:rsid w:val="156E3326"/>
    <w:rsid w:val="15756C33"/>
    <w:rsid w:val="15773FD0"/>
    <w:rsid w:val="158E2E5B"/>
    <w:rsid w:val="15981F0D"/>
    <w:rsid w:val="159B19FD"/>
    <w:rsid w:val="15B11221"/>
    <w:rsid w:val="15BC6E3D"/>
    <w:rsid w:val="15D62F24"/>
    <w:rsid w:val="15E275F7"/>
    <w:rsid w:val="16324605"/>
    <w:rsid w:val="1658246F"/>
    <w:rsid w:val="168626AD"/>
    <w:rsid w:val="1694157A"/>
    <w:rsid w:val="169B387B"/>
    <w:rsid w:val="16B56AEF"/>
    <w:rsid w:val="16F24B09"/>
    <w:rsid w:val="16F5513D"/>
    <w:rsid w:val="17076407"/>
    <w:rsid w:val="171C78DC"/>
    <w:rsid w:val="172A4DE7"/>
    <w:rsid w:val="173914CE"/>
    <w:rsid w:val="173B47C1"/>
    <w:rsid w:val="17407072"/>
    <w:rsid w:val="17DA0A77"/>
    <w:rsid w:val="180C7B40"/>
    <w:rsid w:val="1825633E"/>
    <w:rsid w:val="18491AEC"/>
    <w:rsid w:val="186B2307"/>
    <w:rsid w:val="18BC01FC"/>
    <w:rsid w:val="18D72B7A"/>
    <w:rsid w:val="192716AF"/>
    <w:rsid w:val="199374D2"/>
    <w:rsid w:val="199718AC"/>
    <w:rsid w:val="19BC1B66"/>
    <w:rsid w:val="19D233FF"/>
    <w:rsid w:val="1A105266"/>
    <w:rsid w:val="1A9072A2"/>
    <w:rsid w:val="1A952F3C"/>
    <w:rsid w:val="1A9806EB"/>
    <w:rsid w:val="1A985512"/>
    <w:rsid w:val="1B2D0622"/>
    <w:rsid w:val="1B341875"/>
    <w:rsid w:val="1B6639CE"/>
    <w:rsid w:val="1B755C8D"/>
    <w:rsid w:val="1B861981"/>
    <w:rsid w:val="1B8A679C"/>
    <w:rsid w:val="1BBD08BD"/>
    <w:rsid w:val="1BDB6FF7"/>
    <w:rsid w:val="1BE054EA"/>
    <w:rsid w:val="1BEF3627"/>
    <w:rsid w:val="1C115D95"/>
    <w:rsid w:val="1CA537CA"/>
    <w:rsid w:val="1CAE3138"/>
    <w:rsid w:val="1CBA5454"/>
    <w:rsid w:val="1CFC2FB2"/>
    <w:rsid w:val="1CFF32CC"/>
    <w:rsid w:val="1D08138A"/>
    <w:rsid w:val="1D0D09FB"/>
    <w:rsid w:val="1D506B65"/>
    <w:rsid w:val="1D557E55"/>
    <w:rsid w:val="1D7FD1E5"/>
    <w:rsid w:val="1DAF09C3"/>
    <w:rsid w:val="1E3747D9"/>
    <w:rsid w:val="1E3E73CA"/>
    <w:rsid w:val="1E59375D"/>
    <w:rsid w:val="1E635B79"/>
    <w:rsid w:val="1EEA76B3"/>
    <w:rsid w:val="1EF30BD4"/>
    <w:rsid w:val="1F096A05"/>
    <w:rsid w:val="1F1D475C"/>
    <w:rsid w:val="1FCD4EA9"/>
    <w:rsid w:val="1FE013BB"/>
    <w:rsid w:val="20534858"/>
    <w:rsid w:val="20766FDC"/>
    <w:rsid w:val="208E3BC9"/>
    <w:rsid w:val="209F0007"/>
    <w:rsid w:val="20C6452E"/>
    <w:rsid w:val="20D63E2D"/>
    <w:rsid w:val="20FD373F"/>
    <w:rsid w:val="2110133D"/>
    <w:rsid w:val="212D0487"/>
    <w:rsid w:val="212E55D4"/>
    <w:rsid w:val="2158202C"/>
    <w:rsid w:val="216A02A8"/>
    <w:rsid w:val="21A6463A"/>
    <w:rsid w:val="22034BB2"/>
    <w:rsid w:val="22543C01"/>
    <w:rsid w:val="226B11B3"/>
    <w:rsid w:val="2342170A"/>
    <w:rsid w:val="23D245E4"/>
    <w:rsid w:val="23E176C2"/>
    <w:rsid w:val="24071C15"/>
    <w:rsid w:val="24360CEE"/>
    <w:rsid w:val="243F5D90"/>
    <w:rsid w:val="244B7908"/>
    <w:rsid w:val="24881B85"/>
    <w:rsid w:val="24972132"/>
    <w:rsid w:val="24D94CB1"/>
    <w:rsid w:val="24EC5620"/>
    <w:rsid w:val="24FF4276"/>
    <w:rsid w:val="2504605B"/>
    <w:rsid w:val="251175E6"/>
    <w:rsid w:val="251A5771"/>
    <w:rsid w:val="25387E2E"/>
    <w:rsid w:val="255A086B"/>
    <w:rsid w:val="257459D3"/>
    <w:rsid w:val="25C95CC1"/>
    <w:rsid w:val="25ED41DA"/>
    <w:rsid w:val="26533059"/>
    <w:rsid w:val="2661154B"/>
    <w:rsid w:val="267617DC"/>
    <w:rsid w:val="267969AF"/>
    <w:rsid w:val="26D11723"/>
    <w:rsid w:val="26D22A49"/>
    <w:rsid w:val="26D27253"/>
    <w:rsid w:val="26F10AB4"/>
    <w:rsid w:val="275A6741"/>
    <w:rsid w:val="276A006A"/>
    <w:rsid w:val="276A4E4C"/>
    <w:rsid w:val="27B86E98"/>
    <w:rsid w:val="27C020E9"/>
    <w:rsid w:val="27E15E90"/>
    <w:rsid w:val="28154DCE"/>
    <w:rsid w:val="2851259C"/>
    <w:rsid w:val="287079FC"/>
    <w:rsid w:val="28A17DCD"/>
    <w:rsid w:val="28A20935"/>
    <w:rsid w:val="28E003CE"/>
    <w:rsid w:val="28ED2A58"/>
    <w:rsid w:val="28F60FCD"/>
    <w:rsid w:val="292A3C73"/>
    <w:rsid w:val="294A756A"/>
    <w:rsid w:val="295B3C88"/>
    <w:rsid w:val="295F7242"/>
    <w:rsid w:val="29707741"/>
    <w:rsid w:val="298C5664"/>
    <w:rsid w:val="29907B2D"/>
    <w:rsid w:val="29A40816"/>
    <w:rsid w:val="29AE5D4B"/>
    <w:rsid w:val="29DA5C78"/>
    <w:rsid w:val="29DF7CB3"/>
    <w:rsid w:val="29F574D6"/>
    <w:rsid w:val="2A3A7FB8"/>
    <w:rsid w:val="2A53244F"/>
    <w:rsid w:val="2A5A372B"/>
    <w:rsid w:val="2A5A6710"/>
    <w:rsid w:val="2A5A71A5"/>
    <w:rsid w:val="2A605F46"/>
    <w:rsid w:val="2ABE682C"/>
    <w:rsid w:val="2AEA77CC"/>
    <w:rsid w:val="2AEB7BED"/>
    <w:rsid w:val="2AFE4D4B"/>
    <w:rsid w:val="2B4C1CE5"/>
    <w:rsid w:val="2B597FB6"/>
    <w:rsid w:val="2B7642EA"/>
    <w:rsid w:val="2B7E0CB7"/>
    <w:rsid w:val="2B843D60"/>
    <w:rsid w:val="2BC3034B"/>
    <w:rsid w:val="2BC90B3E"/>
    <w:rsid w:val="2BE7744A"/>
    <w:rsid w:val="2BEE6468"/>
    <w:rsid w:val="2BFE533B"/>
    <w:rsid w:val="2C145CAB"/>
    <w:rsid w:val="2C44605D"/>
    <w:rsid w:val="2C4979B0"/>
    <w:rsid w:val="2C536333"/>
    <w:rsid w:val="2CBF201D"/>
    <w:rsid w:val="2CC80997"/>
    <w:rsid w:val="2CEA65C1"/>
    <w:rsid w:val="2D224950"/>
    <w:rsid w:val="2D947BF7"/>
    <w:rsid w:val="2DEB7DAA"/>
    <w:rsid w:val="2E6F5AFF"/>
    <w:rsid w:val="2EBE9ECB"/>
    <w:rsid w:val="2ECE1FE0"/>
    <w:rsid w:val="2EFA733D"/>
    <w:rsid w:val="2EFA7D7D"/>
    <w:rsid w:val="2F3C6214"/>
    <w:rsid w:val="2F5511C3"/>
    <w:rsid w:val="2F60383A"/>
    <w:rsid w:val="2F7C39C7"/>
    <w:rsid w:val="2F9067D1"/>
    <w:rsid w:val="2F98311F"/>
    <w:rsid w:val="2F9E6419"/>
    <w:rsid w:val="2FFFE67D"/>
    <w:rsid w:val="302B4303"/>
    <w:rsid w:val="30C23E8A"/>
    <w:rsid w:val="30E50AC6"/>
    <w:rsid w:val="30FF341C"/>
    <w:rsid w:val="31061B2F"/>
    <w:rsid w:val="31173071"/>
    <w:rsid w:val="312D20D9"/>
    <w:rsid w:val="313F0215"/>
    <w:rsid w:val="31464ABB"/>
    <w:rsid w:val="3199690D"/>
    <w:rsid w:val="319E4FC4"/>
    <w:rsid w:val="31FF4018"/>
    <w:rsid w:val="32153CE0"/>
    <w:rsid w:val="32282CAC"/>
    <w:rsid w:val="322D4A85"/>
    <w:rsid w:val="325B5B9C"/>
    <w:rsid w:val="32B53CA7"/>
    <w:rsid w:val="32C85877"/>
    <w:rsid w:val="339A22DB"/>
    <w:rsid w:val="339F6F2E"/>
    <w:rsid w:val="33CF4DE2"/>
    <w:rsid w:val="33F42658"/>
    <w:rsid w:val="34153049"/>
    <w:rsid w:val="34164165"/>
    <w:rsid w:val="345B2BFE"/>
    <w:rsid w:val="34771C5F"/>
    <w:rsid w:val="34B654F1"/>
    <w:rsid w:val="34F206CA"/>
    <w:rsid w:val="354A0B17"/>
    <w:rsid w:val="35764377"/>
    <w:rsid w:val="35814DE9"/>
    <w:rsid w:val="35C506A4"/>
    <w:rsid w:val="35D4346F"/>
    <w:rsid w:val="35D452EA"/>
    <w:rsid w:val="35FE0BF9"/>
    <w:rsid w:val="36786725"/>
    <w:rsid w:val="36961304"/>
    <w:rsid w:val="36A24542"/>
    <w:rsid w:val="36F56521"/>
    <w:rsid w:val="36FF04F5"/>
    <w:rsid w:val="37284DEE"/>
    <w:rsid w:val="374F526F"/>
    <w:rsid w:val="37621CCD"/>
    <w:rsid w:val="376E6B1A"/>
    <w:rsid w:val="377E4909"/>
    <w:rsid w:val="378308EF"/>
    <w:rsid w:val="37840664"/>
    <w:rsid w:val="37D079E5"/>
    <w:rsid w:val="37D333C2"/>
    <w:rsid w:val="382877F5"/>
    <w:rsid w:val="382B3A3D"/>
    <w:rsid w:val="386F28C6"/>
    <w:rsid w:val="3877766D"/>
    <w:rsid w:val="38A43F60"/>
    <w:rsid w:val="38E953C0"/>
    <w:rsid w:val="38EA307E"/>
    <w:rsid w:val="38FD6B45"/>
    <w:rsid w:val="3917548E"/>
    <w:rsid w:val="39395293"/>
    <w:rsid w:val="396F1AB3"/>
    <w:rsid w:val="39710F95"/>
    <w:rsid w:val="39846CEA"/>
    <w:rsid w:val="39A7395A"/>
    <w:rsid w:val="39AC61F0"/>
    <w:rsid w:val="39E1061C"/>
    <w:rsid w:val="39E54CEC"/>
    <w:rsid w:val="39F74718"/>
    <w:rsid w:val="39FF630B"/>
    <w:rsid w:val="3A0C5051"/>
    <w:rsid w:val="3A6F5DEE"/>
    <w:rsid w:val="3A6F786C"/>
    <w:rsid w:val="3A95616C"/>
    <w:rsid w:val="3ABFF002"/>
    <w:rsid w:val="3AD56D84"/>
    <w:rsid w:val="3AE06541"/>
    <w:rsid w:val="3B8A07A5"/>
    <w:rsid w:val="3BCC48EC"/>
    <w:rsid w:val="3C014182"/>
    <w:rsid w:val="3C120034"/>
    <w:rsid w:val="3C24440F"/>
    <w:rsid w:val="3C755173"/>
    <w:rsid w:val="3C930FAF"/>
    <w:rsid w:val="3C937993"/>
    <w:rsid w:val="3C9F32D6"/>
    <w:rsid w:val="3D2A142D"/>
    <w:rsid w:val="3D484518"/>
    <w:rsid w:val="3E077A72"/>
    <w:rsid w:val="3E17191D"/>
    <w:rsid w:val="3E257275"/>
    <w:rsid w:val="3E4A5EFB"/>
    <w:rsid w:val="3E503A6D"/>
    <w:rsid w:val="3E792046"/>
    <w:rsid w:val="3E942D81"/>
    <w:rsid w:val="3E9D0F5E"/>
    <w:rsid w:val="3EED465E"/>
    <w:rsid w:val="3F093F00"/>
    <w:rsid w:val="3F767237"/>
    <w:rsid w:val="3F881784"/>
    <w:rsid w:val="3FE0303C"/>
    <w:rsid w:val="3FED2BD1"/>
    <w:rsid w:val="4025797B"/>
    <w:rsid w:val="4059789C"/>
    <w:rsid w:val="40A478AC"/>
    <w:rsid w:val="40B462AC"/>
    <w:rsid w:val="40C24285"/>
    <w:rsid w:val="40DC4651"/>
    <w:rsid w:val="40E6572C"/>
    <w:rsid w:val="41097C06"/>
    <w:rsid w:val="412F6B65"/>
    <w:rsid w:val="41784096"/>
    <w:rsid w:val="417F3376"/>
    <w:rsid w:val="41BC124E"/>
    <w:rsid w:val="41CE5B64"/>
    <w:rsid w:val="42892A5A"/>
    <w:rsid w:val="429E41DF"/>
    <w:rsid w:val="43087A30"/>
    <w:rsid w:val="43BB03D9"/>
    <w:rsid w:val="43E22422"/>
    <w:rsid w:val="44176AF1"/>
    <w:rsid w:val="441B7C06"/>
    <w:rsid w:val="44277367"/>
    <w:rsid w:val="44365E73"/>
    <w:rsid w:val="44550CFE"/>
    <w:rsid w:val="446C599F"/>
    <w:rsid w:val="44722751"/>
    <w:rsid w:val="448636F5"/>
    <w:rsid w:val="44B43B56"/>
    <w:rsid w:val="44CF3FE5"/>
    <w:rsid w:val="44D011AC"/>
    <w:rsid w:val="44D90C53"/>
    <w:rsid w:val="450535D7"/>
    <w:rsid w:val="45260D1D"/>
    <w:rsid w:val="45617CBE"/>
    <w:rsid w:val="45693972"/>
    <w:rsid w:val="45877CEE"/>
    <w:rsid w:val="458E40E7"/>
    <w:rsid w:val="45970946"/>
    <w:rsid w:val="45A9237D"/>
    <w:rsid w:val="45F97AAF"/>
    <w:rsid w:val="461913E9"/>
    <w:rsid w:val="467D472F"/>
    <w:rsid w:val="469915A1"/>
    <w:rsid w:val="46CD3FBE"/>
    <w:rsid w:val="46D03377"/>
    <w:rsid w:val="47625499"/>
    <w:rsid w:val="4779234B"/>
    <w:rsid w:val="4785153A"/>
    <w:rsid w:val="478973D8"/>
    <w:rsid w:val="47E17288"/>
    <w:rsid w:val="47E45416"/>
    <w:rsid w:val="4851481C"/>
    <w:rsid w:val="48550F4C"/>
    <w:rsid w:val="48667C54"/>
    <w:rsid w:val="487E6D75"/>
    <w:rsid w:val="48CB7F32"/>
    <w:rsid w:val="4970053B"/>
    <w:rsid w:val="498B365A"/>
    <w:rsid w:val="499F41A1"/>
    <w:rsid w:val="49B100BE"/>
    <w:rsid w:val="49C516DB"/>
    <w:rsid w:val="49DF0660"/>
    <w:rsid w:val="49F50475"/>
    <w:rsid w:val="4A1E41E1"/>
    <w:rsid w:val="4A4171E3"/>
    <w:rsid w:val="4A477482"/>
    <w:rsid w:val="4A5D13DB"/>
    <w:rsid w:val="4A910D2D"/>
    <w:rsid w:val="4A9401EE"/>
    <w:rsid w:val="4AB1197F"/>
    <w:rsid w:val="4AB42DB9"/>
    <w:rsid w:val="4B1D74B9"/>
    <w:rsid w:val="4B2D1021"/>
    <w:rsid w:val="4B51486B"/>
    <w:rsid w:val="4B535008"/>
    <w:rsid w:val="4B5D6832"/>
    <w:rsid w:val="4B744BAD"/>
    <w:rsid w:val="4C0160E3"/>
    <w:rsid w:val="4C090975"/>
    <w:rsid w:val="4C0B2731"/>
    <w:rsid w:val="4C2245BE"/>
    <w:rsid w:val="4C3818A5"/>
    <w:rsid w:val="4C3B7ACD"/>
    <w:rsid w:val="4CA27F68"/>
    <w:rsid w:val="4CB42220"/>
    <w:rsid w:val="4CC528E0"/>
    <w:rsid w:val="4CF56354"/>
    <w:rsid w:val="4D19055F"/>
    <w:rsid w:val="4D1D3ADF"/>
    <w:rsid w:val="4D207E8C"/>
    <w:rsid w:val="4DCF5323"/>
    <w:rsid w:val="4DD645F6"/>
    <w:rsid w:val="4DE56E0C"/>
    <w:rsid w:val="4E0062C6"/>
    <w:rsid w:val="4E305597"/>
    <w:rsid w:val="4E465C5C"/>
    <w:rsid w:val="4E4F6964"/>
    <w:rsid w:val="4EB22B11"/>
    <w:rsid w:val="4EB80C5D"/>
    <w:rsid w:val="4EB97EB0"/>
    <w:rsid w:val="4ED85197"/>
    <w:rsid w:val="4EEF43B1"/>
    <w:rsid w:val="4F114646"/>
    <w:rsid w:val="4F3B726C"/>
    <w:rsid w:val="4F3DFFE2"/>
    <w:rsid w:val="4F3F41C2"/>
    <w:rsid w:val="4FA472C6"/>
    <w:rsid w:val="4FBC6427"/>
    <w:rsid w:val="4FD21DB1"/>
    <w:rsid w:val="4FF45451"/>
    <w:rsid w:val="502709DB"/>
    <w:rsid w:val="502D02B2"/>
    <w:rsid w:val="50392B08"/>
    <w:rsid w:val="505B4739"/>
    <w:rsid w:val="507A5240"/>
    <w:rsid w:val="507C3BFE"/>
    <w:rsid w:val="50D61560"/>
    <w:rsid w:val="50E1620F"/>
    <w:rsid w:val="510530A5"/>
    <w:rsid w:val="51156450"/>
    <w:rsid w:val="5124051D"/>
    <w:rsid w:val="513641B7"/>
    <w:rsid w:val="51847558"/>
    <w:rsid w:val="51CB67EC"/>
    <w:rsid w:val="51E17FAD"/>
    <w:rsid w:val="52761E6E"/>
    <w:rsid w:val="527A77B3"/>
    <w:rsid w:val="52F043EF"/>
    <w:rsid w:val="533C6EA3"/>
    <w:rsid w:val="535F780E"/>
    <w:rsid w:val="539F7F07"/>
    <w:rsid w:val="53D85555"/>
    <w:rsid w:val="53E1143A"/>
    <w:rsid w:val="5409447E"/>
    <w:rsid w:val="54224E60"/>
    <w:rsid w:val="5429409D"/>
    <w:rsid w:val="5461062E"/>
    <w:rsid w:val="547464D0"/>
    <w:rsid w:val="54CB0F9F"/>
    <w:rsid w:val="54DC0631"/>
    <w:rsid w:val="54EF7BB3"/>
    <w:rsid w:val="55207CB7"/>
    <w:rsid w:val="55683ADA"/>
    <w:rsid w:val="55A67AAC"/>
    <w:rsid w:val="55A97FD0"/>
    <w:rsid w:val="55DC6BA5"/>
    <w:rsid w:val="55EA4524"/>
    <w:rsid w:val="55F96D0F"/>
    <w:rsid w:val="56450D6C"/>
    <w:rsid w:val="5687697E"/>
    <w:rsid w:val="56C00D5A"/>
    <w:rsid w:val="570F5D94"/>
    <w:rsid w:val="57137B4B"/>
    <w:rsid w:val="57750CCB"/>
    <w:rsid w:val="57CF2582"/>
    <w:rsid w:val="57DA35A2"/>
    <w:rsid w:val="58387355"/>
    <w:rsid w:val="58474DC3"/>
    <w:rsid w:val="5867225C"/>
    <w:rsid w:val="588C4D06"/>
    <w:rsid w:val="5890180C"/>
    <w:rsid w:val="58A75590"/>
    <w:rsid w:val="58CD3E9F"/>
    <w:rsid w:val="58EA2198"/>
    <w:rsid w:val="5925148C"/>
    <w:rsid w:val="592550ED"/>
    <w:rsid w:val="59362507"/>
    <w:rsid w:val="597821CA"/>
    <w:rsid w:val="598466B6"/>
    <w:rsid w:val="59AA4EAB"/>
    <w:rsid w:val="59BF0158"/>
    <w:rsid w:val="59EE6AE2"/>
    <w:rsid w:val="5A27563A"/>
    <w:rsid w:val="5A5123F8"/>
    <w:rsid w:val="5A863BFF"/>
    <w:rsid w:val="5AE66802"/>
    <w:rsid w:val="5AFDEA16"/>
    <w:rsid w:val="5AFE7064"/>
    <w:rsid w:val="5B5B2126"/>
    <w:rsid w:val="5B7A6F8C"/>
    <w:rsid w:val="5B8F2A37"/>
    <w:rsid w:val="5BD7B7F1"/>
    <w:rsid w:val="5BF526B6"/>
    <w:rsid w:val="5C2C472A"/>
    <w:rsid w:val="5C531BDB"/>
    <w:rsid w:val="5CB0668E"/>
    <w:rsid w:val="5CBE1875"/>
    <w:rsid w:val="5CCA2733"/>
    <w:rsid w:val="5CDD7DB2"/>
    <w:rsid w:val="5CEA3C5B"/>
    <w:rsid w:val="5CED3698"/>
    <w:rsid w:val="5D034AF6"/>
    <w:rsid w:val="5D075993"/>
    <w:rsid w:val="5D4906A6"/>
    <w:rsid w:val="5DA935AD"/>
    <w:rsid w:val="5DBB52F4"/>
    <w:rsid w:val="5DBFCBB6"/>
    <w:rsid w:val="5DE20A72"/>
    <w:rsid w:val="5DE53AA5"/>
    <w:rsid w:val="5DF11787"/>
    <w:rsid w:val="5E0E6EB6"/>
    <w:rsid w:val="5E1F2022"/>
    <w:rsid w:val="5E3A0BCD"/>
    <w:rsid w:val="5E413D91"/>
    <w:rsid w:val="5E745F14"/>
    <w:rsid w:val="5E8D6212"/>
    <w:rsid w:val="5EEB0892"/>
    <w:rsid w:val="5EEB74CC"/>
    <w:rsid w:val="5F0C62E2"/>
    <w:rsid w:val="5F264272"/>
    <w:rsid w:val="5F294A3B"/>
    <w:rsid w:val="5F425CFE"/>
    <w:rsid w:val="5F6B6AB2"/>
    <w:rsid w:val="5F742752"/>
    <w:rsid w:val="5F783E95"/>
    <w:rsid w:val="5F944AC0"/>
    <w:rsid w:val="5FF666CE"/>
    <w:rsid w:val="5FFB4B3F"/>
    <w:rsid w:val="5FFC934A"/>
    <w:rsid w:val="5FFD5901"/>
    <w:rsid w:val="60132026"/>
    <w:rsid w:val="60177E83"/>
    <w:rsid w:val="602425AA"/>
    <w:rsid w:val="60244033"/>
    <w:rsid w:val="6037477B"/>
    <w:rsid w:val="60464805"/>
    <w:rsid w:val="605A3B90"/>
    <w:rsid w:val="606E153C"/>
    <w:rsid w:val="60B866B2"/>
    <w:rsid w:val="60DB0EF8"/>
    <w:rsid w:val="611A2AC0"/>
    <w:rsid w:val="61222350"/>
    <w:rsid w:val="614B30A9"/>
    <w:rsid w:val="61695AD8"/>
    <w:rsid w:val="61744F0D"/>
    <w:rsid w:val="61980D56"/>
    <w:rsid w:val="61BA7841"/>
    <w:rsid w:val="61D327F8"/>
    <w:rsid w:val="61E41603"/>
    <w:rsid w:val="61FF3047"/>
    <w:rsid w:val="62353BD4"/>
    <w:rsid w:val="624B3F88"/>
    <w:rsid w:val="626528BC"/>
    <w:rsid w:val="627B1E92"/>
    <w:rsid w:val="62924F0E"/>
    <w:rsid w:val="62AA6ABA"/>
    <w:rsid w:val="632636AF"/>
    <w:rsid w:val="637070EB"/>
    <w:rsid w:val="637A3FCD"/>
    <w:rsid w:val="638C07C9"/>
    <w:rsid w:val="63940AC1"/>
    <w:rsid w:val="63E01901"/>
    <w:rsid w:val="643F9E4E"/>
    <w:rsid w:val="646F67EE"/>
    <w:rsid w:val="64721064"/>
    <w:rsid w:val="648F2EA0"/>
    <w:rsid w:val="64D757E2"/>
    <w:rsid w:val="64E032DE"/>
    <w:rsid w:val="6535464F"/>
    <w:rsid w:val="6560300E"/>
    <w:rsid w:val="6592787A"/>
    <w:rsid w:val="65D04F89"/>
    <w:rsid w:val="65E120E1"/>
    <w:rsid w:val="65EE618E"/>
    <w:rsid w:val="665204FB"/>
    <w:rsid w:val="66887883"/>
    <w:rsid w:val="66940BAC"/>
    <w:rsid w:val="67003499"/>
    <w:rsid w:val="671941EC"/>
    <w:rsid w:val="675170DC"/>
    <w:rsid w:val="67D46403"/>
    <w:rsid w:val="681A227A"/>
    <w:rsid w:val="683735FA"/>
    <w:rsid w:val="68AD0E6F"/>
    <w:rsid w:val="68AD630B"/>
    <w:rsid w:val="68E94B1D"/>
    <w:rsid w:val="68F26E29"/>
    <w:rsid w:val="68F82E78"/>
    <w:rsid w:val="68FD0450"/>
    <w:rsid w:val="69811F7B"/>
    <w:rsid w:val="69DA7573"/>
    <w:rsid w:val="69E80FC5"/>
    <w:rsid w:val="6A0B6BBB"/>
    <w:rsid w:val="6A266BC8"/>
    <w:rsid w:val="6A3557F1"/>
    <w:rsid w:val="6A5401A5"/>
    <w:rsid w:val="6A6557BE"/>
    <w:rsid w:val="6A76506D"/>
    <w:rsid w:val="6A7E6613"/>
    <w:rsid w:val="6AD23313"/>
    <w:rsid w:val="6AF21D8D"/>
    <w:rsid w:val="6B30564E"/>
    <w:rsid w:val="6B4B778E"/>
    <w:rsid w:val="6B930322"/>
    <w:rsid w:val="6BE33560"/>
    <w:rsid w:val="6C1D2606"/>
    <w:rsid w:val="6C2014E4"/>
    <w:rsid w:val="6C3B52A0"/>
    <w:rsid w:val="6C671DD8"/>
    <w:rsid w:val="6C7D14F1"/>
    <w:rsid w:val="6C970C2B"/>
    <w:rsid w:val="6CBC7200"/>
    <w:rsid w:val="6CC9389E"/>
    <w:rsid w:val="6D177F54"/>
    <w:rsid w:val="6D2B11DD"/>
    <w:rsid w:val="6D6D1F81"/>
    <w:rsid w:val="6D8C5C39"/>
    <w:rsid w:val="6DED7F0C"/>
    <w:rsid w:val="6E0213FB"/>
    <w:rsid w:val="6E295C4C"/>
    <w:rsid w:val="6E7B54B4"/>
    <w:rsid w:val="6E800357"/>
    <w:rsid w:val="6EA4475D"/>
    <w:rsid w:val="6EB1286D"/>
    <w:rsid w:val="6EBA0BC2"/>
    <w:rsid w:val="6EE61F8C"/>
    <w:rsid w:val="6F6853F4"/>
    <w:rsid w:val="6F956499"/>
    <w:rsid w:val="6FE5761E"/>
    <w:rsid w:val="70640519"/>
    <w:rsid w:val="707B4F9E"/>
    <w:rsid w:val="707B79F9"/>
    <w:rsid w:val="70B95318"/>
    <w:rsid w:val="710A0CC4"/>
    <w:rsid w:val="711605ED"/>
    <w:rsid w:val="71380506"/>
    <w:rsid w:val="714D090E"/>
    <w:rsid w:val="71966920"/>
    <w:rsid w:val="7197678C"/>
    <w:rsid w:val="719D3945"/>
    <w:rsid w:val="71BF7F03"/>
    <w:rsid w:val="71C266B7"/>
    <w:rsid w:val="71D05D31"/>
    <w:rsid w:val="71D70410"/>
    <w:rsid w:val="71DF7A84"/>
    <w:rsid w:val="71E5324B"/>
    <w:rsid w:val="71F30B5A"/>
    <w:rsid w:val="71F633B8"/>
    <w:rsid w:val="71FE2049"/>
    <w:rsid w:val="72771511"/>
    <w:rsid w:val="72A579EB"/>
    <w:rsid w:val="72B96B80"/>
    <w:rsid w:val="72C03129"/>
    <w:rsid w:val="72C51078"/>
    <w:rsid w:val="731042EA"/>
    <w:rsid w:val="7337762D"/>
    <w:rsid w:val="73657F4D"/>
    <w:rsid w:val="73EA704B"/>
    <w:rsid w:val="73FDC941"/>
    <w:rsid w:val="742452A0"/>
    <w:rsid w:val="74350E6F"/>
    <w:rsid w:val="7479229B"/>
    <w:rsid w:val="74AA6CF0"/>
    <w:rsid w:val="74B631B8"/>
    <w:rsid w:val="74EE46A3"/>
    <w:rsid w:val="7509790F"/>
    <w:rsid w:val="75151DA7"/>
    <w:rsid w:val="7534576B"/>
    <w:rsid w:val="754F3626"/>
    <w:rsid w:val="759527DF"/>
    <w:rsid w:val="75A85047"/>
    <w:rsid w:val="75FF6891"/>
    <w:rsid w:val="760A11E0"/>
    <w:rsid w:val="76190AC9"/>
    <w:rsid w:val="76396F44"/>
    <w:rsid w:val="7675557C"/>
    <w:rsid w:val="768F23CC"/>
    <w:rsid w:val="769B5663"/>
    <w:rsid w:val="76C03F95"/>
    <w:rsid w:val="775F44B8"/>
    <w:rsid w:val="77765A92"/>
    <w:rsid w:val="77975C77"/>
    <w:rsid w:val="77C1518A"/>
    <w:rsid w:val="77E207C3"/>
    <w:rsid w:val="77E90C39"/>
    <w:rsid w:val="77F162D0"/>
    <w:rsid w:val="77F50EE3"/>
    <w:rsid w:val="786870F5"/>
    <w:rsid w:val="78823943"/>
    <w:rsid w:val="7892365A"/>
    <w:rsid w:val="78AD248D"/>
    <w:rsid w:val="78BB4F27"/>
    <w:rsid w:val="79261977"/>
    <w:rsid w:val="79337466"/>
    <w:rsid w:val="793559A8"/>
    <w:rsid w:val="794A2F6B"/>
    <w:rsid w:val="795C4956"/>
    <w:rsid w:val="795F4286"/>
    <w:rsid w:val="79720AB1"/>
    <w:rsid w:val="79A373F0"/>
    <w:rsid w:val="79BF40FD"/>
    <w:rsid w:val="79FF6B82"/>
    <w:rsid w:val="7A0C58BB"/>
    <w:rsid w:val="7A7845A4"/>
    <w:rsid w:val="7A7FC1FA"/>
    <w:rsid w:val="7A8C48BA"/>
    <w:rsid w:val="7AA634A2"/>
    <w:rsid w:val="7B9B5B79"/>
    <w:rsid w:val="7BD535D9"/>
    <w:rsid w:val="7BDD5AA9"/>
    <w:rsid w:val="7C470EA0"/>
    <w:rsid w:val="7C4A71B8"/>
    <w:rsid w:val="7C7E0232"/>
    <w:rsid w:val="7C852415"/>
    <w:rsid w:val="7C92136A"/>
    <w:rsid w:val="7CA773FF"/>
    <w:rsid w:val="7CF210EC"/>
    <w:rsid w:val="7D3C6711"/>
    <w:rsid w:val="7D6776C7"/>
    <w:rsid w:val="7DB566EB"/>
    <w:rsid w:val="7DE44774"/>
    <w:rsid w:val="7E1325F8"/>
    <w:rsid w:val="7E4D281F"/>
    <w:rsid w:val="7E503C03"/>
    <w:rsid w:val="7E7F10EC"/>
    <w:rsid w:val="7E967833"/>
    <w:rsid w:val="7EB52239"/>
    <w:rsid w:val="7F1B04AB"/>
    <w:rsid w:val="7F3D60C5"/>
    <w:rsid w:val="7F6A29DC"/>
    <w:rsid w:val="7F6A31E0"/>
    <w:rsid w:val="7F7B5EF4"/>
    <w:rsid w:val="7F975029"/>
    <w:rsid w:val="7F9853AC"/>
    <w:rsid w:val="7FB15BC0"/>
    <w:rsid w:val="7FD03E3D"/>
    <w:rsid w:val="7FD927DF"/>
    <w:rsid w:val="7FDA3734"/>
    <w:rsid w:val="7FE912CC"/>
    <w:rsid w:val="7FE96C87"/>
    <w:rsid w:val="7FF29241"/>
    <w:rsid w:val="7FF36B18"/>
    <w:rsid w:val="7FF3DD46"/>
    <w:rsid w:val="7FFBD648"/>
    <w:rsid w:val="7FFDBA03"/>
    <w:rsid w:val="8FE2CD03"/>
    <w:rsid w:val="9FA91FA1"/>
    <w:rsid w:val="B9F21B8C"/>
    <w:rsid w:val="BABFBB35"/>
    <w:rsid w:val="BEE7FD47"/>
    <w:rsid w:val="BFFFC377"/>
    <w:rsid w:val="BFFFD482"/>
    <w:rsid w:val="CF57D097"/>
    <w:rsid w:val="D9CB959D"/>
    <w:rsid w:val="DFFD95F8"/>
    <w:rsid w:val="E3EF8E88"/>
    <w:rsid w:val="EB5F1165"/>
    <w:rsid w:val="EEB73A16"/>
    <w:rsid w:val="F7D5F3B9"/>
    <w:rsid w:val="F7FE6101"/>
    <w:rsid w:val="F8A62AB4"/>
    <w:rsid w:val="F9F7AA3C"/>
    <w:rsid w:val="FA770221"/>
    <w:rsid w:val="FD5F1103"/>
    <w:rsid w:val="FD6F66F9"/>
    <w:rsid w:val="FDE9CBDF"/>
    <w:rsid w:val="FE4CA99E"/>
    <w:rsid w:val="FF3EC17F"/>
    <w:rsid w:val="FF658A22"/>
    <w:rsid w:val="FF7F4FD7"/>
    <w:rsid w:val="FFA76CE7"/>
    <w:rsid w:val="FFC73324"/>
    <w:rsid w:val="FFEF641D"/>
    <w:rsid w:val="FFF7DCDC"/>
    <w:rsid w:val="FFFA50F3"/>
    <w:rsid w:val="FFFA7E57"/>
    <w:rsid w:val="FFFEB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新宋体" w:asciiTheme="minorHAnsi" w:hAnsiTheme="minorHAnsi" w:cstheme="minorBidi"/>
      <w:kern w:val="2"/>
      <w:sz w:val="22"/>
      <w:szCs w:val="24"/>
      <w:lang w:val="en-US" w:eastAsia="zh-CN" w:bidi="ar-SA"/>
    </w:rPr>
  </w:style>
  <w:style w:type="paragraph" w:styleId="2">
    <w:name w:val="heading 1"/>
    <w:basedOn w:val="1"/>
    <w:next w:val="1"/>
    <w:link w:val="78"/>
    <w:qFormat/>
    <w:uiPriority w:val="99"/>
    <w:pPr>
      <w:keepNext/>
      <w:keepLines/>
      <w:numPr>
        <w:ilvl w:val="0"/>
        <w:numId w:val="1"/>
      </w:numPr>
      <w:adjustRightInd w:val="0"/>
      <w:snapToGrid w:val="0"/>
      <w:spacing w:before="120" w:after="120"/>
      <w:jc w:val="left"/>
      <w:outlineLvl w:val="0"/>
    </w:pPr>
    <w:rPr>
      <w:b/>
      <w:bCs/>
      <w:kern w:val="44"/>
      <w:sz w:val="24"/>
      <w:szCs w:val="44"/>
    </w:rPr>
  </w:style>
  <w:style w:type="paragraph" w:styleId="3">
    <w:name w:val="heading 2"/>
    <w:basedOn w:val="1"/>
    <w:next w:val="1"/>
    <w:unhideWhenUsed/>
    <w:qFormat/>
    <w:uiPriority w:val="0"/>
    <w:pPr>
      <w:keepNext/>
      <w:keepLines/>
      <w:numPr>
        <w:ilvl w:val="1"/>
        <w:numId w:val="1"/>
      </w:numPr>
      <w:adjustRightInd w:val="0"/>
      <w:snapToGrid w:val="0"/>
      <w:spacing w:before="60" w:after="60"/>
      <w:outlineLvl w:val="1"/>
    </w:pPr>
    <w:rPr>
      <w:rFonts w:asciiTheme="majorHAnsi" w:hAnsiTheme="majorHAnsi" w:cstheme="majorBidi"/>
      <w:b/>
      <w:bCs/>
      <w:color w:val="000000" w:themeColor="text1"/>
      <w:sz w:val="24"/>
      <w:szCs w:val="32"/>
      <w14:textFill>
        <w14:solidFill>
          <w14:schemeClr w14:val="tx1"/>
        </w14:solidFill>
      </w14:textFill>
    </w:rPr>
  </w:style>
  <w:style w:type="paragraph" w:styleId="4">
    <w:name w:val="heading 3"/>
    <w:basedOn w:val="1"/>
    <w:next w:val="1"/>
    <w:link w:val="77"/>
    <w:unhideWhenUsed/>
    <w:qFormat/>
    <w:uiPriority w:val="9"/>
    <w:pPr>
      <w:keepNext/>
      <w:keepLines/>
      <w:numPr>
        <w:ilvl w:val="2"/>
        <w:numId w:val="1"/>
      </w:numPr>
      <w:adjustRightInd w:val="0"/>
      <w:snapToGrid w:val="0"/>
      <w:spacing w:before="120" w:after="120"/>
      <w:outlineLvl w:val="2"/>
    </w:pPr>
    <w:rPr>
      <w:rFonts w:asciiTheme="minorEastAsia" w:hAnsiTheme="minorEastAsia" w:cstheme="minorEastAsia"/>
      <w:b/>
      <w:bCs/>
      <w:sz w:val="24"/>
      <w:szCs w:val="30"/>
    </w:rPr>
  </w:style>
  <w:style w:type="paragraph" w:styleId="5">
    <w:name w:val="heading 4"/>
    <w:basedOn w:val="1"/>
    <w:next w:val="1"/>
    <w:unhideWhenUsed/>
    <w:qFormat/>
    <w:uiPriority w:val="9"/>
    <w:pPr>
      <w:keepNext/>
      <w:keepLines/>
      <w:numPr>
        <w:ilvl w:val="3"/>
        <w:numId w:val="1"/>
      </w:numPr>
      <w:tabs>
        <w:tab w:val="left" w:pos="0"/>
      </w:tabs>
      <w:spacing w:before="120" w:after="120" w:line="300" w:lineRule="auto"/>
      <w:outlineLvl w:val="3"/>
    </w:pPr>
    <w:rPr>
      <w:rFonts w:eastAsia="黑体" w:asciiTheme="minorEastAsia" w:hAnsiTheme="minorEastAsia" w:cstheme="minorEastAsia"/>
      <w:b/>
      <w:color w:val="000000"/>
      <w:sz w:val="24"/>
      <w:szCs w:val="28"/>
    </w:rPr>
  </w:style>
  <w:style w:type="paragraph" w:styleId="6">
    <w:name w:val="heading 5"/>
    <w:basedOn w:val="1"/>
    <w:next w:val="1"/>
    <w:link w:val="36"/>
    <w:qFormat/>
    <w:uiPriority w:val="0"/>
    <w:pPr>
      <w:keepNext/>
      <w:keepLines/>
      <w:spacing w:before="240" w:after="240"/>
      <w:ind w:left="360" w:hanging="360"/>
      <w:outlineLvl w:val="4"/>
    </w:pPr>
    <w:rPr>
      <w:rFonts w:ascii="Calibri" w:hAnsi="Calibri" w:eastAsia="黑体" w:cs="Times New Roman"/>
      <w:bCs/>
      <w:kern w:val="2"/>
      <w:sz w:val="24"/>
      <w:szCs w:val="28"/>
      <w:lang w:val="en-US" w:eastAsia="zh-CN" w:bidi="ar-SA"/>
    </w:rPr>
  </w:style>
  <w:style w:type="paragraph" w:styleId="7">
    <w:name w:val="heading 6"/>
    <w:next w:val="1"/>
    <w:link w:val="37"/>
    <w:qFormat/>
    <w:uiPriority w:val="0"/>
    <w:pPr>
      <w:keepNext/>
      <w:keepLines/>
      <w:spacing w:before="240" w:after="240"/>
      <w:outlineLvl w:val="5"/>
    </w:pPr>
    <w:rPr>
      <w:rFonts w:ascii="Cambria" w:hAnsi="Cambria" w:eastAsia="黑体" w:cs="Times New Roman"/>
      <w:bCs/>
      <w:kern w:val="2"/>
      <w:sz w:val="24"/>
      <w:szCs w:val="24"/>
      <w:lang w:val="en-US" w:eastAsia="zh-CN" w:bidi="ar-SA"/>
    </w:rPr>
  </w:style>
  <w:style w:type="paragraph" w:styleId="8">
    <w:name w:val="heading 7"/>
    <w:basedOn w:val="1"/>
    <w:next w:val="1"/>
    <w:link w:val="61"/>
    <w:qFormat/>
    <w:uiPriority w:val="9"/>
    <w:pPr>
      <w:keepNext/>
      <w:keepLines/>
      <w:tabs>
        <w:tab w:val="left" w:pos="1843"/>
      </w:tabs>
      <w:spacing w:before="240" w:after="120" w:line="360" w:lineRule="auto"/>
      <w:ind w:left="1296" w:hanging="1296"/>
      <w:outlineLvl w:val="6"/>
    </w:pPr>
    <w:rPr>
      <w:rFonts w:ascii="黑体" w:hAnsi="黑体" w:eastAsia="黑体" w:cs="Times New Roman"/>
      <w:b/>
      <w:bCs/>
      <w:sz w:val="21"/>
    </w:rPr>
  </w:style>
  <w:style w:type="paragraph" w:styleId="9">
    <w:name w:val="heading 9"/>
    <w:basedOn w:val="1"/>
    <w:next w:val="1"/>
    <w:link w:val="38"/>
    <w:qFormat/>
    <w:uiPriority w:val="9"/>
    <w:pPr>
      <w:keepNext/>
      <w:keepLines/>
      <w:spacing w:beforeLines="50" w:afterLines="50" w:line="320" w:lineRule="auto"/>
      <w:outlineLvl w:val="8"/>
    </w:pPr>
    <w:rPr>
      <w:rFonts w:ascii="Cambria" w:hAnsi="Cambria" w:eastAsia="宋体" w:cs="Times New Roman"/>
      <w:kern w:val="0"/>
      <w:sz w:val="24"/>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adjustRightInd w:val="0"/>
      <w:spacing w:line="312" w:lineRule="atLeast"/>
      <w:ind w:firstLine="420"/>
      <w:textAlignment w:val="baseline"/>
    </w:pPr>
    <w:rPr>
      <w:rFonts w:ascii="Calibri" w:hAnsi="Calibri" w:eastAsia="Cambria" w:cs="Times New Roman"/>
      <w:kern w:val="0"/>
      <w:szCs w:val="20"/>
    </w:rPr>
  </w:style>
  <w:style w:type="paragraph" w:styleId="11">
    <w:name w:val="caption"/>
    <w:basedOn w:val="1"/>
    <w:next w:val="1"/>
    <w:unhideWhenUsed/>
    <w:qFormat/>
    <w:uiPriority w:val="0"/>
    <w:rPr>
      <w:rFonts w:eastAsia="黑体" w:asciiTheme="majorHAnsi" w:hAnsiTheme="majorHAnsi" w:cstheme="majorBidi"/>
      <w:sz w:val="20"/>
      <w:szCs w:val="20"/>
    </w:rPr>
  </w:style>
  <w:style w:type="paragraph" w:styleId="12">
    <w:name w:val="annotation text"/>
    <w:basedOn w:val="1"/>
    <w:link w:val="70"/>
    <w:semiHidden/>
    <w:unhideWhenUsed/>
    <w:qFormat/>
    <w:uiPriority w:val="99"/>
    <w:pPr>
      <w:widowControl/>
      <w:jc w:val="left"/>
    </w:pPr>
    <w:rPr>
      <w:rFonts w:ascii="Arial" w:hAnsi="Arial" w:eastAsia="仿宋"/>
      <w:sz w:val="30"/>
      <w:szCs w:val="30"/>
    </w:rPr>
  </w:style>
  <w:style w:type="paragraph" w:styleId="13">
    <w:name w:val="Body Text"/>
    <w:basedOn w:val="1"/>
    <w:next w:val="14"/>
    <w:qFormat/>
    <w:uiPriority w:val="0"/>
    <w:pPr>
      <w:spacing w:after="120"/>
    </w:pPr>
  </w:style>
  <w:style w:type="paragraph" w:styleId="14">
    <w:name w:val="Body Text First Indent"/>
    <w:basedOn w:val="1"/>
    <w:next w:val="15"/>
    <w:qFormat/>
    <w:uiPriority w:val="0"/>
    <w:pPr>
      <w:adjustRightInd w:val="0"/>
      <w:ind w:firstLine="425"/>
      <w:textAlignment w:val="baseline"/>
    </w:pPr>
    <w:rPr>
      <w:kern w:val="0"/>
      <w:szCs w:val="20"/>
    </w:rPr>
  </w:style>
  <w:style w:type="paragraph" w:styleId="15">
    <w:name w:val="toc 6"/>
    <w:basedOn w:val="1"/>
    <w:next w:val="1"/>
    <w:qFormat/>
    <w:uiPriority w:val="39"/>
    <w:pPr>
      <w:ind w:left="1050"/>
      <w:jc w:val="left"/>
    </w:pPr>
    <w:rPr>
      <w:rFonts w:ascii="Century Gothic" w:hAnsi="Century Gothic"/>
      <w:sz w:val="18"/>
      <w:szCs w:val="18"/>
    </w:rPr>
  </w:style>
  <w:style w:type="paragraph" w:styleId="16">
    <w:name w:val="Body Text Indent"/>
    <w:basedOn w:val="1"/>
    <w:qFormat/>
    <w:uiPriority w:val="0"/>
    <w:pPr>
      <w:ind w:left="480" w:hanging="480" w:hangingChars="200"/>
    </w:pPr>
    <w:rPr>
      <w:rFonts w:eastAsia="Cambria"/>
      <w:sz w:val="24"/>
    </w:rPr>
  </w:style>
  <w:style w:type="paragraph" w:styleId="17">
    <w:name w:val="List Bullet 2"/>
    <w:basedOn w:val="1"/>
    <w:qFormat/>
    <w:uiPriority w:val="0"/>
    <w:pPr>
      <w:tabs>
        <w:tab w:val="left" w:pos="425"/>
      </w:tabs>
      <w:adjustRightInd w:val="0"/>
      <w:snapToGrid w:val="0"/>
      <w:spacing w:after="120" w:line="500" w:lineRule="exact"/>
    </w:pPr>
    <w:rPr>
      <w:rFonts w:ascii="宋体" w:hAnsi="Times New Roman" w:eastAsia="等线" w:cs="Calibri"/>
      <w:sz w:val="24"/>
    </w:rPr>
  </w:style>
  <w:style w:type="paragraph" w:styleId="18">
    <w:name w:val="toc 3"/>
    <w:basedOn w:val="1"/>
    <w:next w:val="1"/>
    <w:qFormat/>
    <w:uiPriority w:val="39"/>
    <w:pPr>
      <w:ind w:left="840" w:leftChars="400"/>
    </w:pPr>
  </w:style>
  <w:style w:type="paragraph" w:styleId="19">
    <w:name w:val="Plain Text"/>
    <w:basedOn w:val="1"/>
    <w:next w:val="1"/>
    <w:link w:val="65"/>
    <w:qFormat/>
    <w:uiPriority w:val="0"/>
    <w:pPr>
      <w:widowControl/>
      <w:overflowPunct w:val="0"/>
      <w:autoSpaceDE w:val="0"/>
      <w:autoSpaceDN w:val="0"/>
      <w:adjustRightInd w:val="0"/>
      <w:jc w:val="left"/>
      <w:textAlignment w:val="baseline"/>
    </w:pPr>
    <w:rPr>
      <w:rFonts w:ascii="Wingdings" w:hAnsi="长城仿宋" w:eastAsia="Wingdings"/>
      <w:kern w:val="0"/>
      <w:sz w:val="21"/>
      <w:szCs w:val="21"/>
    </w:rPr>
  </w:style>
  <w:style w:type="paragraph" w:styleId="20">
    <w:name w:val="Date"/>
    <w:basedOn w:val="1"/>
    <w:next w:val="1"/>
    <w:link w:val="39"/>
    <w:qFormat/>
    <w:uiPriority w:val="0"/>
    <w:pPr>
      <w:ind w:left="100" w:leftChars="2500"/>
    </w:pPr>
  </w:style>
  <w:style w:type="paragraph" w:styleId="21">
    <w:name w:val="Body Text Indent 2"/>
    <w:basedOn w:val="1"/>
    <w:qFormat/>
    <w:uiPriority w:val="0"/>
    <w:pPr>
      <w:snapToGrid w:val="0"/>
      <w:spacing w:line="400" w:lineRule="exact"/>
      <w:ind w:firstLine="480"/>
    </w:pPr>
    <w:rPr>
      <w:rFonts w:eastAsia="仿宋_GB2312"/>
      <w:sz w:val="24"/>
    </w:rPr>
  </w:style>
  <w:style w:type="paragraph" w:styleId="22">
    <w:name w:val="Balloon Text"/>
    <w:basedOn w:val="1"/>
    <w:link w:val="40"/>
    <w:qFormat/>
    <w:uiPriority w:val="0"/>
    <w:rPr>
      <w:sz w:val="18"/>
      <w:szCs w:val="18"/>
    </w:rPr>
  </w:style>
  <w:style w:type="paragraph" w:styleId="23">
    <w:name w:val="footer"/>
    <w:basedOn w:val="1"/>
    <w:link w:val="41"/>
    <w:qFormat/>
    <w:uiPriority w:val="99"/>
    <w:pPr>
      <w:tabs>
        <w:tab w:val="center" w:pos="4153"/>
        <w:tab w:val="right" w:pos="8306"/>
      </w:tabs>
      <w:snapToGrid w:val="0"/>
      <w:jc w:val="left"/>
    </w:pPr>
    <w:rPr>
      <w:sz w:val="18"/>
      <w:szCs w:val="18"/>
    </w:rPr>
  </w:style>
  <w:style w:type="paragraph" w:styleId="2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spacing w:after="100" w:line="276" w:lineRule="auto"/>
      <w:jc w:val="left"/>
    </w:pPr>
    <w:rPr>
      <w:rFonts w:ascii="Calibri" w:hAnsi="Calibri" w:eastAsia="宋体" w:cs="Times New Roman"/>
      <w:kern w:val="0"/>
      <w:szCs w:val="22"/>
    </w:rPr>
  </w:style>
  <w:style w:type="paragraph" w:styleId="26">
    <w:name w:val="toc 2"/>
    <w:basedOn w:val="1"/>
    <w:next w:val="1"/>
    <w:qFormat/>
    <w:uiPriority w:val="39"/>
    <w:pPr>
      <w:ind w:left="420" w:leftChars="200"/>
    </w:pPr>
  </w:style>
  <w:style w:type="paragraph" w:styleId="27">
    <w:name w:val="Normal (Web)"/>
    <w:basedOn w:val="1"/>
    <w:qFormat/>
    <w:uiPriority w:val="0"/>
    <w:pPr>
      <w:widowControl/>
      <w:spacing w:before="100" w:beforeAutospacing="1" w:after="100" w:afterAutospacing="1"/>
      <w:jc w:val="left"/>
    </w:pPr>
    <w:rPr>
      <w:rFonts w:hint="eastAsia" w:ascii="宋体" w:hAnsi="宋体" w:eastAsia="宋体" w:cs="Times New Roman"/>
      <w:color w:val="000000"/>
      <w:kern w:val="0"/>
      <w:sz w:val="24"/>
    </w:rPr>
  </w:style>
  <w:style w:type="paragraph" w:styleId="28">
    <w:name w:val="Title"/>
    <w:basedOn w:val="1"/>
    <w:next w:val="1"/>
    <w:link w:val="43"/>
    <w:qFormat/>
    <w:uiPriority w:val="0"/>
    <w:pPr>
      <w:spacing w:before="240" w:after="60"/>
      <w:jc w:val="center"/>
      <w:outlineLvl w:val="0"/>
    </w:pPr>
    <w:rPr>
      <w:rFonts w:asciiTheme="majorHAnsi" w:hAnsiTheme="majorHAnsi" w:eastAsiaTheme="majorEastAsia" w:cstheme="majorBidi"/>
      <w:b/>
      <w:bCs/>
      <w:sz w:val="32"/>
      <w:szCs w:val="32"/>
    </w:rPr>
  </w:style>
  <w:style w:type="table" w:styleId="30">
    <w:name w:val="Table Grid"/>
    <w:basedOn w:val="29"/>
    <w:qFormat/>
    <w:uiPriority w:val="39"/>
    <w:pPr>
      <w:widowControl w:val="0"/>
      <w:adjustRightInd w:val="0"/>
      <w:snapToGrid w:val="0"/>
      <w:jc w:val="center"/>
    </w:pPr>
    <w:rPr>
      <w:rFonts w:ascii="Arial" w:hAnsi="Arial" w:eastAsia="仿宋" w:cstheme="minorBidi"/>
      <w:kern w:val="2"/>
      <w:sz w:val="24"/>
      <w:szCs w:val="30"/>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
    <w:trPr>
      <w:cantSplit/>
      <w:jc w:val="center"/>
    </w:trPr>
    <w:tcPr>
      <w:shd w:val="clear" w:color="auto" w:fill="auto"/>
      <w:vAlign w:val="center"/>
    </w:tcPr>
    <w:tblStylePr w:type="firstRow">
      <w:pPr>
        <w:wordWrap/>
        <w:adjustRightInd w:val="0"/>
        <w:snapToGrid w:val="0"/>
        <w:spacing w:before="0" w:beforeLines="0" w:beforeAutospacing="0" w:after="0" w:afterLines="0" w:afterAutospacing="0" w:line="240" w:lineRule="auto"/>
        <w:ind w:left="0" w:leftChars="0" w:right="0" w:rightChars="0" w:firstLine="0" w:firstLineChars="0"/>
        <w:contextualSpacing w:val="0"/>
        <w:jc w:val="center"/>
        <w:outlineLvl w:val="9"/>
      </w:pPr>
      <w:rPr>
        <w:rFonts w:ascii="Arial" w:hAnsi="Arial" w:eastAsia="仿宋"/>
        <w:color w:val="FFFFFF" w:themeColor="background1"/>
        <w:sz w:val="28"/>
        <w14:textFill>
          <w14:solidFill>
            <w14:schemeClr w14:val="bg1"/>
          </w14:solidFill>
        </w14:textFill>
      </w:rPr>
      <w:tblPr/>
      <w:trPr>
        <w:tblHeader/>
      </w:trPr>
      <w:tcPr>
        <w:tcBorders>
          <w:top w:val="single" w:color="auto" w:sz="12" w:space="0"/>
          <w:left w:val="single" w:color="auto" w:sz="12" w:space="0"/>
          <w:bottom w:val="single" w:color="auto" w:sz="12" w:space="0"/>
          <w:right w:val="single" w:color="auto" w:sz="12" w:space="0"/>
          <w:insideH w:val="single" w:sz="6" w:space="0"/>
          <w:insideV w:val="single" w:sz="6" w:space="0"/>
          <w:tl2br w:val="nil"/>
          <w:tr2bl w:val="nil"/>
        </w:tcBorders>
        <w:shd w:val="clear" w:color="auto" w:fill="00516C"/>
      </w:tcPr>
    </w:tblStylePr>
    <w:tblStylePr w:type="lastRow">
      <w:pPr>
        <w:jc w:val="center"/>
      </w:pPr>
    </w:tblStylePr>
    <w:tblStylePr w:type="firstCol">
      <w:pPr>
        <w:jc w:val="center"/>
      </w:pPr>
    </w:tblStylePr>
    <w:tblStylePr w:type="lastCol">
      <w:pPr>
        <w:jc w:val="center"/>
      </w:pPr>
    </w:tblStylePr>
  </w:style>
  <w:style w:type="character" w:styleId="32">
    <w:name w:val="Hyperlink"/>
    <w:unhideWhenUsed/>
    <w:qFormat/>
    <w:uiPriority w:val="99"/>
    <w:rPr>
      <w:color w:val="0000FF"/>
      <w:u w:val="single"/>
    </w:rPr>
  </w:style>
  <w:style w:type="character" w:styleId="33">
    <w:name w:val="annotation reference"/>
    <w:basedOn w:val="31"/>
    <w:semiHidden/>
    <w:unhideWhenUsed/>
    <w:qFormat/>
    <w:uiPriority w:val="99"/>
    <w:rPr>
      <w:sz w:val="21"/>
      <w:szCs w:val="21"/>
    </w:rPr>
  </w:style>
  <w:style w:type="character" w:styleId="34">
    <w:name w:val="footnote reference"/>
    <w:qFormat/>
    <w:uiPriority w:val="0"/>
    <w:rPr>
      <w:vertAlign w:val="superscript"/>
    </w:rPr>
  </w:style>
  <w:style w:type="paragraph" w:customStyle="1" w:styleId="35">
    <w:name w:val="文档正文"/>
    <w:basedOn w:val="1"/>
    <w:qFormat/>
    <w:uiPriority w:val="0"/>
    <w:pPr>
      <w:adjustRightInd w:val="0"/>
      <w:spacing w:line="480" w:lineRule="atLeast"/>
      <w:ind w:firstLine="567"/>
    </w:pPr>
    <w:rPr>
      <w:rFonts w:ascii="宋体" w:hAnsi="宋体"/>
      <w:szCs w:val="22"/>
    </w:rPr>
  </w:style>
  <w:style w:type="character" w:customStyle="1" w:styleId="36">
    <w:name w:val="标题 5 字符"/>
    <w:basedOn w:val="31"/>
    <w:link w:val="6"/>
    <w:qFormat/>
    <w:uiPriority w:val="9"/>
    <w:rPr>
      <w:rFonts w:ascii="Calibri" w:hAnsi="Calibri" w:eastAsia="黑体"/>
      <w:bCs/>
      <w:kern w:val="2"/>
      <w:sz w:val="24"/>
      <w:szCs w:val="28"/>
    </w:rPr>
  </w:style>
  <w:style w:type="character" w:customStyle="1" w:styleId="37">
    <w:name w:val="标题 6 字符"/>
    <w:basedOn w:val="31"/>
    <w:link w:val="7"/>
    <w:qFormat/>
    <w:uiPriority w:val="9"/>
    <w:rPr>
      <w:rFonts w:ascii="Cambria" w:hAnsi="Cambria" w:eastAsia="黑体"/>
      <w:bCs/>
      <w:kern w:val="2"/>
      <w:sz w:val="24"/>
      <w:szCs w:val="24"/>
    </w:rPr>
  </w:style>
  <w:style w:type="character" w:customStyle="1" w:styleId="38">
    <w:name w:val="标题 9 字符"/>
    <w:basedOn w:val="31"/>
    <w:link w:val="9"/>
    <w:qFormat/>
    <w:uiPriority w:val="9"/>
    <w:rPr>
      <w:rFonts w:ascii="Cambria" w:hAnsi="Cambria"/>
      <w:sz w:val="24"/>
      <w:szCs w:val="21"/>
    </w:rPr>
  </w:style>
  <w:style w:type="character" w:customStyle="1" w:styleId="39">
    <w:name w:val="日期 字符"/>
    <w:basedOn w:val="31"/>
    <w:link w:val="20"/>
    <w:qFormat/>
    <w:uiPriority w:val="0"/>
    <w:rPr>
      <w:kern w:val="2"/>
      <w:sz w:val="21"/>
      <w:szCs w:val="24"/>
    </w:rPr>
  </w:style>
  <w:style w:type="character" w:customStyle="1" w:styleId="40">
    <w:name w:val="批注框文本 字符"/>
    <w:basedOn w:val="31"/>
    <w:link w:val="22"/>
    <w:qFormat/>
    <w:uiPriority w:val="0"/>
    <w:rPr>
      <w:rFonts w:asciiTheme="minorHAnsi" w:hAnsiTheme="minorHAnsi" w:eastAsiaTheme="minorEastAsia" w:cstheme="minorBidi"/>
      <w:kern w:val="2"/>
      <w:sz w:val="18"/>
      <w:szCs w:val="18"/>
    </w:rPr>
  </w:style>
  <w:style w:type="character" w:customStyle="1" w:styleId="41">
    <w:name w:val="页脚 字符"/>
    <w:basedOn w:val="31"/>
    <w:link w:val="23"/>
    <w:qFormat/>
    <w:uiPriority w:val="99"/>
    <w:rPr>
      <w:kern w:val="2"/>
      <w:sz w:val="18"/>
      <w:szCs w:val="18"/>
    </w:rPr>
  </w:style>
  <w:style w:type="character" w:customStyle="1" w:styleId="42">
    <w:name w:val="页眉 字符"/>
    <w:basedOn w:val="31"/>
    <w:link w:val="24"/>
    <w:qFormat/>
    <w:uiPriority w:val="99"/>
    <w:rPr>
      <w:rFonts w:asciiTheme="minorHAnsi" w:hAnsiTheme="minorHAnsi" w:eastAsiaTheme="minorEastAsia" w:cstheme="minorBidi"/>
      <w:kern w:val="2"/>
      <w:sz w:val="18"/>
      <w:szCs w:val="18"/>
    </w:rPr>
  </w:style>
  <w:style w:type="character" w:customStyle="1" w:styleId="43">
    <w:name w:val="标题 字符"/>
    <w:basedOn w:val="31"/>
    <w:link w:val="28"/>
    <w:qFormat/>
    <w:uiPriority w:val="0"/>
    <w:rPr>
      <w:rFonts w:asciiTheme="majorHAnsi" w:hAnsiTheme="majorHAnsi" w:eastAsiaTheme="majorEastAsia" w:cstheme="majorBidi"/>
      <w:b/>
      <w:bCs/>
      <w:kern w:val="2"/>
      <w:sz w:val="32"/>
      <w:szCs w:val="32"/>
    </w:rPr>
  </w:style>
  <w:style w:type="paragraph" w:customStyle="1" w:styleId="44">
    <w:name w:val="p1"/>
    <w:basedOn w:val="1"/>
    <w:qFormat/>
    <w:uiPriority w:val="0"/>
    <w:pPr>
      <w:widowControl/>
      <w:jc w:val="left"/>
    </w:pPr>
    <w:rPr>
      <w:rFonts w:ascii=".苹方-简" w:hAnsi=".苹方-简" w:eastAsia=".苹方-简"/>
      <w:color w:val="454545"/>
      <w:kern w:val="0"/>
      <w:sz w:val="18"/>
      <w:szCs w:val="18"/>
    </w:rPr>
  </w:style>
  <w:style w:type="character" w:customStyle="1" w:styleId="45">
    <w:name w:val="s1"/>
    <w:basedOn w:val="31"/>
    <w:qFormat/>
    <w:uiPriority w:val="0"/>
    <w:rPr>
      <w:rFonts w:ascii="Helvetica" w:hAnsi="Helvetica" w:eastAsia="Helvetica" w:cs="Helvetica"/>
      <w:sz w:val="24"/>
      <w:szCs w:val="24"/>
    </w:rPr>
  </w:style>
  <w:style w:type="paragraph" w:customStyle="1" w:styleId="46">
    <w:name w:val="列出段落1"/>
    <w:basedOn w:val="1"/>
    <w:qFormat/>
    <w:uiPriority w:val="34"/>
    <w:pPr>
      <w:widowControl/>
      <w:tabs>
        <w:tab w:val="left" w:pos="1106"/>
        <w:tab w:val="left" w:pos="2211"/>
        <w:tab w:val="left" w:pos="3317"/>
        <w:tab w:val="left" w:pos="4423"/>
        <w:tab w:val="left" w:pos="5528"/>
        <w:tab w:val="left" w:pos="6634"/>
        <w:tab w:val="left" w:pos="7740"/>
      </w:tabs>
      <w:ind w:left="720"/>
      <w:contextualSpacing/>
      <w:jc w:val="left"/>
    </w:pPr>
    <w:rPr>
      <w:rFonts w:ascii="Arial" w:hAnsi="Arial"/>
      <w:kern w:val="0"/>
      <w:szCs w:val="22"/>
    </w:rPr>
  </w:style>
  <w:style w:type="paragraph" w:customStyle="1" w:styleId="47">
    <w:name w:val="列出段落2"/>
    <w:basedOn w:val="1"/>
    <w:qFormat/>
    <w:uiPriority w:val="34"/>
    <w:pPr>
      <w:ind w:firstLine="420" w:firstLineChars="200"/>
    </w:pPr>
  </w:style>
  <w:style w:type="paragraph" w:customStyle="1" w:styleId="48">
    <w:name w:val="5.1.1"/>
    <w:basedOn w:val="4"/>
    <w:qFormat/>
    <w:uiPriority w:val="0"/>
    <w:pPr>
      <w:spacing w:line="300" w:lineRule="auto"/>
      <w:ind w:left="170" w:firstLine="0"/>
    </w:pPr>
    <w:rPr>
      <w:sz w:val="22"/>
    </w:rPr>
  </w:style>
  <w:style w:type="paragraph" w:customStyle="1" w:styleId="49">
    <w:name w:val="5.1"/>
    <w:basedOn w:val="3"/>
    <w:qFormat/>
    <w:uiPriority w:val="0"/>
    <w:pPr>
      <w:spacing w:beforeLines="50" w:afterLines="50" w:line="300" w:lineRule="auto"/>
    </w:pPr>
    <w:rPr>
      <w:sz w:val="22"/>
    </w:rPr>
  </w:style>
  <w:style w:type="paragraph" w:customStyle="1" w:styleId="50">
    <w:name w:val="列出段落3"/>
    <w:basedOn w:val="1"/>
    <w:link w:val="51"/>
    <w:qFormat/>
    <w:uiPriority w:val="34"/>
    <w:pPr>
      <w:ind w:firstLine="420" w:firstLineChars="200"/>
    </w:pPr>
  </w:style>
  <w:style w:type="character" w:customStyle="1" w:styleId="51">
    <w:name w:val="列出段落 字符"/>
    <w:basedOn w:val="31"/>
    <w:link w:val="50"/>
    <w:qFormat/>
    <w:locked/>
    <w:uiPriority w:val="34"/>
    <w:rPr>
      <w:rFonts w:asciiTheme="minorHAnsi" w:hAnsiTheme="minorHAnsi" w:eastAsiaTheme="minorEastAsia" w:cstheme="minorBidi"/>
      <w:kern w:val="2"/>
      <w:sz w:val="21"/>
      <w:szCs w:val="24"/>
    </w:rPr>
  </w:style>
  <w:style w:type="paragraph" w:customStyle="1" w:styleId="5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3">
    <w:name w:val="不明显参考1"/>
    <w:qFormat/>
    <w:uiPriority w:val="31"/>
    <w:rPr>
      <w:smallCaps/>
      <w:color w:val="C0504D"/>
      <w:u w:val="single"/>
    </w:rPr>
  </w:style>
  <w:style w:type="paragraph" w:customStyle="1" w:styleId="54">
    <w:name w:val="修订2"/>
    <w:hidden/>
    <w:semiHidden/>
    <w:qFormat/>
    <w:uiPriority w:val="99"/>
    <w:rPr>
      <w:rFonts w:eastAsia="新宋体" w:asciiTheme="minorHAnsi" w:hAnsiTheme="minorHAnsi" w:cstheme="minorBidi"/>
      <w:kern w:val="2"/>
      <w:sz w:val="22"/>
      <w:szCs w:val="24"/>
      <w:lang w:val="en-US" w:eastAsia="zh-CN" w:bidi="ar-SA"/>
    </w:rPr>
  </w:style>
  <w:style w:type="paragraph" w:styleId="55">
    <w:name w:val="List Paragraph"/>
    <w:basedOn w:val="1"/>
    <w:link w:val="56"/>
    <w:qFormat/>
    <w:uiPriority w:val="34"/>
    <w:pPr>
      <w:spacing w:line="360" w:lineRule="auto"/>
      <w:ind w:firstLine="420" w:firstLineChars="200"/>
    </w:pPr>
    <w:rPr>
      <w:rFonts w:ascii="Calibri" w:hAnsi="Calibri" w:eastAsia="宋体" w:cs="Times New Roman"/>
      <w:sz w:val="21"/>
      <w:szCs w:val="22"/>
    </w:rPr>
  </w:style>
  <w:style w:type="character" w:customStyle="1" w:styleId="56">
    <w:name w:val="列表段落 字符"/>
    <w:link w:val="55"/>
    <w:qFormat/>
    <w:uiPriority w:val="34"/>
    <w:rPr>
      <w:rFonts w:ascii="Calibri" w:hAnsi="Calibri" w:eastAsia="宋体" w:cs="Times New Roman"/>
      <w:kern w:val="2"/>
      <w:sz w:val="21"/>
      <w:szCs w:val="22"/>
    </w:rPr>
  </w:style>
  <w:style w:type="paragraph" w:customStyle="1" w:styleId="57">
    <w:name w:val="样式 标题 1 + (中文) 宋体 加粗 行距: 1.5 倍行距"/>
    <w:basedOn w:val="2"/>
    <w:qFormat/>
    <w:uiPriority w:val="0"/>
    <w:pPr>
      <w:widowControl/>
      <w:numPr>
        <w:numId w:val="2"/>
      </w:numPr>
      <w:tabs>
        <w:tab w:val="left" w:pos="432"/>
        <w:tab w:val="left" w:pos="1095"/>
      </w:tabs>
      <w:adjustRightInd/>
      <w:snapToGrid/>
      <w:spacing w:before="340" w:after="330" w:line="360" w:lineRule="auto"/>
      <w:ind w:left="284" w:hanging="284"/>
    </w:pPr>
    <w:rPr>
      <w:rFonts w:ascii="Arial" w:hAnsi="Arial" w:eastAsia="黑体" w:cs="宋体"/>
      <w:sz w:val="44"/>
      <w:szCs w:val="20"/>
    </w:rPr>
  </w:style>
  <w:style w:type="paragraph" w:customStyle="1" w:styleId="58">
    <w:name w:val="！标题2"/>
    <w:basedOn w:val="3"/>
    <w:qFormat/>
    <w:uiPriority w:val="0"/>
    <w:pPr>
      <w:widowControl/>
      <w:numPr>
        <w:numId w:val="2"/>
      </w:numPr>
      <w:tabs>
        <w:tab w:val="left" w:pos="1095"/>
        <w:tab w:val="left" w:pos="1575"/>
      </w:tabs>
      <w:adjustRightInd/>
      <w:snapToGrid/>
      <w:spacing w:before="260" w:after="260" w:line="416" w:lineRule="auto"/>
      <w:ind w:left="718"/>
      <w:jc w:val="left"/>
    </w:pPr>
    <w:rPr>
      <w:rFonts w:eastAsiaTheme="majorEastAsia"/>
      <w:color w:val="auto"/>
      <w:sz w:val="32"/>
    </w:rPr>
  </w:style>
  <w:style w:type="paragraph" w:customStyle="1" w:styleId="59">
    <w:name w:val="样式 标题 3标题3标题3 + 段前: 0.5 行 段后: 0.5 行1"/>
    <w:basedOn w:val="4"/>
    <w:qFormat/>
    <w:uiPriority w:val="0"/>
    <w:pPr>
      <w:widowControl/>
      <w:numPr>
        <w:numId w:val="2"/>
      </w:numPr>
      <w:tabs>
        <w:tab w:val="left" w:pos="999"/>
        <w:tab w:val="left" w:pos="1095"/>
        <w:tab w:val="left" w:pos="1995"/>
      </w:tabs>
      <w:adjustRightInd/>
      <w:snapToGrid/>
      <w:spacing w:before="0" w:after="0" w:line="360" w:lineRule="auto"/>
      <w:ind w:left="0" w:firstLine="0"/>
      <w:jc w:val="left"/>
    </w:pPr>
    <w:rPr>
      <w:rFonts w:ascii="Verdana" w:hAnsi="Verdana" w:eastAsia="黑体" w:cs="宋体"/>
      <w:kern w:val="0"/>
      <w:sz w:val="30"/>
      <w:szCs w:val="20"/>
    </w:rPr>
  </w:style>
  <w:style w:type="paragraph" w:customStyle="1" w:styleId="60">
    <w:name w:val="标题4标题4"/>
    <w:basedOn w:val="5"/>
    <w:qFormat/>
    <w:uiPriority w:val="0"/>
    <w:pPr>
      <w:widowControl/>
      <w:numPr>
        <w:numId w:val="2"/>
      </w:numPr>
      <w:tabs>
        <w:tab w:val="left" w:pos="999"/>
        <w:tab w:val="left" w:pos="1095"/>
        <w:tab w:val="left" w:pos="2415"/>
        <w:tab w:val="clear" w:pos="0"/>
      </w:tabs>
      <w:spacing w:line="376" w:lineRule="auto"/>
      <w:ind w:left="862" w:hanging="862"/>
      <w:jc w:val="left"/>
    </w:pPr>
    <w:rPr>
      <w:rFonts w:ascii="Verdana" w:hAnsi="Verdana" w:cs="Times New Roman"/>
      <w:bCs/>
      <w:color w:val="auto"/>
      <w:sz w:val="28"/>
    </w:rPr>
  </w:style>
  <w:style w:type="character" w:customStyle="1" w:styleId="61">
    <w:name w:val="标题 7 字符"/>
    <w:basedOn w:val="31"/>
    <w:link w:val="8"/>
    <w:qFormat/>
    <w:uiPriority w:val="9"/>
    <w:rPr>
      <w:rFonts w:ascii="黑体" w:hAnsi="黑体" w:eastAsia="黑体" w:cs="Times New Roman"/>
      <w:b/>
      <w:bCs/>
      <w:kern w:val="2"/>
      <w:sz w:val="21"/>
      <w:szCs w:val="24"/>
    </w:rPr>
  </w:style>
  <w:style w:type="character" w:customStyle="1" w:styleId="62">
    <w:name w:val="font01"/>
    <w:basedOn w:val="31"/>
    <w:qFormat/>
    <w:uiPriority w:val="0"/>
    <w:rPr>
      <w:rFonts w:hint="eastAsia" w:ascii="等线" w:hAnsi="等线" w:eastAsia="等线" w:cs="等线"/>
      <w:color w:val="000000"/>
      <w:sz w:val="22"/>
      <w:szCs w:val="22"/>
      <w:u w:val="none"/>
    </w:rPr>
  </w:style>
  <w:style w:type="paragraph" w:customStyle="1" w:styleId="63">
    <w:name w:val="修订3"/>
    <w:hidden/>
    <w:semiHidden/>
    <w:qFormat/>
    <w:uiPriority w:val="99"/>
    <w:rPr>
      <w:rFonts w:eastAsia="新宋体" w:asciiTheme="minorHAnsi" w:hAnsiTheme="minorHAnsi" w:cstheme="minorBidi"/>
      <w:kern w:val="2"/>
      <w:sz w:val="22"/>
      <w:szCs w:val="24"/>
      <w:lang w:val="en-US" w:eastAsia="zh-CN" w:bidi="ar-SA"/>
    </w:rPr>
  </w:style>
  <w:style w:type="character" w:customStyle="1" w:styleId="64">
    <w:name w:val="纯文本 Char1"/>
    <w:qFormat/>
    <w:uiPriority w:val="0"/>
    <w:rPr>
      <w:rFonts w:ascii="宋体" w:hAnsi="Courier New" w:eastAsia="宋体"/>
      <w:kern w:val="2"/>
      <w:sz w:val="21"/>
      <w:lang w:val="en-US" w:eastAsia="zh-CN" w:bidi="ar-SA"/>
    </w:rPr>
  </w:style>
  <w:style w:type="character" w:customStyle="1" w:styleId="65">
    <w:name w:val="纯文本 字符"/>
    <w:link w:val="19"/>
    <w:qFormat/>
    <w:uiPriority w:val="0"/>
    <w:rPr>
      <w:rFonts w:ascii="Wingdings" w:hAnsi="长城仿宋" w:eastAsia="Wingdings"/>
      <w:sz w:val="21"/>
      <w:szCs w:val="21"/>
    </w:rPr>
  </w:style>
  <w:style w:type="character" w:customStyle="1" w:styleId="66">
    <w:name w:val="纯文本 Char2"/>
    <w:basedOn w:val="31"/>
    <w:semiHidden/>
    <w:qFormat/>
    <w:uiPriority w:val="0"/>
    <w:rPr>
      <w:rFonts w:ascii="宋体" w:hAnsi="Courier New" w:eastAsia="宋体" w:cs="Courier New"/>
      <w:kern w:val="2"/>
      <w:sz w:val="21"/>
      <w:szCs w:val="21"/>
    </w:rPr>
  </w:style>
  <w:style w:type="character" w:customStyle="1" w:styleId="67">
    <w:name w:val="NormalCharacter"/>
    <w:qFormat/>
    <w:uiPriority w:val="99"/>
  </w:style>
  <w:style w:type="paragraph" w:customStyle="1" w:styleId="68">
    <w:name w:val="[Normal]"/>
    <w:qFormat/>
    <w:uiPriority w:val="0"/>
    <w:rPr>
      <w:rFonts w:ascii="宋体" w:hAnsi="宋体" w:eastAsia="宋体" w:cs="黑体"/>
      <w:sz w:val="24"/>
      <w:szCs w:val="22"/>
      <w:lang w:val="zh-CN" w:eastAsia="zh-CN" w:bidi="ar-SA"/>
    </w:rPr>
  </w:style>
  <w:style w:type="paragraph" w:customStyle="1" w:styleId="69">
    <w:name w:val="修订4"/>
    <w:hidden/>
    <w:semiHidden/>
    <w:qFormat/>
    <w:uiPriority w:val="99"/>
    <w:rPr>
      <w:rFonts w:eastAsia="新宋体" w:asciiTheme="minorHAnsi" w:hAnsiTheme="minorHAnsi" w:cstheme="minorBidi"/>
      <w:kern w:val="2"/>
      <w:sz w:val="22"/>
      <w:szCs w:val="24"/>
      <w:lang w:val="en-US" w:eastAsia="zh-CN" w:bidi="ar-SA"/>
    </w:rPr>
  </w:style>
  <w:style w:type="character" w:customStyle="1" w:styleId="70">
    <w:name w:val="批注文字 字符"/>
    <w:basedOn w:val="31"/>
    <w:link w:val="12"/>
    <w:semiHidden/>
    <w:qFormat/>
    <w:uiPriority w:val="99"/>
    <w:rPr>
      <w:rFonts w:ascii="Arial" w:hAnsi="Arial" w:eastAsia="仿宋" w:cstheme="minorBidi"/>
      <w:kern w:val="2"/>
      <w:sz w:val="30"/>
      <w:szCs w:val="30"/>
    </w:rPr>
  </w:style>
  <w:style w:type="paragraph" w:customStyle="1" w:styleId="71">
    <w:name w:val="BodyText1I"/>
    <w:basedOn w:val="72"/>
    <w:qFormat/>
    <w:uiPriority w:val="0"/>
    <w:pPr>
      <w:ind w:firstLine="420" w:firstLineChars="100"/>
      <w:jc w:val="left"/>
    </w:pPr>
    <w:rPr>
      <w:rFonts w:ascii="仿宋_GB2312" w:hAnsi="Times New Roman"/>
      <w:b/>
      <w:kern w:val="0"/>
      <w:sz w:val="32"/>
      <w:szCs w:val="32"/>
    </w:rPr>
  </w:style>
  <w:style w:type="paragraph" w:customStyle="1" w:styleId="72">
    <w:name w:val="BodyText"/>
    <w:basedOn w:val="1"/>
    <w:next w:val="71"/>
    <w:qFormat/>
    <w:uiPriority w:val="0"/>
    <w:pPr>
      <w:spacing w:after="120"/>
    </w:pPr>
    <w:rPr>
      <w:rFonts w:ascii="Tahoma" w:hAnsi="Tahoma"/>
    </w:rPr>
  </w:style>
  <w:style w:type="paragraph" w:customStyle="1" w:styleId="73">
    <w:name w:val="UserStyle_558"/>
    <w:basedOn w:val="72"/>
    <w:qFormat/>
    <w:uiPriority w:val="0"/>
    <w:pPr>
      <w:keepNext/>
      <w:spacing w:after="160"/>
    </w:pPr>
    <w:rPr>
      <w:rFonts w:ascii="仿宋_GB2312"/>
      <w:b/>
    </w:rPr>
  </w:style>
  <w:style w:type="paragraph" w:customStyle="1" w:styleId="74">
    <w:name w:val="PlainText"/>
    <w:basedOn w:val="1"/>
    <w:qFormat/>
    <w:uiPriority w:val="0"/>
    <w:rPr>
      <w:rFonts w:ascii="宋体" w:hAnsi="Courier New"/>
      <w:szCs w:val="20"/>
    </w:rPr>
  </w:style>
  <w:style w:type="paragraph" w:customStyle="1" w:styleId="75">
    <w:name w:val="Heading5"/>
    <w:basedOn w:val="1"/>
    <w:next w:val="1"/>
    <w:qFormat/>
    <w:uiPriority w:val="0"/>
    <w:pPr>
      <w:keepNext/>
      <w:keepLines/>
      <w:spacing w:before="280" w:after="290" w:line="372" w:lineRule="auto"/>
    </w:pPr>
    <w:rPr>
      <w:rFonts w:ascii="仿宋_GB2312" w:hAnsi="Tahoma" w:cs="Times New Roman"/>
      <w:b/>
      <w:bCs/>
      <w:sz w:val="28"/>
      <w:szCs w:val="28"/>
    </w:rPr>
  </w:style>
  <w:style w:type="paragraph" w:customStyle="1" w:styleId="76">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77">
    <w:name w:val="标题 3 Char"/>
    <w:link w:val="4"/>
    <w:qFormat/>
    <w:uiPriority w:val="9"/>
    <w:rPr>
      <w:rFonts w:asciiTheme="minorEastAsia" w:hAnsiTheme="minorEastAsia" w:cstheme="minorEastAsia"/>
      <w:b/>
      <w:bCs/>
      <w:sz w:val="24"/>
      <w:szCs w:val="30"/>
    </w:rPr>
  </w:style>
  <w:style w:type="character" w:customStyle="1" w:styleId="78">
    <w:name w:val="标题 1 Char"/>
    <w:link w:val="2"/>
    <w:qFormat/>
    <w:uiPriority w:val="99"/>
    <w:rPr>
      <w:b/>
      <w:bCs/>
      <w:kern w:val="44"/>
      <w:sz w:val="24"/>
      <w:szCs w:val="44"/>
    </w:rPr>
  </w:style>
  <w:style w:type="paragraph" w:customStyle="1" w:styleId="79">
    <w:name w:val="AbsatzTableFormat"/>
    <w:basedOn w:val="1"/>
    <w:qFormat/>
    <w:uiPriority w:val="0"/>
    <w:pPr>
      <w:widowControl/>
      <w:jc w:val="left"/>
    </w:pPr>
    <w:rPr>
      <w:rFonts w:ascii="Arial Narrow" w:hAnsi="Arial Narrow"/>
      <w:bCs/>
      <w:kern w:val="0"/>
      <w:sz w:val="22"/>
      <w:szCs w:val="21"/>
      <w:lang w:val="de-DE"/>
    </w:rPr>
  </w:style>
  <w:style w:type="character" w:customStyle="1" w:styleId="80">
    <w:name w:val="Anrede1IhrZeichen"/>
    <w:qFormat/>
    <w:uiPriority w:val="0"/>
    <w:rPr>
      <w:rFonts w:hint="default" w:ascii="Arial" w:hAnsi="Arial"/>
      <w:sz w:val="20"/>
    </w:rPr>
  </w:style>
  <w:style w:type="paragraph" w:customStyle="1" w:styleId="81">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82">
    <w:name w:val="正文正文"/>
    <w:basedOn w:val="1"/>
    <w:qFormat/>
    <w:uiPriority w:val="0"/>
    <w:pPr>
      <w:spacing w:line="360" w:lineRule="auto"/>
      <w:ind w:firstLine="420"/>
      <w:jc w:val="left"/>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3676</Words>
  <Characters>4053</Characters>
  <Lines>41</Lines>
  <Paragraphs>50</Paragraphs>
  <TotalTime>3012</TotalTime>
  <ScaleCrop>false</ScaleCrop>
  <LinksUpToDate>false</LinksUpToDate>
  <CharactersWithSpaces>4107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2023-05-29T15:35:00Z</dcterms:created>
  <dc:creator>黄小茹</dc:creator>
  <cp:lastModifiedBy>w®</cp:lastModifiedBy>
  <cp:lastPrinted>2025-01-21T02:31:00Z</cp:lastPrinted>
  <dcterms:modified xsi:type="dcterms:W3CDTF">2025-02-05T01:54:40Z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A547138D0D5B4AFAA539B79DBD188B08</vt:lpwstr>
  </property>
  <property fmtid="{D5CDD505-2E9C-101B-9397-08002B2CF9AE}" pid="4" name="KSOTemplateDocerSaveRecord">
    <vt:lpwstr>eyJoZGlkIjoiODQ4Y2FiM2Y2MWU2MDVmMTUxYjFkMDg4YjU4NmRhYmEiLCJ1c2VySWQiOiI5MzM4NjQ2MTUifQ==</vt:lpwstr>
  </property>
</Properties>
</file>