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1"/>
        </w:numPr>
        <w:jc w:val="center"/>
        <w:outlineLvl w:val="0"/>
        <w:rPr>
          <w:rFonts w:hint="eastAsia" w:ascii="宋体" w:hAnsi="宋体" w:eastAsia="宋体" w:cs="宋体"/>
          <w:b/>
          <w:bCs/>
          <w:color w:val="auto"/>
          <w:sz w:val="32"/>
          <w:szCs w:val="32"/>
          <w:highlight w:val="none"/>
        </w:rPr>
      </w:pPr>
      <w:bookmarkStart w:id="1" w:name="_GoBack"/>
      <w:bookmarkEnd w:id="1"/>
      <w:bookmarkStart w:id="0" w:name="_Toc24482"/>
      <w:r>
        <w:rPr>
          <w:rFonts w:hint="eastAsia" w:ascii="宋体" w:hAnsi="宋体" w:eastAsia="宋体" w:cs="宋体"/>
          <w:b/>
          <w:bCs/>
          <w:color w:val="auto"/>
          <w:sz w:val="32"/>
          <w:szCs w:val="32"/>
          <w:highlight w:val="none"/>
        </w:rPr>
        <w:t>询价采购需求</w:t>
      </w:r>
      <w:bookmarkEnd w:id="0"/>
    </w:p>
    <w:p>
      <w:pPr>
        <w:keepNext w:val="0"/>
        <w:keepLines w:val="0"/>
        <w:pageBreakBefore w:val="0"/>
        <w:widowControl w:val="0"/>
        <w:kinsoku/>
        <w:wordWrap/>
        <w:overflowPunct/>
        <w:topLinePunct w:val="0"/>
        <w:bidi w:val="0"/>
        <w:adjustRightInd/>
        <w:snapToGrid w:val="0"/>
        <w:spacing w:line="360" w:lineRule="exact"/>
        <w:textAlignment w:val="auto"/>
        <w:rPr>
          <w:rFonts w:hint="eastAsia" w:ascii="宋体" w:hAnsi="宋体" w:eastAsia="宋体" w:cs="宋体"/>
          <w:b/>
          <w:color w:val="auto"/>
          <w:kern w:val="0"/>
          <w:sz w:val="22"/>
          <w:szCs w:val="22"/>
          <w:highlight w:val="none"/>
        </w:rPr>
      </w:pPr>
      <w:r>
        <w:rPr>
          <w:rFonts w:hint="eastAsia" w:ascii="宋体" w:hAnsi="宋体" w:eastAsia="宋体" w:cs="宋体"/>
          <w:b/>
          <w:color w:val="auto"/>
          <w:spacing w:val="-6"/>
          <w:sz w:val="22"/>
          <w:szCs w:val="22"/>
          <w:highlight w:val="none"/>
        </w:rPr>
        <w:t>一、</w:t>
      </w:r>
      <w:r>
        <w:rPr>
          <w:rFonts w:hint="eastAsia" w:ascii="宋体" w:hAnsi="宋体" w:eastAsia="宋体" w:cs="宋体"/>
          <w:b/>
          <w:color w:val="auto"/>
          <w:kern w:val="0"/>
          <w:sz w:val="22"/>
          <w:szCs w:val="22"/>
          <w:highlight w:val="none"/>
        </w:rPr>
        <w:t>项目名称及数量：</w:t>
      </w:r>
    </w:p>
    <w:tbl>
      <w:tblPr>
        <w:tblStyle w:val="6"/>
        <w:tblW w:w="95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9"/>
        <w:gridCol w:w="5749"/>
        <w:gridCol w:w="1267"/>
        <w:gridCol w:w="10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09" w:type="dxa"/>
            <w:noWrap w:val="0"/>
            <w:vAlign w:val="center"/>
          </w:tcPr>
          <w:p>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bCs/>
                <w:color w:val="auto"/>
                <w:spacing w:val="-6"/>
                <w:sz w:val="22"/>
                <w:szCs w:val="22"/>
                <w:highlight w:val="none"/>
              </w:rPr>
            </w:pPr>
            <w:r>
              <w:rPr>
                <w:rFonts w:hint="eastAsia" w:ascii="宋体" w:hAnsi="宋体" w:eastAsia="宋体" w:cs="宋体"/>
                <w:bCs/>
                <w:color w:val="auto"/>
                <w:spacing w:val="-6"/>
                <w:sz w:val="22"/>
                <w:szCs w:val="22"/>
                <w:highlight w:val="none"/>
              </w:rPr>
              <w:t>序号</w:t>
            </w:r>
          </w:p>
        </w:tc>
        <w:tc>
          <w:tcPr>
            <w:tcW w:w="5749" w:type="dxa"/>
            <w:noWrap w:val="0"/>
            <w:vAlign w:val="center"/>
          </w:tcPr>
          <w:p>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bCs/>
                <w:color w:val="auto"/>
                <w:spacing w:val="-6"/>
                <w:sz w:val="22"/>
                <w:szCs w:val="22"/>
                <w:highlight w:val="none"/>
              </w:rPr>
            </w:pPr>
            <w:r>
              <w:rPr>
                <w:rFonts w:hint="eastAsia" w:ascii="宋体" w:hAnsi="宋体" w:eastAsia="宋体" w:cs="宋体"/>
                <w:bCs/>
                <w:color w:val="auto"/>
                <w:spacing w:val="-6"/>
                <w:sz w:val="22"/>
                <w:szCs w:val="22"/>
                <w:highlight w:val="none"/>
                <w:lang w:eastAsia="zh-CN"/>
              </w:rPr>
              <w:t>项目</w:t>
            </w:r>
            <w:r>
              <w:rPr>
                <w:rFonts w:hint="eastAsia" w:ascii="宋体" w:hAnsi="宋体" w:eastAsia="宋体" w:cs="宋体"/>
                <w:bCs/>
                <w:color w:val="auto"/>
                <w:spacing w:val="-6"/>
                <w:sz w:val="22"/>
                <w:szCs w:val="22"/>
                <w:highlight w:val="none"/>
              </w:rPr>
              <w:t>名称</w:t>
            </w:r>
          </w:p>
        </w:tc>
        <w:tc>
          <w:tcPr>
            <w:tcW w:w="1267" w:type="dxa"/>
            <w:noWrap w:val="0"/>
            <w:vAlign w:val="center"/>
          </w:tcPr>
          <w:p>
            <w:pPr>
              <w:keepNext w:val="0"/>
              <w:keepLines w:val="0"/>
              <w:pageBreakBefore w:val="0"/>
              <w:widowControl w:val="0"/>
              <w:kinsoku/>
              <w:wordWrap/>
              <w:overflowPunct/>
              <w:topLinePunct w:val="0"/>
              <w:bidi w:val="0"/>
              <w:adjustRightInd/>
              <w:spacing w:line="360" w:lineRule="exact"/>
              <w:jc w:val="center"/>
              <w:textAlignment w:val="auto"/>
              <w:rPr>
                <w:rFonts w:hint="eastAsia" w:ascii="宋体" w:hAnsi="宋体" w:eastAsia="宋体" w:cs="宋体"/>
                <w:color w:val="auto"/>
                <w:spacing w:val="-6"/>
                <w:kern w:val="2"/>
                <w:sz w:val="22"/>
                <w:szCs w:val="22"/>
                <w:highlight w:val="none"/>
                <w:lang w:val="zh-CN" w:eastAsia="zh-CN" w:bidi="ar-SA"/>
              </w:rPr>
            </w:pPr>
            <w:r>
              <w:rPr>
                <w:rFonts w:hint="eastAsia" w:ascii="宋体" w:hAnsi="宋体" w:eastAsia="宋体" w:cs="宋体"/>
                <w:color w:val="auto"/>
                <w:sz w:val="22"/>
                <w:szCs w:val="22"/>
                <w:highlight w:val="none"/>
                <w:lang w:val="en-US" w:eastAsia="zh-CN"/>
              </w:rPr>
              <w:t>服务期</w:t>
            </w:r>
          </w:p>
        </w:tc>
        <w:tc>
          <w:tcPr>
            <w:tcW w:w="1074" w:type="dxa"/>
            <w:noWrap w:val="0"/>
            <w:vAlign w:val="center"/>
          </w:tcPr>
          <w:p>
            <w:pPr>
              <w:keepNext w:val="0"/>
              <w:keepLines w:val="0"/>
              <w:pageBreakBefore w:val="0"/>
              <w:widowControl w:val="0"/>
              <w:tabs>
                <w:tab w:val="center" w:pos="4320"/>
              </w:tabs>
              <w:kinsoku/>
              <w:wordWrap/>
              <w:overflowPunct/>
              <w:topLinePunct w:val="0"/>
              <w:autoSpaceDE w:val="0"/>
              <w:autoSpaceDN w:val="0"/>
              <w:bidi w:val="0"/>
              <w:adjustRightInd/>
              <w:snapToGrid/>
              <w:spacing w:line="360" w:lineRule="exact"/>
              <w:jc w:val="center"/>
              <w:textAlignment w:val="auto"/>
              <w:rPr>
                <w:rFonts w:hint="eastAsia" w:ascii="宋体" w:hAnsi="宋体" w:eastAsia="宋体" w:cs="宋体"/>
                <w:bCs/>
                <w:color w:val="auto"/>
                <w:kern w:val="2"/>
                <w:sz w:val="22"/>
                <w:szCs w:val="22"/>
                <w:highlight w:val="none"/>
                <w:lang w:val="zh-CN" w:eastAsia="zh-CN" w:bidi="ar-SA"/>
              </w:rPr>
            </w:pPr>
            <w:r>
              <w:rPr>
                <w:rFonts w:hint="eastAsia" w:ascii="宋体" w:hAnsi="宋体" w:eastAsia="宋体" w:cs="宋体"/>
                <w:bCs/>
                <w:color w:val="auto"/>
                <w:sz w:val="22"/>
                <w:szCs w:val="22"/>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09" w:type="dxa"/>
            <w:shd w:val="clear" w:color="auto" w:fill="auto"/>
            <w:noWrap w:val="0"/>
            <w:vAlign w:val="center"/>
          </w:tcPr>
          <w:p>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bCs/>
                <w:color w:val="auto"/>
                <w:spacing w:val="-6"/>
                <w:sz w:val="22"/>
                <w:szCs w:val="22"/>
                <w:highlight w:val="none"/>
              </w:rPr>
            </w:pPr>
            <w:r>
              <w:rPr>
                <w:rFonts w:hint="eastAsia" w:ascii="宋体" w:hAnsi="宋体" w:eastAsia="宋体" w:cs="宋体"/>
                <w:bCs/>
                <w:color w:val="auto"/>
                <w:spacing w:val="-6"/>
                <w:sz w:val="22"/>
                <w:szCs w:val="22"/>
                <w:highlight w:val="none"/>
              </w:rPr>
              <w:t>1</w:t>
            </w:r>
          </w:p>
        </w:tc>
        <w:tc>
          <w:tcPr>
            <w:tcW w:w="5749" w:type="dxa"/>
            <w:shd w:val="clear" w:color="auto" w:fill="auto"/>
            <w:noWrap w:val="0"/>
            <w:vAlign w:val="center"/>
          </w:tcPr>
          <w:p>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bCs/>
                <w:color w:val="auto"/>
                <w:spacing w:val="-6"/>
                <w:sz w:val="22"/>
                <w:szCs w:val="22"/>
                <w:highlight w:val="none"/>
                <w:lang w:eastAsia="zh-CN"/>
              </w:rPr>
            </w:pPr>
            <w:r>
              <w:rPr>
                <w:rFonts w:hint="eastAsia" w:ascii="宋体" w:hAnsi="宋体" w:eastAsia="宋体" w:cs="宋体"/>
                <w:bCs/>
                <w:color w:val="auto"/>
                <w:spacing w:val="-6"/>
                <w:sz w:val="22"/>
                <w:szCs w:val="22"/>
                <w:highlight w:val="none"/>
                <w:lang w:eastAsia="zh-CN"/>
              </w:rPr>
              <w:t>温州技师学院消防设施设备维保服务项目</w:t>
            </w:r>
          </w:p>
        </w:tc>
        <w:tc>
          <w:tcPr>
            <w:tcW w:w="1267" w:type="dxa"/>
            <w:shd w:val="clear" w:color="auto" w:fill="auto"/>
            <w:noWrap w:val="0"/>
            <w:vAlign w:val="center"/>
          </w:tcPr>
          <w:p>
            <w:pPr>
              <w:keepNext w:val="0"/>
              <w:keepLines w:val="0"/>
              <w:pageBreakBefore w:val="0"/>
              <w:widowControl w:val="0"/>
              <w:kinsoku/>
              <w:wordWrap/>
              <w:overflowPunct/>
              <w:topLinePunct w:val="0"/>
              <w:bidi w:val="0"/>
              <w:adjustRightInd/>
              <w:spacing w:line="360" w:lineRule="exact"/>
              <w:jc w:val="center"/>
              <w:textAlignment w:val="auto"/>
              <w:rPr>
                <w:rFonts w:hint="eastAsia" w:ascii="宋体" w:hAnsi="宋体" w:eastAsia="宋体" w:cs="宋体"/>
                <w:color w:val="auto"/>
                <w:spacing w:val="-6"/>
                <w:kern w:val="2"/>
                <w:sz w:val="22"/>
                <w:szCs w:val="22"/>
                <w:highlight w:val="none"/>
                <w:lang w:val="zh-CN" w:eastAsia="zh-CN" w:bidi="ar-SA"/>
              </w:rPr>
            </w:pPr>
            <w:r>
              <w:rPr>
                <w:rFonts w:hint="eastAsia" w:ascii="宋体" w:hAnsi="宋体" w:eastAsia="宋体" w:cs="宋体"/>
                <w:color w:val="auto"/>
                <w:sz w:val="22"/>
                <w:szCs w:val="22"/>
                <w:highlight w:val="none"/>
                <w:lang w:val="en-US" w:eastAsia="zh-CN"/>
              </w:rPr>
              <w:t>1年</w:t>
            </w:r>
          </w:p>
        </w:tc>
        <w:tc>
          <w:tcPr>
            <w:tcW w:w="1074" w:type="dxa"/>
            <w:shd w:val="clear" w:color="FDFAF5" w:fill="auto"/>
            <w:noWrap w:val="0"/>
            <w:vAlign w:val="center"/>
          </w:tcPr>
          <w:p>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bCs/>
                <w:color w:val="auto"/>
                <w:kern w:val="2"/>
                <w:sz w:val="22"/>
                <w:szCs w:val="22"/>
                <w:highlight w:val="none"/>
                <w:lang w:val="en-US" w:eastAsia="zh-CN" w:bidi="ar-SA"/>
              </w:rPr>
            </w:pPr>
          </w:p>
        </w:tc>
      </w:tr>
    </w:tbl>
    <w:p>
      <w:pPr>
        <w:keepNext w:val="0"/>
        <w:keepLines w:val="0"/>
        <w:pageBreakBefore w:val="0"/>
        <w:widowControl w:val="0"/>
        <w:kinsoku/>
        <w:wordWrap/>
        <w:overflowPunct/>
        <w:topLinePunct w:val="0"/>
        <w:bidi w:val="0"/>
        <w:adjustRightInd/>
        <w:spacing w:line="360" w:lineRule="exact"/>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二、采购资金的支付方式、条件等：</w:t>
      </w:r>
    </w:p>
    <w:tbl>
      <w:tblPr>
        <w:tblStyle w:val="6"/>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98"/>
        <w:gridCol w:w="831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3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pacing w:line="360" w:lineRule="exact"/>
              <w:jc w:val="center"/>
              <w:textAlignment w:val="auto"/>
              <w:rPr>
                <w:rFonts w:hint="eastAsia" w:ascii="宋体" w:hAnsi="宋体" w:eastAsia="宋体" w:cs="宋体"/>
                <w:b/>
                <w:bCs/>
                <w:color w:val="auto"/>
                <w:kern w:val="2"/>
                <w:sz w:val="22"/>
                <w:szCs w:val="22"/>
                <w:highlight w:val="none"/>
                <w:lang w:val="en-US" w:eastAsia="zh-CN" w:bidi="ar-SA"/>
              </w:rPr>
            </w:pPr>
            <w:r>
              <w:rPr>
                <w:rFonts w:hint="eastAsia" w:ascii="宋体" w:hAnsi="宋体" w:eastAsia="宋体" w:cs="宋体"/>
                <w:b/>
                <w:bCs/>
                <w:color w:val="auto"/>
                <w:kern w:val="2"/>
                <w:sz w:val="22"/>
                <w:szCs w:val="22"/>
                <w:highlight w:val="none"/>
                <w:lang w:val="en-US" w:eastAsia="zh-CN" w:bidi="ar-SA"/>
              </w:rPr>
              <w:t>付款方式</w:t>
            </w:r>
          </w:p>
        </w:tc>
        <w:tc>
          <w:tcPr>
            <w:tcW w:w="83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pacing w:line="360" w:lineRule="exact"/>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u w:val="single"/>
                <w:lang w:val="en-US" w:eastAsia="zh-CN" w:bidi="ar-SA"/>
              </w:rPr>
              <w:t>▲每半年支付一次。具体支付安排如下：2025年9月30日前支付合同金额的50%，2026年3月31日前支付剩余合同金额。采购人在收到成交供应商开具的符合要求的普通发票后7个工作日内完成付款。</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3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pacing w:line="360" w:lineRule="exact"/>
              <w:jc w:val="center"/>
              <w:textAlignment w:val="auto"/>
              <w:rPr>
                <w:rFonts w:hint="eastAsia" w:ascii="宋体" w:hAnsi="宋体" w:eastAsia="宋体" w:cs="宋体"/>
                <w:b/>
                <w:bCs/>
                <w:color w:val="auto"/>
                <w:kern w:val="2"/>
                <w:sz w:val="22"/>
                <w:szCs w:val="22"/>
                <w:highlight w:val="none"/>
                <w:lang w:val="en-US" w:eastAsia="zh-CN" w:bidi="ar-SA"/>
              </w:rPr>
            </w:pPr>
            <w:r>
              <w:rPr>
                <w:rFonts w:hint="eastAsia" w:ascii="宋体" w:hAnsi="宋体" w:eastAsia="宋体" w:cs="宋体"/>
                <w:b/>
                <w:bCs/>
                <w:color w:val="auto"/>
                <w:kern w:val="2"/>
                <w:sz w:val="22"/>
                <w:szCs w:val="22"/>
                <w:highlight w:val="none"/>
                <w:lang w:val="en-US" w:eastAsia="zh-CN" w:bidi="ar-SA"/>
              </w:rPr>
              <w:t>服务期</w:t>
            </w:r>
          </w:p>
        </w:tc>
        <w:tc>
          <w:tcPr>
            <w:tcW w:w="83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pacing w:line="360" w:lineRule="exact"/>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u w:val="single"/>
                <w:lang w:val="en-US" w:eastAsia="zh-CN" w:bidi="ar-SA"/>
              </w:rPr>
              <w:t>▲1年(具体以合同签订时间为准)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3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pacing w:line="360" w:lineRule="exact"/>
              <w:jc w:val="center"/>
              <w:textAlignment w:val="auto"/>
              <w:rPr>
                <w:rFonts w:hint="default" w:ascii="宋体" w:hAnsi="宋体" w:eastAsia="宋体" w:cs="宋体"/>
                <w:b/>
                <w:bCs/>
                <w:color w:val="auto"/>
                <w:kern w:val="2"/>
                <w:sz w:val="22"/>
                <w:szCs w:val="22"/>
                <w:highlight w:val="none"/>
                <w:lang w:val="en-US" w:eastAsia="zh-CN" w:bidi="ar-SA"/>
              </w:rPr>
            </w:pPr>
            <w:r>
              <w:rPr>
                <w:rFonts w:hint="eastAsia" w:ascii="宋体" w:hAnsi="宋体" w:eastAsia="宋体" w:cs="宋体"/>
                <w:b/>
                <w:bCs/>
                <w:color w:val="auto"/>
                <w:kern w:val="2"/>
                <w:sz w:val="22"/>
                <w:szCs w:val="22"/>
                <w:highlight w:val="none"/>
                <w:lang w:val="en-US" w:eastAsia="zh-CN" w:bidi="ar-SA"/>
              </w:rPr>
              <w:t>服务地点</w:t>
            </w:r>
          </w:p>
        </w:tc>
        <w:tc>
          <w:tcPr>
            <w:tcW w:w="83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pacing w:line="360" w:lineRule="exact"/>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采购人指定地点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3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pacing w:line="360" w:lineRule="exact"/>
              <w:jc w:val="center"/>
              <w:textAlignment w:val="auto"/>
              <w:rPr>
                <w:rFonts w:hint="eastAsia" w:ascii="宋体" w:hAnsi="宋体" w:eastAsia="宋体" w:cs="宋体"/>
                <w:b/>
                <w:bCs/>
                <w:color w:val="auto"/>
                <w:kern w:val="2"/>
                <w:sz w:val="22"/>
                <w:szCs w:val="22"/>
                <w:highlight w:val="none"/>
                <w:lang w:val="en-US" w:eastAsia="zh-CN" w:bidi="ar-SA"/>
              </w:rPr>
            </w:pPr>
            <w:r>
              <w:rPr>
                <w:rFonts w:hint="eastAsia" w:ascii="宋体" w:hAnsi="宋体" w:eastAsia="宋体" w:cs="宋体"/>
                <w:b/>
                <w:bCs/>
                <w:color w:val="auto"/>
                <w:kern w:val="2"/>
                <w:sz w:val="22"/>
                <w:szCs w:val="22"/>
                <w:highlight w:val="none"/>
                <w:lang w:val="en-US" w:eastAsia="zh-CN" w:bidi="ar-SA"/>
              </w:rPr>
              <w:t>履约保证金</w:t>
            </w:r>
          </w:p>
        </w:tc>
        <w:tc>
          <w:tcPr>
            <w:tcW w:w="83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pacing w:line="360" w:lineRule="exact"/>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39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cs="宋体"/>
                <w:b/>
                <w:color w:val="auto"/>
                <w:spacing w:val="-6"/>
                <w:kern w:val="2"/>
                <w:sz w:val="22"/>
                <w:szCs w:val="22"/>
                <w:highlight w:val="none"/>
                <w:lang w:val="en-US" w:eastAsia="zh-CN" w:bidi="ar-SA"/>
              </w:rPr>
            </w:pPr>
            <w:r>
              <w:rPr>
                <w:rFonts w:hint="eastAsia" w:ascii="宋体" w:hAnsi="宋体" w:cs="宋体"/>
                <w:b/>
                <w:color w:val="auto"/>
                <w:spacing w:val="-6"/>
                <w:sz w:val="22"/>
                <w:szCs w:val="22"/>
                <w:highlight w:val="none"/>
              </w:rPr>
              <w:t>验收要求</w:t>
            </w:r>
          </w:p>
        </w:tc>
        <w:tc>
          <w:tcPr>
            <w:tcW w:w="8313"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宋体"/>
                <w:color w:val="auto"/>
                <w:kern w:val="2"/>
                <w:sz w:val="22"/>
                <w:szCs w:val="22"/>
                <w:highlight w:val="none"/>
                <w:lang w:val="en-US" w:eastAsia="zh-CN" w:bidi="ar-SA"/>
              </w:rPr>
            </w:pPr>
            <w:r>
              <w:rPr>
                <w:rFonts w:hint="eastAsia" w:ascii="宋体" w:hAnsi="宋体" w:cs="宋体"/>
                <w:color w:val="auto"/>
                <w:sz w:val="22"/>
                <w:szCs w:val="22"/>
                <w:highlight w:val="none"/>
              </w:rPr>
              <w:t>履约验收参照《温州市政府采购履约验收办法》(温财采[2020]6号)相关规定。合同履约达到验收条件时，成交供应商向采购人书面发起验收申请，采购人或者其委托的采购代理机构在收到成交供应商验收申请五个工作日内启动项目验收。按照采购合同、响应文件、</w:t>
            </w:r>
            <w:r>
              <w:rPr>
                <w:rFonts w:hint="eastAsia" w:ascii="宋体" w:hAnsi="宋体" w:cs="宋体"/>
                <w:color w:val="auto"/>
                <w:sz w:val="22"/>
                <w:szCs w:val="22"/>
                <w:highlight w:val="none"/>
                <w:lang w:eastAsia="zh-CN"/>
              </w:rPr>
              <w:t>询价采购文件</w:t>
            </w:r>
            <w:r>
              <w:rPr>
                <w:rFonts w:hint="eastAsia" w:ascii="宋体" w:hAnsi="宋体" w:cs="宋体"/>
                <w:color w:val="auto"/>
                <w:sz w:val="22"/>
                <w:szCs w:val="22"/>
                <w:highlight w:val="none"/>
              </w:rPr>
              <w:t>等约定的质量、数量、技术指标或者服务要求设验收指标及其标准。未约定的，应当符合国家强制性规定、政策要求、安全标准、行业或企业有关标准等。</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3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pacing w:line="360" w:lineRule="exact"/>
              <w:jc w:val="center"/>
              <w:textAlignment w:val="auto"/>
              <w:rPr>
                <w:rFonts w:hint="default" w:ascii="宋体" w:hAnsi="宋体" w:eastAsia="宋体" w:cs="宋体"/>
                <w:b/>
                <w:bCs/>
                <w:color w:val="auto"/>
                <w:kern w:val="2"/>
                <w:sz w:val="22"/>
                <w:szCs w:val="22"/>
                <w:highlight w:val="none"/>
                <w:u w:val="none"/>
                <w:lang w:val="en-US" w:eastAsia="zh-CN" w:bidi="ar-SA"/>
              </w:rPr>
            </w:pPr>
            <w:r>
              <w:rPr>
                <w:rFonts w:hint="eastAsia" w:ascii="宋体" w:hAnsi="宋体" w:eastAsia="宋体" w:cs="宋体"/>
                <w:b/>
                <w:bCs/>
                <w:color w:val="auto"/>
                <w:kern w:val="2"/>
                <w:sz w:val="22"/>
                <w:szCs w:val="22"/>
                <w:highlight w:val="none"/>
                <w:u w:val="none"/>
                <w:lang w:val="en-US" w:eastAsia="zh-CN" w:bidi="ar-SA"/>
              </w:rPr>
              <w:t>报价要求</w:t>
            </w:r>
          </w:p>
        </w:tc>
        <w:tc>
          <w:tcPr>
            <w:tcW w:w="83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pacing w:line="360" w:lineRule="exact"/>
              <w:jc w:val="both"/>
              <w:textAlignment w:val="auto"/>
              <w:rPr>
                <w:rFonts w:hint="eastAsia" w:ascii="宋体" w:hAnsi="宋体" w:eastAsia="宋体" w:cs="宋体"/>
                <w:b w:val="0"/>
                <w:bCs w:val="0"/>
                <w:color w:val="auto"/>
                <w:kern w:val="2"/>
                <w:sz w:val="22"/>
                <w:szCs w:val="22"/>
                <w:highlight w:val="none"/>
                <w:u w:val="none"/>
                <w:lang w:val="en-US" w:eastAsia="zh-CN" w:bidi="ar-SA"/>
              </w:rPr>
            </w:pPr>
            <w:r>
              <w:rPr>
                <w:rFonts w:hint="eastAsia" w:ascii="宋体" w:hAnsi="宋体" w:eastAsia="宋体" w:cs="宋体"/>
                <w:b w:val="0"/>
                <w:bCs w:val="0"/>
                <w:color w:val="auto"/>
                <w:kern w:val="2"/>
                <w:sz w:val="22"/>
                <w:szCs w:val="22"/>
                <w:highlight w:val="none"/>
                <w:u w:val="none"/>
                <w:lang w:val="en-US" w:eastAsia="zh-CN" w:bidi="ar-SA"/>
              </w:rPr>
              <w:t>采用总价包干合同形式，即在维保服务期内所载明的所有服务内容、人工费、项目实施费、检修、含税、安装、运输、检验费、成品保护费、验收费（含第三方验收）、清理费、采购代理费等政策性文件规定及合同包含的所有风险、责任等全部费用以及其他可能发生的费用总和，实行固定费用总包干。</w:t>
            </w:r>
          </w:p>
        </w:tc>
      </w:tr>
    </w:tbl>
    <w:p>
      <w:pPr>
        <w:keepNext w:val="0"/>
        <w:keepLines w:val="0"/>
        <w:pageBreakBefore w:val="0"/>
        <w:widowControl w:val="0"/>
        <w:kinsoku/>
        <w:wordWrap/>
        <w:overflowPunct/>
        <w:topLinePunct w:val="0"/>
        <w:bidi w:val="0"/>
        <w:adjustRightInd/>
        <w:spacing w:line="360" w:lineRule="exact"/>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三、技术要求：</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2" w:firstLineChars="200"/>
        <w:textAlignment w:val="auto"/>
        <w:rPr>
          <w:rFonts w:ascii="宋体" w:hAnsi="宋体" w:eastAsia="宋体" w:cs="Times New Roman"/>
          <w:b/>
          <w:color w:val="auto"/>
          <w:sz w:val="22"/>
          <w:szCs w:val="22"/>
          <w:highlight w:val="none"/>
        </w:rPr>
      </w:pPr>
      <w:r>
        <w:rPr>
          <w:rFonts w:hint="eastAsia" w:ascii="宋体" w:hAnsi="宋体" w:eastAsia="宋体" w:cs="Times New Roman"/>
          <w:b/>
          <w:color w:val="auto"/>
          <w:sz w:val="22"/>
          <w:szCs w:val="22"/>
          <w:highlight w:val="none"/>
        </w:rPr>
        <w:t>（一）维保范围及要求</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lang w:val="en-US" w:eastAsia="zh-CN"/>
        </w:rPr>
        <w:t>温州技师学院</w:t>
      </w:r>
      <w:r>
        <w:rPr>
          <w:rFonts w:hint="eastAsia" w:ascii="宋体" w:hAnsi="宋体" w:eastAsia="宋体" w:cs="Times New Roman"/>
          <w:color w:val="auto"/>
          <w:sz w:val="22"/>
          <w:szCs w:val="22"/>
          <w:highlight w:val="none"/>
        </w:rPr>
        <w:t>区域内的消防设施设备。</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本消防维保项目共涉及火灾自动报警系统、自动喷淋系统、消火栓系统、自动联动系统、气体灭火系统、防排烟系统、防火分隔系统、火灾事故广播及消防通讯系统、应急照明及疏散指示系统等九个系统。</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1、火灾自动报警系统设备检查及维护</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（1）对主机性能进行检查测试；</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（2）测试现场报警设备（烟感、温感、手动报警按钮、控制模块和监视模块等）功能是否正常；</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（3）具体主要内容：报警故障信号、消音复位、联动按钮指示灯、电源、备用电源、按钮、打印机等工作是否正常。</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2、自动喷水灭火系统设备检查及维护</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楼层的放水阀放水、检查湿式报警阀是否升启、警铃是否会响，水泵是否自动启动，包括水流指示器是否动作、信号是否传到控制中心、压力表是否正常。</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3、消火栓系统设备检查及维护</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检查消火栓箱内的设施是否完整、消火栓是否正常充水、测试手动按钮是否能自动启动、信号是否能自动传到控制中心。</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4、自动联动系统设备检查及维护</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（1）检查水泵运转状况，如异常的升温、振动、噪音和压力。</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（2）主、备泵自动切换：</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被控设备：    正压风机     电梯</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 xml:space="preserve">              正烟风机     警铃</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 xml:space="preserve">              消防泵       喷水泵</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5、气体灭火系统设备检查及维护</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（1）检查气体钢瓶内气体是否有泄漏现象。</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（2）检查气体灭火系统的启动管路是否连接牢固。</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（3）检查气体启动线路是否可靠连接。</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（4）检查气体灭火系统的联动是否正确，防止程序不正确产生灭火气体的误喷放。</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（5）定期作消防控制中心模拟远程启动，检查延时及反馈信号是否符合消防逻辑程序要求。</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（6）检查设备是否由于现场环境的影响（湿度、温度等）造成设备生锈。</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（7）定期给气体钢瓶做防腐除锈、翻新面漆。</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6、防排烟系统设备检查及维护</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（1）定期启动风机，检查运转是否正常，有无机械损伤及噪音产生。</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（2）检查风机控制柜端子有无生锈、接线是否牢靠，定期更换易损部件。</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（3）检查各楼层安装的防火阀及排烟阀有无机械损伤，定期手动开启、关闭、操作机构是否灵活。</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（4）消防控制中心总线模拟远程启动风机、排烟阀、防火阀，反馈信号是否符合消防逻辑程序要求。</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（5）定期给设备做防腐除锈、翻新面漆。</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7、防火分隔系统设备检查及维护</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（1）定期启动防火卷帘门电机、运转是否正常，有无机械损伤及噪音产生。</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（2）定期检查通道上的防火门有无机械损伤、顺位器是否正常工作。</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（3）检查电机控制柜端子有无生锈、接线是否牢靠，定期更换易损部件。</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（4）消防控制中心总线模拟远程启动电机、帘体升降是否平稳，延时及反馈信号是否符合消防逻辑程序要求。</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（5）检查导轨有无机械损伤，定期做好防腐除锈、翻新面漆。</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8、火灾事故广播及紧急通讯系统设备检查及维护</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（1）消防控制中心总线模拟启动功放做定期测试，消防广播是否正常工作，反馈信号是否符合消防逻辑程序要求。</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（2）火灾模拟测试，切换是否正常。</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（3）检查功放是否正常工作。</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（4）定期测试消防电话是否能够按线制接通。</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9、应急照明及疏散指示系统设备检查及维护</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（1）定期作手动试验及断电试验，照明灯具是否正常工作（照度不得低于0.51LX）。</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（2）定期检查接线端子线是否牢靠，定期更换易损部件。</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10、对各被控设备在火警的工作状况进行检查和测试</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以上事项在检查和测试过程中如发现问题应及时进行处理，确保各系统设备始终处于正常状态，并作好维护记录。</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2" w:firstLineChars="200"/>
        <w:textAlignment w:val="auto"/>
        <w:rPr>
          <w:rFonts w:ascii="宋体" w:hAnsi="宋体" w:eastAsia="宋体" w:cs="Times New Roman"/>
          <w:b/>
          <w:color w:val="auto"/>
          <w:sz w:val="22"/>
          <w:szCs w:val="22"/>
          <w:highlight w:val="none"/>
        </w:rPr>
      </w:pPr>
      <w:r>
        <w:rPr>
          <w:rFonts w:hint="eastAsia" w:ascii="宋体" w:hAnsi="宋体" w:eastAsia="宋体" w:cs="Times New Roman"/>
          <w:b/>
          <w:color w:val="auto"/>
          <w:sz w:val="22"/>
          <w:szCs w:val="22"/>
          <w:highlight w:val="none"/>
        </w:rPr>
        <w:t>（二）维保周期与标准</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1、按消防设备有关规范与要求，对消防系统设备进行定期检查、保养和功能测试等。若系统在运行过程中出现误报、故障、失灵等问题，负责维修，所涉的人工、交通、管理等费用支出，均由</w:t>
      </w:r>
      <w:r>
        <w:rPr>
          <w:rFonts w:hint="eastAsia" w:ascii="宋体" w:hAnsi="宋体" w:eastAsia="宋体" w:cs="Times New Roman"/>
          <w:color w:val="auto"/>
          <w:sz w:val="22"/>
          <w:szCs w:val="22"/>
          <w:highlight w:val="none"/>
          <w:lang w:eastAsia="zh-CN"/>
        </w:rPr>
        <w:t>成交供应商</w:t>
      </w:r>
      <w:r>
        <w:rPr>
          <w:rFonts w:hint="eastAsia" w:ascii="宋体" w:hAnsi="宋体" w:eastAsia="宋体" w:cs="Times New Roman"/>
          <w:color w:val="auto"/>
          <w:sz w:val="22"/>
          <w:szCs w:val="22"/>
          <w:highlight w:val="none"/>
        </w:rPr>
        <w:t>承担。但在维修过程中需要更换的设备、材料由采购人提供；经采购人要求需要</w:t>
      </w:r>
      <w:r>
        <w:rPr>
          <w:rFonts w:hint="eastAsia" w:ascii="宋体" w:hAnsi="宋体" w:eastAsia="宋体" w:cs="Times New Roman"/>
          <w:color w:val="auto"/>
          <w:sz w:val="22"/>
          <w:szCs w:val="22"/>
          <w:highlight w:val="none"/>
          <w:lang w:eastAsia="zh-CN"/>
        </w:rPr>
        <w:t>成交供应商</w:t>
      </w:r>
      <w:r>
        <w:rPr>
          <w:rFonts w:hint="eastAsia" w:ascii="宋体" w:hAnsi="宋体" w:eastAsia="宋体" w:cs="Times New Roman"/>
          <w:color w:val="auto"/>
          <w:sz w:val="22"/>
          <w:szCs w:val="22"/>
          <w:highlight w:val="none"/>
        </w:rPr>
        <w:t>代购的设备、材料由</w:t>
      </w:r>
      <w:r>
        <w:rPr>
          <w:rFonts w:hint="eastAsia" w:ascii="宋体" w:hAnsi="宋体" w:eastAsia="宋体" w:cs="Times New Roman"/>
          <w:color w:val="auto"/>
          <w:sz w:val="22"/>
          <w:szCs w:val="22"/>
          <w:highlight w:val="none"/>
          <w:lang w:eastAsia="zh-CN"/>
        </w:rPr>
        <w:t>成交供应商</w:t>
      </w:r>
      <w:r>
        <w:rPr>
          <w:rFonts w:hint="eastAsia" w:ascii="宋体" w:hAnsi="宋体" w:eastAsia="宋体" w:cs="Times New Roman"/>
          <w:color w:val="auto"/>
          <w:sz w:val="22"/>
          <w:szCs w:val="22"/>
          <w:highlight w:val="none"/>
        </w:rPr>
        <w:t>代购到位后尽快修复；若发生其他设备、材料，</w:t>
      </w:r>
      <w:r>
        <w:rPr>
          <w:rFonts w:hint="eastAsia" w:ascii="宋体" w:hAnsi="宋体" w:eastAsia="宋体" w:cs="Times New Roman"/>
          <w:color w:val="auto"/>
          <w:sz w:val="22"/>
          <w:szCs w:val="22"/>
          <w:highlight w:val="none"/>
          <w:lang w:eastAsia="zh-CN"/>
        </w:rPr>
        <w:t>成交供应商</w:t>
      </w:r>
      <w:r>
        <w:rPr>
          <w:rFonts w:hint="eastAsia" w:ascii="宋体" w:hAnsi="宋体" w:eastAsia="宋体" w:cs="Times New Roman"/>
          <w:color w:val="auto"/>
          <w:sz w:val="22"/>
          <w:szCs w:val="22"/>
          <w:highlight w:val="none"/>
        </w:rPr>
        <w:t>应根据实际情况向采购人申报。</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2、每</w:t>
      </w:r>
      <w:r>
        <w:rPr>
          <w:rFonts w:hint="eastAsia" w:ascii="宋体" w:hAnsi="宋体" w:eastAsia="宋体" w:cs="Times New Roman"/>
          <w:color w:val="auto"/>
          <w:sz w:val="22"/>
          <w:szCs w:val="22"/>
          <w:highlight w:val="none"/>
          <w:lang w:val="en-US" w:eastAsia="zh-CN"/>
        </w:rPr>
        <w:t>月</w:t>
      </w:r>
      <w:r>
        <w:rPr>
          <w:rFonts w:hint="eastAsia" w:ascii="宋体" w:hAnsi="宋体" w:eastAsia="宋体" w:cs="Times New Roman"/>
          <w:color w:val="auto"/>
          <w:sz w:val="22"/>
          <w:szCs w:val="22"/>
          <w:highlight w:val="none"/>
        </w:rPr>
        <w:t>对消防系统进行一次系统是否完好的检查，每月出具检查记录报告。</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3、对承担的维保设备，每月进行一次功能测试；消防水泵每月进行一次点动；气体灭火系统每年进行一次起动。同时要求保持系统正常运行，做好所有设备的表面清洁。</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4、若遇改造、更新、装修、不可抗力等因素对本维保系统造成损坏等情况，需对本维保系统进行的较大规模改装、重新安装、调试等，不属本项目内容。如有涉及，采购人要求</w:t>
      </w:r>
      <w:r>
        <w:rPr>
          <w:rFonts w:hint="eastAsia" w:ascii="宋体" w:hAnsi="宋体" w:eastAsia="宋体" w:cs="Times New Roman"/>
          <w:color w:val="auto"/>
          <w:sz w:val="22"/>
          <w:szCs w:val="22"/>
          <w:highlight w:val="none"/>
          <w:lang w:eastAsia="zh-CN"/>
        </w:rPr>
        <w:t>成交供应商</w:t>
      </w:r>
      <w:r>
        <w:rPr>
          <w:rFonts w:hint="eastAsia" w:ascii="宋体" w:hAnsi="宋体" w:eastAsia="宋体" w:cs="Times New Roman"/>
          <w:color w:val="auto"/>
          <w:sz w:val="22"/>
          <w:szCs w:val="22"/>
          <w:highlight w:val="none"/>
        </w:rPr>
        <w:t>进行安装、施工的，有信息的按信息价结算，没有信息价的在采购人确认后，按市场价结算。</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5、在定期检查中，如有故障，应立即予以维修或更换。每次设备维修结束，应由采购人和</w:t>
      </w:r>
      <w:r>
        <w:rPr>
          <w:rFonts w:hint="eastAsia" w:ascii="宋体" w:hAnsi="宋体" w:eastAsia="宋体" w:cs="Times New Roman"/>
          <w:color w:val="auto"/>
          <w:sz w:val="22"/>
          <w:szCs w:val="22"/>
          <w:highlight w:val="none"/>
          <w:lang w:eastAsia="zh-CN"/>
        </w:rPr>
        <w:t>成交供应商</w:t>
      </w:r>
      <w:r>
        <w:rPr>
          <w:rFonts w:hint="eastAsia" w:ascii="宋体" w:hAnsi="宋体" w:eastAsia="宋体" w:cs="Times New Roman"/>
          <w:color w:val="auto"/>
          <w:sz w:val="22"/>
          <w:szCs w:val="22"/>
          <w:highlight w:val="none"/>
        </w:rPr>
        <w:t>分别派员共同进行验收，必要时也可委托消防管理部门和消防测试单位进行验收和测试，但该委托验收和测试费用由</w:t>
      </w:r>
      <w:r>
        <w:rPr>
          <w:rFonts w:hint="eastAsia" w:ascii="宋体" w:hAnsi="宋体" w:eastAsia="宋体" w:cs="Times New Roman"/>
          <w:color w:val="auto"/>
          <w:sz w:val="22"/>
          <w:szCs w:val="22"/>
          <w:highlight w:val="none"/>
          <w:lang w:eastAsia="zh-CN"/>
        </w:rPr>
        <w:t>成交供应商</w:t>
      </w:r>
      <w:r>
        <w:rPr>
          <w:rFonts w:hint="eastAsia" w:ascii="宋体" w:hAnsi="宋体" w:eastAsia="宋体" w:cs="Times New Roman"/>
          <w:color w:val="auto"/>
          <w:sz w:val="22"/>
          <w:szCs w:val="22"/>
          <w:highlight w:val="none"/>
        </w:rPr>
        <w:t>承担。</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6、</w:t>
      </w:r>
      <w:r>
        <w:rPr>
          <w:rFonts w:hint="eastAsia" w:ascii="宋体" w:hAnsi="宋体" w:eastAsia="宋体" w:cs="Times New Roman"/>
          <w:color w:val="auto"/>
          <w:sz w:val="22"/>
          <w:szCs w:val="22"/>
          <w:highlight w:val="none"/>
          <w:lang w:eastAsia="zh-CN"/>
        </w:rPr>
        <w:t>成交供应商</w:t>
      </w:r>
      <w:r>
        <w:rPr>
          <w:rFonts w:hint="eastAsia" w:ascii="宋体" w:hAnsi="宋体" w:eastAsia="宋体" w:cs="Times New Roman"/>
          <w:color w:val="auto"/>
          <w:sz w:val="22"/>
          <w:szCs w:val="22"/>
          <w:highlight w:val="none"/>
        </w:rPr>
        <w:t>对每次设备维修，应有维修记录，完成维修后应迅速向采购人提交维修报告</w:t>
      </w:r>
      <w:r>
        <w:rPr>
          <w:rFonts w:hint="eastAsia" w:ascii="宋体" w:hAnsi="宋体" w:eastAsia="宋体" w:cs="Times New Roman"/>
          <w:color w:val="auto"/>
          <w:sz w:val="22"/>
          <w:szCs w:val="22"/>
          <w:highlight w:val="none"/>
          <w:lang w:val="en-US" w:eastAsia="zh-CN"/>
        </w:rPr>
        <w:t>单</w:t>
      </w:r>
      <w:r>
        <w:rPr>
          <w:rFonts w:hint="eastAsia" w:ascii="宋体" w:hAnsi="宋体" w:eastAsia="宋体" w:cs="Times New Roman"/>
          <w:color w:val="auto"/>
          <w:sz w:val="22"/>
          <w:szCs w:val="22"/>
          <w:highlight w:val="none"/>
        </w:rPr>
        <w:t>，并经采购人签署确认，以备存档查证。</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55" w:firstLineChars="25"/>
        <w:textAlignment w:val="auto"/>
        <w:rPr>
          <w:rFonts w:ascii="宋体" w:hAnsi="宋体" w:eastAsia="宋体" w:cs="Times New Roman"/>
          <w:b/>
          <w:color w:val="auto"/>
          <w:sz w:val="22"/>
          <w:szCs w:val="22"/>
          <w:highlight w:val="none"/>
        </w:rPr>
      </w:pPr>
      <w:r>
        <w:rPr>
          <w:rFonts w:hint="eastAsia" w:ascii="宋体" w:hAnsi="宋体" w:eastAsia="宋体" w:cs="Times New Roman"/>
          <w:b/>
          <w:color w:val="auto"/>
          <w:sz w:val="22"/>
          <w:szCs w:val="22"/>
          <w:highlight w:val="none"/>
        </w:rPr>
        <w:t>（三）维保人员与维保协作要求</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1、</w:t>
      </w:r>
      <w:r>
        <w:rPr>
          <w:rFonts w:hint="eastAsia" w:ascii="宋体" w:hAnsi="宋体" w:eastAsia="宋体" w:cs="Times New Roman"/>
          <w:color w:val="auto"/>
          <w:sz w:val="22"/>
          <w:szCs w:val="22"/>
          <w:highlight w:val="none"/>
          <w:lang w:eastAsia="zh-CN"/>
        </w:rPr>
        <w:t>成交供应商</w:t>
      </w:r>
      <w:r>
        <w:rPr>
          <w:rFonts w:hint="eastAsia" w:ascii="宋体" w:hAnsi="宋体" w:eastAsia="宋体" w:cs="Times New Roman"/>
          <w:color w:val="auto"/>
          <w:sz w:val="22"/>
          <w:szCs w:val="22"/>
          <w:highlight w:val="none"/>
        </w:rPr>
        <w:t>的项目负责人应具有工程师职称以上、具备注册消防工程师资格。</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2、</w:t>
      </w:r>
      <w:r>
        <w:rPr>
          <w:rFonts w:hint="eastAsia" w:ascii="宋体" w:hAnsi="宋体" w:eastAsia="宋体" w:cs="Times New Roman"/>
          <w:color w:val="auto"/>
          <w:sz w:val="22"/>
          <w:szCs w:val="22"/>
          <w:highlight w:val="none"/>
          <w:lang w:eastAsia="zh-CN"/>
        </w:rPr>
        <w:t>成交供应商</w:t>
      </w:r>
      <w:r>
        <w:rPr>
          <w:rFonts w:hint="eastAsia" w:ascii="宋体" w:hAnsi="宋体" w:eastAsia="宋体" w:cs="Times New Roman"/>
          <w:color w:val="auto"/>
          <w:sz w:val="22"/>
          <w:szCs w:val="22"/>
          <w:highlight w:val="none"/>
        </w:rPr>
        <w:t>应派技术全面、责任心强、从事消防设备维保专业多年（经主管部门培训合格后取得中级消防员证书的）、具有社会公德和职业道德的维保人员从事本项目维保工作。</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3、</w:t>
      </w:r>
      <w:r>
        <w:rPr>
          <w:rFonts w:hint="eastAsia" w:ascii="宋体" w:hAnsi="宋体" w:eastAsia="宋体" w:cs="Times New Roman"/>
          <w:color w:val="auto"/>
          <w:sz w:val="22"/>
          <w:szCs w:val="22"/>
          <w:highlight w:val="none"/>
          <w:lang w:eastAsia="zh-CN"/>
        </w:rPr>
        <w:t>成交供应商</w:t>
      </w:r>
      <w:r>
        <w:rPr>
          <w:rFonts w:hint="eastAsia" w:ascii="宋体" w:hAnsi="宋体" w:eastAsia="宋体" w:cs="Times New Roman"/>
          <w:color w:val="auto"/>
          <w:sz w:val="22"/>
          <w:szCs w:val="22"/>
          <w:highlight w:val="none"/>
        </w:rPr>
        <w:t>应确保有</w:t>
      </w:r>
      <w:r>
        <w:rPr>
          <w:rFonts w:hint="eastAsia" w:ascii="宋体" w:hAnsi="宋体" w:eastAsia="宋体" w:cs="Times New Roman"/>
          <w:color w:val="auto"/>
          <w:sz w:val="22"/>
          <w:szCs w:val="22"/>
          <w:highlight w:val="none"/>
          <w:lang w:val="en-US" w:eastAsia="zh-CN"/>
        </w:rPr>
        <w:t>2</w:t>
      </w:r>
      <w:r>
        <w:rPr>
          <w:rFonts w:hint="eastAsia" w:ascii="宋体" w:hAnsi="宋体" w:eastAsia="宋体" w:cs="Times New Roman"/>
          <w:color w:val="auto"/>
          <w:sz w:val="22"/>
          <w:szCs w:val="22"/>
          <w:highlight w:val="none"/>
        </w:rPr>
        <w:t>名维保人员</w:t>
      </w:r>
      <w:r>
        <w:rPr>
          <w:rFonts w:hint="eastAsia" w:ascii="宋体" w:hAnsi="宋体" w:eastAsia="宋体" w:cs="Times New Roman"/>
          <w:color w:val="auto"/>
          <w:sz w:val="22"/>
          <w:szCs w:val="22"/>
          <w:highlight w:val="none"/>
          <w:lang w:val="en-US" w:eastAsia="zh-CN"/>
        </w:rPr>
        <w:t>进行维保</w:t>
      </w:r>
      <w:r>
        <w:rPr>
          <w:rFonts w:hint="eastAsia" w:ascii="宋体" w:hAnsi="宋体" w:eastAsia="宋体" w:cs="Times New Roman"/>
          <w:color w:val="auto"/>
          <w:sz w:val="22"/>
          <w:szCs w:val="22"/>
          <w:highlight w:val="none"/>
        </w:rPr>
        <w:t>并做好巡检记录。</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4、在维修、调试、检测等过程中，采购人应派相关人员配合</w:t>
      </w:r>
      <w:r>
        <w:rPr>
          <w:rFonts w:hint="eastAsia" w:ascii="宋体" w:hAnsi="宋体" w:eastAsia="宋体" w:cs="Times New Roman"/>
          <w:color w:val="auto"/>
          <w:sz w:val="22"/>
          <w:szCs w:val="22"/>
          <w:highlight w:val="none"/>
          <w:lang w:eastAsia="zh-CN"/>
        </w:rPr>
        <w:t>成交供应商</w:t>
      </w:r>
      <w:r>
        <w:rPr>
          <w:rFonts w:hint="eastAsia" w:ascii="宋体" w:hAnsi="宋体" w:eastAsia="宋体" w:cs="Times New Roman"/>
          <w:color w:val="auto"/>
          <w:sz w:val="22"/>
          <w:szCs w:val="22"/>
          <w:highlight w:val="none"/>
        </w:rPr>
        <w:t>工作。</w:t>
      </w:r>
      <w:r>
        <w:rPr>
          <w:rFonts w:hint="eastAsia" w:ascii="宋体" w:hAnsi="宋体" w:eastAsia="宋体" w:cs="Times New Roman"/>
          <w:color w:val="auto"/>
          <w:sz w:val="22"/>
          <w:szCs w:val="22"/>
          <w:highlight w:val="none"/>
          <w:lang w:eastAsia="zh-CN"/>
        </w:rPr>
        <w:t>成交供应商</w:t>
      </w:r>
      <w:r>
        <w:rPr>
          <w:rFonts w:hint="eastAsia" w:ascii="宋体" w:hAnsi="宋体" w:eastAsia="宋体" w:cs="Times New Roman"/>
          <w:color w:val="auto"/>
          <w:sz w:val="22"/>
          <w:szCs w:val="22"/>
          <w:highlight w:val="none"/>
        </w:rPr>
        <w:t>派出的维保人员在工作时遵守采购人的各项规章制度，做到服装整洁、标志显明、安全文明、工完场清。</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hint="eastAsia" w:ascii="宋体" w:hAnsi="宋体" w:eastAsia="宋体" w:cs="Times New Roman"/>
          <w:color w:val="auto"/>
          <w:sz w:val="22"/>
          <w:szCs w:val="22"/>
          <w:highlight w:val="none"/>
          <w:lang w:eastAsia="zh-CN"/>
        </w:rPr>
      </w:pPr>
      <w:r>
        <w:rPr>
          <w:rFonts w:hint="eastAsia" w:ascii="宋体" w:hAnsi="宋体" w:eastAsia="宋体" w:cs="Times New Roman"/>
          <w:color w:val="auto"/>
          <w:sz w:val="22"/>
          <w:szCs w:val="22"/>
          <w:highlight w:val="none"/>
        </w:rPr>
        <w:t>5、</w:t>
      </w:r>
      <w:r>
        <w:rPr>
          <w:rFonts w:hint="eastAsia" w:ascii="宋体" w:hAnsi="宋体" w:eastAsia="宋体" w:cs="Times New Roman"/>
          <w:color w:val="auto"/>
          <w:sz w:val="22"/>
          <w:szCs w:val="22"/>
          <w:highlight w:val="none"/>
          <w:lang w:eastAsia="zh-CN"/>
        </w:rPr>
        <w:t>成交供应商</w:t>
      </w:r>
      <w:r>
        <w:rPr>
          <w:rFonts w:hint="eastAsia" w:ascii="宋体" w:hAnsi="宋体" w:eastAsia="宋体" w:cs="Times New Roman"/>
          <w:color w:val="auto"/>
          <w:sz w:val="22"/>
          <w:szCs w:val="22"/>
          <w:highlight w:val="none"/>
        </w:rPr>
        <w:t>应免费提供全天候24小时紧急服务，无论是工作时间还是非工作时间均应确保随叫随到</w:t>
      </w:r>
      <w:r>
        <w:rPr>
          <w:rFonts w:hint="eastAsia" w:ascii="宋体" w:hAnsi="宋体" w:eastAsia="宋体" w:cs="Times New Roman"/>
          <w:color w:val="auto"/>
          <w:sz w:val="22"/>
          <w:szCs w:val="22"/>
          <w:highlight w:val="none"/>
          <w:lang w:eastAsia="zh-CN"/>
        </w:rPr>
        <w:t>。</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hint="default" w:ascii="宋体" w:hAnsi="宋体" w:eastAsia="宋体" w:cs="Times New Roman"/>
          <w:b w:val="0"/>
          <w:bCs/>
          <w:color w:val="auto"/>
          <w:sz w:val="22"/>
          <w:szCs w:val="22"/>
          <w:highlight w:val="none"/>
          <w:lang w:val="en-US" w:eastAsia="zh-CN"/>
        </w:rPr>
      </w:pPr>
      <w:r>
        <w:rPr>
          <w:rFonts w:hint="eastAsia" w:ascii="宋体" w:hAnsi="宋体" w:eastAsia="宋体" w:cs="Times New Roman"/>
          <w:b w:val="0"/>
          <w:bCs/>
          <w:color w:val="auto"/>
          <w:sz w:val="22"/>
          <w:szCs w:val="22"/>
          <w:highlight w:val="none"/>
          <w:lang w:val="en-US" w:eastAsia="zh-CN"/>
        </w:rPr>
        <w:t>6、</w:t>
      </w:r>
      <w:r>
        <w:rPr>
          <w:rFonts w:hint="eastAsia" w:ascii="宋体" w:hAnsi="宋体" w:eastAsia="宋体" w:cs="Times New Roman"/>
          <w:b w:val="0"/>
          <w:bCs/>
          <w:color w:val="auto"/>
          <w:sz w:val="22"/>
          <w:szCs w:val="22"/>
          <w:highlight w:val="none"/>
          <w:u w:val="single"/>
          <w:lang w:val="en-US" w:eastAsia="zh-CN"/>
        </w:rPr>
        <w:t>▲供应商按照采购人的要求，将相关信息和数据准确、及时地录入指定的消防平台，确保信息的完整性和合规性。供应商需遵守平台的操作规范和数据安全要求，并在录入完成后提供相应的确认报告或凭证，以供采购人审核和存档。如因供应商原因导致录入错误或延误，供应商应承担相应责任并及时纠正。</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2" w:firstLineChars="200"/>
        <w:textAlignment w:val="auto"/>
        <w:rPr>
          <w:rFonts w:hint="default" w:ascii="宋体" w:hAnsi="宋体" w:eastAsia="宋体" w:cs="Times New Roman"/>
          <w:b/>
          <w:bCs w:val="0"/>
          <w:color w:val="auto"/>
          <w:sz w:val="22"/>
          <w:szCs w:val="22"/>
          <w:highlight w:val="none"/>
          <w:lang w:val="en-US" w:eastAsia="zh-CN"/>
        </w:rPr>
      </w:pPr>
      <w:r>
        <w:rPr>
          <w:rFonts w:hint="eastAsia" w:ascii="宋体" w:hAnsi="宋体" w:eastAsia="宋体" w:cs="Times New Roman"/>
          <w:b/>
          <w:bCs w:val="0"/>
          <w:color w:val="auto"/>
          <w:sz w:val="22"/>
          <w:szCs w:val="22"/>
          <w:highlight w:val="none"/>
          <w:lang w:val="en-US" w:eastAsia="zh-CN"/>
        </w:rPr>
        <w:t>7.</w:t>
      </w:r>
      <w:r>
        <w:rPr>
          <w:rFonts w:hint="eastAsia" w:ascii="宋体" w:hAnsi="宋体" w:eastAsia="宋体" w:cs="Times New Roman"/>
          <w:b/>
          <w:bCs w:val="0"/>
          <w:color w:val="auto"/>
          <w:sz w:val="22"/>
          <w:szCs w:val="22"/>
          <w:highlight w:val="none"/>
          <w:u w:val="single"/>
          <w:lang w:val="en-US" w:eastAsia="zh-CN"/>
        </w:rPr>
        <w:t>▲响应文件中提供“社会消防技术服务信息系统及浙江省消防技术服务管理系统录入生效的截图证明”，否则视为负偏离，投标无效。</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2" w:firstLineChars="200"/>
        <w:textAlignment w:val="auto"/>
        <w:rPr>
          <w:rFonts w:ascii="宋体" w:hAnsi="宋体" w:eastAsia="宋体" w:cs="Times New Roman"/>
          <w:b/>
          <w:color w:val="auto"/>
          <w:sz w:val="22"/>
          <w:szCs w:val="22"/>
          <w:highlight w:val="none"/>
        </w:rPr>
      </w:pPr>
      <w:r>
        <w:rPr>
          <w:rFonts w:hint="eastAsia" w:ascii="宋体" w:hAnsi="宋体" w:eastAsia="宋体" w:cs="Times New Roman"/>
          <w:b/>
          <w:color w:val="auto"/>
          <w:sz w:val="22"/>
          <w:szCs w:val="22"/>
          <w:highlight w:val="none"/>
        </w:rPr>
        <w:t>（四）维保范围：</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0" w:firstLineChars="200"/>
        <w:textAlignment w:val="auto"/>
        <w:rPr>
          <w:rFonts w:hint="eastAsia" w:ascii="宋体" w:hAnsi="宋体" w:eastAsia="宋体" w:cs="Times New Roman"/>
          <w:color w:val="auto"/>
          <w:sz w:val="22"/>
          <w:szCs w:val="22"/>
          <w:highlight w:val="none"/>
          <w:lang w:val="en-US" w:eastAsia="zh-CN"/>
        </w:rPr>
      </w:pPr>
      <w:r>
        <w:rPr>
          <w:rFonts w:hint="eastAsia" w:ascii="宋体" w:hAnsi="宋体" w:eastAsia="宋体" w:cs="Times New Roman"/>
          <w:color w:val="auto"/>
          <w:sz w:val="22"/>
          <w:szCs w:val="22"/>
          <w:highlight w:val="none"/>
        </w:rPr>
        <w:t>维保范围内建筑面积</w:t>
      </w:r>
      <w:r>
        <w:rPr>
          <w:rFonts w:hint="eastAsia" w:ascii="宋体" w:hAnsi="宋体" w:eastAsia="宋体" w:cs="Times New Roman"/>
          <w:color w:val="auto"/>
          <w:sz w:val="22"/>
          <w:szCs w:val="22"/>
          <w:highlight w:val="none"/>
          <w:lang w:eastAsia="zh-CN"/>
        </w:rPr>
        <w:t>：</w:t>
      </w:r>
      <w:r>
        <w:rPr>
          <w:rFonts w:hint="eastAsia" w:ascii="宋体" w:hAnsi="宋体" w:eastAsia="宋体" w:cs="Times New Roman"/>
          <w:color w:val="auto"/>
          <w:sz w:val="22"/>
          <w:szCs w:val="22"/>
          <w:highlight w:val="none"/>
          <w:lang w:val="en-US" w:eastAsia="zh-CN"/>
        </w:rPr>
        <w:t>瓯江口校区158260平方米、矮凳桥校区5884平方米。</w:t>
      </w:r>
    </w:p>
    <w:p>
      <w:pPr>
        <w:keepNext w:val="0"/>
        <w:keepLines w:val="0"/>
        <w:pageBreakBefore w:val="0"/>
        <w:widowControl w:val="0"/>
        <w:tabs>
          <w:tab w:val="left" w:pos="0"/>
        </w:tabs>
        <w:kinsoku/>
        <w:wordWrap/>
        <w:overflowPunct/>
        <w:topLinePunct w:val="0"/>
        <w:autoSpaceDE/>
        <w:autoSpaceDN/>
        <w:bidi w:val="0"/>
        <w:adjustRightInd/>
        <w:snapToGrid/>
        <w:spacing w:line="360" w:lineRule="exact"/>
        <w:ind w:left="0" w:firstLine="442" w:firstLineChars="200"/>
        <w:textAlignment w:val="auto"/>
        <w:rPr>
          <w:rFonts w:hint="eastAsia" w:ascii="宋体" w:hAnsi="宋体" w:eastAsia="宋体" w:cs="Times New Roman"/>
          <w:b/>
          <w:color w:val="auto"/>
          <w:sz w:val="22"/>
          <w:szCs w:val="22"/>
          <w:highlight w:val="none"/>
          <w:lang w:val="en-US" w:eastAsia="zh-CN"/>
        </w:rPr>
      </w:pPr>
      <w:r>
        <w:rPr>
          <w:rFonts w:hint="eastAsia" w:ascii="宋体" w:hAnsi="宋体" w:eastAsia="宋体" w:cs="Times New Roman"/>
          <w:b/>
          <w:color w:val="auto"/>
          <w:sz w:val="22"/>
          <w:szCs w:val="22"/>
          <w:highlight w:val="none"/>
          <w:lang w:val="en-US" w:eastAsia="zh-CN"/>
        </w:rPr>
        <w:t>（五）其他未尽事宜以</w:t>
      </w:r>
      <w:r>
        <w:rPr>
          <w:rFonts w:hint="eastAsia" w:ascii="宋体" w:hAnsi="宋体" w:eastAsia="宋体" w:cs="宋体"/>
          <w:b/>
          <w:bCs/>
          <w:color w:val="auto"/>
          <w:spacing w:val="-6"/>
          <w:sz w:val="22"/>
          <w:szCs w:val="22"/>
          <w:highlight w:val="none"/>
        </w:rPr>
        <w:t>合同主要条款</w:t>
      </w:r>
      <w:r>
        <w:rPr>
          <w:rFonts w:hint="eastAsia" w:ascii="宋体" w:hAnsi="宋体" w:eastAsia="宋体" w:cs="宋体"/>
          <w:b/>
          <w:bCs/>
          <w:color w:val="auto"/>
          <w:spacing w:val="-6"/>
          <w:sz w:val="22"/>
          <w:szCs w:val="22"/>
          <w:highlight w:val="none"/>
          <w:lang w:val="en-US" w:eastAsia="zh-CN"/>
        </w:rPr>
        <w:t>为准。</w:t>
      </w:r>
    </w:p>
    <w:p>
      <w:pPr>
        <w:keepNext w:val="0"/>
        <w:keepLines w:val="0"/>
        <w:pageBreakBefore w:val="0"/>
        <w:widowControl w:val="0"/>
        <w:numPr>
          <w:ilvl w:val="0"/>
          <w:numId w:val="2"/>
        </w:numPr>
        <w:kinsoku/>
        <w:wordWrap/>
        <w:overflowPunct/>
        <w:topLinePunct w:val="0"/>
        <w:autoSpaceDE/>
        <w:autoSpaceDN/>
        <w:bidi w:val="0"/>
        <w:adjustRightInd/>
        <w:snapToGrid/>
        <w:spacing w:line="360" w:lineRule="exact"/>
        <w:textAlignment w:val="auto"/>
        <w:outlineLvl w:val="9"/>
        <w:rPr>
          <w:rFonts w:hint="eastAsia" w:ascii="宋体" w:hAnsi="宋体" w:eastAsia="宋体" w:cs="宋体"/>
          <w:b/>
          <w:color w:val="auto"/>
          <w:spacing w:val="-6"/>
          <w:sz w:val="22"/>
          <w:szCs w:val="22"/>
          <w:highlight w:val="none"/>
          <w:lang w:val="en-US" w:eastAsia="zh-CN"/>
        </w:rPr>
      </w:pPr>
      <w:r>
        <w:rPr>
          <w:rFonts w:hint="eastAsia" w:ascii="宋体" w:hAnsi="宋体" w:eastAsia="宋体" w:cs="宋体"/>
          <w:b/>
          <w:color w:val="auto"/>
          <w:spacing w:val="-6"/>
          <w:sz w:val="22"/>
          <w:szCs w:val="22"/>
          <w:highlight w:val="none"/>
          <w:lang w:val="en-US" w:eastAsia="zh-CN"/>
        </w:rPr>
        <w:t>其他</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18" w:firstLineChars="200"/>
        <w:textAlignment w:val="auto"/>
        <w:rPr>
          <w:rFonts w:hint="eastAsia" w:ascii="宋体" w:hAnsi="宋体" w:eastAsia="宋体" w:cs="宋体"/>
          <w:b/>
          <w:color w:val="auto"/>
          <w:spacing w:val="-6"/>
          <w:sz w:val="22"/>
          <w:szCs w:val="22"/>
          <w:highlight w:val="none"/>
        </w:rPr>
      </w:pPr>
      <w:r>
        <w:rPr>
          <w:rFonts w:hint="eastAsia" w:ascii="宋体" w:hAnsi="宋体" w:eastAsia="宋体" w:cs="宋体"/>
          <w:b/>
          <w:color w:val="auto"/>
          <w:spacing w:val="-6"/>
          <w:sz w:val="22"/>
          <w:szCs w:val="22"/>
          <w:highlight w:val="none"/>
        </w:rPr>
        <w:t>1、标“▲且加下划线”的有关技术和商务要求为实质性条款，</w:t>
      </w:r>
      <w:r>
        <w:rPr>
          <w:rFonts w:hint="eastAsia" w:ascii="宋体" w:hAnsi="宋体" w:eastAsia="宋体" w:cs="宋体"/>
          <w:b/>
          <w:color w:val="auto"/>
          <w:spacing w:val="-6"/>
          <w:sz w:val="22"/>
          <w:szCs w:val="22"/>
          <w:highlight w:val="none"/>
          <w:lang w:val="en-US" w:eastAsia="zh-CN"/>
        </w:rPr>
        <w:t>供应商</w:t>
      </w:r>
      <w:r>
        <w:rPr>
          <w:rFonts w:hint="eastAsia" w:ascii="宋体" w:hAnsi="宋体" w:eastAsia="宋体" w:cs="宋体"/>
          <w:b/>
          <w:color w:val="auto"/>
          <w:spacing w:val="-6"/>
          <w:sz w:val="22"/>
          <w:szCs w:val="22"/>
          <w:highlight w:val="none"/>
        </w:rPr>
        <w:t>必须做出实质性响应，不允许负偏离，出现负偏离的将导致投标无效。</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18" w:firstLineChars="200"/>
        <w:textAlignment w:val="auto"/>
        <w:rPr>
          <w:rFonts w:hint="eastAsia" w:ascii="宋体" w:hAnsi="宋体" w:eastAsia="宋体" w:cs="宋体"/>
          <w:b/>
          <w:color w:val="auto"/>
          <w:spacing w:val="-6"/>
          <w:sz w:val="22"/>
          <w:szCs w:val="22"/>
          <w:highlight w:val="none"/>
        </w:rPr>
      </w:pPr>
      <w:r>
        <w:rPr>
          <w:rFonts w:hint="eastAsia" w:ascii="宋体" w:hAnsi="宋体" w:eastAsia="宋体" w:cs="宋体"/>
          <w:b/>
          <w:color w:val="auto"/>
          <w:spacing w:val="-6"/>
          <w:sz w:val="22"/>
          <w:szCs w:val="22"/>
          <w:highlight w:val="none"/>
        </w:rPr>
        <w:t>2、除</w:t>
      </w:r>
      <w:r>
        <w:rPr>
          <w:rFonts w:hint="eastAsia" w:ascii="宋体" w:hAnsi="宋体" w:eastAsia="宋体" w:cs="宋体"/>
          <w:b/>
          <w:color w:val="auto"/>
          <w:spacing w:val="-6"/>
          <w:sz w:val="22"/>
          <w:szCs w:val="22"/>
          <w:highlight w:val="none"/>
          <w:lang w:eastAsia="zh-CN"/>
        </w:rPr>
        <w:t>询价采购</w:t>
      </w:r>
      <w:r>
        <w:rPr>
          <w:rFonts w:hint="eastAsia" w:ascii="宋体" w:hAnsi="宋体" w:eastAsia="宋体" w:cs="宋体"/>
          <w:b/>
          <w:color w:val="auto"/>
          <w:spacing w:val="-6"/>
          <w:sz w:val="22"/>
          <w:szCs w:val="22"/>
          <w:highlight w:val="none"/>
        </w:rPr>
        <w:t>文件中所明确的采购需求规格外，欢迎其他能满足本项目采购需求且性能相当于或高于所明确的产品参加报价。同时在采购需求偏离表中作出详细对比说明。</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18" w:firstLineChars="200"/>
        <w:textAlignment w:val="auto"/>
        <w:rPr>
          <w:rFonts w:hint="eastAsia" w:ascii="宋体" w:hAnsi="宋体" w:eastAsia="宋体" w:cs="宋体"/>
          <w:b/>
          <w:color w:val="auto"/>
          <w:spacing w:val="-6"/>
          <w:sz w:val="22"/>
          <w:szCs w:val="22"/>
          <w:highlight w:val="none"/>
        </w:rPr>
      </w:pPr>
      <w:r>
        <w:rPr>
          <w:rFonts w:hint="eastAsia" w:ascii="宋体" w:hAnsi="宋体" w:eastAsia="宋体" w:cs="宋体"/>
          <w:b/>
          <w:color w:val="auto"/>
          <w:spacing w:val="-6"/>
          <w:sz w:val="22"/>
          <w:szCs w:val="22"/>
          <w:highlight w:val="none"/>
        </w:rPr>
        <w:t>3</w:t>
      </w:r>
      <w:r>
        <w:rPr>
          <w:rFonts w:hint="eastAsia" w:ascii="宋体" w:hAnsi="宋体" w:eastAsia="宋体" w:cs="宋体"/>
          <w:b/>
          <w:color w:val="auto"/>
          <w:spacing w:val="-6"/>
          <w:sz w:val="22"/>
          <w:szCs w:val="22"/>
          <w:highlight w:val="none"/>
          <w:lang w:eastAsia="zh-CN"/>
        </w:rPr>
        <w:t>、</w:t>
      </w:r>
      <w:r>
        <w:rPr>
          <w:rFonts w:hint="eastAsia" w:ascii="宋体" w:hAnsi="宋体" w:eastAsia="宋体" w:cs="宋体"/>
          <w:b/>
          <w:color w:val="auto"/>
          <w:spacing w:val="-6"/>
          <w:sz w:val="22"/>
          <w:szCs w:val="22"/>
          <w:highlight w:val="none"/>
        </w:rPr>
        <w:t>如采购需求中未特别注明需执行的国家相关标准、行业标准、地方标准或者其他标准、规范，则统一执行最新标准、规范。</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64606D"/>
    <w:multiLevelType w:val="singleLevel"/>
    <w:tmpl w:val="A764606D"/>
    <w:lvl w:ilvl="0" w:tentative="0">
      <w:start w:val="2"/>
      <w:numFmt w:val="chineseCounting"/>
      <w:suff w:val="space"/>
      <w:lvlText w:val="第%1章"/>
      <w:lvlJc w:val="left"/>
      <w:rPr>
        <w:rFonts w:hint="eastAsia"/>
      </w:rPr>
    </w:lvl>
  </w:abstractNum>
  <w:abstractNum w:abstractNumId="1">
    <w:nsid w:val="1C2A49CB"/>
    <w:multiLevelType w:val="singleLevel"/>
    <w:tmpl w:val="1C2A49CB"/>
    <w:lvl w:ilvl="0" w:tentative="0">
      <w:start w:val="4"/>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D484755"/>
    <w:rsid w:val="30612A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qFormat="1" w:uiPriority="39"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8"/>
      <w:szCs w:val="24"/>
      <w:lang w:val="en-US" w:eastAsia="zh-CN" w:bidi="ar-SA"/>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5"/>
    <w:qFormat/>
    <w:uiPriority w:val="0"/>
    <w:pPr>
      <w:autoSpaceDE w:val="0"/>
      <w:autoSpaceDN w:val="0"/>
      <w:adjustRightInd w:val="0"/>
      <w:ind w:firstLine="420" w:firstLineChars="100"/>
      <w:jc w:val="left"/>
    </w:pPr>
    <w:rPr>
      <w:rFonts w:ascii="仿宋_GB2312"/>
      <w:b/>
      <w:kern w:val="0"/>
      <w:sz w:val="32"/>
      <w:szCs w:val="32"/>
    </w:rPr>
  </w:style>
  <w:style w:type="paragraph" w:styleId="3">
    <w:name w:val="Body Text"/>
    <w:basedOn w:val="1"/>
    <w:next w:val="4"/>
    <w:qFormat/>
    <w:uiPriority w:val="0"/>
    <w:pPr>
      <w:spacing w:line="360" w:lineRule="exact"/>
    </w:pPr>
    <w:rPr>
      <w:sz w:val="24"/>
    </w:rPr>
  </w:style>
  <w:style w:type="paragraph" w:styleId="4">
    <w:name w:val="toc 4"/>
    <w:basedOn w:val="1"/>
    <w:next w:val="1"/>
    <w:unhideWhenUsed/>
    <w:qFormat/>
    <w:uiPriority w:val="39"/>
    <w:pPr>
      <w:ind w:left="1260" w:leftChars="600"/>
    </w:pPr>
  </w:style>
  <w:style w:type="paragraph" w:styleId="5">
    <w:name w:val="toc 6"/>
    <w:basedOn w:val="1"/>
    <w:next w:val="1"/>
    <w:qFormat/>
    <w:uiPriority w:val="0"/>
    <w:pPr>
      <w:spacing w:line="360" w:lineRule="auto"/>
      <w:ind w:left="1200" w:firstLine="200" w:firstLineChars="200"/>
      <w:jc w:val="left"/>
    </w:pPr>
    <w:rPr>
      <w:rFonts w:ascii="Calibri" w:hAnsi="Calibri" w:cs="Calibri"/>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3195</Words>
  <Characters>3227</Characters>
  <Lines>0</Lines>
  <Paragraphs>0</Paragraphs>
  <TotalTime>0</TotalTime>
  <ScaleCrop>false</ScaleCrop>
  <LinksUpToDate>false</LinksUpToDate>
  <CharactersWithSpaces>3276</CharactersWithSpaces>
  <Application>WPS Office_11.8.2.10154_F1E327BC-269C-435d-A152-05C5408002CA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dc:creator>
  <cp:lastModifiedBy>博文</cp:lastModifiedBy>
  <dcterms:modified xsi:type="dcterms:W3CDTF">2025-03-25T04:27:36Z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KSOTemplateDocerSaveRecord">
    <vt:lpwstr>eyJoZGlkIjoiN2EwNTQyMDU4ZjViYTgyY2JhMWRhOWMxODQ1Zjg1MTIiLCJ1c2VySWQiOiIxOTk1MTEzOTEifQ==</vt:lpwstr>
  </property>
  <property fmtid="{D5CDD505-2E9C-101B-9397-08002B2CF9AE}" pid="4" name="ICV">
    <vt:lpwstr>BFE8DBFF76CA40F19E45E16C78914C46_12</vt:lpwstr>
  </property>
</Properties>
</file>