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80" w:lineRule="exact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比选需求内容及要求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标项1：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农副产品类一卡通消费场景服务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比选需求内容及要求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outlineLvl w:val="9"/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</w:rPr>
        <w:t>商务要求（技术要求里另有注明的以技术要求为准）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履约保证金</w:t>
            </w:r>
          </w:p>
        </w:tc>
        <w:tc>
          <w:tcPr>
            <w:tcW w:w="8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auto"/>
                <w:spacing w:val="-4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single"/>
              </w:rPr>
              <w:t>▲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6"/>
                <w:sz w:val="22"/>
                <w:szCs w:val="22"/>
                <w:highlight w:val="none"/>
                <w:u w:val="single"/>
              </w:rPr>
              <w:t>履约保证金为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6"/>
                <w:sz w:val="22"/>
                <w:szCs w:val="22"/>
                <w:highlight w:val="none"/>
                <w:u w:val="single"/>
                <w:lang w:val="en-US" w:eastAsia="zh-CN"/>
              </w:rPr>
              <w:t>10000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6"/>
                <w:sz w:val="22"/>
                <w:szCs w:val="22"/>
                <w:highlight w:val="none"/>
                <w:u w:val="single"/>
              </w:rPr>
              <w:t>元，合同签订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6"/>
                <w:sz w:val="22"/>
                <w:szCs w:val="22"/>
                <w:highlight w:val="none"/>
                <w:u w:val="single"/>
                <w:lang w:val="en-US" w:eastAsia="zh-CN"/>
              </w:rPr>
              <w:t>前以银行转账等非现金形式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6"/>
                <w:sz w:val="22"/>
                <w:szCs w:val="22"/>
                <w:highlight w:val="none"/>
                <w:u w:val="single"/>
              </w:rPr>
              <w:t>打入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>温州职业技术学院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6"/>
                <w:sz w:val="22"/>
                <w:szCs w:val="22"/>
                <w:highlight w:val="none"/>
                <w:u w:val="single"/>
              </w:rPr>
              <w:t>指定账户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singl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服务期</w:t>
            </w:r>
          </w:p>
        </w:tc>
        <w:tc>
          <w:tcPr>
            <w:tcW w:w="8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合同签订之日起至2025年07月10日截止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服务地点</w:t>
            </w:r>
          </w:p>
        </w:tc>
        <w:tc>
          <w:tcPr>
            <w:tcW w:w="8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温州职业技术学院茶山校区内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其他</w:t>
            </w:r>
          </w:p>
        </w:tc>
        <w:tc>
          <w:tcPr>
            <w:tcW w:w="8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在服务期内，有权根据实际情况对运营情况进行调整和优化，中选人应无条件接受并配合调整。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exact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</w:rPr>
        <w:t>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t>（一）‌合作范围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1.农产品(初级农产品)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定义：直接来源于农业生产未改变基本自然性状的产物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范围：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种植业：蔬菜、水果、谷物等(如未加工的大米、带泥胡萝卜)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畜牧业：鲜蛋、生鲜乳等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渔业：鲜活水产品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2.副食品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定义：经加工处理用于丰富膳食结构的非主食类食品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范围：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基础加工品：面粉、食用油、酱油等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深加工品：速冻食品、罐头、调味料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预包装食品：真空包装卤制品、即食糕点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备注：主要服务内容包括但不仅限于以上内容，具体详见合同主要条款。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t>（二）场地设置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  <w:t>供应货物存放及提货点设在温州职业技术学院茶山校区内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场地布局应合理，确保货物安全、卫生，并便于师生提取。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t>（三）结算要求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仅支持校园卡支付，营业款按照比选人财务要求，按月根据营业款，于次月开具票据到财务室报销结算；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场地电费由中选人通过智能电表充值使用，电费价格为0.6元/度；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每月按3.5%营业额收取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val="en-US" w:eastAsia="zh-CN"/>
        </w:rPr>
        <w:t>物业保洁费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从营业款中扣减后直接打入温州职院资产经营有限公司指定账户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textAlignment w:val="auto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t>（四）服务要求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为了确保产品的安全性和品质，要求所有农副产品类产品必须实现源头可追溯。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价格管理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：所售商品价格不得高于中选人旗下温州市区其他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  <w:lang w:val="en-US" w:eastAsia="zh-CN"/>
        </w:rPr>
        <w:t>售卖供货点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的同一商品的同期价格。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广告与装修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：广告、装修方案需提前提交比选人审核，经同意后方可实施。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现场管理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：中选人必须服从学校现场管理，遵守学校相关规定和制度，确保运营合法合规。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产品质量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：严禁经营或销售“三无”产品，一经发现，将终止合同并移交政府有关行政部门处理。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经济活动限制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：中选人不得以学校名义从事任何经济活动，且由此产生的一切债权、债务与学校无关。经营过程中不得使用校名或校名相关简称。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中选人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  <w:lang w:val="en-US" w:eastAsia="zh-CN"/>
        </w:rPr>
        <w:t>按学校保卫部门要求配备消防器材，并配合完成消防验收工作。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预付销售限制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：</w:t>
      </w: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  <w:u w:val="single"/>
        </w:rPr>
        <w:t>▲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u w:val="single"/>
          <w:shd w:val="clear" w:color="auto" w:fill="FDFDFE"/>
        </w:rPr>
        <w:t>中选人在经营期间不得以充值、预付、储值等形式进行商品（服务）销售。擅自进行的，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u w:val="single"/>
          <w:shd w:val="clear" w:color="auto" w:fill="FDFDFE"/>
          <w:lang w:val="en-US" w:eastAsia="zh-CN"/>
        </w:rPr>
        <w:t>比选人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u w:val="single"/>
          <w:shd w:val="clear" w:color="auto" w:fill="FDFDFE"/>
        </w:rPr>
        <w:t>有权终止合同并收回房屋、场地，履约保证金不予退还。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leftChars="0" w:right="0" w:firstLine="400" w:firstLineChars="0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  <w:lang w:val="en-US" w:eastAsia="zh-CN"/>
        </w:rPr>
        <w:t>服务团队：</w:t>
      </w: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  <w:u w:val="single"/>
        </w:rPr>
        <w:t>▲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u w:val="single"/>
          <w:shd w:val="clear" w:color="auto" w:fill="FDFDFE"/>
          <w:lang w:val="en-US" w:eastAsia="zh-CN"/>
        </w:rPr>
        <w:t>服务团队人员不得更换变更，确需变更需经比选人同意，且变更后的人员应具备同等资质。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  <w:u w:val="single"/>
        </w:rPr>
        <w:t>▲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u w:val="single"/>
          <w:lang w:val="en-US" w:eastAsia="zh-CN"/>
        </w:rPr>
        <w:t>其他要求</w:t>
      </w:r>
    </w:p>
    <w:p>
      <w:pPr>
        <w:keepNext w:val="0"/>
        <w:keepLines w:val="0"/>
        <w:pageBreakBefore w:val="0"/>
        <w:numPr>
          <w:ilvl w:val="0"/>
          <w:numId w:val="5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00" w:firstLineChars="0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u w:val="single"/>
          <w:shd w:val="clear" w:color="auto" w:fill="FDFDFE"/>
        </w:rPr>
        <w:t>在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合同有效期内，比选人有权根据学校的实际需求及运营情况，定期或不定期地出具详细的考核表。中选人需无条件配合并积极参与比选人的各项考核工作，确保考核流程的顺利进行与考核结果的准确性，包括但不限于提供必要的考核数据、接受现场检查与评估、对考核结果进行确认与反馈等。</w:t>
      </w:r>
    </w:p>
    <w:p>
      <w:pPr>
        <w:keepNext w:val="0"/>
        <w:keepLines w:val="0"/>
        <w:pageBreakBefore w:val="0"/>
        <w:numPr>
          <w:ilvl w:val="0"/>
          <w:numId w:val="5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00" w:firstLineChars="0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考核与监督机制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考核制度：原则上每周进行考核，执行《考核表》。根据考核结果及日常督查情况，启动相应的补货机制和退出机制。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反馈渠道：管理部门利用公众号、意见簿等形式，畅通教职工反馈渠道，及时收集对提货点商品种类、数量、质量的意见和建议，作为考核的重要依据之一。</w:t>
      </w:r>
    </w:p>
    <w:p>
      <w:pPr>
        <w:keepNext w:val="0"/>
        <w:keepLines w:val="0"/>
        <w:pageBreakBefore w:val="0"/>
        <w:numPr>
          <w:ilvl w:val="0"/>
          <w:numId w:val="5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00" w:firstLineChars="0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补货机制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常规补货：管理部门在考核中发现营业额较低或教职工反馈商品不足时，参选人应增加商品数量或调整商品种类。参选人应根据销售数据及库存情况，在一周内完成补货。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特殊补货：若遇重大节庆活动（如春节、开学季等）、季节性商品需求波动或突发性团购需求等特殊情况，参选人应提前预判需求，主动提前补货，并确保商品供应充足，避免断货或库存积压。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补货记录：每次补货需记录商品名称、数量、日期等信息，用于货物购买分析，并接受管理部门的监督核查。</w:t>
      </w:r>
    </w:p>
    <w:p>
      <w:pPr>
        <w:keepNext w:val="0"/>
        <w:keepLines w:val="0"/>
        <w:pageBreakBefore w:val="0"/>
        <w:numPr>
          <w:ilvl w:val="0"/>
          <w:numId w:val="5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00" w:firstLineChars="0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退出机制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400" w:leftChars="0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4.1退出条件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参选人出现以下任一情况，将被取消供货资格：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未具备合法经营证照或年审过期。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提供无法溯源的食品；提供有毒、有害、腐烂变质、酸败、霉变、生虫、污秽不洁、混有异物、其他感官性状异常等未达到销售标准的食品。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存在严重违约行为，如办理预付性消费卡、超一周时间占地不供货、货物损坏率过高及服务质量差等。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擅自转让提货点，如未经许可擅自转包、分包。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因不当行为造成学校舆情。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发生安全事故，造成不良社会影响和经济损失。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提货点满意度调查满意率低于90%。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日常考核总分为100分，连续两次得分低于85分（含）。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4.2退出流程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管理部门书面通知供货商退出学校供应点，取消供货资格。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根据合同协议规定，归还相应设备和系统账号等；次月完成财务结算。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如造成经济损失，按照责任赔偿相应损失，从营业款中直接扣减。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4.3后续管理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一周内补充候选供货商，满足师生日常需求。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对退出的供货商，如因不当言行造成学校负面形象和舆情，将依法追究相关责任人的法律责任。</w:t>
      </w:r>
    </w:p>
    <w:p>
      <w:pPr>
        <w:snapToGrid w:val="0"/>
        <w:spacing w:line="380" w:lineRule="exact"/>
        <w:outlineLvl w:val="9"/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</w:rPr>
        <w:t>、其他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00" w:firstLineChars="0"/>
        <w:textAlignment w:val="auto"/>
        <w:outlineLvl w:val="9"/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</w:rPr>
        <w:t>标“▲且加下划线”的有关技术和商务要求为实质性条款，</w:t>
      </w: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  <w:lang w:eastAsia="zh-CN"/>
        </w:rPr>
        <w:t>参选人</w:t>
      </w: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</w:rPr>
        <w:t>必须做出实质性响应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</w:rPr>
        <w:t>，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  <w:lang w:val="en-US" w:eastAsia="zh-CN"/>
        </w:rPr>
        <w:t>不能出现负偏离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</w:rPr>
        <w:t>否则视为无效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  <w:lang w:eastAsia="zh-CN"/>
        </w:rPr>
        <w:t>参选文件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</w:rPr>
        <w:t>如技术部分中未特别注明需执行的国家相关标准、行业标准、地方标准或者其他标准、规范，则统一执行最新标准、规范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标项2：冷冻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类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一卡通消费场景服务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比选需求内容及要求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outlineLvl w:val="9"/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</w:rPr>
        <w:t>商务要求（技术要求里另有注明的以技术要求为准）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履约保证金</w:t>
            </w:r>
          </w:p>
        </w:tc>
        <w:tc>
          <w:tcPr>
            <w:tcW w:w="8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color w:val="auto"/>
                <w:spacing w:val="-4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single"/>
              </w:rPr>
              <w:t>▲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6"/>
                <w:sz w:val="22"/>
                <w:szCs w:val="22"/>
                <w:highlight w:val="none"/>
                <w:u w:val="single"/>
              </w:rPr>
              <w:t>履约保证金为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6"/>
                <w:sz w:val="22"/>
                <w:szCs w:val="22"/>
                <w:highlight w:val="none"/>
                <w:u w:val="single"/>
                <w:lang w:val="en-US" w:eastAsia="zh-CN"/>
              </w:rPr>
              <w:t>10000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6"/>
                <w:sz w:val="22"/>
                <w:szCs w:val="22"/>
                <w:highlight w:val="none"/>
                <w:u w:val="single"/>
              </w:rPr>
              <w:t>元，合同签订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6"/>
                <w:sz w:val="22"/>
                <w:szCs w:val="22"/>
                <w:highlight w:val="none"/>
                <w:u w:val="single"/>
                <w:lang w:val="en-US" w:eastAsia="zh-CN"/>
              </w:rPr>
              <w:t>前以银行转账等非现金形式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6"/>
                <w:sz w:val="22"/>
                <w:szCs w:val="22"/>
                <w:highlight w:val="none"/>
                <w:u w:val="single"/>
              </w:rPr>
              <w:t>打入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>温州职业技术学院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6"/>
                <w:sz w:val="22"/>
                <w:szCs w:val="22"/>
                <w:highlight w:val="none"/>
                <w:u w:val="single"/>
              </w:rPr>
              <w:t>指定账户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singl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服务期</w:t>
            </w:r>
          </w:p>
        </w:tc>
        <w:tc>
          <w:tcPr>
            <w:tcW w:w="8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合同签订之日起至2025年07月10日截止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服务地点</w:t>
            </w:r>
          </w:p>
        </w:tc>
        <w:tc>
          <w:tcPr>
            <w:tcW w:w="8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温州职业技术学院茶山校区内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其他</w:t>
            </w:r>
          </w:p>
        </w:tc>
        <w:tc>
          <w:tcPr>
            <w:tcW w:w="8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在服务期内，有权根据实际情况对运营情况进行调整和优化，中选人应无条件接受并配合调整。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exact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</w:rPr>
        <w:t>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t>（一）‌合作范围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‌冷冻品‌：涵盖肉类、海鲜、制品等各类冷冻食品等热销产品。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备注：主要服务内容包括但不仅限于以上内容，具体详见合同主要条款。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t>（二）场地设置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  <w:t>供应货物存放及提货点设在温州职业技术学院茶山校区内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场地布局应合理，确保货物安全、卫生，并便于师生提取。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t>（三）结算要求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仅支持校园卡支付，营业款按照比选人财务要求，按月根据营业款，于次月开具票据到财务室报销结算；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场地电费由中选人通过智能电表充值使用，电费价格为0.6元/度；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每月按3.5%营业额收取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val="en-US" w:eastAsia="zh-CN"/>
        </w:rPr>
        <w:t>物业保洁费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从营业款中扣减后直接打入温州职院资产经营有限公司指定账户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textAlignment w:val="auto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t>（四）服务要求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为了确保产品的安全性和品质，要求所有农副产品类产品必须实现源头可追溯。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价格管理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：所售商品价格不得高于中选人旗下温州市区其他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  <w:lang w:val="en-US" w:eastAsia="zh-CN"/>
        </w:rPr>
        <w:t>售卖供货点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的同一商品的同期价格。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广告与装修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：广告、装修方案需提前提交比选人审核，经同意后方可实施。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现场管理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：中选人必须服从学校现场管理，遵守学校相关规定和制度，确保运营合法合规。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产品质量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：严禁经营或销售“三无”产品，一经发现，将终止合同并移交政府有关行政部门处理。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经济活动限制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：中选人不得以学校名义从事任何经济活动，且由此产生的一切债权、债务与学校无关。经营过程中不得使用校名或校名相关简称。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中选人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  <w:lang w:val="en-US" w:eastAsia="zh-CN"/>
        </w:rPr>
        <w:t>按学校保卫部门要求配备消防器材，并配合完成消防验收工作。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预付销售限制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  <w:t>：</w:t>
      </w: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  <w:u w:val="single"/>
        </w:rPr>
        <w:t>▲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u w:val="single"/>
          <w:shd w:val="clear" w:color="auto" w:fill="FDFDFE"/>
        </w:rPr>
        <w:t>中选人在经营期间不得以充值、预付、储值等形式进行商品（服务）销售。擅自进行的，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u w:val="single"/>
          <w:shd w:val="clear" w:color="auto" w:fill="FDFDFE"/>
          <w:lang w:val="en-US" w:eastAsia="zh-CN"/>
        </w:rPr>
        <w:t>比选人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u w:val="single"/>
          <w:shd w:val="clear" w:color="auto" w:fill="FDFDFE"/>
        </w:rPr>
        <w:t>有权终止合同并收回房屋、场地，履约保证金不予退还。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leftChars="0" w:right="0" w:firstLine="400" w:firstLineChars="0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DFDFE"/>
          <w:lang w:val="en-US" w:eastAsia="zh-CN"/>
        </w:rPr>
        <w:t>服务团队：</w:t>
      </w: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  <w:u w:val="single"/>
        </w:rPr>
        <w:t>▲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u w:val="single"/>
          <w:shd w:val="clear" w:color="auto" w:fill="FDFDFE"/>
          <w:lang w:val="en-US" w:eastAsia="zh-CN"/>
        </w:rPr>
        <w:t>服务团队人员不得更换变更，确需变更需经比选人同意，且变更后的人员应具备同等资质。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  <w:u w:val="single"/>
        </w:rPr>
        <w:t>▲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u w:val="single"/>
          <w:lang w:val="en-US" w:eastAsia="zh-CN"/>
        </w:rPr>
        <w:t>其他要求</w:t>
      </w:r>
    </w:p>
    <w:p>
      <w:pPr>
        <w:keepNext w:val="0"/>
        <w:keepLines w:val="0"/>
        <w:pageBreakBefore w:val="0"/>
        <w:numPr>
          <w:ilvl w:val="0"/>
          <w:numId w:val="14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00" w:firstLineChars="0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u w:val="single"/>
          <w:shd w:val="clear" w:color="auto" w:fill="FDFDFE"/>
        </w:rPr>
        <w:t>在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合同有效期内，比选人有权根据学校的实际需求及运营情况，定期或不定期地出具详细的考核表。中选人需无条件配合并积极参与比选人的各项考核工作，确保考核流程的顺利进行与考核结果的准确性，包括但不限于提供必要的考核数据、接受现场检查与评估、对考核结果进行确认与反馈等。</w:t>
      </w:r>
    </w:p>
    <w:p>
      <w:pPr>
        <w:keepNext w:val="0"/>
        <w:keepLines w:val="0"/>
        <w:pageBreakBefore w:val="0"/>
        <w:numPr>
          <w:ilvl w:val="0"/>
          <w:numId w:val="14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00" w:firstLineChars="0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考核与监督机制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考核制度：原则上每周进行考核，执行《考核表》。根据考核结果及日常督查情况，启动相应的补货机制和退出机制。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反馈渠道：管理部门利用公众号、意见簿等形式，畅通教职工反馈渠道，及时收集对提货点商品种类、数量、质量的意见和建议，作为考核的重要依据之一。</w:t>
      </w:r>
    </w:p>
    <w:p>
      <w:pPr>
        <w:keepNext w:val="0"/>
        <w:keepLines w:val="0"/>
        <w:pageBreakBefore w:val="0"/>
        <w:numPr>
          <w:ilvl w:val="0"/>
          <w:numId w:val="14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00" w:firstLineChars="0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补货机制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常规补货：管理部门在考核中发现营业额较低或教职工反馈商品不足时，参选人应增加商品数量或调整商品种类。参选人应根据销售数据及库存情况，在一周内完成补货。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特殊补货：若遇重大节庆活动（如春节、开学季等）、季节性商品需求波动或突发性团购需求等特殊情况，参选人应提前预判需求，主动提前补货，并确保商品供应充足，避免断货或库存积压。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补货记录：每次补货需记录商品名称、数量、日期等信息，用于货物购买分析，并接受管理部门的监督核查。</w:t>
      </w:r>
    </w:p>
    <w:p>
      <w:pPr>
        <w:keepNext w:val="0"/>
        <w:keepLines w:val="0"/>
        <w:pageBreakBefore w:val="0"/>
        <w:numPr>
          <w:ilvl w:val="0"/>
          <w:numId w:val="14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00" w:firstLineChars="0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退出机制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400" w:leftChars="0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4.1退出条件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参选人出现以下任一情况，将被取消供货资格：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未具备合法经营证照或年审过期。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提供无法溯源的食品；提供有毒、有害、腐烂变质、酸败、霉变、生虫、污秽不洁、混有异物、其他感官性状异常等未达到销售标准的食品。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存在严重违约行为，如办理预付性消费卡、超一周时间占地不供货、货物损坏率过高及服务质量差等。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擅自转让提货点，如未经许可擅自转包、分包。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因不当行为造成学校舆情。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发生安全事故，造成不良社会影响和经济损失。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提货点满意度调查满意率低于90%。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日常考核总分为100分，连续两次得分低于85分（含）。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4.2退出流程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管理部门书面通知供货商退出学校供应点，取消供货资格。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根据合同协议规定，归还相应设备和系统账号等；次月完成财务结算。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如造成经济损失，按照责任赔偿相应损失，从营业款中直接扣减。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4.3后续管理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一周内补充候选供货商，满足师生日常需求。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val="en-US" w:eastAsia="zh-CN"/>
        </w:rPr>
        <w:t>对退出的供货商，如因不当言行造成学校负面形象和舆情，将依法追究相关责任人的法律责任。</w:t>
      </w:r>
    </w:p>
    <w:p>
      <w:pPr>
        <w:snapToGrid w:val="0"/>
        <w:spacing w:line="380" w:lineRule="exact"/>
        <w:outlineLvl w:val="9"/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</w:rPr>
        <w:t>、其他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00" w:firstLineChars="0"/>
        <w:textAlignment w:val="auto"/>
        <w:outlineLvl w:val="9"/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</w:rPr>
        <w:t>标“▲且加下划线”的有关技术和商务要求为实质性条款，</w:t>
      </w: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  <w:lang w:eastAsia="zh-CN"/>
        </w:rPr>
        <w:t>参选人</w:t>
      </w: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</w:rPr>
        <w:t>必须做出实质性响应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</w:rPr>
        <w:t>，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  <w:lang w:val="en-US" w:eastAsia="zh-CN"/>
        </w:rPr>
        <w:t>不能出现负偏离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</w:rPr>
        <w:t>否则视为无效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  <w:lang w:eastAsia="zh-CN"/>
        </w:rPr>
        <w:t>参选文件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</w:rPr>
        <w:t>如技术部分中未特别注明需执行的国家相关标准、行业标准、地方标准或者其他标准、规范，则统一执行最新标准、规范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  <w:t>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50CC6"/>
    <w:multiLevelType w:val="singleLevel"/>
    <w:tmpl w:val="89F50CC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994CB351"/>
    <w:multiLevelType w:val="singleLevel"/>
    <w:tmpl w:val="994CB35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9E78226D"/>
    <w:multiLevelType w:val="singleLevel"/>
    <w:tmpl w:val="9E78226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A11CB888"/>
    <w:multiLevelType w:val="singleLevel"/>
    <w:tmpl w:val="A11CB88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A12D2AD6"/>
    <w:multiLevelType w:val="singleLevel"/>
    <w:tmpl w:val="A12D2AD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AC099E8B"/>
    <w:multiLevelType w:val="singleLevel"/>
    <w:tmpl w:val="AC099E8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B206E0A6"/>
    <w:multiLevelType w:val="singleLevel"/>
    <w:tmpl w:val="B206E0A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B266F528"/>
    <w:multiLevelType w:val="singleLevel"/>
    <w:tmpl w:val="B266F52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B414628C"/>
    <w:multiLevelType w:val="singleLevel"/>
    <w:tmpl w:val="B414628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BD6ED390"/>
    <w:multiLevelType w:val="singleLevel"/>
    <w:tmpl w:val="BD6ED39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C00077A6"/>
    <w:multiLevelType w:val="singleLevel"/>
    <w:tmpl w:val="C00077A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EA1A08F6"/>
    <w:multiLevelType w:val="singleLevel"/>
    <w:tmpl w:val="EA1A08F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EE2FCF55"/>
    <w:multiLevelType w:val="singleLevel"/>
    <w:tmpl w:val="EE2FCF5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042C7F3B"/>
    <w:multiLevelType w:val="singleLevel"/>
    <w:tmpl w:val="042C7F3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">
    <w:nsid w:val="28960A2C"/>
    <w:multiLevelType w:val="singleLevel"/>
    <w:tmpl w:val="28960A2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">
    <w:nsid w:val="43F04DEE"/>
    <w:multiLevelType w:val="singleLevel"/>
    <w:tmpl w:val="43F04DE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">
    <w:nsid w:val="561A06B9"/>
    <w:multiLevelType w:val="singleLevel"/>
    <w:tmpl w:val="561A06B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>
    <w:nsid w:val="5E1E111D"/>
    <w:multiLevelType w:val="singleLevel"/>
    <w:tmpl w:val="5E1E111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8">
    <w:nsid w:val="607AD0C8"/>
    <w:multiLevelType w:val="singleLevel"/>
    <w:tmpl w:val="607AD0C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9">
    <w:nsid w:val="7CDB2B56"/>
    <w:multiLevelType w:val="singleLevel"/>
    <w:tmpl w:val="7CDB2B5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17"/>
  </w:num>
  <w:num w:numId="9">
    <w:abstractNumId w:val="15"/>
  </w:num>
  <w:num w:numId="10">
    <w:abstractNumId w:val="12"/>
  </w:num>
  <w:num w:numId="11">
    <w:abstractNumId w:val="16"/>
  </w:num>
  <w:num w:numId="12">
    <w:abstractNumId w:val="4"/>
  </w:num>
  <w:num w:numId="13">
    <w:abstractNumId w:val="19"/>
  </w:num>
  <w:num w:numId="14">
    <w:abstractNumId w:val="6"/>
  </w:num>
  <w:num w:numId="15">
    <w:abstractNumId w:val="7"/>
  </w:num>
  <w:num w:numId="16">
    <w:abstractNumId w:val="14"/>
  </w:num>
  <w:num w:numId="17">
    <w:abstractNumId w:val="11"/>
  </w:num>
  <w:num w:numId="18">
    <w:abstractNumId w:val="0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02A31"/>
    <w:rsid w:val="40EF13FF"/>
    <w:rsid w:val="5F320571"/>
    <w:rsid w:val="667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3852</Words>
  <Characters>3894</Characters>
  <Lines>0</Lines>
  <Paragraphs>0</Paragraphs>
  <TotalTime>0</TotalTime>
  <ScaleCrop>false</ScaleCrop>
  <LinksUpToDate>false</LinksUpToDate>
  <CharactersWithSpaces>3894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博文</cp:lastModifiedBy>
  <dcterms:modified xsi:type="dcterms:W3CDTF">2025-03-05T01:15:39Z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TemplateDocerSaveRecord">
    <vt:lpwstr>eyJoZGlkIjoiN2EwNTQyMDU4ZjViYTgyY2JhMWRhOWMxODQ1Zjg1MTIiLCJ1c2VySWQiOiIzMTY0NDUwMTMifQ==</vt:lpwstr>
  </property>
  <property fmtid="{D5CDD505-2E9C-101B-9397-08002B2CF9AE}" pid="4" name="ICV">
    <vt:lpwstr>9FBBD6043FEB4B7FA52FE66E0A5612FE_12</vt:lpwstr>
  </property>
</Properties>
</file>