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22FB73">
      <w:pPr>
        <w:spacing w:line="400" w:lineRule="exact"/>
        <w:jc w:val="center"/>
        <w:outlineLvl w:val="1"/>
        <w:rPr>
          <w:rFonts w:hint="eastAsia" w:ascii="宋体" w:hAnsi="宋体" w:cs="宋体"/>
          <w:b/>
          <w:color w:val="auto"/>
          <w:sz w:val="32"/>
          <w:highlight w:val="none"/>
        </w:rPr>
      </w:pPr>
      <w:r>
        <w:rPr>
          <w:rFonts w:hint="eastAsia" w:ascii="宋体" w:hAnsi="宋体" w:cs="宋体"/>
          <w:b/>
          <w:color w:val="auto"/>
          <w:sz w:val="32"/>
          <w:highlight w:val="none"/>
        </w:rPr>
        <w:t>采购需求</w:t>
      </w:r>
    </w:p>
    <w:p w14:paraId="548973C8">
      <w:pPr>
        <w:pStyle w:val="4"/>
        <w:snapToGrid w:val="0"/>
        <w:spacing w:line="360" w:lineRule="exact"/>
        <w:outlineLvl w:val="0"/>
        <w:rPr>
          <w:rFonts w:hint="eastAsia" w:hAnsi="宋体" w:cs="宋体"/>
          <w:b/>
          <w:bCs/>
          <w:color w:val="auto"/>
          <w:sz w:val="22"/>
          <w:highlight w:val="none"/>
        </w:rPr>
      </w:pPr>
      <w:bookmarkStart w:id="0" w:name="_Toc29640"/>
      <w:r>
        <w:rPr>
          <w:rFonts w:hint="eastAsia" w:hAnsi="宋体" w:cs="宋体"/>
          <w:b/>
          <w:bCs/>
          <w:color w:val="auto"/>
          <w:sz w:val="22"/>
          <w:highlight w:val="none"/>
        </w:rPr>
        <w:t>一、采购清单</w:t>
      </w:r>
      <w:bookmarkEnd w:id="0"/>
    </w:p>
    <w:tbl>
      <w:tblPr>
        <w:tblStyle w:val="5"/>
        <w:tblW w:w="9537" w:type="dxa"/>
        <w:jc w:val="center"/>
        <w:tblLayout w:type="fixed"/>
        <w:tblCellMar>
          <w:top w:w="0" w:type="dxa"/>
          <w:left w:w="108" w:type="dxa"/>
          <w:bottom w:w="0" w:type="dxa"/>
          <w:right w:w="108" w:type="dxa"/>
        </w:tblCellMar>
      </w:tblPr>
      <w:tblGrid>
        <w:gridCol w:w="668"/>
        <w:gridCol w:w="4550"/>
        <w:gridCol w:w="984"/>
        <w:gridCol w:w="1700"/>
        <w:gridCol w:w="1635"/>
      </w:tblGrid>
      <w:tr w14:paraId="225D555D">
        <w:tblPrEx>
          <w:tblCellMar>
            <w:top w:w="0" w:type="dxa"/>
            <w:left w:w="108" w:type="dxa"/>
            <w:bottom w:w="0" w:type="dxa"/>
            <w:right w:w="108" w:type="dxa"/>
          </w:tblCellMar>
        </w:tblPrEx>
        <w:trPr>
          <w:trHeight w:val="454" w:hRule="atLeast"/>
          <w:jc w:val="center"/>
        </w:trPr>
        <w:tc>
          <w:tcPr>
            <w:tcW w:w="66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7C9431F">
            <w:pPr>
              <w:spacing w:line="380" w:lineRule="exact"/>
              <w:jc w:val="center"/>
              <w:rPr>
                <w:rFonts w:hint="eastAsia" w:ascii="宋体" w:hAnsi="宋体" w:cs="宋体"/>
                <w:color w:val="auto"/>
                <w:sz w:val="22"/>
                <w:highlight w:val="none"/>
              </w:rPr>
            </w:pPr>
            <w:r>
              <w:rPr>
                <w:rFonts w:hint="eastAsia" w:ascii="宋体" w:hAnsi="宋体" w:cs="宋体"/>
                <w:color w:val="auto"/>
                <w:sz w:val="22"/>
                <w:highlight w:val="none"/>
              </w:rPr>
              <w:t>标项</w:t>
            </w:r>
          </w:p>
        </w:tc>
        <w:tc>
          <w:tcPr>
            <w:tcW w:w="455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89A0940">
            <w:pPr>
              <w:spacing w:line="380" w:lineRule="exact"/>
              <w:jc w:val="center"/>
              <w:rPr>
                <w:rFonts w:hint="eastAsia" w:ascii="宋体" w:hAnsi="宋体" w:cs="宋体"/>
                <w:color w:val="auto"/>
                <w:sz w:val="22"/>
                <w:highlight w:val="none"/>
              </w:rPr>
            </w:pPr>
            <w:r>
              <w:rPr>
                <w:rFonts w:hint="eastAsia" w:ascii="宋体" w:hAnsi="宋体" w:cs="宋体"/>
                <w:color w:val="auto"/>
                <w:sz w:val="22"/>
                <w:highlight w:val="none"/>
              </w:rPr>
              <w:t>项目名称</w:t>
            </w:r>
          </w:p>
        </w:tc>
        <w:tc>
          <w:tcPr>
            <w:tcW w:w="984" w:type="dxa"/>
            <w:tcBorders>
              <w:top w:val="single" w:color="000000" w:sz="4" w:space="0"/>
              <w:left w:val="single" w:color="000000" w:sz="4" w:space="0"/>
              <w:bottom w:val="single" w:color="000000" w:sz="4" w:space="0"/>
              <w:right w:val="single" w:color="auto" w:sz="4" w:space="0"/>
            </w:tcBorders>
            <w:noWrap w:val="0"/>
            <w:tcMar>
              <w:top w:w="0" w:type="dxa"/>
              <w:left w:w="108" w:type="dxa"/>
              <w:bottom w:w="0" w:type="dxa"/>
              <w:right w:w="108" w:type="dxa"/>
            </w:tcMar>
            <w:vAlign w:val="center"/>
          </w:tcPr>
          <w:p w14:paraId="1EE5A509">
            <w:pPr>
              <w:spacing w:line="380" w:lineRule="exact"/>
              <w:jc w:val="center"/>
              <w:rPr>
                <w:rFonts w:hint="eastAsia" w:ascii="宋体" w:hAnsi="宋体" w:cs="宋体"/>
                <w:color w:val="auto"/>
                <w:sz w:val="22"/>
                <w:highlight w:val="none"/>
              </w:rPr>
            </w:pPr>
            <w:r>
              <w:rPr>
                <w:rFonts w:hint="eastAsia" w:ascii="宋体" w:hAnsi="宋体" w:cs="宋体"/>
                <w:color w:val="auto"/>
                <w:sz w:val="22"/>
                <w:highlight w:val="none"/>
              </w:rPr>
              <w:t>数量</w:t>
            </w:r>
          </w:p>
        </w:tc>
        <w:tc>
          <w:tcPr>
            <w:tcW w:w="1700" w:type="dxa"/>
            <w:tcBorders>
              <w:top w:val="single" w:color="000000" w:sz="4" w:space="0"/>
              <w:left w:val="single" w:color="000000" w:sz="4" w:space="0"/>
              <w:bottom w:val="single" w:color="000000" w:sz="4" w:space="0"/>
              <w:right w:val="single" w:color="auto" w:sz="4" w:space="0"/>
            </w:tcBorders>
            <w:noWrap w:val="0"/>
            <w:tcMar>
              <w:top w:w="0" w:type="dxa"/>
              <w:left w:w="108" w:type="dxa"/>
              <w:bottom w:w="0" w:type="dxa"/>
              <w:right w:w="108" w:type="dxa"/>
            </w:tcMar>
            <w:vAlign w:val="center"/>
          </w:tcPr>
          <w:p w14:paraId="10BE84CE">
            <w:pPr>
              <w:spacing w:line="380" w:lineRule="exact"/>
              <w:jc w:val="center"/>
              <w:rPr>
                <w:rFonts w:hint="eastAsia" w:ascii="宋体" w:hAnsi="宋体" w:cs="宋体"/>
                <w:color w:val="auto"/>
                <w:sz w:val="22"/>
                <w:highlight w:val="none"/>
              </w:rPr>
            </w:pPr>
            <w:r>
              <w:rPr>
                <w:rFonts w:hint="eastAsia" w:ascii="宋体" w:hAnsi="宋体" w:cs="宋体"/>
                <w:color w:val="auto"/>
                <w:sz w:val="22"/>
                <w:highlight w:val="none"/>
              </w:rPr>
              <w:t>预算金额(元)</w:t>
            </w:r>
          </w:p>
        </w:tc>
        <w:tc>
          <w:tcPr>
            <w:tcW w:w="1635" w:type="dxa"/>
            <w:tcBorders>
              <w:top w:val="single" w:color="000000" w:sz="4" w:space="0"/>
              <w:left w:val="single" w:color="000000" w:sz="4" w:space="0"/>
              <w:bottom w:val="single" w:color="000000" w:sz="4" w:space="0"/>
              <w:right w:val="single" w:color="auto" w:sz="4" w:space="0"/>
            </w:tcBorders>
            <w:noWrap w:val="0"/>
            <w:tcMar>
              <w:top w:w="0" w:type="dxa"/>
              <w:left w:w="108" w:type="dxa"/>
              <w:bottom w:w="0" w:type="dxa"/>
              <w:right w:w="108" w:type="dxa"/>
            </w:tcMar>
            <w:vAlign w:val="center"/>
          </w:tcPr>
          <w:p w14:paraId="77555DA5">
            <w:pPr>
              <w:spacing w:line="360" w:lineRule="exact"/>
              <w:jc w:val="center"/>
              <w:rPr>
                <w:rFonts w:hint="eastAsia" w:ascii="宋体" w:hAnsi="宋体" w:cs="宋体"/>
                <w:color w:val="auto"/>
                <w:sz w:val="22"/>
                <w:highlight w:val="none"/>
              </w:rPr>
            </w:pPr>
            <w:r>
              <w:rPr>
                <w:rFonts w:hint="eastAsia" w:ascii="宋体" w:hAnsi="宋体" w:cs="宋体"/>
                <w:bCs/>
                <w:color w:val="auto"/>
                <w:spacing w:val="-6"/>
                <w:sz w:val="22"/>
                <w:highlight w:val="none"/>
              </w:rPr>
              <w:t>是否允许进口</w:t>
            </w:r>
          </w:p>
        </w:tc>
      </w:tr>
      <w:tr w14:paraId="3177A0A6">
        <w:tblPrEx>
          <w:tblCellMar>
            <w:top w:w="0" w:type="dxa"/>
            <w:left w:w="108" w:type="dxa"/>
            <w:bottom w:w="0" w:type="dxa"/>
            <w:right w:w="108" w:type="dxa"/>
          </w:tblCellMar>
        </w:tblPrEx>
        <w:trPr>
          <w:trHeight w:val="516" w:hRule="atLeast"/>
          <w:jc w:val="center"/>
        </w:trPr>
        <w:tc>
          <w:tcPr>
            <w:tcW w:w="66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6B446EF">
            <w:pPr>
              <w:spacing w:line="380" w:lineRule="exact"/>
              <w:jc w:val="center"/>
              <w:rPr>
                <w:rFonts w:hint="eastAsia" w:ascii="宋体" w:hAnsi="宋体" w:cs="宋体"/>
                <w:color w:val="auto"/>
                <w:sz w:val="22"/>
                <w:highlight w:val="none"/>
              </w:rPr>
            </w:pPr>
            <w:r>
              <w:rPr>
                <w:rFonts w:hint="eastAsia" w:ascii="宋体" w:hAnsi="宋体" w:cs="宋体"/>
                <w:color w:val="auto"/>
                <w:sz w:val="22"/>
                <w:highlight w:val="none"/>
              </w:rPr>
              <w:t>1</w:t>
            </w:r>
          </w:p>
        </w:tc>
        <w:tc>
          <w:tcPr>
            <w:tcW w:w="455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2528236">
            <w:pPr>
              <w:spacing w:line="380" w:lineRule="exact"/>
              <w:jc w:val="center"/>
              <w:rPr>
                <w:rFonts w:ascii="宋体" w:hAnsi="宋体" w:cs="宋体"/>
                <w:color w:val="auto"/>
                <w:sz w:val="22"/>
                <w:highlight w:val="none"/>
              </w:rPr>
            </w:pPr>
            <w:r>
              <w:rPr>
                <w:rFonts w:hint="eastAsia" w:ascii="宋体" w:hAnsi="宋体" w:cs="宋体"/>
                <w:b/>
                <w:bCs/>
                <w:color w:val="auto"/>
                <w:kern w:val="0"/>
                <w:sz w:val="22"/>
                <w:highlight w:val="none"/>
              </w:rPr>
              <w:t>人工智能学院一体化设备柜和网络设施采购项目</w:t>
            </w:r>
          </w:p>
        </w:tc>
        <w:tc>
          <w:tcPr>
            <w:tcW w:w="984" w:type="dxa"/>
            <w:tcBorders>
              <w:top w:val="single" w:color="000000" w:sz="4" w:space="0"/>
              <w:left w:val="single" w:color="000000" w:sz="4" w:space="0"/>
              <w:bottom w:val="single" w:color="000000" w:sz="4" w:space="0"/>
              <w:right w:val="single" w:color="auto" w:sz="4" w:space="0"/>
            </w:tcBorders>
            <w:noWrap w:val="0"/>
            <w:tcMar>
              <w:top w:w="0" w:type="dxa"/>
              <w:left w:w="108" w:type="dxa"/>
              <w:bottom w:w="0" w:type="dxa"/>
              <w:right w:w="108" w:type="dxa"/>
            </w:tcMar>
            <w:vAlign w:val="center"/>
          </w:tcPr>
          <w:p w14:paraId="336FD5B4">
            <w:pPr>
              <w:spacing w:line="380" w:lineRule="exact"/>
              <w:jc w:val="center"/>
              <w:rPr>
                <w:rFonts w:hint="eastAsia" w:ascii="宋体" w:hAnsi="宋体" w:cs="宋体"/>
                <w:color w:val="auto"/>
                <w:sz w:val="22"/>
                <w:highlight w:val="none"/>
              </w:rPr>
            </w:pPr>
            <w:r>
              <w:rPr>
                <w:rFonts w:hint="eastAsia" w:ascii="宋体" w:hAnsi="宋体" w:cs="宋体"/>
                <w:color w:val="auto"/>
                <w:sz w:val="22"/>
                <w:highlight w:val="none"/>
              </w:rPr>
              <w:t>1批</w:t>
            </w:r>
          </w:p>
        </w:tc>
        <w:tc>
          <w:tcPr>
            <w:tcW w:w="1700" w:type="dxa"/>
            <w:tcBorders>
              <w:top w:val="single" w:color="000000" w:sz="4" w:space="0"/>
              <w:left w:val="single" w:color="auto" w:sz="4" w:space="0"/>
              <w:bottom w:val="single" w:color="000000" w:sz="4" w:space="0"/>
              <w:right w:val="single" w:color="auto" w:sz="4" w:space="0"/>
            </w:tcBorders>
            <w:noWrap w:val="0"/>
            <w:tcMar>
              <w:top w:w="0" w:type="dxa"/>
              <w:left w:w="108" w:type="dxa"/>
              <w:bottom w:w="0" w:type="dxa"/>
              <w:right w:w="108" w:type="dxa"/>
            </w:tcMar>
            <w:vAlign w:val="center"/>
          </w:tcPr>
          <w:p w14:paraId="1B1C6FED">
            <w:pPr>
              <w:spacing w:line="380" w:lineRule="exact"/>
              <w:jc w:val="center"/>
              <w:rPr>
                <w:rFonts w:hint="eastAsia" w:ascii="宋体" w:hAnsi="宋体" w:cs="宋体"/>
                <w:color w:val="auto"/>
                <w:sz w:val="22"/>
                <w:highlight w:val="none"/>
              </w:rPr>
            </w:pPr>
            <w:r>
              <w:rPr>
                <w:rFonts w:hint="eastAsia" w:ascii="宋体" w:hAnsi="宋体" w:cs="宋体"/>
                <w:color w:val="auto"/>
                <w:kern w:val="0"/>
                <w:sz w:val="22"/>
                <w:highlight w:val="none"/>
              </w:rPr>
              <w:t xml:space="preserve"> 381120</w:t>
            </w:r>
          </w:p>
        </w:tc>
        <w:tc>
          <w:tcPr>
            <w:tcW w:w="1635" w:type="dxa"/>
            <w:tcBorders>
              <w:top w:val="single" w:color="000000" w:sz="4" w:space="0"/>
              <w:left w:val="single" w:color="auto" w:sz="4" w:space="0"/>
              <w:bottom w:val="single" w:color="000000" w:sz="4" w:space="0"/>
              <w:right w:val="single" w:color="auto" w:sz="4" w:space="0"/>
            </w:tcBorders>
            <w:noWrap w:val="0"/>
            <w:tcMar>
              <w:top w:w="0" w:type="dxa"/>
              <w:left w:w="108" w:type="dxa"/>
              <w:bottom w:w="0" w:type="dxa"/>
              <w:right w:w="108" w:type="dxa"/>
            </w:tcMar>
            <w:vAlign w:val="center"/>
          </w:tcPr>
          <w:p w14:paraId="6A71FF46">
            <w:pPr>
              <w:spacing w:line="360" w:lineRule="exact"/>
              <w:jc w:val="center"/>
              <w:rPr>
                <w:rFonts w:hint="eastAsia" w:ascii="宋体" w:hAnsi="宋体" w:cs="宋体"/>
                <w:color w:val="auto"/>
                <w:sz w:val="22"/>
                <w:highlight w:val="none"/>
              </w:rPr>
            </w:pPr>
            <w:r>
              <w:rPr>
                <w:rFonts w:hint="eastAsia" w:ascii="宋体" w:hAnsi="宋体" w:cs="宋体"/>
                <w:bCs/>
                <w:color w:val="auto"/>
                <w:spacing w:val="-6"/>
                <w:sz w:val="22"/>
                <w:highlight w:val="none"/>
              </w:rPr>
              <w:t>否</w:t>
            </w:r>
          </w:p>
        </w:tc>
      </w:tr>
    </w:tbl>
    <w:p w14:paraId="429C84AD">
      <w:pPr>
        <w:snapToGrid w:val="0"/>
        <w:spacing w:line="360" w:lineRule="exact"/>
        <w:outlineLvl w:val="0"/>
        <w:rPr>
          <w:rFonts w:hint="eastAsia" w:ascii="宋体" w:hAnsi="宋体" w:cs="宋体"/>
          <w:b/>
          <w:bCs/>
          <w:color w:val="auto"/>
          <w:spacing w:val="-6"/>
          <w:sz w:val="22"/>
          <w:highlight w:val="none"/>
        </w:rPr>
      </w:pPr>
      <w:bookmarkStart w:id="1" w:name="_Toc11956"/>
      <w:r>
        <w:rPr>
          <w:rFonts w:hint="eastAsia" w:ascii="宋体" w:hAnsi="宋体" w:cs="宋体"/>
          <w:b/>
          <w:bCs/>
          <w:color w:val="auto"/>
          <w:sz w:val="22"/>
          <w:highlight w:val="none"/>
        </w:rPr>
        <w:t>二、</w:t>
      </w:r>
      <w:r>
        <w:rPr>
          <w:rFonts w:hint="eastAsia" w:ascii="宋体" w:hAnsi="宋体" w:cs="宋体"/>
          <w:b/>
          <w:bCs/>
          <w:color w:val="auto"/>
          <w:spacing w:val="-6"/>
          <w:sz w:val="22"/>
          <w:highlight w:val="none"/>
        </w:rPr>
        <w:t>商务要求（技术要求里另有注明的以技术要求为准）</w:t>
      </w:r>
      <w:bookmarkEnd w:id="1"/>
    </w:p>
    <w:tbl>
      <w:tblPr>
        <w:tblStyle w:val="5"/>
        <w:tblW w:w="933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28"/>
        <w:gridCol w:w="7702"/>
      </w:tblGrid>
      <w:tr w14:paraId="7BC8BC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628" w:type="dxa"/>
            <w:tcBorders>
              <w:top w:val="single" w:color="auto" w:sz="4" w:space="0"/>
              <w:left w:val="single" w:color="auto" w:sz="4" w:space="0"/>
              <w:bottom w:val="single" w:color="auto" w:sz="4" w:space="0"/>
              <w:right w:val="single" w:color="auto" w:sz="4" w:space="0"/>
            </w:tcBorders>
            <w:noWrap w:val="0"/>
            <w:vAlign w:val="center"/>
          </w:tcPr>
          <w:p w14:paraId="464809EC">
            <w:pPr>
              <w:spacing w:line="360" w:lineRule="exact"/>
              <w:jc w:val="center"/>
              <w:rPr>
                <w:rFonts w:hint="eastAsia" w:ascii="宋体" w:hAnsi="宋体" w:cs="宋体"/>
                <w:b/>
                <w:bCs/>
                <w:color w:val="auto"/>
                <w:sz w:val="22"/>
                <w:highlight w:val="none"/>
                <w:u w:val="single"/>
              </w:rPr>
            </w:pPr>
            <w:r>
              <w:rPr>
                <w:rFonts w:hint="eastAsia" w:ascii="宋体" w:hAnsi="宋体" w:cs="宋体"/>
                <w:b/>
                <w:bCs/>
                <w:color w:val="auto"/>
                <w:sz w:val="22"/>
                <w:highlight w:val="none"/>
                <w:u w:val="single"/>
              </w:rPr>
              <w:t>▲付款方式</w:t>
            </w:r>
          </w:p>
        </w:tc>
        <w:tc>
          <w:tcPr>
            <w:tcW w:w="7702" w:type="dxa"/>
            <w:tcBorders>
              <w:top w:val="single" w:color="auto" w:sz="4" w:space="0"/>
              <w:left w:val="single" w:color="auto" w:sz="4" w:space="0"/>
              <w:bottom w:val="single" w:color="auto" w:sz="4" w:space="0"/>
              <w:right w:val="single" w:color="auto" w:sz="4" w:space="0"/>
            </w:tcBorders>
            <w:noWrap w:val="0"/>
            <w:vAlign w:val="center"/>
          </w:tcPr>
          <w:p w14:paraId="3EFB76D8">
            <w:pPr>
              <w:spacing w:line="360" w:lineRule="exact"/>
              <w:jc w:val="left"/>
              <w:rPr>
                <w:rFonts w:hint="eastAsia" w:ascii="宋体" w:hAnsi="宋体" w:cs="宋体"/>
                <w:b/>
                <w:bCs/>
                <w:color w:val="auto"/>
                <w:sz w:val="22"/>
                <w:highlight w:val="none"/>
                <w:u w:val="single"/>
              </w:rPr>
            </w:pPr>
            <w:r>
              <w:rPr>
                <w:rFonts w:hint="eastAsia" w:ascii="宋体" w:hAnsi="宋体" w:cs="宋体"/>
                <w:color w:val="auto"/>
                <w:sz w:val="22"/>
                <w:highlight w:val="none"/>
                <w:u w:val="single"/>
              </w:rPr>
              <w:t>卖方完成全部供货及安装、调试、培训等服务，通过买方验收后，卖方向买方支付合同价款的5%作为履约保证金（需提供汇款凭证复印件），并开具合同金额100%的增值税正式发票，买方入库报销后15个工作日内，买方向卖方支付100%合同价款；自验收通过之日起计算，一年满后无质量问题，买方无息退还履约保证金。</w:t>
            </w:r>
          </w:p>
        </w:tc>
      </w:tr>
      <w:tr w14:paraId="42549F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628" w:type="dxa"/>
            <w:tcBorders>
              <w:top w:val="single" w:color="auto" w:sz="4" w:space="0"/>
              <w:left w:val="single" w:color="auto" w:sz="4" w:space="0"/>
              <w:bottom w:val="single" w:color="auto" w:sz="4" w:space="0"/>
              <w:right w:val="single" w:color="auto" w:sz="4" w:space="0"/>
            </w:tcBorders>
            <w:noWrap w:val="0"/>
            <w:vAlign w:val="center"/>
          </w:tcPr>
          <w:p w14:paraId="4D0918C5">
            <w:pPr>
              <w:spacing w:line="360" w:lineRule="exact"/>
              <w:jc w:val="center"/>
              <w:rPr>
                <w:rFonts w:hint="eastAsia" w:ascii="宋体" w:hAnsi="宋体" w:cs="宋体"/>
                <w:b/>
                <w:bCs/>
                <w:color w:val="auto"/>
                <w:sz w:val="22"/>
                <w:highlight w:val="none"/>
                <w:u w:val="single"/>
              </w:rPr>
            </w:pPr>
            <w:r>
              <w:rPr>
                <w:rFonts w:hint="eastAsia" w:ascii="宋体" w:hAnsi="宋体" w:cs="宋体"/>
                <w:color w:val="auto"/>
                <w:sz w:val="22"/>
                <w:highlight w:val="none"/>
                <w:u w:val="single"/>
              </w:rPr>
              <w:t>▲</w:t>
            </w:r>
            <w:r>
              <w:rPr>
                <w:rFonts w:hint="eastAsia" w:ascii="宋体" w:hAnsi="宋体" w:cs="宋体"/>
                <w:b/>
                <w:bCs/>
                <w:color w:val="auto"/>
                <w:sz w:val="22"/>
                <w:highlight w:val="none"/>
                <w:u w:val="single"/>
              </w:rPr>
              <w:t>质保期</w:t>
            </w:r>
          </w:p>
        </w:tc>
        <w:tc>
          <w:tcPr>
            <w:tcW w:w="7702" w:type="dxa"/>
            <w:tcBorders>
              <w:top w:val="single" w:color="auto" w:sz="4" w:space="0"/>
              <w:left w:val="single" w:color="auto" w:sz="4" w:space="0"/>
              <w:bottom w:val="single" w:color="auto" w:sz="4" w:space="0"/>
              <w:right w:val="single" w:color="auto" w:sz="4" w:space="0"/>
            </w:tcBorders>
            <w:noWrap w:val="0"/>
            <w:vAlign w:val="center"/>
          </w:tcPr>
          <w:p w14:paraId="6D158D6B">
            <w:pPr>
              <w:spacing w:line="360" w:lineRule="exact"/>
              <w:rPr>
                <w:rFonts w:hint="eastAsia" w:ascii="宋体" w:hAnsi="宋体" w:cs="宋体"/>
                <w:color w:val="auto"/>
                <w:sz w:val="22"/>
                <w:highlight w:val="none"/>
                <w:u w:val="single"/>
              </w:rPr>
            </w:pPr>
            <w:r>
              <w:rPr>
                <w:rFonts w:hint="eastAsia" w:ascii="宋体" w:hAnsi="宋体" w:cs="宋体"/>
                <w:color w:val="auto"/>
                <w:sz w:val="22"/>
                <w:highlight w:val="none"/>
                <w:u w:val="single"/>
              </w:rPr>
              <w:t>提供不少于三年原厂质保服务。质保期内免费维护升级，质保期结束后供应方应保证相关设备（软件）现有功能正常使用。质保期结束后如需升级，年维护费用不得超过投标人对外公布的全国统一的收费标准（且不超过合同金额5%）。</w:t>
            </w:r>
          </w:p>
        </w:tc>
      </w:tr>
      <w:tr w14:paraId="4C4875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628" w:type="dxa"/>
            <w:tcBorders>
              <w:top w:val="single" w:color="auto" w:sz="4" w:space="0"/>
              <w:left w:val="single" w:color="auto" w:sz="4" w:space="0"/>
              <w:bottom w:val="single" w:color="auto" w:sz="4" w:space="0"/>
              <w:right w:val="single" w:color="auto" w:sz="4" w:space="0"/>
            </w:tcBorders>
            <w:noWrap w:val="0"/>
            <w:vAlign w:val="center"/>
          </w:tcPr>
          <w:p w14:paraId="06D5EAF1">
            <w:pPr>
              <w:spacing w:line="360" w:lineRule="exact"/>
              <w:jc w:val="center"/>
              <w:rPr>
                <w:rFonts w:hint="eastAsia" w:ascii="宋体" w:hAnsi="宋体" w:cs="宋体"/>
                <w:color w:val="auto"/>
                <w:sz w:val="22"/>
                <w:highlight w:val="none"/>
              </w:rPr>
            </w:pPr>
            <w:r>
              <w:rPr>
                <w:rFonts w:hint="eastAsia" w:ascii="宋体" w:hAnsi="宋体" w:cs="宋体"/>
                <w:b/>
                <w:bCs/>
                <w:color w:val="auto"/>
                <w:sz w:val="22"/>
                <w:highlight w:val="none"/>
              </w:rPr>
              <w:t>交付时间</w:t>
            </w:r>
          </w:p>
        </w:tc>
        <w:tc>
          <w:tcPr>
            <w:tcW w:w="7702" w:type="dxa"/>
            <w:tcBorders>
              <w:top w:val="single" w:color="auto" w:sz="4" w:space="0"/>
              <w:left w:val="single" w:color="auto" w:sz="4" w:space="0"/>
              <w:bottom w:val="single" w:color="auto" w:sz="4" w:space="0"/>
              <w:right w:val="single" w:color="auto" w:sz="4" w:space="0"/>
            </w:tcBorders>
            <w:noWrap w:val="0"/>
            <w:vAlign w:val="center"/>
          </w:tcPr>
          <w:p w14:paraId="42CC02FC">
            <w:pPr>
              <w:widowControl/>
              <w:spacing w:line="360" w:lineRule="exact"/>
              <w:jc w:val="left"/>
              <w:rPr>
                <w:rFonts w:ascii="宋体" w:hAnsi="宋体" w:cs="宋体"/>
                <w:color w:val="auto"/>
                <w:sz w:val="22"/>
                <w:highlight w:val="none"/>
              </w:rPr>
            </w:pPr>
            <w:r>
              <w:rPr>
                <w:rFonts w:hint="eastAsia" w:ascii="宋体" w:hAnsi="宋体" w:cs="宋体"/>
                <w:color w:val="auto"/>
                <w:sz w:val="22"/>
                <w:highlight w:val="none"/>
              </w:rPr>
              <w:t>中标后20个工作时间内交付完成。</w:t>
            </w:r>
          </w:p>
        </w:tc>
      </w:tr>
      <w:tr w14:paraId="53E5C4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628" w:type="dxa"/>
            <w:tcBorders>
              <w:top w:val="single" w:color="auto" w:sz="4" w:space="0"/>
              <w:left w:val="single" w:color="auto" w:sz="4" w:space="0"/>
              <w:bottom w:val="single" w:color="auto" w:sz="4" w:space="0"/>
              <w:right w:val="single" w:color="auto" w:sz="4" w:space="0"/>
            </w:tcBorders>
            <w:noWrap w:val="0"/>
            <w:vAlign w:val="center"/>
          </w:tcPr>
          <w:p w14:paraId="45F142BD">
            <w:pPr>
              <w:spacing w:line="360" w:lineRule="exact"/>
              <w:jc w:val="center"/>
              <w:rPr>
                <w:rFonts w:hint="eastAsia" w:ascii="宋体" w:hAnsi="宋体" w:cs="宋体"/>
                <w:b/>
                <w:bCs/>
                <w:color w:val="auto"/>
                <w:sz w:val="22"/>
                <w:highlight w:val="none"/>
              </w:rPr>
            </w:pPr>
            <w:r>
              <w:rPr>
                <w:rFonts w:hint="eastAsia" w:ascii="宋体" w:hAnsi="宋体" w:cs="宋体"/>
                <w:b/>
                <w:bCs/>
                <w:color w:val="auto"/>
                <w:sz w:val="22"/>
                <w:highlight w:val="none"/>
              </w:rPr>
              <w:t>交付地点</w:t>
            </w:r>
          </w:p>
        </w:tc>
        <w:tc>
          <w:tcPr>
            <w:tcW w:w="7702" w:type="dxa"/>
            <w:tcBorders>
              <w:top w:val="single" w:color="auto" w:sz="4" w:space="0"/>
              <w:left w:val="single" w:color="auto" w:sz="4" w:space="0"/>
              <w:bottom w:val="single" w:color="auto" w:sz="4" w:space="0"/>
              <w:right w:val="single" w:color="auto" w:sz="4" w:space="0"/>
            </w:tcBorders>
            <w:noWrap w:val="0"/>
            <w:vAlign w:val="center"/>
          </w:tcPr>
          <w:p w14:paraId="5B9F434D">
            <w:pPr>
              <w:pStyle w:val="3"/>
              <w:spacing w:line="360" w:lineRule="exact"/>
              <w:rPr>
                <w:rFonts w:hint="eastAsia" w:ascii="宋体" w:hAnsi="宋体" w:cs="宋体"/>
                <w:color w:val="auto"/>
                <w:sz w:val="22"/>
                <w:highlight w:val="none"/>
              </w:rPr>
            </w:pPr>
            <w:r>
              <w:rPr>
                <w:rFonts w:hint="eastAsia" w:ascii="宋体" w:hAnsi="宋体" w:cs="宋体"/>
                <w:color w:val="auto"/>
                <w:sz w:val="22"/>
                <w:highlight w:val="none"/>
              </w:rPr>
              <w:t>温州职业技术学院指定地点。</w:t>
            </w:r>
          </w:p>
        </w:tc>
      </w:tr>
      <w:tr w14:paraId="3252C5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628" w:type="dxa"/>
            <w:tcBorders>
              <w:top w:val="single" w:color="auto" w:sz="4" w:space="0"/>
              <w:left w:val="single" w:color="auto" w:sz="4" w:space="0"/>
              <w:bottom w:val="single" w:color="auto" w:sz="4" w:space="0"/>
              <w:right w:val="single" w:color="auto" w:sz="4" w:space="0"/>
            </w:tcBorders>
            <w:noWrap w:val="0"/>
            <w:vAlign w:val="center"/>
          </w:tcPr>
          <w:p w14:paraId="616B8DD7">
            <w:pPr>
              <w:spacing w:line="360" w:lineRule="exact"/>
              <w:jc w:val="center"/>
              <w:rPr>
                <w:rFonts w:hint="eastAsia" w:ascii="宋体" w:hAnsi="宋体" w:cs="宋体"/>
                <w:b/>
                <w:bCs/>
                <w:color w:val="auto"/>
                <w:sz w:val="22"/>
                <w:highlight w:val="none"/>
              </w:rPr>
            </w:pPr>
            <w:r>
              <w:rPr>
                <w:rFonts w:hint="eastAsia" w:ascii="宋体" w:hAnsi="宋体" w:cs="宋体"/>
                <w:b/>
                <w:bCs/>
                <w:color w:val="auto"/>
                <w:sz w:val="22"/>
                <w:highlight w:val="none"/>
              </w:rPr>
              <w:t>服务标准、期限、效率等要求</w:t>
            </w:r>
          </w:p>
        </w:tc>
        <w:tc>
          <w:tcPr>
            <w:tcW w:w="7702" w:type="dxa"/>
            <w:tcBorders>
              <w:top w:val="single" w:color="auto" w:sz="4" w:space="0"/>
              <w:left w:val="single" w:color="auto" w:sz="4" w:space="0"/>
              <w:bottom w:val="single" w:color="auto" w:sz="4" w:space="0"/>
              <w:right w:val="single" w:color="auto" w:sz="4" w:space="0"/>
            </w:tcBorders>
            <w:noWrap w:val="0"/>
            <w:vAlign w:val="center"/>
          </w:tcPr>
          <w:p w14:paraId="1453A0F1">
            <w:pPr>
              <w:spacing w:line="360" w:lineRule="exact"/>
              <w:jc w:val="left"/>
              <w:rPr>
                <w:rFonts w:hint="eastAsia" w:ascii="宋体" w:hAnsi="宋体" w:cs="宋体"/>
                <w:color w:val="auto"/>
                <w:sz w:val="22"/>
                <w:highlight w:val="none"/>
              </w:rPr>
            </w:pPr>
            <w:r>
              <w:rPr>
                <w:rFonts w:hint="eastAsia" w:ascii="宋体" w:hAnsi="宋体" w:cs="宋体"/>
                <w:color w:val="auto"/>
                <w:sz w:val="22"/>
                <w:highlight w:val="none"/>
              </w:rPr>
              <w:t>1.投标人需要提供安装服务实施方案，根据交付时间节点，落实安装时间和人员安排，确保按期交付使用。</w:t>
            </w:r>
          </w:p>
          <w:p w14:paraId="0DCA3556">
            <w:pPr>
              <w:spacing w:line="360" w:lineRule="exact"/>
              <w:jc w:val="left"/>
              <w:rPr>
                <w:rFonts w:hint="eastAsia" w:ascii="宋体" w:hAnsi="宋体" w:cs="宋体"/>
                <w:color w:val="auto"/>
                <w:sz w:val="22"/>
                <w:highlight w:val="none"/>
              </w:rPr>
            </w:pPr>
            <w:r>
              <w:rPr>
                <w:rFonts w:hint="eastAsia" w:ascii="宋体" w:hAnsi="宋体" w:cs="宋体"/>
                <w:color w:val="auto"/>
                <w:sz w:val="22"/>
                <w:highlight w:val="none"/>
              </w:rPr>
              <w:t>2.售后服务要求：投标人需提供24小时售后服务，且售后人员须在接到电话后1小时内做出响应，12小时内提供不间断的服务直到修复为止。</w:t>
            </w:r>
          </w:p>
        </w:tc>
      </w:tr>
      <w:tr w14:paraId="0D9682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628" w:type="dxa"/>
            <w:tcBorders>
              <w:top w:val="single" w:color="auto" w:sz="4" w:space="0"/>
              <w:left w:val="single" w:color="auto" w:sz="4" w:space="0"/>
              <w:bottom w:val="single" w:color="auto" w:sz="4" w:space="0"/>
              <w:right w:val="single" w:color="auto" w:sz="4" w:space="0"/>
            </w:tcBorders>
            <w:noWrap w:val="0"/>
            <w:vAlign w:val="center"/>
          </w:tcPr>
          <w:p w14:paraId="16142283">
            <w:pPr>
              <w:spacing w:line="360" w:lineRule="exact"/>
              <w:jc w:val="center"/>
              <w:rPr>
                <w:rFonts w:hint="eastAsia" w:ascii="宋体" w:hAnsi="宋体" w:cs="宋体"/>
                <w:b/>
                <w:color w:val="auto"/>
                <w:szCs w:val="21"/>
                <w:highlight w:val="none"/>
              </w:rPr>
            </w:pPr>
            <w:r>
              <w:rPr>
                <w:rFonts w:hint="eastAsia" w:ascii="宋体" w:hAnsi="宋体" w:cs="宋体"/>
                <w:b/>
                <w:bCs/>
                <w:color w:val="auto"/>
                <w:sz w:val="22"/>
                <w:highlight w:val="none"/>
              </w:rPr>
              <w:t>验收标准</w:t>
            </w:r>
          </w:p>
        </w:tc>
        <w:tc>
          <w:tcPr>
            <w:tcW w:w="7702" w:type="dxa"/>
            <w:tcBorders>
              <w:top w:val="single" w:color="auto" w:sz="4" w:space="0"/>
              <w:left w:val="single" w:color="auto" w:sz="4" w:space="0"/>
              <w:bottom w:val="single" w:color="auto" w:sz="4" w:space="0"/>
              <w:right w:val="single" w:color="auto" w:sz="4" w:space="0"/>
            </w:tcBorders>
            <w:noWrap w:val="0"/>
            <w:vAlign w:val="center"/>
          </w:tcPr>
          <w:p w14:paraId="29776864">
            <w:pPr>
              <w:widowControl/>
              <w:spacing w:line="360" w:lineRule="exact"/>
              <w:jc w:val="left"/>
              <w:rPr>
                <w:rFonts w:hint="eastAsia" w:ascii="宋体" w:hAnsi="宋体" w:cs="宋体"/>
                <w:color w:val="auto"/>
                <w:sz w:val="22"/>
                <w:highlight w:val="none"/>
              </w:rPr>
            </w:pPr>
            <w:r>
              <w:rPr>
                <w:rFonts w:hint="eastAsia" w:ascii="宋体" w:hAnsi="宋体" w:cs="宋体"/>
                <w:color w:val="auto"/>
                <w:sz w:val="22"/>
                <w:highlight w:val="none"/>
              </w:rPr>
              <w:t>1.验收标准应符合中国有关的国家、地方、行业的标准。</w:t>
            </w:r>
          </w:p>
          <w:p w14:paraId="4387EFB6">
            <w:pPr>
              <w:widowControl/>
              <w:spacing w:line="360" w:lineRule="exact"/>
              <w:jc w:val="left"/>
              <w:rPr>
                <w:rFonts w:hint="eastAsia" w:ascii="宋体" w:hAnsi="宋体" w:cs="宋体"/>
                <w:color w:val="auto"/>
                <w:sz w:val="22"/>
                <w:highlight w:val="none"/>
              </w:rPr>
            </w:pPr>
            <w:r>
              <w:rPr>
                <w:rFonts w:hint="eastAsia" w:ascii="宋体" w:hAnsi="宋体" w:cs="宋体"/>
                <w:color w:val="auto"/>
                <w:sz w:val="22"/>
                <w:highlight w:val="none"/>
              </w:rPr>
              <w:t>2.由采购人组织专家和用户代表或第三方机构，按照磋商文件、合同条款、软件工程要求和实际应用效果对项目进行验收，因投标人原因导致验收未一次性通过，后期验收产生费用需由投标人承担。</w:t>
            </w:r>
          </w:p>
          <w:p w14:paraId="365A95F7">
            <w:pPr>
              <w:widowControl/>
              <w:spacing w:line="360" w:lineRule="exact"/>
              <w:jc w:val="left"/>
              <w:rPr>
                <w:rFonts w:hint="eastAsia" w:ascii="宋体" w:hAnsi="宋体" w:cs="宋体"/>
                <w:color w:val="auto"/>
                <w:sz w:val="22"/>
                <w:highlight w:val="none"/>
              </w:rPr>
            </w:pPr>
            <w:r>
              <w:rPr>
                <w:rFonts w:hint="eastAsia" w:ascii="宋体" w:hAnsi="宋体" w:cs="宋体"/>
                <w:color w:val="auto"/>
                <w:sz w:val="22"/>
                <w:highlight w:val="none"/>
              </w:rPr>
              <w:t>3.验收时投标人应在现场，验收完毕后作出验收结果报告。</w:t>
            </w:r>
          </w:p>
          <w:p w14:paraId="40B5655E">
            <w:pPr>
              <w:widowControl/>
              <w:spacing w:line="360" w:lineRule="exact"/>
              <w:jc w:val="left"/>
              <w:rPr>
                <w:rFonts w:hint="eastAsia" w:ascii="宋体" w:hAnsi="宋体" w:cs="宋体"/>
                <w:color w:val="auto"/>
                <w:sz w:val="22"/>
                <w:highlight w:val="none"/>
              </w:rPr>
            </w:pPr>
            <w:r>
              <w:rPr>
                <w:rFonts w:hint="eastAsia" w:ascii="宋体" w:hAnsi="宋体" w:cs="宋体"/>
                <w:color w:val="auto"/>
                <w:sz w:val="22"/>
                <w:highlight w:val="none"/>
              </w:rPr>
              <w:t>4所有合同中规定的货物和材料都已在规定时间交付。</w:t>
            </w:r>
          </w:p>
          <w:p w14:paraId="401BA9E5">
            <w:pPr>
              <w:widowControl/>
              <w:spacing w:line="360" w:lineRule="exact"/>
              <w:jc w:val="left"/>
              <w:rPr>
                <w:rFonts w:hint="eastAsia" w:ascii="宋体" w:hAnsi="宋体" w:cs="宋体"/>
                <w:color w:val="auto"/>
                <w:sz w:val="22"/>
                <w:highlight w:val="none"/>
              </w:rPr>
            </w:pPr>
            <w:r>
              <w:rPr>
                <w:rFonts w:hint="eastAsia" w:ascii="宋体" w:hAnsi="宋体" w:cs="宋体"/>
                <w:color w:val="auto"/>
                <w:sz w:val="22"/>
                <w:highlight w:val="none"/>
              </w:rPr>
              <w:t>5.运行结果符合产品标准和技术规格及合同要求。</w:t>
            </w:r>
          </w:p>
          <w:p w14:paraId="6384C344">
            <w:pPr>
              <w:widowControl/>
              <w:spacing w:line="360" w:lineRule="exact"/>
              <w:jc w:val="left"/>
              <w:rPr>
                <w:rFonts w:hint="eastAsia" w:ascii="宋体" w:hAnsi="宋体" w:cs="宋体"/>
                <w:color w:val="auto"/>
                <w:sz w:val="22"/>
                <w:highlight w:val="none"/>
              </w:rPr>
            </w:pPr>
            <w:r>
              <w:rPr>
                <w:rFonts w:hint="eastAsia" w:ascii="宋体" w:hAnsi="宋体" w:cs="宋体"/>
                <w:color w:val="auto"/>
                <w:sz w:val="22"/>
                <w:highlight w:val="none"/>
              </w:rPr>
              <w:t>6.如发现有重大的质量问题，双方均同意提请国家法定检测机构鉴定，如检测结果证明产品无质量问题，由采购人承担检测费用；如检测结果证明产品有质量问题，由投标人承担检测费用。</w:t>
            </w:r>
          </w:p>
          <w:p w14:paraId="00F5C425">
            <w:pPr>
              <w:widowControl/>
              <w:spacing w:line="360" w:lineRule="exact"/>
              <w:jc w:val="left"/>
              <w:rPr>
                <w:rFonts w:hint="eastAsia" w:ascii="宋体" w:hAnsi="宋体" w:cs="宋体"/>
                <w:color w:val="auto"/>
                <w:sz w:val="22"/>
                <w:highlight w:val="none"/>
              </w:rPr>
            </w:pPr>
            <w:r>
              <w:rPr>
                <w:rFonts w:hint="eastAsia" w:ascii="宋体" w:hAnsi="宋体" w:cs="宋体"/>
                <w:color w:val="auto"/>
                <w:sz w:val="22"/>
                <w:highlight w:val="none"/>
              </w:rPr>
              <w:t>7.投标人在设备到货、安装、调试和验收期间应采取严格的安全措施，承担由于自身原因所造成的事故责任及其发生的一切费用。</w:t>
            </w:r>
          </w:p>
        </w:tc>
      </w:tr>
      <w:tr w14:paraId="267A9E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628" w:type="dxa"/>
            <w:tcBorders>
              <w:top w:val="single" w:color="auto" w:sz="4" w:space="0"/>
              <w:left w:val="single" w:color="auto" w:sz="4" w:space="0"/>
              <w:bottom w:val="single" w:color="auto" w:sz="4" w:space="0"/>
              <w:right w:val="single" w:color="auto" w:sz="4" w:space="0"/>
            </w:tcBorders>
            <w:noWrap w:val="0"/>
            <w:vAlign w:val="center"/>
          </w:tcPr>
          <w:p w14:paraId="3A9BABAC">
            <w:pPr>
              <w:spacing w:line="360" w:lineRule="exact"/>
              <w:jc w:val="center"/>
              <w:rPr>
                <w:rFonts w:hint="eastAsia" w:ascii="宋体" w:hAnsi="宋体" w:cs="宋体"/>
                <w:b/>
                <w:bCs/>
                <w:color w:val="auto"/>
                <w:sz w:val="22"/>
                <w:highlight w:val="none"/>
              </w:rPr>
            </w:pPr>
            <w:r>
              <w:rPr>
                <w:rFonts w:hint="eastAsia" w:ascii="宋体" w:hAnsi="宋体" w:cs="宋体"/>
                <w:b/>
                <w:bCs/>
                <w:color w:val="auto"/>
                <w:sz w:val="22"/>
                <w:highlight w:val="none"/>
              </w:rPr>
              <w:t>其他要求</w:t>
            </w:r>
          </w:p>
        </w:tc>
        <w:tc>
          <w:tcPr>
            <w:tcW w:w="7702" w:type="dxa"/>
            <w:tcBorders>
              <w:top w:val="single" w:color="auto" w:sz="4" w:space="0"/>
              <w:left w:val="single" w:color="auto" w:sz="4" w:space="0"/>
              <w:bottom w:val="single" w:color="auto" w:sz="4" w:space="0"/>
              <w:right w:val="single" w:color="auto" w:sz="4" w:space="0"/>
            </w:tcBorders>
            <w:noWrap w:val="0"/>
            <w:vAlign w:val="center"/>
          </w:tcPr>
          <w:p w14:paraId="67872F7D">
            <w:pPr>
              <w:widowControl/>
              <w:spacing w:line="360" w:lineRule="exact"/>
              <w:jc w:val="left"/>
              <w:rPr>
                <w:rFonts w:hint="eastAsia" w:ascii="宋体" w:hAnsi="宋体" w:cs="宋体"/>
                <w:color w:val="auto"/>
                <w:sz w:val="22"/>
                <w:highlight w:val="none"/>
              </w:rPr>
            </w:pPr>
            <w:r>
              <w:rPr>
                <w:rFonts w:hint="eastAsia" w:ascii="宋体" w:hAnsi="宋体" w:cs="宋体"/>
                <w:color w:val="auto"/>
                <w:sz w:val="22"/>
                <w:highlight w:val="none"/>
              </w:rPr>
              <w:t>1.所供设备在现场进行到货验收时，中标人需派员参加并与采购人一起开箱检验，按供货清单验收，若有缺少或损坏，中标人应立即补足或更换全新同规格产品，并承担相关费用直至使采购人满意为止。设备的存放点由采购人负责提供（费用由中标人承担），但中标人应预先提出设备的保管存放要求。</w:t>
            </w:r>
          </w:p>
          <w:p w14:paraId="30F1A40F">
            <w:pPr>
              <w:widowControl/>
              <w:spacing w:line="360" w:lineRule="exact"/>
              <w:jc w:val="left"/>
              <w:rPr>
                <w:rFonts w:hint="eastAsia" w:ascii="宋体" w:hAnsi="宋体" w:cs="宋体"/>
                <w:color w:val="auto"/>
                <w:sz w:val="22"/>
                <w:highlight w:val="none"/>
              </w:rPr>
            </w:pPr>
            <w:r>
              <w:rPr>
                <w:rFonts w:hint="eastAsia" w:ascii="宋体" w:hAnsi="宋体" w:cs="宋体"/>
                <w:color w:val="auto"/>
                <w:sz w:val="22"/>
                <w:highlight w:val="none"/>
              </w:rPr>
              <w:t>2.安装范围包括设备本身（含设备与电源之间的线路安装）及软件系统的安装，安装需符合有关标准和规范。安装过程中采购人将对安装质量进行监督。</w:t>
            </w:r>
          </w:p>
          <w:p w14:paraId="59B78B1A">
            <w:pPr>
              <w:widowControl/>
              <w:spacing w:line="360" w:lineRule="exact"/>
              <w:jc w:val="left"/>
              <w:rPr>
                <w:rFonts w:hint="eastAsia" w:ascii="宋体" w:hAnsi="宋体" w:cs="宋体"/>
                <w:color w:val="auto"/>
                <w:sz w:val="22"/>
                <w:highlight w:val="none"/>
              </w:rPr>
            </w:pPr>
            <w:r>
              <w:rPr>
                <w:rFonts w:hint="eastAsia" w:ascii="宋体" w:hAnsi="宋体" w:cs="宋体"/>
                <w:color w:val="auto"/>
                <w:sz w:val="22"/>
                <w:highlight w:val="none"/>
              </w:rPr>
              <w:t>3.安装完毕后，中标人应派遣有经验的技术人员与采购人一起进行设备的调试及试运行，采购人可以要求中标人或具有检测资质的第三方用专用仪器进行性能测试，中标人负责测试和调试所需的人员、工具、材料、仪器及一切费用，并填写测试报告交由采购人存档。如需采购人派有关人员配合，中标人在设备安装调试前三天提出需配合工作的人员、数量等计划书交与采购人，以便采购人提前作好准备，确保整个项目顺利进行。中标人需在安装结束前将测试和调试方法交与采购人，并经其同意后方可执行。</w:t>
            </w:r>
          </w:p>
          <w:p w14:paraId="54EE0A3F">
            <w:pPr>
              <w:widowControl/>
              <w:spacing w:line="360" w:lineRule="exact"/>
              <w:jc w:val="left"/>
              <w:rPr>
                <w:rFonts w:hint="eastAsia" w:ascii="宋体" w:hAnsi="宋体" w:cs="宋体"/>
                <w:color w:val="auto"/>
                <w:sz w:val="22"/>
                <w:highlight w:val="none"/>
              </w:rPr>
            </w:pPr>
            <w:r>
              <w:rPr>
                <w:rFonts w:hint="eastAsia" w:ascii="宋体" w:hAnsi="宋体" w:cs="宋体"/>
                <w:color w:val="auto"/>
                <w:sz w:val="22"/>
                <w:highlight w:val="none"/>
              </w:rPr>
              <w:t>4.设备经过试运行后达到并符合合同要求，其中故障和隐患均已排除或解决，并使采购人满意，所有的技术资料和图纸均已向采购人提交并被接受，验收视为合格，双方签署验收证书后，设备才视为接受。若因中标人产品质量或安装技术问题导致验收不合格，中标人应及时予以处理，直至验收合格，期间发生的一切相关费用由中标人承担，采购人保留向中标人索赔的权利。</w:t>
            </w:r>
          </w:p>
          <w:p w14:paraId="7C4E85BD">
            <w:pPr>
              <w:widowControl/>
              <w:spacing w:line="360" w:lineRule="exact"/>
              <w:jc w:val="left"/>
              <w:rPr>
                <w:rFonts w:hint="eastAsia" w:ascii="宋体" w:hAnsi="宋体" w:cs="宋体"/>
                <w:color w:val="auto"/>
                <w:sz w:val="22"/>
                <w:highlight w:val="none"/>
              </w:rPr>
            </w:pPr>
            <w:r>
              <w:rPr>
                <w:rFonts w:hint="eastAsia" w:ascii="宋体" w:hAnsi="宋体" w:cs="宋体"/>
                <w:color w:val="auto"/>
                <w:sz w:val="22"/>
                <w:highlight w:val="none"/>
              </w:rPr>
              <w:t>5.中标人在设备到货、安装、调试和验收期间应采取严格的安全措施，承担由于自身原因所造成的事故责任及其发生的一切费用。</w:t>
            </w:r>
          </w:p>
        </w:tc>
      </w:tr>
      <w:tr w14:paraId="3B0036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628" w:type="dxa"/>
            <w:tcBorders>
              <w:top w:val="single" w:color="auto" w:sz="4" w:space="0"/>
              <w:left w:val="single" w:color="auto" w:sz="4" w:space="0"/>
              <w:bottom w:val="single" w:color="auto" w:sz="4" w:space="0"/>
              <w:right w:val="single" w:color="auto" w:sz="4" w:space="0"/>
            </w:tcBorders>
            <w:noWrap w:val="0"/>
            <w:vAlign w:val="center"/>
          </w:tcPr>
          <w:p w14:paraId="51AA3BE7">
            <w:pPr>
              <w:pStyle w:val="7"/>
              <w:spacing w:line="360" w:lineRule="exact"/>
              <w:jc w:val="center"/>
              <w:rPr>
                <w:rFonts w:hint="eastAsia" w:ascii="宋体" w:hAnsi="宋体" w:cs="宋体"/>
                <w:b/>
                <w:bCs/>
                <w:color w:val="auto"/>
                <w:sz w:val="22"/>
                <w:szCs w:val="22"/>
                <w:highlight w:val="none"/>
                <w:shd w:val="clear" w:color="auto" w:fill="FFFFFF"/>
              </w:rPr>
            </w:pPr>
            <w:r>
              <w:rPr>
                <w:rFonts w:hint="eastAsia" w:ascii="宋体" w:hAnsi="宋体" w:cs="宋体"/>
                <w:b/>
                <w:bCs/>
                <w:color w:val="auto"/>
                <w:sz w:val="22"/>
                <w:szCs w:val="22"/>
                <w:highlight w:val="none"/>
                <w:shd w:val="clear" w:color="auto" w:fill="FFFFFF"/>
              </w:rPr>
              <w:t>报价要求</w:t>
            </w:r>
          </w:p>
        </w:tc>
        <w:tc>
          <w:tcPr>
            <w:tcW w:w="7702" w:type="dxa"/>
            <w:tcBorders>
              <w:top w:val="single" w:color="auto" w:sz="4" w:space="0"/>
              <w:left w:val="single" w:color="auto" w:sz="4" w:space="0"/>
              <w:bottom w:val="single" w:color="auto" w:sz="4" w:space="0"/>
              <w:right w:val="single" w:color="auto" w:sz="4" w:space="0"/>
            </w:tcBorders>
            <w:noWrap w:val="0"/>
            <w:vAlign w:val="center"/>
          </w:tcPr>
          <w:p w14:paraId="7CBCFC89">
            <w:pPr>
              <w:pStyle w:val="7"/>
              <w:autoSpaceDE/>
              <w:autoSpaceDN/>
              <w:adjustRightInd/>
              <w:spacing w:line="360" w:lineRule="exact"/>
              <w:jc w:val="both"/>
              <w:rPr>
                <w:rFonts w:hint="eastAsia" w:ascii="宋体" w:hAnsi="宋体" w:cs="宋体"/>
                <w:color w:val="auto"/>
                <w:sz w:val="22"/>
                <w:highlight w:val="none"/>
              </w:rPr>
            </w:pPr>
            <w:r>
              <w:rPr>
                <w:rFonts w:hint="eastAsia" w:ascii="宋体" w:hAnsi="宋体" w:cs="宋体"/>
                <w:color w:val="auto"/>
                <w:sz w:val="22"/>
                <w:highlight w:val="none"/>
              </w:rPr>
              <w:t>报价是指投标人在正确地完全履行合同义务后采购人应支付给投标人所有的货物价款，即括设备供货、运输、保险、装卸、安装调试及技术、验收（含第三方验收）、培训、售后服务、税费、采购代理服务费、政策性文件规定及合同包含的所有风险、责任等全部费用，实行固定费用总包干，投标人应根据上述因素自行考虑含入投标总价。</w:t>
            </w:r>
          </w:p>
        </w:tc>
      </w:tr>
    </w:tbl>
    <w:p w14:paraId="330DC3BD">
      <w:pPr>
        <w:snapToGrid w:val="0"/>
        <w:spacing w:line="360" w:lineRule="exact"/>
        <w:rPr>
          <w:rFonts w:hint="eastAsia" w:ascii="宋体" w:hAnsi="宋体" w:cs="宋体"/>
          <w:b/>
          <w:bCs/>
          <w:color w:val="auto"/>
          <w:spacing w:val="-6"/>
          <w:sz w:val="22"/>
          <w:highlight w:val="none"/>
        </w:rPr>
      </w:pPr>
      <w:r>
        <w:rPr>
          <w:rFonts w:hint="eastAsia" w:ascii="宋体" w:hAnsi="宋体" w:cs="宋体"/>
          <w:b/>
          <w:bCs/>
          <w:color w:val="auto"/>
          <w:spacing w:val="-6"/>
          <w:sz w:val="22"/>
          <w:highlight w:val="none"/>
        </w:rPr>
        <w:t>三、技术要求</w:t>
      </w:r>
    </w:p>
    <w:tbl>
      <w:tblPr>
        <w:tblStyle w:val="5"/>
        <w:tblW w:w="485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2"/>
        <w:gridCol w:w="1254"/>
        <w:gridCol w:w="4829"/>
        <w:gridCol w:w="413"/>
        <w:gridCol w:w="358"/>
        <w:gridCol w:w="1045"/>
      </w:tblGrid>
      <w:tr w14:paraId="70B7D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00" w:type="pct"/>
            <w:gridSpan w:val="6"/>
            <w:noWrap w:val="0"/>
            <w:vAlign w:val="center"/>
          </w:tcPr>
          <w:p w14:paraId="299EDDAE">
            <w:pPr>
              <w:spacing w:line="360" w:lineRule="exact"/>
              <w:jc w:val="left"/>
              <w:rPr>
                <w:rFonts w:hint="eastAsia" w:ascii="宋体" w:hAnsi="宋体" w:cs="宋体"/>
                <w:color w:val="auto"/>
                <w:sz w:val="22"/>
                <w:highlight w:val="none"/>
              </w:rPr>
            </w:pPr>
            <w:r>
              <w:rPr>
                <w:rFonts w:hint="eastAsia" w:ascii="宋体" w:hAnsi="宋体" w:cs="宋体"/>
                <w:b/>
                <w:bCs/>
                <w:color w:val="auto"/>
                <w:sz w:val="22"/>
                <w:highlight w:val="none"/>
              </w:rPr>
              <w:t>一、数据交换中心设备采购要求</w:t>
            </w:r>
          </w:p>
        </w:tc>
      </w:tr>
      <w:tr w14:paraId="67325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5" w:type="pct"/>
            <w:noWrap w:val="0"/>
            <w:vAlign w:val="center"/>
          </w:tcPr>
          <w:p w14:paraId="10C28D04">
            <w:pPr>
              <w:spacing w:line="360" w:lineRule="exact"/>
              <w:jc w:val="center"/>
              <w:rPr>
                <w:rFonts w:hint="eastAsia" w:ascii="宋体" w:hAnsi="宋体" w:cs="宋体"/>
                <w:color w:val="auto"/>
                <w:sz w:val="22"/>
                <w:highlight w:val="none"/>
              </w:rPr>
            </w:pPr>
            <w:r>
              <w:rPr>
                <w:rFonts w:hint="eastAsia" w:ascii="宋体" w:hAnsi="宋体" w:cs="宋体"/>
                <w:color w:val="auto"/>
                <w:sz w:val="22"/>
                <w:highlight w:val="none"/>
              </w:rPr>
              <w:t>序号</w:t>
            </w:r>
          </w:p>
        </w:tc>
        <w:tc>
          <w:tcPr>
            <w:tcW w:w="758" w:type="pct"/>
            <w:noWrap w:val="0"/>
            <w:vAlign w:val="center"/>
          </w:tcPr>
          <w:p w14:paraId="350E9FDA">
            <w:pPr>
              <w:spacing w:line="360" w:lineRule="exact"/>
              <w:jc w:val="center"/>
              <w:rPr>
                <w:rFonts w:hint="eastAsia" w:ascii="宋体" w:hAnsi="宋体" w:cs="宋体"/>
                <w:color w:val="auto"/>
                <w:sz w:val="22"/>
                <w:highlight w:val="none"/>
              </w:rPr>
            </w:pPr>
            <w:r>
              <w:rPr>
                <w:rFonts w:hint="eastAsia" w:ascii="宋体" w:hAnsi="宋体" w:cs="宋体"/>
                <w:color w:val="auto"/>
                <w:sz w:val="22"/>
                <w:highlight w:val="none"/>
              </w:rPr>
              <w:t>名称</w:t>
            </w:r>
          </w:p>
        </w:tc>
        <w:tc>
          <w:tcPr>
            <w:tcW w:w="2919" w:type="pct"/>
            <w:noWrap w:val="0"/>
            <w:vAlign w:val="center"/>
          </w:tcPr>
          <w:p w14:paraId="7850B7FF">
            <w:pPr>
              <w:spacing w:line="360" w:lineRule="exact"/>
              <w:jc w:val="center"/>
              <w:rPr>
                <w:rFonts w:hint="eastAsia" w:ascii="宋体" w:hAnsi="宋体" w:cs="宋体"/>
                <w:color w:val="auto"/>
                <w:sz w:val="22"/>
                <w:highlight w:val="none"/>
              </w:rPr>
            </w:pPr>
            <w:r>
              <w:rPr>
                <w:rFonts w:hint="eastAsia" w:ascii="宋体" w:hAnsi="宋体" w:cs="宋体"/>
                <w:color w:val="auto"/>
                <w:sz w:val="22"/>
                <w:highlight w:val="none"/>
              </w:rPr>
              <w:t>主要性能参数</w:t>
            </w:r>
          </w:p>
        </w:tc>
        <w:tc>
          <w:tcPr>
            <w:tcW w:w="250" w:type="pct"/>
            <w:noWrap w:val="0"/>
            <w:vAlign w:val="center"/>
          </w:tcPr>
          <w:p w14:paraId="48281B1C">
            <w:pPr>
              <w:spacing w:line="360" w:lineRule="exact"/>
              <w:jc w:val="center"/>
              <w:rPr>
                <w:rFonts w:hint="eastAsia" w:ascii="宋体" w:hAnsi="宋体" w:cs="宋体"/>
                <w:color w:val="auto"/>
                <w:sz w:val="22"/>
                <w:highlight w:val="none"/>
              </w:rPr>
            </w:pPr>
            <w:r>
              <w:rPr>
                <w:rFonts w:hint="eastAsia" w:ascii="宋体" w:hAnsi="宋体" w:cs="宋体"/>
                <w:color w:val="auto"/>
                <w:sz w:val="22"/>
                <w:highlight w:val="none"/>
              </w:rPr>
              <w:t>数量</w:t>
            </w:r>
          </w:p>
        </w:tc>
        <w:tc>
          <w:tcPr>
            <w:tcW w:w="216" w:type="pct"/>
            <w:noWrap w:val="0"/>
            <w:vAlign w:val="center"/>
          </w:tcPr>
          <w:p w14:paraId="202E3ED2">
            <w:pPr>
              <w:spacing w:line="360" w:lineRule="exact"/>
              <w:jc w:val="center"/>
              <w:rPr>
                <w:rFonts w:hint="eastAsia" w:ascii="宋体" w:hAnsi="宋体" w:cs="宋体"/>
                <w:color w:val="auto"/>
                <w:sz w:val="22"/>
                <w:highlight w:val="none"/>
              </w:rPr>
            </w:pPr>
            <w:r>
              <w:rPr>
                <w:rFonts w:hint="eastAsia" w:ascii="宋体" w:hAnsi="宋体" w:cs="宋体"/>
                <w:color w:val="auto"/>
                <w:sz w:val="22"/>
                <w:highlight w:val="none"/>
              </w:rPr>
              <w:t>单位</w:t>
            </w:r>
          </w:p>
        </w:tc>
        <w:tc>
          <w:tcPr>
            <w:tcW w:w="629" w:type="pct"/>
            <w:noWrap w:val="0"/>
            <w:vAlign w:val="center"/>
          </w:tcPr>
          <w:p w14:paraId="30ACA8D6">
            <w:pPr>
              <w:spacing w:line="360" w:lineRule="exact"/>
              <w:jc w:val="center"/>
              <w:rPr>
                <w:rFonts w:hint="eastAsia" w:ascii="宋体" w:hAnsi="宋体" w:cs="宋体"/>
                <w:color w:val="auto"/>
                <w:sz w:val="22"/>
                <w:highlight w:val="none"/>
              </w:rPr>
            </w:pPr>
            <w:r>
              <w:rPr>
                <w:rFonts w:hint="eastAsia" w:ascii="宋体" w:hAnsi="宋体" w:cs="宋体"/>
                <w:color w:val="auto"/>
                <w:sz w:val="22"/>
                <w:highlight w:val="none"/>
              </w:rPr>
              <w:t>备注</w:t>
            </w:r>
          </w:p>
        </w:tc>
      </w:tr>
      <w:tr w14:paraId="2EA63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5" w:type="pct"/>
            <w:noWrap w:val="0"/>
            <w:vAlign w:val="center"/>
          </w:tcPr>
          <w:p w14:paraId="68543F58">
            <w:pPr>
              <w:spacing w:line="360" w:lineRule="exact"/>
              <w:jc w:val="center"/>
              <w:rPr>
                <w:rFonts w:hint="eastAsia" w:ascii="宋体" w:hAnsi="宋体" w:cs="宋体"/>
                <w:color w:val="auto"/>
                <w:sz w:val="22"/>
                <w:highlight w:val="none"/>
              </w:rPr>
            </w:pPr>
            <w:r>
              <w:rPr>
                <w:rFonts w:hint="eastAsia" w:ascii="宋体" w:hAnsi="宋体" w:cs="宋体"/>
                <w:color w:val="auto"/>
                <w:sz w:val="22"/>
                <w:highlight w:val="none"/>
              </w:rPr>
              <w:t>1</w:t>
            </w:r>
          </w:p>
        </w:tc>
        <w:tc>
          <w:tcPr>
            <w:tcW w:w="758" w:type="pct"/>
            <w:noWrap w:val="0"/>
            <w:vAlign w:val="center"/>
          </w:tcPr>
          <w:p w14:paraId="2D6E4BE0">
            <w:pPr>
              <w:spacing w:line="360" w:lineRule="exact"/>
              <w:jc w:val="center"/>
              <w:rPr>
                <w:rFonts w:hint="eastAsia" w:ascii="宋体" w:hAnsi="宋体" w:cs="宋体"/>
                <w:color w:val="auto"/>
                <w:sz w:val="22"/>
                <w:highlight w:val="none"/>
              </w:rPr>
            </w:pPr>
            <w:r>
              <w:rPr>
                <w:rFonts w:hint="eastAsia" w:ascii="宋体" w:hAnsi="宋体" w:cs="宋体"/>
                <w:color w:val="auto"/>
                <w:sz w:val="22"/>
                <w:highlight w:val="none"/>
              </w:rPr>
              <w:t>核心交换机（核心产品）</w:t>
            </w:r>
          </w:p>
        </w:tc>
        <w:tc>
          <w:tcPr>
            <w:tcW w:w="2919" w:type="pct"/>
            <w:noWrap w:val="0"/>
            <w:vAlign w:val="top"/>
          </w:tcPr>
          <w:p w14:paraId="0D519015">
            <w:pPr>
              <w:spacing w:line="360" w:lineRule="exact"/>
              <w:rPr>
                <w:rFonts w:hint="eastAsia" w:ascii="宋体" w:hAnsi="宋体" w:cs="宋体"/>
                <w:color w:val="auto"/>
                <w:sz w:val="22"/>
                <w:highlight w:val="none"/>
              </w:rPr>
            </w:pPr>
            <w:r>
              <w:rPr>
                <w:rFonts w:hint="eastAsia" w:ascii="宋体" w:hAnsi="宋体" w:cs="宋体"/>
                <w:color w:val="auto"/>
                <w:sz w:val="22"/>
                <w:highlight w:val="none"/>
              </w:rPr>
              <w:t>1.★采用国产芯片</w:t>
            </w:r>
            <w:r>
              <w:rPr>
                <w:rFonts w:hint="eastAsia" w:ascii="宋体" w:hAnsi="宋体" w:cs="宋体"/>
                <w:b/>
                <w:bCs/>
                <w:color w:val="auto"/>
                <w:sz w:val="22"/>
                <w:highlight w:val="none"/>
              </w:rPr>
              <w:t>（商务和技术文件中提供第三方检测报告并加盖投标人公章，否则视为负偏离）</w:t>
            </w:r>
            <w:r>
              <w:rPr>
                <w:rFonts w:hint="eastAsia" w:ascii="宋体" w:hAnsi="宋体" w:cs="宋体"/>
                <w:color w:val="auto"/>
                <w:sz w:val="22"/>
                <w:highlight w:val="none"/>
              </w:rPr>
              <w:t>；</w:t>
            </w:r>
          </w:p>
          <w:p w14:paraId="688EDFCF">
            <w:pPr>
              <w:spacing w:line="360" w:lineRule="exact"/>
              <w:rPr>
                <w:rFonts w:hint="eastAsia" w:ascii="宋体" w:hAnsi="宋体" w:cs="宋体"/>
                <w:color w:val="auto"/>
                <w:sz w:val="22"/>
                <w:highlight w:val="none"/>
              </w:rPr>
            </w:pPr>
            <w:r>
              <w:rPr>
                <w:rFonts w:hint="eastAsia" w:ascii="宋体" w:hAnsi="宋体" w:cs="宋体"/>
                <w:color w:val="auto"/>
                <w:sz w:val="22"/>
                <w:highlight w:val="none"/>
              </w:rPr>
              <w:t>2.交换容量≥460Tbps，包转发率≥76000Mpps；</w:t>
            </w:r>
          </w:p>
          <w:p w14:paraId="3B81578D">
            <w:pPr>
              <w:spacing w:line="360" w:lineRule="exact"/>
              <w:rPr>
                <w:rFonts w:hint="eastAsia" w:ascii="宋体" w:hAnsi="宋体" w:cs="宋体"/>
                <w:color w:val="auto"/>
                <w:sz w:val="22"/>
                <w:highlight w:val="none"/>
              </w:rPr>
            </w:pPr>
            <w:r>
              <w:rPr>
                <w:rFonts w:hint="eastAsia" w:ascii="宋体" w:hAnsi="宋体" w:cs="宋体"/>
                <w:color w:val="auto"/>
                <w:sz w:val="22"/>
                <w:highlight w:val="none"/>
              </w:rPr>
              <w:t>3.主控引擎≥2；整机业务板槽位数≥6；</w:t>
            </w:r>
          </w:p>
          <w:p w14:paraId="7114E13A">
            <w:pPr>
              <w:spacing w:line="360" w:lineRule="exact"/>
              <w:rPr>
                <w:rFonts w:hint="eastAsia" w:ascii="宋体" w:hAnsi="宋体" w:cs="宋体"/>
                <w:color w:val="auto"/>
                <w:sz w:val="22"/>
                <w:highlight w:val="none"/>
              </w:rPr>
            </w:pPr>
            <w:r>
              <w:rPr>
                <w:rFonts w:hint="eastAsia" w:ascii="宋体" w:hAnsi="宋体" w:cs="宋体"/>
                <w:color w:val="auto"/>
                <w:sz w:val="22"/>
                <w:highlight w:val="none"/>
              </w:rPr>
              <w:t>4.★整机最大提供192个10GE多速率接口，（</w:t>
            </w:r>
            <w:r>
              <w:rPr>
                <w:rFonts w:hint="eastAsia" w:ascii="宋体" w:hAnsi="宋体" w:cs="宋体"/>
                <w:b/>
                <w:bCs/>
                <w:color w:val="auto"/>
                <w:sz w:val="22"/>
                <w:highlight w:val="none"/>
              </w:rPr>
              <w:t>商务和技术文件中提供产品图片截图并加盖投标人公章，否则视为负偏离</w:t>
            </w:r>
            <w:r>
              <w:rPr>
                <w:rFonts w:hint="eastAsia" w:ascii="宋体" w:hAnsi="宋体" w:cs="宋体"/>
                <w:color w:val="auto"/>
                <w:sz w:val="22"/>
                <w:highlight w:val="none"/>
              </w:rPr>
              <w:t>）；</w:t>
            </w:r>
          </w:p>
          <w:p w14:paraId="5EAE7A4A">
            <w:pPr>
              <w:spacing w:line="360" w:lineRule="exact"/>
              <w:rPr>
                <w:rFonts w:hint="eastAsia" w:ascii="宋体" w:hAnsi="宋体" w:cs="宋体"/>
                <w:color w:val="auto"/>
                <w:sz w:val="22"/>
                <w:highlight w:val="none"/>
              </w:rPr>
            </w:pPr>
            <w:r>
              <w:rPr>
                <w:rFonts w:hint="eastAsia" w:ascii="宋体" w:hAnsi="宋体" w:cs="宋体"/>
                <w:color w:val="auto"/>
                <w:sz w:val="22"/>
                <w:highlight w:val="none"/>
              </w:rPr>
              <w:t>5.★支持颗粒化电源，整机电源槽位数≥6，（</w:t>
            </w:r>
            <w:r>
              <w:rPr>
                <w:rFonts w:hint="eastAsia" w:ascii="宋体" w:hAnsi="宋体" w:cs="宋体"/>
                <w:b/>
                <w:bCs/>
                <w:color w:val="auto"/>
                <w:sz w:val="22"/>
                <w:highlight w:val="none"/>
              </w:rPr>
              <w:t>商务和技术文件中提供官网截图并加盖投标人公章，否则视为负偏离</w:t>
            </w:r>
            <w:r>
              <w:rPr>
                <w:rFonts w:hint="eastAsia" w:ascii="宋体" w:hAnsi="宋体" w:cs="宋体"/>
                <w:color w:val="auto"/>
                <w:sz w:val="22"/>
                <w:highlight w:val="none"/>
              </w:rPr>
              <w:t>）；</w:t>
            </w:r>
          </w:p>
          <w:p w14:paraId="041CAAFC">
            <w:pPr>
              <w:spacing w:line="360" w:lineRule="exact"/>
              <w:rPr>
                <w:rFonts w:hint="eastAsia" w:ascii="宋体" w:hAnsi="宋体" w:cs="宋体"/>
                <w:color w:val="auto"/>
                <w:sz w:val="22"/>
                <w:highlight w:val="none"/>
              </w:rPr>
            </w:pPr>
            <w:r>
              <w:rPr>
                <w:rFonts w:hint="eastAsia" w:ascii="宋体" w:hAnsi="宋体" w:cs="宋体"/>
                <w:color w:val="auto"/>
                <w:sz w:val="22"/>
                <w:highlight w:val="none"/>
              </w:rPr>
              <w:t>6.单端口最大支持90W的PoE++供电；</w:t>
            </w:r>
          </w:p>
          <w:p w14:paraId="300806D3">
            <w:pPr>
              <w:spacing w:line="360" w:lineRule="exact"/>
              <w:rPr>
                <w:rFonts w:hint="eastAsia" w:ascii="宋体" w:hAnsi="宋体" w:cs="宋体"/>
                <w:color w:val="auto"/>
                <w:sz w:val="22"/>
                <w:highlight w:val="none"/>
              </w:rPr>
            </w:pPr>
            <w:r>
              <w:rPr>
                <w:rFonts w:hint="eastAsia" w:ascii="宋体" w:hAnsi="宋体" w:cs="宋体"/>
                <w:color w:val="auto"/>
                <w:sz w:val="22"/>
                <w:highlight w:val="none"/>
              </w:rPr>
              <w:t>7.支持整机ARP表项≥140000，ND表项≥80000，</w:t>
            </w:r>
            <w:r>
              <w:rPr>
                <w:rFonts w:hint="eastAsia" w:ascii="宋体" w:hAnsi="宋体" w:cs="宋体"/>
                <w:b/>
                <w:bCs/>
                <w:color w:val="auto"/>
                <w:sz w:val="22"/>
                <w:highlight w:val="none"/>
              </w:rPr>
              <w:t>（商务和技术文件中提供第三方检测报告并加盖投标人公章，否则视为负偏离）</w:t>
            </w:r>
            <w:r>
              <w:rPr>
                <w:rFonts w:hint="eastAsia" w:ascii="宋体" w:hAnsi="宋体" w:cs="宋体"/>
                <w:color w:val="auto"/>
                <w:sz w:val="22"/>
                <w:highlight w:val="none"/>
              </w:rPr>
              <w:t>；</w:t>
            </w:r>
          </w:p>
          <w:p w14:paraId="7CF60067">
            <w:pPr>
              <w:spacing w:line="360" w:lineRule="exact"/>
              <w:rPr>
                <w:rFonts w:hint="eastAsia" w:ascii="宋体" w:hAnsi="宋体" w:cs="宋体"/>
                <w:color w:val="auto"/>
                <w:sz w:val="22"/>
                <w:highlight w:val="none"/>
              </w:rPr>
            </w:pPr>
            <w:r>
              <w:rPr>
                <w:rFonts w:hint="eastAsia" w:ascii="宋体" w:hAnsi="宋体" w:cs="宋体"/>
                <w:color w:val="auto"/>
                <w:sz w:val="22"/>
                <w:highlight w:val="none"/>
              </w:rPr>
              <w:t>8.支持PQ、WRR、DRR、PQ+WRR、PQ+DRR调度方式；</w:t>
            </w:r>
          </w:p>
          <w:p w14:paraId="72A9B042">
            <w:pPr>
              <w:spacing w:line="360" w:lineRule="exact"/>
              <w:rPr>
                <w:rFonts w:hint="eastAsia" w:ascii="宋体" w:hAnsi="宋体" w:cs="宋体"/>
                <w:color w:val="auto"/>
                <w:sz w:val="22"/>
                <w:highlight w:val="none"/>
              </w:rPr>
            </w:pPr>
            <w:r>
              <w:rPr>
                <w:rFonts w:hint="eastAsia" w:ascii="宋体" w:hAnsi="宋体" w:cs="宋体"/>
                <w:color w:val="auto"/>
                <w:sz w:val="22"/>
                <w:highlight w:val="none"/>
              </w:rPr>
              <w:t>9.</w:t>
            </w:r>
            <w:r>
              <w:rPr>
                <w:rFonts w:hint="eastAsia"/>
                <w:color w:val="auto"/>
                <w:highlight w:val="none"/>
              </w:rPr>
              <w:t xml:space="preserve"> </w:t>
            </w:r>
            <w:r>
              <w:rPr>
                <w:rFonts w:hint="eastAsia" w:ascii="宋体" w:hAnsi="宋体" w:cs="宋体"/>
                <w:color w:val="auto"/>
                <w:sz w:val="22"/>
                <w:highlight w:val="none"/>
              </w:rPr>
              <w:t>支持安全启动，</w:t>
            </w:r>
            <w:r>
              <w:rPr>
                <w:rFonts w:hint="eastAsia" w:ascii="宋体" w:hAnsi="宋体" w:cs="宋体"/>
                <w:b/>
                <w:bCs/>
                <w:color w:val="auto"/>
                <w:sz w:val="22"/>
                <w:highlight w:val="none"/>
              </w:rPr>
              <w:t>（商务和技术文件中提供第三方检测报告并加盖投标人公章，否则视为负偏离）</w:t>
            </w:r>
            <w:r>
              <w:rPr>
                <w:rFonts w:hint="eastAsia" w:ascii="宋体" w:hAnsi="宋体" w:cs="宋体"/>
                <w:color w:val="auto"/>
                <w:sz w:val="22"/>
                <w:highlight w:val="none"/>
              </w:rPr>
              <w:t>；</w:t>
            </w:r>
          </w:p>
          <w:p w14:paraId="6692F39F">
            <w:pPr>
              <w:spacing w:line="360" w:lineRule="exact"/>
              <w:rPr>
                <w:rFonts w:hint="eastAsia" w:ascii="宋体" w:hAnsi="宋体" w:cs="宋体"/>
                <w:color w:val="auto"/>
                <w:sz w:val="22"/>
                <w:highlight w:val="none"/>
              </w:rPr>
            </w:pPr>
            <w:r>
              <w:rPr>
                <w:rFonts w:hint="eastAsia" w:ascii="宋体" w:hAnsi="宋体" w:cs="宋体"/>
                <w:color w:val="auto"/>
                <w:sz w:val="22"/>
                <w:highlight w:val="none"/>
              </w:rPr>
              <w:t>10.单台实配双主控，双电源，2个40G接口+1个100G接口+48个万兆光口。</w:t>
            </w:r>
          </w:p>
        </w:tc>
        <w:tc>
          <w:tcPr>
            <w:tcW w:w="250" w:type="pct"/>
            <w:noWrap w:val="0"/>
            <w:vAlign w:val="center"/>
          </w:tcPr>
          <w:p w14:paraId="102C5B23">
            <w:pPr>
              <w:spacing w:line="360" w:lineRule="exact"/>
              <w:jc w:val="center"/>
              <w:rPr>
                <w:rFonts w:hint="eastAsia" w:ascii="宋体" w:hAnsi="宋体" w:cs="宋体"/>
                <w:color w:val="auto"/>
                <w:sz w:val="22"/>
                <w:highlight w:val="none"/>
              </w:rPr>
            </w:pPr>
            <w:r>
              <w:rPr>
                <w:rFonts w:hint="eastAsia" w:ascii="宋体" w:hAnsi="宋体" w:cs="宋体"/>
                <w:color w:val="auto"/>
                <w:sz w:val="22"/>
                <w:highlight w:val="none"/>
              </w:rPr>
              <w:t>1</w:t>
            </w:r>
          </w:p>
        </w:tc>
        <w:tc>
          <w:tcPr>
            <w:tcW w:w="216" w:type="pct"/>
            <w:noWrap w:val="0"/>
            <w:vAlign w:val="center"/>
          </w:tcPr>
          <w:p w14:paraId="0529D827">
            <w:pPr>
              <w:spacing w:line="360" w:lineRule="exact"/>
              <w:jc w:val="center"/>
              <w:rPr>
                <w:rFonts w:hint="eastAsia" w:ascii="宋体" w:hAnsi="宋体" w:cs="宋体"/>
                <w:color w:val="auto"/>
                <w:sz w:val="22"/>
                <w:highlight w:val="none"/>
              </w:rPr>
            </w:pPr>
            <w:r>
              <w:rPr>
                <w:rFonts w:hint="eastAsia" w:ascii="宋体" w:hAnsi="宋体" w:cs="宋体"/>
                <w:color w:val="auto"/>
                <w:sz w:val="22"/>
                <w:highlight w:val="none"/>
              </w:rPr>
              <w:t>台</w:t>
            </w:r>
          </w:p>
        </w:tc>
        <w:tc>
          <w:tcPr>
            <w:tcW w:w="629" w:type="pct"/>
            <w:noWrap w:val="0"/>
            <w:vAlign w:val="center"/>
          </w:tcPr>
          <w:p w14:paraId="02ACC154">
            <w:pPr>
              <w:spacing w:line="360" w:lineRule="exact"/>
              <w:jc w:val="center"/>
              <w:rPr>
                <w:rFonts w:hint="eastAsia" w:ascii="宋体" w:hAnsi="宋体" w:cs="宋体"/>
                <w:color w:val="auto"/>
                <w:sz w:val="22"/>
                <w:highlight w:val="none"/>
              </w:rPr>
            </w:pPr>
          </w:p>
        </w:tc>
      </w:tr>
      <w:tr w14:paraId="3ADFE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5" w:type="pct"/>
            <w:noWrap w:val="0"/>
            <w:vAlign w:val="center"/>
          </w:tcPr>
          <w:p w14:paraId="76D26A48">
            <w:pPr>
              <w:spacing w:line="360" w:lineRule="exact"/>
              <w:jc w:val="center"/>
              <w:rPr>
                <w:rFonts w:hint="eastAsia" w:ascii="宋体" w:hAnsi="宋体" w:cs="宋体"/>
                <w:color w:val="auto"/>
                <w:sz w:val="22"/>
                <w:highlight w:val="none"/>
              </w:rPr>
            </w:pPr>
            <w:r>
              <w:rPr>
                <w:rFonts w:hint="eastAsia" w:ascii="宋体" w:hAnsi="宋体" w:cs="宋体"/>
                <w:color w:val="auto"/>
                <w:sz w:val="22"/>
                <w:highlight w:val="none"/>
              </w:rPr>
              <w:t>2</w:t>
            </w:r>
          </w:p>
        </w:tc>
        <w:tc>
          <w:tcPr>
            <w:tcW w:w="758" w:type="pct"/>
            <w:noWrap w:val="0"/>
            <w:vAlign w:val="center"/>
          </w:tcPr>
          <w:p w14:paraId="41EC98E7">
            <w:pPr>
              <w:spacing w:line="360" w:lineRule="exact"/>
              <w:jc w:val="center"/>
              <w:rPr>
                <w:rFonts w:hint="eastAsia" w:ascii="宋体" w:hAnsi="宋体" w:cs="宋体"/>
                <w:color w:val="auto"/>
                <w:sz w:val="22"/>
                <w:highlight w:val="none"/>
              </w:rPr>
            </w:pPr>
            <w:r>
              <w:rPr>
                <w:rFonts w:hint="eastAsia" w:ascii="宋体" w:hAnsi="宋体" w:cs="宋体"/>
                <w:color w:val="auto"/>
                <w:sz w:val="22"/>
                <w:highlight w:val="none"/>
              </w:rPr>
              <w:t>数据接入交换机</w:t>
            </w:r>
          </w:p>
        </w:tc>
        <w:tc>
          <w:tcPr>
            <w:tcW w:w="2919" w:type="pct"/>
            <w:noWrap w:val="0"/>
            <w:vAlign w:val="top"/>
          </w:tcPr>
          <w:p w14:paraId="2C2D29BF">
            <w:pPr>
              <w:spacing w:line="360" w:lineRule="exact"/>
              <w:rPr>
                <w:rFonts w:hint="eastAsia" w:ascii="宋体" w:hAnsi="宋体" w:cs="宋体"/>
                <w:color w:val="auto"/>
                <w:sz w:val="22"/>
                <w:highlight w:val="none"/>
              </w:rPr>
            </w:pPr>
            <w:r>
              <w:rPr>
                <w:rFonts w:hint="eastAsia" w:ascii="宋体" w:hAnsi="宋体" w:cs="宋体"/>
                <w:color w:val="auto"/>
                <w:sz w:val="22"/>
                <w:highlight w:val="none"/>
              </w:rPr>
              <w:t>1.交换容量≥432Gbps，包转发率≥166Mpps；</w:t>
            </w:r>
          </w:p>
          <w:p w14:paraId="48F4ED80">
            <w:pPr>
              <w:spacing w:line="360" w:lineRule="exact"/>
              <w:rPr>
                <w:rFonts w:hint="eastAsia" w:ascii="宋体" w:hAnsi="宋体" w:cs="宋体"/>
                <w:color w:val="auto"/>
                <w:sz w:val="22"/>
                <w:highlight w:val="none"/>
              </w:rPr>
            </w:pPr>
            <w:r>
              <w:rPr>
                <w:rFonts w:hint="eastAsia" w:ascii="宋体" w:hAnsi="宋体" w:cs="宋体"/>
                <w:color w:val="auto"/>
                <w:sz w:val="22"/>
                <w:highlight w:val="none"/>
              </w:rPr>
              <w:t>2.支持≥48个10/100/1000BASE-T以太网端口，≥4个万兆SFP+；</w:t>
            </w:r>
          </w:p>
          <w:p w14:paraId="002936A0">
            <w:pPr>
              <w:spacing w:line="360" w:lineRule="exact"/>
              <w:rPr>
                <w:rFonts w:hint="eastAsia" w:ascii="宋体" w:hAnsi="宋体" w:cs="宋体"/>
                <w:color w:val="auto"/>
                <w:sz w:val="22"/>
                <w:highlight w:val="none"/>
              </w:rPr>
            </w:pPr>
            <w:r>
              <w:rPr>
                <w:rFonts w:hint="eastAsia" w:ascii="宋体" w:hAnsi="宋体" w:cs="宋体"/>
                <w:color w:val="auto"/>
                <w:sz w:val="22"/>
                <w:highlight w:val="none"/>
              </w:rPr>
              <w:t>3.配置标准USB接口，支持U盘快速开局；</w:t>
            </w:r>
          </w:p>
          <w:p w14:paraId="7E38E938">
            <w:pPr>
              <w:spacing w:line="360" w:lineRule="exact"/>
              <w:rPr>
                <w:rFonts w:hint="eastAsia" w:ascii="宋体" w:hAnsi="宋体" w:cs="宋体"/>
                <w:color w:val="auto"/>
                <w:sz w:val="22"/>
                <w:highlight w:val="none"/>
              </w:rPr>
            </w:pPr>
            <w:r>
              <w:rPr>
                <w:rFonts w:hint="eastAsia" w:ascii="宋体" w:hAnsi="宋体" w:cs="宋体"/>
                <w:color w:val="auto"/>
                <w:sz w:val="22"/>
                <w:highlight w:val="none"/>
              </w:rPr>
              <w:t>4.支持4K个VLAN，支持Voice VLAN，基于端口的VLAN，基于MAC的VLAN，基于协议的VLAN；</w:t>
            </w:r>
          </w:p>
          <w:p w14:paraId="0EAF7BC3">
            <w:pPr>
              <w:spacing w:line="360" w:lineRule="exact"/>
              <w:rPr>
                <w:rFonts w:hint="eastAsia" w:ascii="宋体" w:hAnsi="宋体" w:cs="宋体"/>
                <w:color w:val="auto"/>
                <w:sz w:val="22"/>
                <w:highlight w:val="none"/>
              </w:rPr>
            </w:pPr>
            <w:r>
              <w:rPr>
                <w:rFonts w:hint="eastAsia" w:ascii="宋体" w:hAnsi="宋体" w:cs="宋体"/>
                <w:color w:val="auto"/>
                <w:sz w:val="22"/>
                <w:highlight w:val="none"/>
              </w:rPr>
              <w:t>5.支持IPv4 FIB表项≥4K ，支持IPv6 FIB表项≥1K；</w:t>
            </w:r>
          </w:p>
          <w:p w14:paraId="3D74251D">
            <w:pPr>
              <w:spacing w:line="360" w:lineRule="exact"/>
              <w:rPr>
                <w:rFonts w:hint="eastAsia" w:ascii="宋体" w:hAnsi="宋体" w:cs="宋体"/>
                <w:color w:val="auto"/>
                <w:sz w:val="22"/>
                <w:highlight w:val="none"/>
              </w:rPr>
            </w:pPr>
            <w:r>
              <w:rPr>
                <w:rFonts w:hint="eastAsia" w:ascii="宋体" w:hAnsi="宋体" w:cs="宋体"/>
                <w:color w:val="auto"/>
                <w:sz w:val="22"/>
                <w:highlight w:val="none"/>
              </w:rPr>
              <w:t>6.支持防止DOS、ARP攻击功能、ICMP防攻击；</w:t>
            </w:r>
          </w:p>
          <w:p w14:paraId="05DF4161">
            <w:pPr>
              <w:spacing w:line="360" w:lineRule="exact"/>
              <w:rPr>
                <w:rFonts w:hint="eastAsia" w:ascii="宋体" w:hAnsi="宋体" w:cs="宋体"/>
                <w:color w:val="auto"/>
                <w:sz w:val="22"/>
                <w:highlight w:val="none"/>
              </w:rPr>
            </w:pPr>
            <w:r>
              <w:rPr>
                <w:rFonts w:hint="eastAsia" w:ascii="宋体" w:hAnsi="宋体" w:cs="宋体"/>
                <w:color w:val="auto"/>
                <w:sz w:val="22"/>
                <w:highlight w:val="none"/>
              </w:rPr>
              <w:t>7.支持SP、WRR、DRR、SP+WRR、SP+DRR等队列调度算法；</w:t>
            </w:r>
          </w:p>
          <w:p w14:paraId="35E99342">
            <w:pPr>
              <w:spacing w:line="360" w:lineRule="exact"/>
              <w:rPr>
                <w:rFonts w:hint="eastAsia" w:ascii="宋体" w:hAnsi="宋体" w:cs="宋体"/>
                <w:color w:val="auto"/>
                <w:sz w:val="22"/>
                <w:highlight w:val="none"/>
              </w:rPr>
            </w:pPr>
            <w:r>
              <w:rPr>
                <w:rFonts w:hint="eastAsia" w:ascii="宋体" w:hAnsi="宋体" w:cs="宋体"/>
                <w:color w:val="auto"/>
                <w:sz w:val="22"/>
                <w:highlight w:val="none"/>
              </w:rPr>
              <w:t>8.支持本地管理和云盒两种方式，可以通过云管理平台对交换机进行云端配置、监控、巡检等，减少部署和运维的投入，降低网络的OPEX。</w:t>
            </w:r>
          </w:p>
        </w:tc>
        <w:tc>
          <w:tcPr>
            <w:tcW w:w="250" w:type="pct"/>
            <w:noWrap w:val="0"/>
            <w:vAlign w:val="center"/>
          </w:tcPr>
          <w:p w14:paraId="6BC4E160">
            <w:pPr>
              <w:spacing w:line="360" w:lineRule="exact"/>
              <w:jc w:val="center"/>
              <w:rPr>
                <w:rFonts w:hint="eastAsia" w:ascii="宋体" w:hAnsi="宋体" w:cs="宋体"/>
                <w:color w:val="auto"/>
                <w:sz w:val="22"/>
                <w:highlight w:val="none"/>
              </w:rPr>
            </w:pPr>
            <w:r>
              <w:rPr>
                <w:rFonts w:hint="eastAsia" w:ascii="宋体" w:hAnsi="宋体" w:cs="宋体"/>
                <w:color w:val="auto"/>
                <w:sz w:val="22"/>
                <w:highlight w:val="none"/>
              </w:rPr>
              <w:t>5</w:t>
            </w:r>
          </w:p>
        </w:tc>
        <w:tc>
          <w:tcPr>
            <w:tcW w:w="216" w:type="pct"/>
            <w:noWrap w:val="0"/>
            <w:vAlign w:val="center"/>
          </w:tcPr>
          <w:p w14:paraId="14960CF1">
            <w:pPr>
              <w:spacing w:line="360" w:lineRule="exact"/>
              <w:jc w:val="center"/>
              <w:rPr>
                <w:rFonts w:hint="eastAsia" w:ascii="宋体" w:hAnsi="宋体" w:cs="宋体"/>
                <w:color w:val="auto"/>
                <w:sz w:val="22"/>
                <w:highlight w:val="none"/>
              </w:rPr>
            </w:pPr>
            <w:r>
              <w:rPr>
                <w:rFonts w:hint="eastAsia" w:ascii="宋体" w:hAnsi="宋体" w:cs="宋体"/>
                <w:color w:val="auto"/>
                <w:sz w:val="22"/>
                <w:highlight w:val="none"/>
              </w:rPr>
              <w:t>台</w:t>
            </w:r>
          </w:p>
        </w:tc>
        <w:tc>
          <w:tcPr>
            <w:tcW w:w="629" w:type="pct"/>
            <w:noWrap w:val="0"/>
            <w:vAlign w:val="center"/>
          </w:tcPr>
          <w:p w14:paraId="7467DADC">
            <w:pPr>
              <w:spacing w:line="360" w:lineRule="exact"/>
              <w:jc w:val="center"/>
              <w:rPr>
                <w:rFonts w:hint="eastAsia" w:ascii="宋体" w:hAnsi="宋体" w:cs="宋体"/>
                <w:color w:val="auto"/>
                <w:sz w:val="22"/>
                <w:highlight w:val="none"/>
              </w:rPr>
            </w:pPr>
          </w:p>
        </w:tc>
      </w:tr>
      <w:tr w14:paraId="41420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5" w:type="pct"/>
            <w:noWrap w:val="0"/>
            <w:vAlign w:val="center"/>
          </w:tcPr>
          <w:p w14:paraId="608ADD4A">
            <w:pPr>
              <w:spacing w:line="360" w:lineRule="exact"/>
              <w:jc w:val="center"/>
              <w:rPr>
                <w:rFonts w:hint="eastAsia" w:ascii="宋体" w:hAnsi="宋体" w:cs="宋体"/>
                <w:color w:val="auto"/>
                <w:sz w:val="22"/>
                <w:highlight w:val="none"/>
              </w:rPr>
            </w:pPr>
            <w:r>
              <w:rPr>
                <w:rFonts w:hint="eastAsia" w:ascii="宋体" w:hAnsi="宋体" w:cs="宋体"/>
                <w:color w:val="auto"/>
                <w:sz w:val="22"/>
                <w:highlight w:val="none"/>
              </w:rPr>
              <w:t>3</w:t>
            </w:r>
          </w:p>
        </w:tc>
        <w:tc>
          <w:tcPr>
            <w:tcW w:w="758" w:type="pct"/>
            <w:noWrap w:val="0"/>
            <w:vAlign w:val="center"/>
          </w:tcPr>
          <w:p w14:paraId="32DBDBB0">
            <w:pPr>
              <w:spacing w:line="360" w:lineRule="exact"/>
              <w:jc w:val="center"/>
              <w:rPr>
                <w:rFonts w:hint="eastAsia" w:ascii="宋体" w:hAnsi="宋体" w:cs="宋体"/>
                <w:color w:val="auto"/>
                <w:sz w:val="22"/>
                <w:highlight w:val="none"/>
              </w:rPr>
            </w:pPr>
            <w:r>
              <w:rPr>
                <w:rFonts w:hint="eastAsia" w:ascii="宋体" w:hAnsi="宋体" w:cs="宋体"/>
                <w:color w:val="auto"/>
                <w:sz w:val="22"/>
                <w:highlight w:val="none"/>
              </w:rPr>
              <w:t>光网络接入交换机</w:t>
            </w:r>
          </w:p>
        </w:tc>
        <w:tc>
          <w:tcPr>
            <w:tcW w:w="2919" w:type="pct"/>
            <w:noWrap w:val="0"/>
            <w:vAlign w:val="top"/>
          </w:tcPr>
          <w:p w14:paraId="0C67EE8E">
            <w:pPr>
              <w:spacing w:line="360" w:lineRule="exact"/>
              <w:rPr>
                <w:rFonts w:hint="eastAsia" w:ascii="宋体" w:hAnsi="宋体" w:cs="宋体"/>
                <w:color w:val="auto"/>
                <w:sz w:val="22"/>
                <w:highlight w:val="none"/>
              </w:rPr>
            </w:pPr>
            <w:r>
              <w:rPr>
                <w:rFonts w:hint="eastAsia" w:ascii="宋体" w:hAnsi="宋体" w:cs="宋体"/>
                <w:color w:val="auto"/>
                <w:sz w:val="22"/>
                <w:highlight w:val="none"/>
              </w:rPr>
              <w:t>1.★交换容量≥2.56Tbps，包转发率≥780Mpps，万兆SFP+端口≥52，</w:t>
            </w:r>
            <w:r>
              <w:rPr>
                <w:rFonts w:hint="eastAsia" w:ascii="宋体" w:hAnsi="宋体" w:cs="宋体"/>
                <w:b/>
                <w:bCs/>
                <w:color w:val="auto"/>
                <w:sz w:val="22"/>
                <w:highlight w:val="none"/>
              </w:rPr>
              <w:t>（商务和技术文件中提供官网链接及彩页截图并加盖投标人公章，否则视为负偏离）</w:t>
            </w:r>
            <w:r>
              <w:rPr>
                <w:rFonts w:hint="eastAsia" w:ascii="宋体" w:hAnsi="宋体" w:cs="宋体"/>
                <w:color w:val="auto"/>
                <w:sz w:val="22"/>
                <w:highlight w:val="none"/>
              </w:rPr>
              <w:t>；</w:t>
            </w:r>
          </w:p>
          <w:p w14:paraId="5E3E123D">
            <w:pPr>
              <w:spacing w:line="360" w:lineRule="exact"/>
              <w:rPr>
                <w:rFonts w:hint="eastAsia" w:ascii="宋体" w:hAnsi="宋体" w:cs="宋体"/>
                <w:color w:val="auto"/>
                <w:sz w:val="22"/>
                <w:highlight w:val="none"/>
              </w:rPr>
            </w:pPr>
            <w:r>
              <w:rPr>
                <w:rFonts w:hint="eastAsia" w:ascii="宋体" w:hAnsi="宋体" w:cs="宋体"/>
                <w:color w:val="auto"/>
                <w:sz w:val="22"/>
                <w:highlight w:val="none"/>
              </w:rPr>
              <w:t>2.支持4K个VLAN，支持Guest VLAN、Voice VLAN，支持基于MAC/协议/IP子网/策略/端口的VLAN，支持1:1和N:1 VLAN交换功能；</w:t>
            </w:r>
          </w:p>
          <w:p w14:paraId="214E57BE">
            <w:pPr>
              <w:spacing w:line="360" w:lineRule="exact"/>
              <w:rPr>
                <w:rFonts w:hint="eastAsia" w:ascii="宋体" w:hAnsi="宋体" w:cs="宋体"/>
                <w:color w:val="auto"/>
                <w:sz w:val="22"/>
                <w:highlight w:val="none"/>
              </w:rPr>
            </w:pPr>
            <w:r>
              <w:rPr>
                <w:rFonts w:hint="eastAsia" w:ascii="宋体" w:hAnsi="宋体" w:cs="宋体"/>
                <w:color w:val="auto"/>
                <w:sz w:val="22"/>
                <w:highlight w:val="none"/>
              </w:rPr>
              <w:t>3.支持静态路由、RIP V1/2、OSPF、IS-IS、BGP、RIPng、OSPFv3、BGP4+、ISISv6；</w:t>
            </w:r>
          </w:p>
          <w:p w14:paraId="7197D801">
            <w:pPr>
              <w:spacing w:line="360" w:lineRule="exact"/>
              <w:rPr>
                <w:rFonts w:hint="eastAsia" w:ascii="宋体" w:hAnsi="宋体" w:cs="宋体"/>
                <w:color w:val="auto"/>
                <w:sz w:val="22"/>
                <w:highlight w:val="none"/>
              </w:rPr>
            </w:pPr>
            <w:r>
              <w:rPr>
                <w:rFonts w:hint="eastAsia" w:ascii="宋体" w:hAnsi="宋体" w:cs="宋体"/>
                <w:color w:val="auto"/>
                <w:sz w:val="22"/>
                <w:highlight w:val="none"/>
              </w:rPr>
              <w:t>4.支持VxLAN功能，支持BGP EVPN，支持通过 Netconf/YANG 进行配置；</w:t>
            </w:r>
          </w:p>
          <w:p w14:paraId="71335BAD">
            <w:pPr>
              <w:spacing w:line="360" w:lineRule="exact"/>
              <w:rPr>
                <w:rFonts w:hint="eastAsia" w:ascii="宋体" w:hAnsi="宋体" w:cs="宋体"/>
                <w:color w:val="auto"/>
                <w:sz w:val="22"/>
                <w:highlight w:val="none"/>
              </w:rPr>
            </w:pPr>
            <w:r>
              <w:rPr>
                <w:rFonts w:hint="eastAsia" w:ascii="宋体" w:hAnsi="宋体" w:cs="宋体"/>
                <w:color w:val="auto"/>
                <w:sz w:val="22"/>
                <w:highlight w:val="none"/>
              </w:rPr>
              <w:t>5.支持横向堆叠，主机堆叠数不小于9台；</w:t>
            </w:r>
          </w:p>
          <w:p w14:paraId="482B6A6F">
            <w:pPr>
              <w:spacing w:line="360" w:lineRule="exact"/>
              <w:rPr>
                <w:rFonts w:hint="eastAsia" w:ascii="宋体" w:hAnsi="宋体" w:cs="宋体"/>
                <w:color w:val="auto"/>
                <w:sz w:val="22"/>
                <w:highlight w:val="none"/>
              </w:rPr>
            </w:pPr>
            <w:r>
              <w:rPr>
                <w:rFonts w:hint="eastAsia" w:ascii="宋体" w:hAnsi="宋体" w:cs="宋体"/>
                <w:color w:val="auto"/>
                <w:sz w:val="22"/>
                <w:highlight w:val="none"/>
              </w:rPr>
              <w:t>6.支持L2（Layer 2）~L4（Layer 4）包过滤功能，提供基于源MAC地址、目的MAC地址、源IP地址、目的IP地址、端口、协议、VLAN的包过滤功能；</w:t>
            </w:r>
          </w:p>
          <w:p w14:paraId="6F3B3367">
            <w:pPr>
              <w:spacing w:line="360" w:lineRule="exact"/>
              <w:rPr>
                <w:rFonts w:hint="eastAsia" w:ascii="宋体" w:hAnsi="宋体" w:cs="宋体"/>
                <w:color w:val="auto"/>
                <w:sz w:val="22"/>
                <w:highlight w:val="none"/>
              </w:rPr>
            </w:pPr>
            <w:r>
              <w:rPr>
                <w:rFonts w:hint="eastAsia" w:ascii="宋体" w:hAnsi="宋体" w:cs="宋体"/>
                <w:color w:val="auto"/>
                <w:sz w:val="22"/>
                <w:highlight w:val="none"/>
              </w:rPr>
              <w:t>7.支持以太网OAM（802.3ah 和 802.1ag），支持SNMPv1/v2c/v3，支持RMON，支持网管系统、支持WEB网管特性；</w:t>
            </w:r>
          </w:p>
          <w:p w14:paraId="0088D50B">
            <w:pPr>
              <w:spacing w:line="360" w:lineRule="exact"/>
              <w:rPr>
                <w:rFonts w:hint="eastAsia" w:ascii="宋体" w:hAnsi="宋体" w:cs="宋体"/>
                <w:color w:val="auto"/>
                <w:sz w:val="22"/>
                <w:highlight w:val="none"/>
              </w:rPr>
            </w:pPr>
            <w:r>
              <w:rPr>
                <w:rFonts w:hint="eastAsia" w:ascii="宋体" w:hAnsi="宋体" w:cs="宋体"/>
                <w:color w:val="auto"/>
                <w:sz w:val="22"/>
                <w:highlight w:val="none"/>
              </w:rPr>
              <w:t>8.支持防止 DOS、ARP 攻击功能、ICMP 防攻击、CPU 保护功能；</w:t>
            </w:r>
          </w:p>
          <w:p w14:paraId="382AD81E">
            <w:pPr>
              <w:spacing w:line="360" w:lineRule="exact"/>
              <w:rPr>
                <w:rFonts w:hint="eastAsia" w:ascii="宋体" w:hAnsi="宋体" w:cs="宋体"/>
                <w:color w:val="auto"/>
                <w:sz w:val="22"/>
                <w:highlight w:val="none"/>
              </w:rPr>
            </w:pPr>
            <w:r>
              <w:rPr>
                <w:rFonts w:hint="eastAsia" w:ascii="宋体" w:hAnsi="宋体" w:cs="宋体"/>
                <w:color w:val="auto"/>
                <w:sz w:val="22"/>
                <w:highlight w:val="none"/>
              </w:rPr>
              <w:t>9.支持G.8032标准环网协议；</w:t>
            </w:r>
          </w:p>
          <w:p w14:paraId="4B0F2F83">
            <w:pPr>
              <w:spacing w:line="360" w:lineRule="exact"/>
              <w:rPr>
                <w:rFonts w:hint="eastAsia" w:ascii="宋体" w:hAnsi="宋体" w:cs="宋体"/>
                <w:color w:val="auto"/>
                <w:sz w:val="22"/>
                <w:highlight w:val="none"/>
              </w:rPr>
            </w:pPr>
            <w:r>
              <w:rPr>
                <w:rFonts w:hint="eastAsia" w:ascii="宋体" w:hAnsi="宋体" w:cs="宋体"/>
                <w:color w:val="auto"/>
                <w:sz w:val="22"/>
                <w:highlight w:val="none"/>
              </w:rPr>
              <w:t>10.★支持Telemetry技术，精准展现网络实时状态，并能及时有效地定界故障以及定位故障发生原因，发现影响用户体验的网络问题，精准保障用户体验。</w:t>
            </w:r>
          </w:p>
        </w:tc>
        <w:tc>
          <w:tcPr>
            <w:tcW w:w="250" w:type="pct"/>
            <w:noWrap w:val="0"/>
            <w:vAlign w:val="center"/>
          </w:tcPr>
          <w:p w14:paraId="769A3A1C">
            <w:pPr>
              <w:spacing w:line="360" w:lineRule="exact"/>
              <w:jc w:val="center"/>
              <w:rPr>
                <w:rFonts w:hint="eastAsia" w:ascii="宋体" w:hAnsi="宋体" w:cs="宋体"/>
                <w:color w:val="auto"/>
                <w:sz w:val="22"/>
                <w:highlight w:val="none"/>
              </w:rPr>
            </w:pPr>
            <w:r>
              <w:rPr>
                <w:rFonts w:hint="eastAsia" w:ascii="宋体" w:hAnsi="宋体" w:cs="宋体"/>
                <w:color w:val="auto"/>
                <w:sz w:val="22"/>
                <w:highlight w:val="none"/>
              </w:rPr>
              <w:t>1</w:t>
            </w:r>
          </w:p>
        </w:tc>
        <w:tc>
          <w:tcPr>
            <w:tcW w:w="216" w:type="pct"/>
            <w:noWrap w:val="0"/>
            <w:vAlign w:val="center"/>
          </w:tcPr>
          <w:p w14:paraId="2ABB2DCB">
            <w:pPr>
              <w:spacing w:line="360" w:lineRule="exact"/>
              <w:jc w:val="center"/>
              <w:rPr>
                <w:rFonts w:hint="eastAsia" w:ascii="宋体" w:hAnsi="宋体" w:cs="宋体"/>
                <w:color w:val="auto"/>
                <w:sz w:val="22"/>
                <w:highlight w:val="none"/>
              </w:rPr>
            </w:pPr>
            <w:r>
              <w:rPr>
                <w:rFonts w:hint="eastAsia" w:ascii="宋体" w:hAnsi="宋体" w:cs="宋体"/>
                <w:color w:val="auto"/>
                <w:sz w:val="22"/>
                <w:highlight w:val="none"/>
              </w:rPr>
              <w:t>台</w:t>
            </w:r>
          </w:p>
        </w:tc>
        <w:tc>
          <w:tcPr>
            <w:tcW w:w="629" w:type="pct"/>
            <w:noWrap w:val="0"/>
            <w:vAlign w:val="center"/>
          </w:tcPr>
          <w:p w14:paraId="410E64E0">
            <w:pPr>
              <w:spacing w:line="360" w:lineRule="exact"/>
              <w:jc w:val="center"/>
              <w:rPr>
                <w:rFonts w:hint="eastAsia" w:ascii="宋体" w:hAnsi="宋体" w:cs="宋体"/>
                <w:color w:val="auto"/>
                <w:sz w:val="22"/>
                <w:highlight w:val="none"/>
              </w:rPr>
            </w:pPr>
          </w:p>
        </w:tc>
      </w:tr>
      <w:tr w14:paraId="3EDEC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5" w:type="pct"/>
            <w:noWrap w:val="0"/>
            <w:vAlign w:val="center"/>
          </w:tcPr>
          <w:p w14:paraId="2612E65A">
            <w:pPr>
              <w:spacing w:line="360" w:lineRule="exact"/>
              <w:jc w:val="center"/>
              <w:rPr>
                <w:rFonts w:hint="eastAsia" w:ascii="宋体" w:hAnsi="宋体" w:cs="宋体"/>
                <w:color w:val="auto"/>
                <w:sz w:val="22"/>
                <w:highlight w:val="none"/>
              </w:rPr>
            </w:pPr>
            <w:r>
              <w:rPr>
                <w:rFonts w:hint="eastAsia" w:ascii="宋体" w:hAnsi="宋体" w:cs="宋体"/>
                <w:color w:val="auto"/>
                <w:sz w:val="22"/>
                <w:highlight w:val="none"/>
              </w:rPr>
              <w:t>4</w:t>
            </w:r>
          </w:p>
        </w:tc>
        <w:tc>
          <w:tcPr>
            <w:tcW w:w="758" w:type="pct"/>
            <w:noWrap w:val="0"/>
            <w:vAlign w:val="center"/>
          </w:tcPr>
          <w:p w14:paraId="36267A4B">
            <w:pPr>
              <w:spacing w:line="360" w:lineRule="exact"/>
              <w:jc w:val="center"/>
              <w:rPr>
                <w:rFonts w:hint="eastAsia" w:ascii="宋体" w:hAnsi="宋体" w:cs="宋体"/>
                <w:color w:val="auto"/>
                <w:sz w:val="22"/>
                <w:highlight w:val="none"/>
              </w:rPr>
            </w:pPr>
            <w:r>
              <w:rPr>
                <w:rFonts w:hint="eastAsia" w:ascii="宋体" w:hAnsi="宋体" w:cs="宋体"/>
                <w:color w:val="auto"/>
                <w:sz w:val="22"/>
                <w:highlight w:val="none"/>
              </w:rPr>
              <w:t>超融合物理数据中心交换机</w:t>
            </w:r>
          </w:p>
        </w:tc>
        <w:tc>
          <w:tcPr>
            <w:tcW w:w="2919" w:type="pct"/>
            <w:noWrap w:val="0"/>
            <w:vAlign w:val="top"/>
          </w:tcPr>
          <w:p w14:paraId="0B031124">
            <w:pPr>
              <w:spacing w:line="360" w:lineRule="exact"/>
              <w:rPr>
                <w:rFonts w:hint="eastAsia" w:ascii="宋体" w:hAnsi="宋体" w:cs="宋体"/>
                <w:color w:val="auto"/>
                <w:sz w:val="22"/>
                <w:highlight w:val="none"/>
              </w:rPr>
            </w:pPr>
            <w:r>
              <w:rPr>
                <w:rFonts w:hint="eastAsia" w:ascii="宋体" w:hAnsi="宋体" w:cs="宋体"/>
                <w:color w:val="auto"/>
                <w:sz w:val="22"/>
                <w:highlight w:val="none"/>
              </w:rPr>
              <w:t>1.交换容量≥2.56Tbps，包转发率≥1620Mpps；</w:t>
            </w:r>
          </w:p>
          <w:p w14:paraId="00DA6BC7">
            <w:pPr>
              <w:spacing w:line="360" w:lineRule="exact"/>
              <w:rPr>
                <w:rFonts w:hint="eastAsia" w:ascii="宋体" w:hAnsi="宋体" w:cs="宋体"/>
                <w:color w:val="auto"/>
                <w:sz w:val="22"/>
                <w:highlight w:val="none"/>
              </w:rPr>
            </w:pPr>
            <w:r>
              <w:rPr>
                <w:rFonts w:hint="eastAsia" w:ascii="宋体" w:hAnsi="宋体" w:cs="宋体"/>
                <w:color w:val="auto"/>
                <w:sz w:val="22"/>
                <w:highlight w:val="none"/>
              </w:rPr>
              <w:t>2.支持≥48个万兆SFP+，≥6个100GE QSFP28；</w:t>
            </w:r>
          </w:p>
          <w:p w14:paraId="40A8F46D">
            <w:pPr>
              <w:spacing w:line="360" w:lineRule="exact"/>
              <w:rPr>
                <w:rFonts w:hint="eastAsia" w:ascii="宋体" w:hAnsi="宋体" w:cs="宋体"/>
                <w:color w:val="auto"/>
                <w:sz w:val="22"/>
                <w:highlight w:val="none"/>
              </w:rPr>
            </w:pPr>
            <w:r>
              <w:rPr>
                <w:rFonts w:hint="eastAsia" w:ascii="宋体" w:hAnsi="宋体" w:cs="宋体"/>
                <w:color w:val="auto"/>
                <w:sz w:val="22"/>
                <w:highlight w:val="none"/>
              </w:rPr>
              <w:t>3.为了提高设备散热性能，支持可插拔风扇框，风扇框个数≥4；</w:t>
            </w:r>
          </w:p>
          <w:p w14:paraId="49C179D7">
            <w:pPr>
              <w:spacing w:line="360" w:lineRule="exact"/>
              <w:rPr>
                <w:rFonts w:hint="eastAsia" w:ascii="宋体" w:hAnsi="宋体" w:cs="宋体"/>
                <w:color w:val="auto"/>
                <w:sz w:val="22"/>
                <w:highlight w:val="none"/>
              </w:rPr>
            </w:pPr>
            <w:r>
              <w:rPr>
                <w:rFonts w:hint="eastAsia" w:ascii="宋体" w:hAnsi="宋体" w:cs="宋体"/>
                <w:color w:val="auto"/>
                <w:sz w:val="22"/>
                <w:highlight w:val="none"/>
              </w:rPr>
              <w:t>4.支持4K个VLAN，支持Guest VLAN、Voice VLAN，支持基于MAC/协议/IP子网/策略/端口的VLAN；</w:t>
            </w:r>
          </w:p>
          <w:p w14:paraId="0E81BD24">
            <w:pPr>
              <w:spacing w:line="360" w:lineRule="exact"/>
              <w:rPr>
                <w:rFonts w:hint="eastAsia" w:ascii="宋体" w:hAnsi="宋体" w:cs="宋体"/>
                <w:color w:val="auto"/>
                <w:sz w:val="22"/>
                <w:highlight w:val="none"/>
              </w:rPr>
            </w:pPr>
            <w:r>
              <w:rPr>
                <w:rFonts w:hint="eastAsia" w:ascii="宋体" w:hAnsi="宋体" w:cs="宋体"/>
                <w:color w:val="auto"/>
                <w:sz w:val="22"/>
                <w:highlight w:val="none"/>
              </w:rPr>
              <w:t>5.支持OSPF、IS-IS、BGP、RIPng、OSPFv3、BGP4+、ISISv6协议；</w:t>
            </w:r>
          </w:p>
          <w:p w14:paraId="3757F2EB">
            <w:pPr>
              <w:spacing w:line="360" w:lineRule="exact"/>
              <w:rPr>
                <w:rFonts w:hint="eastAsia" w:ascii="宋体" w:hAnsi="宋体" w:cs="宋体"/>
                <w:color w:val="auto"/>
                <w:sz w:val="22"/>
                <w:highlight w:val="none"/>
              </w:rPr>
            </w:pPr>
            <w:r>
              <w:rPr>
                <w:rFonts w:hint="eastAsia" w:ascii="宋体" w:hAnsi="宋体" w:cs="宋体"/>
                <w:color w:val="auto"/>
                <w:sz w:val="22"/>
                <w:highlight w:val="none"/>
              </w:rPr>
              <w:t>6.支持交换机基于UCL用户组方式，用户组内的用户，不论是有线还是无线用户，也不论用户在何处登录，获得任何IP地址，用户都拥有相同的访问权限；</w:t>
            </w:r>
          </w:p>
          <w:p w14:paraId="7BA0C10E">
            <w:pPr>
              <w:spacing w:line="360" w:lineRule="exact"/>
              <w:rPr>
                <w:rFonts w:hint="eastAsia" w:ascii="宋体" w:hAnsi="宋体" w:cs="宋体"/>
                <w:color w:val="auto"/>
                <w:sz w:val="22"/>
                <w:highlight w:val="none"/>
              </w:rPr>
            </w:pPr>
            <w:r>
              <w:rPr>
                <w:rFonts w:hint="eastAsia" w:ascii="宋体" w:hAnsi="宋体" w:cs="宋体"/>
                <w:color w:val="auto"/>
                <w:sz w:val="22"/>
                <w:highlight w:val="none"/>
              </w:rPr>
              <w:t>7.支持VxLAN功能，支持BGP EVPN，支持分布式 Anycast 网关；支持控制器基于WEB界面进行VxLAN Fabric配置并下发给交换机；</w:t>
            </w:r>
          </w:p>
          <w:p w14:paraId="06B2F052">
            <w:pPr>
              <w:spacing w:line="360" w:lineRule="exact"/>
              <w:rPr>
                <w:rFonts w:hint="eastAsia" w:ascii="宋体" w:hAnsi="宋体" w:cs="宋体"/>
                <w:color w:val="auto"/>
                <w:sz w:val="22"/>
                <w:highlight w:val="none"/>
              </w:rPr>
            </w:pPr>
            <w:r>
              <w:rPr>
                <w:rFonts w:hint="eastAsia" w:ascii="宋体" w:hAnsi="宋体" w:cs="宋体"/>
                <w:color w:val="auto"/>
                <w:sz w:val="22"/>
                <w:highlight w:val="none"/>
              </w:rPr>
              <w:t>8.支持DRR、SP、DRR+SP队列调度算法；</w:t>
            </w:r>
          </w:p>
          <w:p w14:paraId="1133B058">
            <w:pPr>
              <w:spacing w:line="360" w:lineRule="exact"/>
              <w:rPr>
                <w:rFonts w:hint="eastAsia" w:ascii="宋体" w:hAnsi="宋体" w:cs="宋体"/>
                <w:color w:val="auto"/>
                <w:sz w:val="22"/>
                <w:highlight w:val="none"/>
              </w:rPr>
            </w:pPr>
            <w:r>
              <w:rPr>
                <w:rFonts w:hint="eastAsia" w:ascii="宋体" w:hAnsi="宋体" w:cs="宋体"/>
                <w:color w:val="auto"/>
                <w:sz w:val="22"/>
                <w:highlight w:val="none"/>
              </w:rPr>
              <w:t>9.支持本地管理和云盒两种方式，可以通过云管理平台对交换机进行云端配置、监控、巡检等，减少部署和运维的投入，降低网络的OPEX。</w:t>
            </w:r>
          </w:p>
        </w:tc>
        <w:tc>
          <w:tcPr>
            <w:tcW w:w="250" w:type="pct"/>
            <w:noWrap w:val="0"/>
            <w:vAlign w:val="center"/>
          </w:tcPr>
          <w:p w14:paraId="50C686ED">
            <w:pPr>
              <w:spacing w:line="360" w:lineRule="exact"/>
              <w:jc w:val="center"/>
              <w:rPr>
                <w:rFonts w:hint="eastAsia" w:ascii="宋体" w:hAnsi="宋体" w:cs="宋体"/>
                <w:color w:val="auto"/>
                <w:sz w:val="22"/>
                <w:highlight w:val="none"/>
              </w:rPr>
            </w:pPr>
            <w:r>
              <w:rPr>
                <w:rFonts w:hint="eastAsia" w:ascii="宋体" w:hAnsi="宋体" w:cs="宋体"/>
                <w:color w:val="auto"/>
                <w:sz w:val="22"/>
                <w:highlight w:val="none"/>
              </w:rPr>
              <w:t>2</w:t>
            </w:r>
          </w:p>
        </w:tc>
        <w:tc>
          <w:tcPr>
            <w:tcW w:w="216" w:type="pct"/>
            <w:noWrap w:val="0"/>
            <w:vAlign w:val="center"/>
          </w:tcPr>
          <w:p w14:paraId="5DC6C022">
            <w:pPr>
              <w:spacing w:line="360" w:lineRule="exact"/>
              <w:jc w:val="center"/>
              <w:rPr>
                <w:rFonts w:hint="eastAsia" w:ascii="宋体" w:hAnsi="宋体" w:cs="宋体"/>
                <w:color w:val="auto"/>
                <w:sz w:val="22"/>
                <w:highlight w:val="none"/>
              </w:rPr>
            </w:pPr>
            <w:r>
              <w:rPr>
                <w:rFonts w:hint="eastAsia" w:ascii="宋体" w:hAnsi="宋体" w:cs="宋体"/>
                <w:color w:val="auto"/>
                <w:sz w:val="22"/>
                <w:highlight w:val="none"/>
              </w:rPr>
              <w:t>台</w:t>
            </w:r>
          </w:p>
        </w:tc>
        <w:tc>
          <w:tcPr>
            <w:tcW w:w="629" w:type="pct"/>
            <w:noWrap w:val="0"/>
            <w:vAlign w:val="center"/>
          </w:tcPr>
          <w:p w14:paraId="7E1496FE">
            <w:pPr>
              <w:spacing w:line="360" w:lineRule="exact"/>
              <w:jc w:val="center"/>
              <w:rPr>
                <w:rFonts w:hint="eastAsia" w:ascii="宋体" w:hAnsi="宋体" w:cs="宋体"/>
                <w:color w:val="auto"/>
                <w:sz w:val="22"/>
                <w:highlight w:val="none"/>
              </w:rPr>
            </w:pPr>
          </w:p>
        </w:tc>
      </w:tr>
      <w:tr w14:paraId="769F5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5" w:type="pct"/>
            <w:noWrap w:val="0"/>
            <w:vAlign w:val="center"/>
          </w:tcPr>
          <w:p w14:paraId="1F8E6AA5">
            <w:pPr>
              <w:spacing w:line="360" w:lineRule="exact"/>
              <w:jc w:val="center"/>
              <w:rPr>
                <w:rFonts w:hint="eastAsia" w:ascii="宋体" w:hAnsi="宋体" w:cs="宋体"/>
                <w:color w:val="auto"/>
                <w:sz w:val="22"/>
                <w:highlight w:val="none"/>
              </w:rPr>
            </w:pPr>
            <w:r>
              <w:rPr>
                <w:rFonts w:hint="eastAsia" w:ascii="宋体" w:hAnsi="宋体" w:cs="宋体"/>
                <w:color w:val="auto"/>
                <w:sz w:val="22"/>
                <w:highlight w:val="none"/>
              </w:rPr>
              <w:t>5</w:t>
            </w:r>
          </w:p>
        </w:tc>
        <w:tc>
          <w:tcPr>
            <w:tcW w:w="758" w:type="pct"/>
            <w:noWrap w:val="0"/>
            <w:vAlign w:val="center"/>
          </w:tcPr>
          <w:p w14:paraId="0CD1994F">
            <w:pPr>
              <w:spacing w:line="360" w:lineRule="exact"/>
              <w:jc w:val="center"/>
              <w:rPr>
                <w:rFonts w:hint="eastAsia" w:ascii="宋体" w:hAnsi="宋体" w:cs="宋体"/>
                <w:color w:val="auto"/>
                <w:sz w:val="22"/>
                <w:highlight w:val="none"/>
              </w:rPr>
            </w:pPr>
            <w:r>
              <w:rPr>
                <w:rFonts w:hint="eastAsia" w:ascii="宋体" w:hAnsi="宋体" w:cs="宋体"/>
                <w:color w:val="auto"/>
                <w:sz w:val="22"/>
                <w:highlight w:val="none"/>
              </w:rPr>
              <w:t>万兆光纤模块（单模）</w:t>
            </w:r>
          </w:p>
        </w:tc>
        <w:tc>
          <w:tcPr>
            <w:tcW w:w="2919" w:type="pct"/>
            <w:noWrap w:val="0"/>
            <w:vAlign w:val="center"/>
          </w:tcPr>
          <w:p w14:paraId="7B11770E">
            <w:pPr>
              <w:spacing w:line="360" w:lineRule="exact"/>
              <w:jc w:val="left"/>
              <w:rPr>
                <w:rFonts w:hint="eastAsia" w:ascii="宋体" w:hAnsi="宋体" w:cs="宋体"/>
                <w:color w:val="auto"/>
                <w:sz w:val="22"/>
                <w:highlight w:val="none"/>
              </w:rPr>
            </w:pPr>
            <w:r>
              <w:rPr>
                <w:rFonts w:hint="eastAsia" w:ascii="宋体" w:hAnsi="宋体" w:cs="宋体"/>
                <w:color w:val="auto"/>
                <w:sz w:val="22"/>
                <w:highlight w:val="none"/>
              </w:rPr>
              <w:t>光模块-SFP+-10G-单模模块(1310nm，10km，LC)</w:t>
            </w:r>
          </w:p>
        </w:tc>
        <w:tc>
          <w:tcPr>
            <w:tcW w:w="250" w:type="pct"/>
            <w:noWrap w:val="0"/>
            <w:vAlign w:val="center"/>
          </w:tcPr>
          <w:p w14:paraId="6FE9B0D8">
            <w:pPr>
              <w:spacing w:line="360" w:lineRule="exact"/>
              <w:jc w:val="center"/>
              <w:rPr>
                <w:rFonts w:hint="eastAsia" w:ascii="宋体" w:hAnsi="宋体" w:cs="宋体"/>
                <w:color w:val="auto"/>
                <w:sz w:val="22"/>
                <w:highlight w:val="none"/>
              </w:rPr>
            </w:pPr>
            <w:r>
              <w:rPr>
                <w:rFonts w:hint="eastAsia" w:ascii="宋体" w:hAnsi="宋体" w:cs="宋体"/>
                <w:color w:val="auto"/>
                <w:sz w:val="22"/>
                <w:highlight w:val="none"/>
              </w:rPr>
              <w:t>10</w:t>
            </w:r>
          </w:p>
        </w:tc>
        <w:tc>
          <w:tcPr>
            <w:tcW w:w="216" w:type="pct"/>
            <w:noWrap w:val="0"/>
            <w:vAlign w:val="center"/>
          </w:tcPr>
          <w:p w14:paraId="68E47247">
            <w:pPr>
              <w:spacing w:line="360" w:lineRule="exact"/>
              <w:jc w:val="center"/>
              <w:rPr>
                <w:rFonts w:hint="eastAsia" w:ascii="宋体" w:hAnsi="宋体" w:cs="宋体"/>
                <w:color w:val="auto"/>
                <w:sz w:val="22"/>
                <w:highlight w:val="none"/>
              </w:rPr>
            </w:pPr>
            <w:r>
              <w:rPr>
                <w:rFonts w:hint="eastAsia" w:ascii="宋体" w:hAnsi="宋体" w:cs="宋体"/>
                <w:color w:val="auto"/>
                <w:sz w:val="22"/>
                <w:highlight w:val="none"/>
              </w:rPr>
              <w:t>块</w:t>
            </w:r>
          </w:p>
        </w:tc>
        <w:tc>
          <w:tcPr>
            <w:tcW w:w="629" w:type="pct"/>
            <w:noWrap w:val="0"/>
            <w:vAlign w:val="center"/>
          </w:tcPr>
          <w:p w14:paraId="09FA82CE">
            <w:pPr>
              <w:spacing w:line="360" w:lineRule="exact"/>
              <w:jc w:val="center"/>
              <w:rPr>
                <w:rFonts w:hint="eastAsia" w:ascii="宋体" w:hAnsi="宋体" w:cs="宋体"/>
                <w:color w:val="auto"/>
                <w:sz w:val="22"/>
                <w:highlight w:val="none"/>
              </w:rPr>
            </w:pPr>
          </w:p>
        </w:tc>
      </w:tr>
      <w:tr w14:paraId="25682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5" w:type="pct"/>
            <w:noWrap w:val="0"/>
            <w:vAlign w:val="center"/>
          </w:tcPr>
          <w:p w14:paraId="5C1B048F">
            <w:pPr>
              <w:spacing w:line="360" w:lineRule="exact"/>
              <w:jc w:val="center"/>
              <w:rPr>
                <w:rFonts w:hint="eastAsia" w:ascii="宋体" w:hAnsi="宋体" w:cs="宋体"/>
                <w:color w:val="auto"/>
                <w:sz w:val="22"/>
                <w:highlight w:val="none"/>
              </w:rPr>
            </w:pPr>
            <w:r>
              <w:rPr>
                <w:rFonts w:hint="eastAsia" w:ascii="宋体" w:hAnsi="宋体" w:cs="宋体"/>
                <w:color w:val="auto"/>
                <w:sz w:val="22"/>
                <w:highlight w:val="none"/>
              </w:rPr>
              <w:t>6</w:t>
            </w:r>
          </w:p>
        </w:tc>
        <w:tc>
          <w:tcPr>
            <w:tcW w:w="758" w:type="pct"/>
            <w:noWrap w:val="0"/>
            <w:vAlign w:val="center"/>
          </w:tcPr>
          <w:p w14:paraId="2C71500A">
            <w:pPr>
              <w:spacing w:line="360" w:lineRule="exact"/>
              <w:jc w:val="center"/>
              <w:rPr>
                <w:rFonts w:hint="eastAsia" w:ascii="宋体" w:hAnsi="宋体" w:cs="宋体"/>
                <w:color w:val="auto"/>
                <w:sz w:val="22"/>
                <w:highlight w:val="none"/>
              </w:rPr>
            </w:pPr>
            <w:r>
              <w:rPr>
                <w:rFonts w:hint="eastAsia" w:ascii="宋体" w:hAnsi="宋体" w:cs="宋体"/>
                <w:color w:val="auto"/>
                <w:sz w:val="22"/>
                <w:highlight w:val="none"/>
              </w:rPr>
              <w:t>万兆光纤模块（多模）</w:t>
            </w:r>
          </w:p>
        </w:tc>
        <w:tc>
          <w:tcPr>
            <w:tcW w:w="2919" w:type="pct"/>
            <w:noWrap w:val="0"/>
            <w:vAlign w:val="center"/>
          </w:tcPr>
          <w:p w14:paraId="6C09A44A">
            <w:pPr>
              <w:spacing w:line="360" w:lineRule="exact"/>
              <w:jc w:val="left"/>
              <w:rPr>
                <w:rFonts w:hint="eastAsia" w:ascii="宋体" w:hAnsi="宋体" w:cs="宋体"/>
                <w:color w:val="auto"/>
                <w:sz w:val="22"/>
                <w:highlight w:val="none"/>
              </w:rPr>
            </w:pPr>
            <w:r>
              <w:rPr>
                <w:rFonts w:hint="eastAsia" w:ascii="宋体" w:hAnsi="宋体" w:cs="宋体"/>
                <w:color w:val="auto"/>
                <w:sz w:val="22"/>
                <w:highlight w:val="none"/>
              </w:rPr>
              <w:t>光模块-SFP+-10G-多模模块(850nm，0.3km，LC)</w:t>
            </w:r>
          </w:p>
        </w:tc>
        <w:tc>
          <w:tcPr>
            <w:tcW w:w="250" w:type="pct"/>
            <w:noWrap w:val="0"/>
            <w:vAlign w:val="center"/>
          </w:tcPr>
          <w:p w14:paraId="7AD1AC41">
            <w:pPr>
              <w:spacing w:line="360" w:lineRule="exact"/>
              <w:jc w:val="center"/>
              <w:rPr>
                <w:rFonts w:hint="eastAsia" w:ascii="宋体" w:hAnsi="宋体" w:cs="宋体"/>
                <w:color w:val="auto"/>
                <w:sz w:val="22"/>
                <w:highlight w:val="none"/>
              </w:rPr>
            </w:pPr>
            <w:r>
              <w:rPr>
                <w:rFonts w:hint="eastAsia" w:ascii="宋体" w:hAnsi="宋体" w:cs="宋体"/>
                <w:color w:val="auto"/>
                <w:sz w:val="22"/>
                <w:highlight w:val="none"/>
              </w:rPr>
              <w:t>24</w:t>
            </w:r>
          </w:p>
        </w:tc>
        <w:tc>
          <w:tcPr>
            <w:tcW w:w="216" w:type="pct"/>
            <w:noWrap w:val="0"/>
            <w:vAlign w:val="center"/>
          </w:tcPr>
          <w:p w14:paraId="251ECCD7">
            <w:pPr>
              <w:spacing w:line="360" w:lineRule="exact"/>
              <w:jc w:val="center"/>
              <w:rPr>
                <w:rFonts w:hint="eastAsia" w:ascii="宋体" w:hAnsi="宋体" w:cs="宋体"/>
                <w:color w:val="auto"/>
                <w:sz w:val="22"/>
                <w:highlight w:val="none"/>
              </w:rPr>
            </w:pPr>
            <w:r>
              <w:rPr>
                <w:rFonts w:hint="eastAsia" w:ascii="宋体" w:hAnsi="宋体" w:cs="宋体"/>
                <w:color w:val="auto"/>
                <w:sz w:val="22"/>
                <w:highlight w:val="none"/>
              </w:rPr>
              <w:t>块</w:t>
            </w:r>
          </w:p>
        </w:tc>
        <w:tc>
          <w:tcPr>
            <w:tcW w:w="629" w:type="pct"/>
            <w:noWrap w:val="0"/>
            <w:vAlign w:val="center"/>
          </w:tcPr>
          <w:p w14:paraId="423FA0C4">
            <w:pPr>
              <w:spacing w:line="360" w:lineRule="exact"/>
              <w:jc w:val="center"/>
              <w:rPr>
                <w:rFonts w:hint="eastAsia" w:ascii="宋体" w:hAnsi="宋体" w:cs="宋体"/>
                <w:color w:val="auto"/>
                <w:sz w:val="22"/>
                <w:highlight w:val="none"/>
              </w:rPr>
            </w:pPr>
          </w:p>
        </w:tc>
      </w:tr>
      <w:tr w14:paraId="56A38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5" w:type="pct"/>
            <w:noWrap w:val="0"/>
            <w:vAlign w:val="center"/>
          </w:tcPr>
          <w:p w14:paraId="2E4208E6">
            <w:pPr>
              <w:spacing w:line="360" w:lineRule="exact"/>
              <w:jc w:val="center"/>
              <w:rPr>
                <w:rFonts w:hint="eastAsia" w:ascii="宋体" w:hAnsi="宋体" w:cs="宋体"/>
                <w:color w:val="auto"/>
                <w:sz w:val="22"/>
                <w:highlight w:val="none"/>
              </w:rPr>
            </w:pPr>
            <w:r>
              <w:rPr>
                <w:rFonts w:hint="eastAsia" w:ascii="宋体" w:hAnsi="宋体" w:cs="宋体"/>
                <w:color w:val="auto"/>
                <w:sz w:val="22"/>
                <w:highlight w:val="none"/>
              </w:rPr>
              <w:t>7</w:t>
            </w:r>
          </w:p>
        </w:tc>
        <w:tc>
          <w:tcPr>
            <w:tcW w:w="758" w:type="pct"/>
            <w:noWrap w:val="0"/>
            <w:vAlign w:val="center"/>
          </w:tcPr>
          <w:p w14:paraId="54052C68">
            <w:pPr>
              <w:spacing w:line="360" w:lineRule="exact"/>
              <w:jc w:val="center"/>
              <w:rPr>
                <w:rFonts w:hint="eastAsia" w:ascii="宋体" w:hAnsi="宋体" w:cs="宋体"/>
                <w:color w:val="auto"/>
                <w:sz w:val="22"/>
                <w:highlight w:val="none"/>
              </w:rPr>
            </w:pPr>
            <w:r>
              <w:rPr>
                <w:rFonts w:hint="eastAsia" w:ascii="宋体" w:hAnsi="宋体" w:cs="宋体"/>
                <w:color w:val="auto"/>
                <w:sz w:val="22"/>
                <w:highlight w:val="none"/>
              </w:rPr>
              <w:t>核心交换机互联专用电缆及尾纤</w:t>
            </w:r>
          </w:p>
        </w:tc>
        <w:tc>
          <w:tcPr>
            <w:tcW w:w="2919" w:type="pct"/>
            <w:noWrap w:val="0"/>
            <w:vAlign w:val="center"/>
          </w:tcPr>
          <w:p w14:paraId="473B9B06">
            <w:pPr>
              <w:spacing w:line="360" w:lineRule="exact"/>
              <w:jc w:val="left"/>
              <w:rPr>
                <w:rFonts w:hint="eastAsia" w:ascii="宋体" w:hAnsi="宋体" w:cs="宋体"/>
                <w:color w:val="auto"/>
                <w:sz w:val="22"/>
                <w:highlight w:val="none"/>
              </w:rPr>
            </w:pPr>
            <w:r>
              <w:rPr>
                <w:rFonts w:hint="eastAsia" w:ascii="宋体" w:hAnsi="宋体" w:cs="宋体"/>
                <w:color w:val="auto"/>
                <w:sz w:val="22"/>
                <w:highlight w:val="none"/>
              </w:rPr>
              <w:t>LC接口与光模块配套使用</w:t>
            </w:r>
          </w:p>
        </w:tc>
        <w:tc>
          <w:tcPr>
            <w:tcW w:w="250" w:type="pct"/>
            <w:noWrap w:val="0"/>
            <w:vAlign w:val="center"/>
          </w:tcPr>
          <w:p w14:paraId="53C936CD">
            <w:pPr>
              <w:spacing w:line="360" w:lineRule="exact"/>
              <w:jc w:val="center"/>
              <w:rPr>
                <w:rFonts w:hint="eastAsia" w:ascii="宋体" w:hAnsi="宋体" w:cs="宋体"/>
                <w:color w:val="auto"/>
                <w:sz w:val="22"/>
                <w:highlight w:val="none"/>
              </w:rPr>
            </w:pPr>
            <w:r>
              <w:rPr>
                <w:rFonts w:hint="eastAsia" w:ascii="宋体" w:hAnsi="宋体" w:cs="宋体"/>
                <w:color w:val="auto"/>
                <w:sz w:val="22"/>
                <w:highlight w:val="none"/>
              </w:rPr>
              <w:t>1</w:t>
            </w:r>
          </w:p>
        </w:tc>
        <w:tc>
          <w:tcPr>
            <w:tcW w:w="216" w:type="pct"/>
            <w:noWrap w:val="0"/>
            <w:vAlign w:val="center"/>
          </w:tcPr>
          <w:p w14:paraId="69251D2C">
            <w:pPr>
              <w:spacing w:line="360" w:lineRule="exact"/>
              <w:jc w:val="center"/>
              <w:rPr>
                <w:rFonts w:hint="eastAsia" w:ascii="宋体" w:hAnsi="宋体" w:cs="宋体"/>
                <w:color w:val="auto"/>
                <w:sz w:val="22"/>
                <w:highlight w:val="none"/>
              </w:rPr>
            </w:pPr>
            <w:r>
              <w:rPr>
                <w:rFonts w:hint="eastAsia" w:ascii="宋体" w:hAnsi="宋体" w:cs="宋体"/>
                <w:color w:val="auto"/>
                <w:sz w:val="22"/>
                <w:highlight w:val="none"/>
              </w:rPr>
              <w:t>批</w:t>
            </w:r>
          </w:p>
        </w:tc>
        <w:tc>
          <w:tcPr>
            <w:tcW w:w="629" w:type="pct"/>
            <w:noWrap w:val="0"/>
            <w:vAlign w:val="center"/>
          </w:tcPr>
          <w:p w14:paraId="451AB87C">
            <w:pPr>
              <w:spacing w:line="360" w:lineRule="exact"/>
              <w:jc w:val="center"/>
              <w:rPr>
                <w:rFonts w:hint="eastAsia" w:ascii="宋体" w:hAnsi="宋体" w:cs="宋体"/>
                <w:color w:val="auto"/>
                <w:sz w:val="22"/>
                <w:highlight w:val="none"/>
              </w:rPr>
            </w:pPr>
          </w:p>
        </w:tc>
      </w:tr>
      <w:tr w14:paraId="16C62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00" w:type="pct"/>
            <w:gridSpan w:val="6"/>
            <w:noWrap w:val="0"/>
            <w:vAlign w:val="center"/>
          </w:tcPr>
          <w:p w14:paraId="1AB4789F">
            <w:pPr>
              <w:spacing w:line="360" w:lineRule="exact"/>
              <w:rPr>
                <w:rFonts w:hint="eastAsia" w:ascii="宋体" w:hAnsi="宋体" w:cs="宋体"/>
                <w:color w:val="auto"/>
                <w:sz w:val="22"/>
                <w:highlight w:val="none"/>
              </w:rPr>
            </w:pPr>
            <w:r>
              <w:rPr>
                <w:rFonts w:hint="eastAsia" w:ascii="宋体" w:hAnsi="宋体" w:cs="宋体"/>
                <w:b/>
                <w:bCs/>
                <w:color w:val="auto"/>
                <w:sz w:val="22"/>
                <w:highlight w:val="none"/>
              </w:rPr>
              <w:t>二、配套机房环境工程设备采购要求</w:t>
            </w:r>
          </w:p>
        </w:tc>
      </w:tr>
      <w:tr w14:paraId="58A79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5" w:type="pct"/>
            <w:noWrap w:val="0"/>
            <w:vAlign w:val="center"/>
          </w:tcPr>
          <w:p w14:paraId="1FAB9B13">
            <w:pPr>
              <w:spacing w:line="360" w:lineRule="exact"/>
              <w:jc w:val="center"/>
              <w:rPr>
                <w:rFonts w:hint="eastAsia" w:ascii="宋体" w:hAnsi="宋体" w:cs="宋体"/>
                <w:color w:val="auto"/>
                <w:sz w:val="22"/>
                <w:highlight w:val="none"/>
              </w:rPr>
            </w:pPr>
            <w:r>
              <w:rPr>
                <w:rFonts w:hint="eastAsia" w:ascii="宋体" w:hAnsi="宋体" w:cs="宋体"/>
                <w:color w:val="auto"/>
                <w:sz w:val="22"/>
                <w:highlight w:val="none"/>
              </w:rPr>
              <w:t>1</w:t>
            </w:r>
          </w:p>
        </w:tc>
        <w:tc>
          <w:tcPr>
            <w:tcW w:w="758" w:type="pct"/>
            <w:noWrap w:val="0"/>
            <w:vAlign w:val="center"/>
          </w:tcPr>
          <w:p w14:paraId="14BA5D42">
            <w:pPr>
              <w:spacing w:line="360" w:lineRule="exact"/>
              <w:jc w:val="center"/>
              <w:rPr>
                <w:rFonts w:hint="eastAsia" w:ascii="宋体" w:hAnsi="宋体" w:cs="宋体"/>
                <w:color w:val="auto"/>
                <w:sz w:val="22"/>
                <w:highlight w:val="none"/>
              </w:rPr>
            </w:pPr>
            <w:r>
              <w:rPr>
                <w:rFonts w:hint="eastAsia" w:ascii="宋体" w:hAnsi="宋体" w:cs="宋体"/>
                <w:color w:val="auto"/>
                <w:sz w:val="22"/>
                <w:highlight w:val="none"/>
              </w:rPr>
              <w:t>一体化机房综合柜</w:t>
            </w:r>
          </w:p>
        </w:tc>
        <w:tc>
          <w:tcPr>
            <w:tcW w:w="2919" w:type="pct"/>
            <w:noWrap w:val="0"/>
            <w:vAlign w:val="top"/>
          </w:tcPr>
          <w:p w14:paraId="41BA1C1C">
            <w:pPr>
              <w:numPr>
                <w:ilvl w:val="0"/>
                <w:numId w:val="1"/>
              </w:numPr>
              <w:spacing w:line="360" w:lineRule="exact"/>
              <w:rPr>
                <w:rFonts w:hint="eastAsia" w:ascii="宋体" w:hAnsi="宋体" w:cs="宋体"/>
                <w:color w:val="auto"/>
                <w:sz w:val="22"/>
                <w:highlight w:val="none"/>
              </w:rPr>
            </w:pPr>
            <w:r>
              <w:rPr>
                <w:rFonts w:hint="eastAsia" w:ascii="宋体" w:hAnsi="宋体" w:cs="宋体"/>
                <w:color w:val="auto"/>
                <w:sz w:val="22"/>
                <w:highlight w:val="none"/>
              </w:rPr>
              <w:t>★后备电源、温控系统、服务器机柜、监控管理系统需为同一品牌</w:t>
            </w:r>
            <w:r>
              <w:rPr>
                <w:rFonts w:hint="eastAsia" w:ascii="宋体" w:hAnsi="宋体" w:cs="宋体"/>
                <w:b/>
                <w:bCs/>
                <w:color w:val="auto"/>
                <w:sz w:val="22"/>
                <w:highlight w:val="none"/>
              </w:rPr>
              <w:t>（需提供承诺函并加盖投标人公章，否则视为负偏离）</w:t>
            </w:r>
            <w:r>
              <w:rPr>
                <w:rFonts w:hint="eastAsia" w:ascii="宋体" w:hAnsi="宋体" w:cs="宋体"/>
                <w:color w:val="auto"/>
                <w:sz w:val="22"/>
                <w:highlight w:val="none"/>
              </w:rPr>
              <w:t>；</w:t>
            </w:r>
          </w:p>
          <w:p w14:paraId="37CEC656">
            <w:pPr>
              <w:numPr>
                <w:ilvl w:val="0"/>
                <w:numId w:val="1"/>
              </w:numPr>
              <w:spacing w:line="360" w:lineRule="exact"/>
              <w:rPr>
                <w:rFonts w:hint="eastAsia" w:ascii="宋体" w:hAnsi="宋体" w:cs="宋体"/>
                <w:color w:val="auto"/>
                <w:sz w:val="22"/>
                <w:highlight w:val="none"/>
              </w:rPr>
            </w:pPr>
            <w:r>
              <w:rPr>
                <w:rFonts w:hint="eastAsia" w:ascii="宋体" w:hAnsi="宋体" w:cs="宋体"/>
                <w:color w:val="auto"/>
                <w:sz w:val="22"/>
                <w:highlight w:val="none"/>
              </w:rPr>
              <w:t>★一体化设计：后备电源、配电、监控、温控系统一体化集成在一个综合柜，设备柜在综合柜两侧灵活扩展，为数据中心机房维护便利性，现有一体化机房综合柜与原有微模块机房无缝对接，系统平台统一管理；；</w:t>
            </w:r>
          </w:p>
          <w:p w14:paraId="48F440B6">
            <w:pPr>
              <w:numPr>
                <w:ilvl w:val="0"/>
                <w:numId w:val="1"/>
              </w:numPr>
              <w:spacing w:line="360" w:lineRule="exact"/>
              <w:rPr>
                <w:rFonts w:hint="eastAsia" w:ascii="宋体" w:hAnsi="宋体" w:cs="宋体"/>
                <w:color w:val="auto"/>
                <w:sz w:val="22"/>
                <w:highlight w:val="none"/>
              </w:rPr>
            </w:pPr>
            <w:r>
              <w:rPr>
                <w:rFonts w:hint="eastAsia" w:ascii="宋体" w:hAnsi="宋体" w:cs="宋体"/>
                <w:color w:val="auto"/>
                <w:sz w:val="22"/>
                <w:highlight w:val="none"/>
              </w:rPr>
              <w:t>环境湿度：设备工作环境相对湿度20％～80％；</w:t>
            </w:r>
          </w:p>
          <w:p w14:paraId="147B753F">
            <w:pPr>
              <w:numPr>
                <w:ilvl w:val="0"/>
                <w:numId w:val="1"/>
              </w:numPr>
              <w:spacing w:line="360" w:lineRule="exact"/>
              <w:rPr>
                <w:rFonts w:hint="eastAsia" w:ascii="宋体" w:hAnsi="宋体" w:cs="宋体"/>
                <w:color w:val="auto"/>
                <w:sz w:val="22"/>
                <w:highlight w:val="none"/>
              </w:rPr>
            </w:pPr>
            <w:r>
              <w:rPr>
                <w:rFonts w:hint="eastAsia" w:ascii="宋体" w:hAnsi="宋体" w:cs="宋体"/>
                <w:color w:val="auto"/>
                <w:sz w:val="22"/>
                <w:highlight w:val="none"/>
              </w:rPr>
              <w:t>工作温度：-20~45℃；</w:t>
            </w:r>
          </w:p>
          <w:p w14:paraId="134CC39D">
            <w:pPr>
              <w:numPr>
                <w:ilvl w:val="0"/>
                <w:numId w:val="1"/>
              </w:numPr>
              <w:spacing w:line="360" w:lineRule="exact"/>
              <w:rPr>
                <w:rFonts w:hint="eastAsia" w:ascii="宋体" w:hAnsi="宋体" w:cs="宋体"/>
                <w:color w:val="auto"/>
                <w:sz w:val="22"/>
                <w:highlight w:val="none"/>
              </w:rPr>
            </w:pPr>
            <w:r>
              <w:rPr>
                <w:rFonts w:hint="eastAsia" w:ascii="宋体" w:hAnsi="宋体" w:cs="宋体"/>
                <w:color w:val="auto"/>
                <w:sz w:val="22"/>
                <w:highlight w:val="none"/>
              </w:rPr>
              <w:t>海拔高度：0~4000m，大于1000m需降额使用；</w:t>
            </w:r>
          </w:p>
          <w:p w14:paraId="09FDB6B3">
            <w:pPr>
              <w:numPr>
                <w:ilvl w:val="0"/>
                <w:numId w:val="1"/>
              </w:numPr>
              <w:spacing w:line="360" w:lineRule="exact"/>
              <w:rPr>
                <w:rFonts w:hint="eastAsia" w:ascii="宋体" w:hAnsi="宋体" w:cs="宋体"/>
                <w:color w:val="auto"/>
                <w:sz w:val="22"/>
                <w:highlight w:val="none"/>
              </w:rPr>
            </w:pPr>
            <w:r>
              <w:rPr>
                <w:rFonts w:hint="eastAsia" w:ascii="宋体" w:hAnsi="宋体" w:cs="宋体"/>
                <w:color w:val="auto"/>
                <w:sz w:val="22"/>
                <w:highlight w:val="none"/>
              </w:rPr>
              <w:t>电源制式：380~415V/3PH/50HZ；</w:t>
            </w:r>
          </w:p>
          <w:p w14:paraId="1786D2A7">
            <w:pPr>
              <w:numPr>
                <w:ilvl w:val="0"/>
                <w:numId w:val="1"/>
              </w:numPr>
              <w:spacing w:line="360" w:lineRule="exact"/>
              <w:rPr>
                <w:rFonts w:hint="eastAsia" w:ascii="宋体" w:hAnsi="宋体" w:cs="宋体"/>
                <w:color w:val="auto"/>
                <w:sz w:val="22"/>
                <w:highlight w:val="none"/>
              </w:rPr>
            </w:pPr>
            <w:r>
              <w:rPr>
                <w:rFonts w:hint="eastAsia" w:ascii="宋体" w:hAnsi="宋体" w:cs="宋体"/>
                <w:color w:val="auto"/>
                <w:sz w:val="22"/>
                <w:highlight w:val="none"/>
              </w:rPr>
              <w:t>防雷等级：</w:t>
            </w:r>
            <w:bookmarkStart w:id="2" w:name="OLE_LINK1"/>
            <w:r>
              <w:rPr>
                <w:rFonts w:hint="eastAsia" w:ascii="宋体" w:hAnsi="宋体" w:cs="宋体"/>
                <w:color w:val="auto"/>
                <w:sz w:val="22"/>
                <w:highlight w:val="none"/>
              </w:rPr>
              <w:t>CLASSII/C级</w:t>
            </w:r>
            <w:bookmarkEnd w:id="2"/>
            <w:r>
              <w:rPr>
                <w:rFonts w:hint="eastAsia" w:ascii="宋体" w:hAnsi="宋体" w:cs="宋体"/>
                <w:color w:val="auto"/>
                <w:sz w:val="22"/>
                <w:highlight w:val="none"/>
              </w:rPr>
              <w:t>，8/20μs；</w:t>
            </w:r>
          </w:p>
          <w:p w14:paraId="49EFEE5E">
            <w:pPr>
              <w:numPr>
                <w:ilvl w:val="0"/>
                <w:numId w:val="1"/>
              </w:numPr>
              <w:spacing w:line="360" w:lineRule="exact"/>
              <w:rPr>
                <w:rFonts w:hint="eastAsia" w:ascii="宋体" w:hAnsi="宋体" w:cs="宋体"/>
                <w:color w:val="auto"/>
                <w:sz w:val="22"/>
                <w:highlight w:val="none"/>
              </w:rPr>
            </w:pPr>
            <w:r>
              <w:rPr>
                <w:rFonts w:hint="eastAsia" w:ascii="宋体" w:hAnsi="宋体" w:cs="宋体"/>
                <w:color w:val="auto"/>
                <w:sz w:val="22"/>
                <w:highlight w:val="none"/>
              </w:rPr>
              <w:t>防护等级IP：机柜整体防护等级不小于IP20；</w:t>
            </w:r>
          </w:p>
          <w:p w14:paraId="7D24C7E1">
            <w:pPr>
              <w:numPr>
                <w:ilvl w:val="0"/>
                <w:numId w:val="1"/>
              </w:numPr>
              <w:spacing w:line="360" w:lineRule="exact"/>
              <w:rPr>
                <w:rFonts w:hint="eastAsia" w:ascii="宋体" w:hAnsi="宋体" w:cs="宋体"/>
                <w:color w:val="auto"/>
                <w:sz w:val="22"/>
                <w:highlight w:val="none"/>
              </w:rPr>
            </w:pPr>
            <w:r>
              <w:rPr>
                <w:rFonts w:hint="eastAsia" w:ascii="宋体" w:hAnsi="宋体" w:cs="宋体"/>
                <w:color w:val="auto"/>
                <w:sz w:val="22"/>
                <w:highlight w:val="none"/>
              </w:rPr>
              <w:t>安装方式：支持水泥地面直接安装及架空地板安装；</w:t>
            </w:r>
          </w:p>
          <w:p w14:paraId="51705FC3">
            <w:pPr>
              <w:numPr>
                <w:ilvl w:val="0"/>
                <w:numId w:val="1"/>
              </w:numPr>
              <w:spacing w:line="360" w:lineRule="exact"/>
              <w:rPr>
                <w:rFonts w:hint="eastAsia" w:ascii="宋体" w:hAnsi="宋体" w:cs="宋体"/>
                <w:color w:val="auto"/>
                <w:sz w:val="22"/>
                <w:highlight w:val="none"/>
              </w:rPr>
            </w:pPr>
            <w:r>
              <w:rPr>
                <w:rFonts w:hint="eastAsia" w:ascii="宋体" w:hAnsi="宋体" w:cs="宋体"/>
                <w:color w:val="auto"/>
                <w:sz w:val="22"/>
                <w:highlight w:val="none"/>
              </w:rPr>
              <w:t>★模块整体深度：≤1350mm；</w:t>
            </w:r>
          </w:p>
          <w:p w14:paraId="2D5BF686">
            <w:pPr>
              <w:numPr>
                <w:ilvl w:val="0"/>
                <w:numId w:val="1"/>
              </w:numPr>
              <w:spacing w:line="360" w:lineRule="exact"/>
              <w:rPr>
                <w:rFonts w:hint="eastAsia" w:ascii="宋体" w:hAnsi="宋体" w:cs="宋体"/>
                <w:color w:val="auto"/>
                <w:sz w:val="22"/>
                <w:highlight w:val="none"/>
              </w:rPr>
            </w:pPr>
            <w:r>
              <w:rPr>
                <w:rFonts w:hint="eastAsia" w:ascii="宋体" w:hAnsi="宋体" w:cs="宋体"/>
                <w:color w:val="auto"/>
                <w:sz w:val="22"/>
                <w:highlight w:val="none"/>
              </w:rPr>
              <w:t>IT机柜（宽×高）：600x2000（含通道）；</w:t>
            </w:r>
          </w:p>
          <w:p w14:paraId="1F0E3DBC">
            <w:pPr>
              <w:numPr>
                <w:ilvl w:val="0"/>
                <w:numId w:val="1"/>
              </w:numPr>
              <w:spacing w:line="360" w:lineRule="exact"/>
              <w:rPr>
                <w:rFonts w:hint="eastAsia" w:ascii="宋体" w:hAnsi="宋体" w:cs="宋体"/>
                <w:color w:val="auto"/>
                <w:sz w:val="22"/>
                <w:highlight w:val="none"/>
              </w:rPr>
            </w:pPr>
            <w:r>
              <w:rPr>
                <w:rFonts w:hint="eastAsia" w:ascii="宋体" w:hAnsi="宋体" w:cs="宋体"/>
                <w:color w:val="auto"/>
                <w:sz w:val="22"/>
                <w:highlight w:val="none"/>
              </w:rPr>
              <w:t>材质：高强度A级优质碳素冷轧钢板和镀锌板；</w:t>
            </w:r>
          </w:p>
          <w:p w14:paraId="644794C1">
            <w:pPr>
              <w:numPr>
                <w:ilvl w:val="0"/>
                <w:numId w:val="1"/>
              </w:numPr>
              <w:spacing w:line="360" w:lineRule="exact"/>
              <w:rPr>
                <w:rFonts w:hint="eastAsia" w:ascii="宋体" w:hAnsi="宋体" w:cs="宋体"/>
                <w:color w:val="auto"/>
                <w:sz w:val="22"/>
                <w:highlight w:val="none"/>
              </w:rPr>
            </w:pPr>
            <w:r>
              <w:rPr>
                <w:rFonts w:hint="eastAsia" w:ascii="宋体" w:hAnsi="宋体" w:cs="宋体"/>
                <w:color w:val="auto"/>
                <w:sz w:val="22"/>
                <w:highlight w:val="none"/>
              </w:rPr>
              <w:t>静载：机柜静态承载能力≥1500kg；</w:t>
            </w:r>
          </w:p>
          <w:p w14:paraId="08D32C47">
            <w:pPr>
              <w:numPr>
                <w:ilvl w:val="0"/>
                <w:numId w:val="1"/>
              </w:numPr>
              <w:spacing w:line="360" w:lineRule="exact"/>
              <w:rPr>
                <w:rFonts w:hint="eastAsia" w:ascii="宋体" w:hAnsi="宋体" w:cs="宋体"/>
                <w:color w:val="auto"/>
                <w:sz w:val="22"/>
                <w:highlight w:val="none"/>
              </w:rPr>
            </w:pPr>
            <w:r>
              <w:rPr>
                <w:rFonts w:hint="eastAsia" w:ascii="宋体" w:hAnsi="宋体" w:cs="宋体"/>
                <w:color w:val="auto"/>
                <w:sz w:val="22"/>
                <w:highlight w:val="none"/>
              </w:rPr>
              <w:t>密闭通道门：双层玻璃门，确保隔热，防止凝露；</w:t>
            </w:r>
          </w:p>
          <w:p w14:paraId="543E18E6">
            <w:pPr>
              <w:numPr>
                <w:ilvl w:val="0"/>
                <w:numId w:val="1"/>
              </w:numPr>
              <w:spacing w:line="360" w:lineRule="exact"/>
              <w:rPr>
                <w:rFonts w:hint="eastAsia" w:ascii="宋体" w:hAnsi="宋体" w:cs="宋体"/>
                <w:color w:val="auto"/>
                <w:sz w:val="22"/>
                <w:highlight w:val="none"/>
              </w:rPr>
            </w:pPr>
            <w:r>
              <w:rPr>
                <w:rFonts w:hint="eastAsia" w:ascii="宋体" w:hAnsi="宋体" w:cs="宋体"/>
                <w:color w:val="auto"/>
                <w:sz w:val="22"/>
                <w:highlight w:val="none"/>
              </w:rPr>
              <w:t>走线设计：模块输入电缆支持上进线，模块内部电缆支持上走线；</w:t>
            </w:r>
          </w:p>
          <w:p w14:paraId="50E3CB1A">
            <w:pPr>
              <w:numPr>
                <w:ilvl w:val="0"/>
                <w:numId w:val="1"/>
              </w:numPr>
              <w:spacing w:line="360" w:lineRule="exact"/>
              <w:rPr>
                <w:rFonts w:hint="eastAsia" w:ascii="宋体" w:hAnsi="宋体" w:cs="宋体"/>
                <w:color w:val="auto"/>
                <w:sz w:val="22"/>
                <w:highlight w:val="none"/>
              </w:rPr>
            </w:pPr>
            <w:r>
              <w:rPr>
                <w:rFonts w:hint="eastAsia" w:ascii="宋体" w:hAnsi="宋体" w:cs="宋体"/>
                <w:color w:val="auto"/>
                <w:sz w:val="22"/>
                <w:highlight w:val="none"/>
              </w:rPr>
              <w:t>机柜侧板：机柜所有面板可支持单独拆卸和拼装功能；</w:t>
            </w:r>
          </w:p>
          <w:p w14:paraId="221ACD62">
            <w:pPr>
              <w:numPr>
                <w:ilvl w:val="0"/>
                <w:numId w:val="1"/>
              </w:numPr>
              <w:spacing w:line="360" w:lineRule="exact"/>
              <w:rPr>
                <w:rFonts w:hint="eastAsia" w:ascii="宋体" w:hAnsi="宋体" w:cs="宋体"/>
                <w:color w:val="auto"/>
                <w:sz w:val="22"/>
                <w:highlight w:val="none"/>
              </w:rPr>
            </w:pPr>
            <w:r>
              <w:rPr>
                <w:rFonts w:hint="eastAsia" w:ascii="宋体" w:hAnsi="宋体" w:cs="宋体"/>
                <w:color w:val="auto"/>
                <w:sz w:val="22"/>
                <w:highlight w:val="none"/>
              </w:rPr>
              <w:t>并柜：机柜采用专用的机柜并柜连接件，应支持无需拆卸机柜门情况下实现机柜并柜功能。</w:t>
            </w:r>
          </w:p>
          <w:p w14:paraId="01DF50E7">
            <w:pPr>
              <w:numPr>
                <w:ilvl w:val="0"/>
                <w:numId w:val="1"/>
              </w:numPr>
              <w:spacing w:line="360" w:lineRule="exact"/>
              <w:rPr>
                <w:rFonts w:hint="eastAsia" w:ascii="宋体" w:hAnsi="宋体" w:cs="宋体"/>
                <w:color w:val="auto"/>
                <w:sz w:val="22"/>
                <w:highlight w:val="none"/>
              </w:rPr>
            </w:pPr>
            <w:r>
              <w:rPr>
                <w:rFonts w:hint="eastAsia" w:ascii="宋体" w:hAnsi="宋体" w:cs="宋体"/>
                <w:color w:val="auto"/>
                <w:sz w:val="22"/>
                <w:highlight w:val="none"/>
              </w:rPr>
              <w:t>机柜门：</w:t>
            </w:r>
          </w:p>
          <w:p w14:paraId="5DAA6150">
            <w:pPr>
              <w:numPr>
                <w:ilvl w:val="0"/>
                <w:numId w:val="2"/>
              </w:numPr>
              <w:spacing w:line="360" w:lineRule="exact"/>
              <w:rPr>
                <w:rFonts w:hint="eastAsia" w:ascii="宋体" w:hAnsi="宋体" w:cs="宋体"/>
                <w:color w:val="auto"/>
                <w:sz w:val="22"/>
                <w:highlight w:val="none"/>
              </w:rPr>
            </w:pPr>
            <w:r>
              <w:rPr>
                <w:rFonts w:hint="eastAsia" w:ascii="宋体" w:hAnsi="宋体" w:cs="宋体"/>
                <w:color w:val="auto"/>
                <w:sz w:val="22"/>
                <w:highlight w:val="none"/>
              </w:rPr>
              <w:t>机柜采用前后封闭设计，前后门单开，前门配置双层玻璃，以便内部设备可视，并降低设备运行声音；</w:t>
            </w:r>
          </w:p>
          <w:p w14:paraId="3E191C11">
            <w:pPr>
              <w:numPr>
                <w:ilvl w:val="0"/>
                <w:numId w:val="2"/>
              </w:numPr>
              <w:spacing w:line="360" w:lineRule="exact"/>
              <w:rPr>
                <w:rFonts w:hint="eastAsia" w:ascii="宋体" w:hAnsi="宋体" w:cs="宋体"/>
                <w:color w:val="auto"/>
                <w:sz w:val="22"/>
                <w:highlight w:val="none"/>
              </w:rPr>
            </w:pPr>
            <w:r>
              <w:rPr>
                <w:rFonts w:hint="eastAsia" w:ascii="宋体" w:hAnsi="宋体" w:cs="宋体"/>
                <w:color w:val="auto"/>
                <w:sz w:val="22"/>
                <w:highlight w:val="none"/>
              </w:rPr>
              <w:t>机柜的前门、后门及侧板均可锁定，用提供的专用钥匙打开；</w:t>
            </w:r>
          </w:p>
          <w:p w14:paraId="42E93BAD">
            <w:pPr>
              <w:numPr>
                <w:ilvl w:val="0"/>
                <w:numId w:val="2"/>
              </w:numPr>
              <w:spacing w:line="360" w:lineRule="exact"/>
              <w:rPr>
                <w:rFonts w:hint="eastAsia" w:ascii="宋体" w:hAnsi="宋体" w:cs="宋体"/>
                <w:color w:val="auto"/>
                <w:sz w:val="22"/>
                <w:highlight w:val="none"/>
              </w:rPr>
            </w:pPr>
            <w:r>
              <w:rPr>
                <w:rFonts w:hint="eastAsia" w:ascii="宋体" w:hAnsi="宋体" w:cs="宋体"/>
                <w:color w:val="auto"/>
                <w:sz w:val="22"/>
                <w:highlight w:val="none"/>
              </w:rPr>
              <w:t>前后门开启角度不小于120°；</w:t>
            </w:r>
          </w:p>
          <w:p w14:paraId="19DEA057">
            <w:pPr>
              <w:numPr>
                <w:ilvl w:val="0"/>
                <w:numId w:val="2"/>
              </w:numPr>
              <w:spacing w:line="360" w:lineRule="exact"/>
              <w:rPr>
                <w:rFonts w:hint="eastAsia" w:ascii="宋体" w:hAnsi="宋体" w:cs="宋体"/>
                <w:color w:val="auto"/>
                <w:sz w:val="22"/>
                <w:highlight w:val="none"/>
              </w:rPr>
            </w:pPr>
            <w:r>
              <w:rPr>
                <w:rFonts w:hint="eastAsia" w:ascii="宋体" w:hAnsi="宋体" w:cs="宋体"/>
                <w:color w:val="auto"/>
                <w:sz w:val="22"/>
                <w:highlight w:val="none"/>
              </w:rPr>
              <w:t>机柜应配备自动弹门装置，方便紧急情况下自动弹开，提供消防联动和应急散热的功能；</w:t>
            </w:r>
          </w:p>
          <w:p w14:paraId="6C1A1B5E">
            <w:pPr>
              <w:numPr>
                <w:ilvl w:val="0"/>
                <w:numId w:val="1"/>
              </w:numPr>
              <w:spacing w:line="360" w:lineRule="exact"/>
              <w:rPr>
                <w:rFonts w:hint="eastAsia" w:ascii="宋体" w:hAnsi="宋体" w:cs="宋体"/>
                <w:color w:val="auto"/>
                <w:sz w:val="22"/>
                <w:highlight w:val="none"/>
              </w:rPr>
            </w:pPr>
            <w:r>
              <w:rPr>
                <w:rFonts w:hint="eastAsia" w:ascii="宋体" w:hAnsi="宋体" w:cs="宋体"/>
                <w:color w:val="auto"/>
                <w:sz w:val="22"/>
                <w:highlight w:val="none"/>
              </w:rPr>
              <w:t>调平支脚：机柜采用不小于直径为40mm调平支脚调节机柜的水平度，可支持调节高度范围为：10～55mm；</w:t>
            </w:r>
          </w:p>
          <w:p w14:paraId="25A33A02">
            <w:pPr>
              <w:numPr>
                <w:ilvl w:val="0"/>
                <w:numId w:val="1"/>
              </w:numPr>
              <w:spacing w:line="360" w:lineRule="exact"/>
              <w:rPr>
                <w:rFonts w:hint="eastAsia" w:ascii="宋体" w:hAnsi="宋体" w:cs="宋体"/>
                <w:color w:val="auto"/>
                <w:sz w:val="22"/>
                <w:highlight w:val="none"/>
              </w:rPr>
            </w:pPr>
            <w:r>
              <w:rPr>
                <w:rFonts w:hint="eastAsia" w:ascii="宋体" w:hAnsi="宋体" w:cs="宋体"/>
                <w:color w:val="auto"/>
                <w:sz w:val="22"/>
                <w:highlight w:val="none"/>
              </w:rPr>
              <w:t>滚轮：机柜采用四个万向滚轮，单个滚轮动态承重不小于350kg，静态承载不小于500kg；</w:t>
            </w:r>
          </w:p>
          <w:p w14:paraId="1C00B747">
            <w:pPr>
              <w:numPr>
                <w:ilvl w:val="0"/>
                <w:numId w:val="1"/>
              </w:numPr>
              <w:spacing w:line="360" w:lineRule="exact"/>
              <w:rPr>
                <w:rFonts w:hint="eastAsia" w:ascii="宋体" w:hAnsi="宋体" w:cs="宋体"/>
                <w:color w:val="auto"/>
                <w:sz w:val="22"/>
                <w:highlight w:val="none"/>
              </w:rPr>
            </w:pPr>
            <w:r>
              <w:rPr>
                <w:rFonts w:hint="eastAsia" w:ascii="宋体" w:hAnsi="宋体" w:cs="宋体"/>
                <w:color w:val="auto"/>
                <w:sz w:val="22"/>
                <w:highlight w:val="none"/>
              </w:rPr>
              <w:t>整体要求：各配电单元：后备电源、电源指示灯等模块化设计，机架安装便于维护；</w:t>
            </w:r>
          </w:p>
          <w:p w14:paraId="7CF158C1">
            <w:pPr>
              <w:numPr>
                <w:ilvl w:val="0"/>
                <w:numId w:val="1"/>
              </w:numPr>
              <w:spacing w:line="360" w:lineRule="exact"/>
              <w:rPr>
                <w:rFonts w:hint="eastAsia" w:ascii="宋体" w:hAnsi="宋体" w:cs="宋体"/>
                <w:color w:val="auto"/>
                <w:sz w:val="22"/>
                <w:highlight w:val="none"/>
              </w:rPr>
            </w:pPr>
            <w:r>
              <w:rPr>
                <w:rFonts w:hint="eastAsia" w:ascii="宋体" w:hAnsi="宋体" w:cs="宋体"/>
                <w:color w:val="auto"/>
                <w:sz w:val="22"/>
                <w:highlight w:val="none"/>
              </w:rPr>
              <w:t>配电模块：包含后备电源输入、后备电源输出、后备电源维修旁路开关、防雷保护开关；尺寸≤6U，配电模块至少需要12路IT输出；</w:t>
            </w:r>
          </w:p>
          <w:p w14:paraId="49FF0DDB">
            <w:pPr>
              <w:numPr>
                <w:ilvl w:val="0"/>
                <w:numId w:val="1"/>
              </w:numPr>
              <w:spacing w:line="360" w:lineRule="exact"/>
              <w:rPr>
                <w:rFonts w:hint="eastAsia" w:ascii="宋体" w:hAnsi="宋体" w:cs="宋体"/>
                <w:color w:val="auto"/>
                <w:sz w:val="22"/>
                <w:highlight w:val="none"/>
              </w:rPr>
            </w:pPr>
            <w:r>
              <w:rPr>
                <w:rFonts w:hint="eastAsia" w:ascii="宋体" w:hAnsi="宋体" w:cs="宋体"/>
                <w:color w:val="auto"/>
                <w:sz w:val="22"/>
                <w:highlight w:val="none"/>
              </w:rPr>
              <w:t>防雷器：配电模块应配置C级防雷器，防雷器前端需具有防雷保护开关，同时具有防雷开关或防雷器故障指示的微动开关，以便远程监控防雷状态；</w:t>
            </w:r>
          </w:p>
          <w:p w14:paraId="317C3DED">
            <w:pPr>
              <w:numPr>
                <w:ilvl w:val="0"/>
                <w:numId w:val="1"/>
              </w:numPr>
              <w:spacing w:line="360" w:lineRule="exact"/>
              <w:rPr>
                <w:rFonts w:hint="eastAsia" w:ascii="宋体" w:hAnsi="宋体" w:cs="宋体"/>
                <w:color w:val="auto"/>
                <w:sz w:val="22"/>
                <w:highlight w:val="none"/>
              </w:rPr>
            </w:pPr>
            <w:r>
              <w:rPr>
                <w:rFonts w:hint="eastAsia" w:ascii="宋体" w:hAnsi="宋体" w:cs="宋体"/>
                <w:color w:val="auto"/>
                <w:sz w:val="22"/>
                <w:highlight w:val="none"/>
              </w:rPr>
              <w:t>后备电源类型：机架式安装；</w:t>
            </w:r>
          </w:p>
          <w:p w14:paraId="0E0EB68E">
            <w:pPr>
              <w:numPr>
                <w:ilvl w:val="0"/>
                <w:numId w:val="1"/>
              </w:numPr>
              <w:spacing w:line="360" w:lineRule="exact"/>
              <w:rPr>
                <w:rFonts w:hint="eastAsia" w:ascii="宋体" w:hAnsi="宋体" w:cs="宋体"/>
                <w:color w:val="auto"/>
                <w:sz w:val="22"/>
                <w:highlight w:val="none"/>
              </w:rPr>
            </w:pPr>
            <w:r>
              <w:rPr>
                <w:rFonts w:hint="eastAsia" w:ascii="宋体" w:hAnsi="宋体" w:cs="宋体"/>
                <w:color w:val="auto"/>
                <w:sz w:val="22"/>
                <w:highlight w:val="none"/>
              </w:rPr>
              <w:t>后备电源输入电压范围：电压输入范围单相80~280V AC或三相138V AC～485V AC；</w:t>
            </w:r>
          </w:p>
          <w:p w14:paraId="6D1A6710">
            <w:pPr>
              <w:numPr>
                <w:ilvl w:val="0"/>
                <w:numId w:val="1"/>
              </w:numPr>
              <w:spacing w:line="360" w:lineRule="exact"/>
              <w:rPr>
                <w:rFonts w:hint="eastAsia" w:ascii="宋体" w:hAnsi="宋体" w:cs="宋体"/>
                <w:color w:val="auto"/>
                <w:sz w:val="22"/>
                <w:highlight w:val="none"/>
              </w:rPr>
            </w:pPr>
            <w:r>
              <w:rPr>
                <w:rFonts w:hint="eastAsia" w:ascii="宋体" w:hAnsi="宋体" w:cs="宋体"/>
                <w:color w:val="auto"/>
                <w:sz w:val="22"/>
                <w:highlight w:val="none"/>
              </w:rPr>
              <w:t>后备电源容量：20kVA；</w:t>
            </w:r>
          </w:p>
          <w:p w14:paraId="5805A214">
            <w:pPr>
              <w:numPr>
                <w:ilvl w:val="0"/>
                <w:numId w:val="1"/>
              </w:numPr>
              <w:spacing w:line="360" w:lineRule="exact"/>
              <w:rPr>
                <w:rFonts w:hint="eastAsia" w:ascii="宋体" w:hAnsi="宋体" w:cs="宋体"/>
                <w:color w:val="auto"/>
                <w:sz w:val="22"/>
                <w:highlight w:val="none"/>
              </w:rPr>
            </w:pPr>
            <w:r>
              <w:rPr>
                <w:rFonts w:hint="eastAsia" w:ascii="宋体" w:hAnsi="宋体" w:cs="宋体"/>
                <w:color w:val="auto"/>
                <w:sz w:val="22"/>
                <w:highlight w:val="none"/>
              </w:rPr>
              <w:t>后备电源配置：1+0，非冗余设计；</w:t>
            </w:r>
          </w:p>
          <w:p w14:paraId="57F49999">
            <w:pPr>
              <w:numPr>
                <w:ilvl w:val="0"/>
                <w:numId w:val="1"/>
              </w:numPr>
              <w:spacing w:line="360" w:lineRule="exact"/>
              <w:rPr>
                <w:rFonts w:hint="eastAsia" w:ascii="宋体" w:hAnsi="宋体" w:cs="宋体"/>
                <w:color w:val="auto"/>
                <w:sz w:val="22"/>
                <w:highlight w:val="none"/>
              </w:rPr>
            </w:pPr>
            <w:r>
              <w:rPr>
                <w:rFonts w:hint="eastAsia" w:ascii="宋体" w:hAnsi="宋体" w:cs="宋体"/>
                <w:color w:val="auto"/>
                <w:sz w:val="22"/>
                <w:highlight w:val="none"/>
              </w:rPr>
              <w:t>后备电源输出功率因数：不低于0.9；</w:t>
            </w:r>
          </w:p>
          <w:p w14:paraId="4637EDE2">
            <w:pPr>
              <w:numPr>
                <w:ilvl w:val="0"/>
                <w:numId w:val="1"/>
              </w:numPr>
              <w:spacing w:line="360" w:lineRule="exact"/>
              <w:rPr>
                <w:rFonts w:hint="eastAsia" w:ascii="宋体" w:hAnsi="宋体" w:cs="宋体"/>
                <w:color w:val="auto"/>
                <w:sz w:val="22"/>
                <w:highlight w:val="none"/>
              </w:rPr>
            </w:pPr>
            <w:r>
              <w:rPr>
                <w:rFonts w:hint="eastAsia" w:ascii="宋体" w:hAnsi="宋体" w:cs="宋体"/>
                <w:color w:val="auto"/>
                <w:sz w:val="22"/>
                <w:highlight w:val="none"/>
              </w:rPr>
              <w:t>后备电源防雷：6kV防雷设计；</w:t>
            </w:r>
          </w:p>
          <w:p w14:paraId="70B12D7A">
            <w:pPr>
              <w:numPr>
                <w:ilvl w:val="0"/>
                <w:numId w:val="1"/>
              </w:numPr>
              <w:spacing w:line="360" w:lineRule="exact"/>
              <w:rPr>
                <w:rFonts w:hint="eastAsia" w:ascii="宋体" w:hAnsi="宋体" w:cs="宋体"/>
                <w:color w:val="auto"/>
                <w:sz w:val="22"/>
                <w:highlight w:val="none"/>
              </w:rPr>
            </w:pPr>
            <w:r>
              <w:rPr>
                <w:rFonts w:hint="eastAsia" w:ascii="宋体" w:hAnsi="宋体" w:cs="宋体"/>
                <w:color w:val="auto"/>
                <w:sz w:val="22"/>
                <w:highlight w:val="none"/>
              </w:rPr>
              <w:t>后备电源效率：不小于95%；</w:t>
            </w:r>
          </w:p>
          <w:p w14:paraId="794CF4D2">
            <w:pPr>
              <w:numPr>
                <w:ilvl w:val="0"/>
                <w:numId w:val="1"/>
              </w:numPr>
              <w:spacing w:line="360" w:lineRule="exact"/>
              <w:rPr>
                <w:rFonts w:hint="eastAsia" w:ascii="宋体" w:hAnsi="宋体" w:cs="宋体"/>
                <w:color w:val="auto"/>
                <w:sz w:val="22"/>
                <w:highlight w:val="none"/>
              </w:rPr>
            </w:pPr>
            <w:r>
              <w:rPr>
                <w:rFonts w:hint="eastAsia" w:ascii="宋体" w:hAnsi="宋体" w:cs="宋体"/>
                <w:color w:val="auto"/>
                <w:sz w:val="22"/>
                <w:highlight w:val="none"/>
              </w:rPr>
              <w:t>后备电源过载能力：在125%的额定负载时，可持续5min；</w:t>
            </w:r>
          </w:p>
          <w:p w14:paraId="2008D722">
            <w:pPr>
              <w:numPr>
                <w:ilvl w:val="0"/>
                <w:numId w:val="1"/>
              </w:numPr>
              <w:spacing w:line="360" w:lineRule="exact"/>
              <w:rPr>
                <w:rFonts w:hint="eastAsia" w:ascii="宋体" w:hAnsi="宋体" w:cs="宋体"/>
                <w:color w:val="auto"/>
                <w:sz w:val="22"/>
                <w:highlight w:val="none"/>
              </w:rPr>
            </w:pPr>
            <w:r>
              <w:rPr>
                <w:rFonts w:hint="eastAsia" w:ascii="宋体" w:hAnsi="宋体" w:cs="宋体"/>
                <w:color w:val="auto"/>
                <w:sz w:val="22"/>
                <w:highlight w:val="none"/>
              </w:rPr>
              <w:t>后备电源认证：★节能认证</w:t>
            </w:r>
            <w:r>
              <w:rPr>
                <w:rFonts w:hint="eastAsia"/>
                <w:b/>
                <w:bCs/>
                <w:color w:val="auto"/>
                <w:sz w:val="22"/>
                <w:highlight w:val="none"/>
              </w:rPr>
              <w:t>（商务和技术文件中需提供证书复印件并加盖投标人公章，否则视为负偏离）</w:t>
            </w:r>
            <w:r>
              <w:rPr>
                <w:rFonts w:hint="eastAsia" w:ascii="宋体" w:hAnsi="宋体" w:cs="宋体"/>
                <w:color w:val="auto"/>
                <w:sz w:val="22"/>
                <w:highlight w:val="none"/>
              </w:rPr>
              <w:t>；</w:t>
            </w:r>
          </w:p>
          <w:p w14:paraId="24C3477A">
            <w:pPr>
              <w:numPr>
                <w:ilvl w:val="0"/>
                <w:numId w:val="1"/>
              </w:numPr>
              <w:spacing w:line="360" w:lineRule="exact"/>
              <w:rPr>
                <w:rFonts w:hint="eastAsia" w:ascii="宋体" w:hAnsi="宋体" w:cs="宋体"/>
                <w:color w:val="auto"/>
                <w:sz w:val="22"/>
                <w:highlight w:val="none"/>
              </w:rPr>
            </w:pPr>
            <w:r>
              <w:rPr>
                <w:rFonts w:hint="eastAsia" w:ascii="宋体" w:hAnsi="宋体" w:cs="宋体"/>
                <w:color w:val="auto"/>
                <w:sz w:val="22"/>
                <w:highlight w:val="none"/>
              </w:rPr>
              <w:t>内机安装方式：精密温控系统内机机架式安装，室内风机出风口不得超出机柜1100mm机柜尺寸，占用冷通道空间。</w:t>
            </w:r>
          </w:p>
          <w:p w14:paraId="4964F8E0">
            <w:pPr>
              <w:numPr>
                <w:ilvl w:val="0"/>
                <w:numId w:val="1"/>
              </w:numPr>
              <w:spacing w:line="360" w:lineRule="exact"/>
              <w:rPr>
                <w:rFonts w:hint="eastAsia" w:ascii="宋体" w:hAnsi="宋体" w:cs="宋体"/>
                <w:color w:val="auto"/>
                <w:sz w:val="22"/>
                <w:highlight w:val="none"/>
              </w:rPr>
            </w:pPr>
            <w:r>
              <w:rPr>
                <w:rFonts w:hint="eastAsia" w:ascii="宋体" w:hAnsi="宋体" w:cs="宋体"/>
                <w:color w:val="auto"/>
                <w:sz w:val="22"/>
                <w:highlight w:val="none"/>
              </w:rPr>
              <w:t>★温控系统配置：机架式精密温控系统2+0 设计，机架式安装在综合机柜内部，单台温控系统内风机+温控系统控制主机高度≤11U；风冷温控系统，单台温控系统制冷量≥11.5kW</w:t>
            </w:r>
            <w:r>
              <w:rPr>
                <w:rFonts w:hint="eastAsia" w:ascii="宋体" w:hAnsi="宋体" w:cs="宋体"/>
                <w:b/>
                <w:bCs/>
                <w:color w:val="auto"/>
                <w:sz w:val="22"/>
                <w:highlight w:val="none"/>
              </w:rPr>
              <w:t>（商务和技术文件中提供温控系统制冷量第三方检测报告，否则视为负偏离）</w:t>
            </w:r>
            <w:r>
              <w:rPr>
                <w:rFonts w:hint="eastAsia" w:ascii="宋体" w:hAnsi="宋体" w:cs="宋体"/>
                <w:color w:val="auto"/>
                <w:sz w:val="22"/>
                <w:highlight w:val="none"/>
              </w:rPr>
              <w:t>；</w:t>
            </w:r>
          </w:p>
          <w:p w14:paraId="23F86692">
            <w:pPr>
              <w:numPr>
                <w:ilvl w:val="0"/>
                <w:numId w:val="1"/>
              </w:numPr>
              <w:spacing w:line="360" w:lineRule="exact"/>
              <w:rPr>
                <w:rFonts w:hint="eastAsia" w:ascii="宋体" w:hAnsi="宋体" w:cs="宋体"/>
                <w:color w:val="auto"/>
                <w:sz w:val="22"/>
                <w:highlight w:val="none"/>
              </w:rPr>
            </w:pPr>
            <w:r>
              <w:rPr>
                <w:rFonts w:hint="eastAsia" w:ascii="宋体" w:hAnsi="宋体" w:cs="宋体"/>
                <w:color w:val="auto"/>
                <w:sz w:val="22"/>
                <w:highlight w:val="none"/>
              </w:rPr>
              <w:t xml:space="preserve">制冷量：温控系统有单独的主机控制，主控制板钳入1U温控系统主机内部，主控板不得装置在温控系统内机的蒸发器位置； </w:t>
            </w:r>
          </w:p>
          <w:p w14:paraId="002DE86E">
            <w:pPr>
              <w:numPr>
                <w:ilvl w:val="0"/>
                <w:numId w:val="1"/>
              </w:numPr>
              <w:spacing w:line="360" w:lineRule="exact"/>
              <w:rPr>
                <w:rFonts w:hint="eastAsia" w:ascii="宋体" w:hAnsi="宋体" w:cs="宋体"/>
                <w:color w:val="auto"/>
                <w:sz w:val="22"/>
                <w:highlight w:val="none"/>
              </w:rPr>
            </w:pPr>
            <w:r>
              <w:rPr>
                <w:rFonts w:hint="eastAsia" w:ascii="宋体" w:hAnsi="宋体" w:cs="宋体"/>
                <w:color w:val="auto"/>
                <w:sz w:val="22"/>
                <w:highlight w:val="none"/>
              </w:rPr>
              <w:t>制冷量调节范围：20%~100%；</w:t>
            </w:r>
          </w:p>
          <w:p w14:paraId="31E7F972">
            <w:pPr>
              <w:numPr>
                <w:ilvl w:val="0"/>
                <w:numId w:val="1"/>
              </w:numPr>
              <w:spacing w:line="360" w:lineRule="exact"/>
              <w:rPr>
                <w:rFonts w:hint="eastAsia" w:ascii="宋体" w:hAnsi="宋体" w:cs="宋体"/>
                <w:color w:val="auto"/>
                <w:sz w:val="22"/>
                <w:highlight w:val="none"/>
              </w:rPr>
            </w:pPr>
            <w:r>
              <w:rPr>
                <w:rFonts w:hint="eastAsia" w:ascii="宋体" w:hAnsi="宋体" w:cs="宋体"/>
                <w:color w:val="auto"/>
                <w:sz w:val="22"/>
                <w:highlight w:val="none"/>
              </w:rPr>
              <w:t>压缩机：220V/1Ph，50Hz直流变频制冷风机：单台温控系统配置≥6个直流EC风机水平送风，冗余式节能设计，单风扇点故障，不影响制冷出风，单台温控系统出风量不小于2600m^3/h，制冷剂符合环保要求使用R410A，制冷剂预充注，精密温控系统取得CCC认证、中国节能产品认证证书</w:t>
            </w:r>
            <w:r>
              <w:rPr>
                <w:rFonts w:hint="eastAsia"/>
                <w:b/>
                <w:bCs/>
                <w:color w:val="auto"/>
                <w:sz w:val="22"/>
                <w:highlight w:val="none"/>
              </w:rPr>
              <w:t>（商务和技术文件中提供证书复印件并加盖投标人公章，否则视为负偏离）</w:t>
            </w:r>
            <w:r>
              <w:rPr>
                <w:rFonts w:hint="eastAsia" w:ascii="宋体" w:hAnsi="宋体" w:cs="宋体"/>
                <w:color w:val="auto"/>
                <w:sz w:val="22"/>
                <w:highlight w:val="none"/>
              </w:rPr>
              <w:t>；</w:t>
            </w:r>
          </w:p>
          <w:p w14:paraId="4593C432">
            <w:pPr>
              <w:numPr>
                <w:ilvl w:val="0"/>
                <w:numId w:val="1"/>
              </w:numPr>
              <w:spacing w:line="360" w:lineRule="exact"/>
              <w:rPr>
                <w:rFonts w:hint="eastAsia" w:ascii="宋体" w:hAnsi="宋体" w:cs="宋体"/>
                <w:color w:val="auto"/>
                <w:sz w:val="22"/>
                <w:highlight w:val="none"/>
              </w:rPr>
            </w:pPr>
            <w:r>
              <w:rPr>
                <w:rFonts w:hint="eastAsia" w:ascii="宋体" w:hAnsi="宋体" w:cs="宋体"/>
                <w:color w:val="auto"/>
                <w:sz w:val="22"/>
                <w:highlight w:val="none"/>
              </w:rPr>
              <w:t>外机安装方式：落地或挂墙；</w:t>
            </w:r>
          </w:p>
          <w:p w14:paraId="4A73D44A">
            <w:pPr>
              <w:numPr>
                <w:ilvl w:val="0"/>
                <w:numId w:val="1"/>
              </w:numPr>
              <w:spacing w:line="360" w:lineRule="exact"/>
              <w:rPr>
                <w:rFonts w:hint="eastAsia" w:ascii="宋体" w:hAnsi="宋体" w:cs="宋体"/>
                <w:color w:val="auto"/>
                <w:sz w:val="22"/>
                <w:highlight w:val="none"/>
              </w:rPr>
            </w:pPr>
            <w:r>
              <w:rPr>
                <w:rFonts w:hint="eastAsia" w:ascii="宋体" w:hAnsi="宋体" w:cs="宋体"/>
                <w:color w:val="auto"/>
                <w:sz w:val="22"/>
                <w:highlight w:val="none"/>
              </w:rPr>
              <w:t>除湿：低载无凝露设计，可以使低负载（最低10%）、高湿环境中冷通道的湿度维持在20%～80%。</w:t>
            </w:r>
          </w:p>
          <w:p w14:paraId="01B2598F">
            <w:pPr>
              <w:numPr>
                <w:ilvl w:val="0"/>
                <w:numId w:val="1"/>
              </w:numPr>
              <w:spacing w:line="360" w:lineRule="exact"/>
              <w:rPr>
                <w:rFonts w:hint="eastAsia" w:ascii="宋体" w:hAnsi="宋体" w:cs="宋体"/>
                <w:color w:val="auto"/>
                <w:sz w:val="22"/>
                <w:highlight w:val="none"/>
              </w:rPr>
            </w:pPr>
            <w:r>
              <w:rPr>
                <w:rFonts w:hint="eastAsia" w:ascii="宋体" w:hAnsi="宋体" w:cs="宋体"/>
                <w:color w:val="auto"/>
                <w:sz w:val="22"/>
                <w:highlight w:val="none"/>
              </w:rPr>
              <w:t>监控采集器：</w:t>
            </w:r>
          </w:p>
          <w:p w14:paraId="094312B0">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监控采集器主机：1U高，机架安装，提供机房动环提供统一北向接口，便于接入统一网管系统或远程WEB界面监控，支持两路交流输入；对微模块一体化机房做本地化控制，非工控机；主机内配套环控软件需取得国家计算机软件著作权证书</w:t>
            </w:r>
            <w:r>
              <w:rPr>
                <w:rFonts w:hint="eastAsia"/>
                <w:b/>
                <w:bCs/>
                <w:color w:val="auto"/>
                <w:sz w:val="22"/>
                <w:highlight w:val="none"/>
              </w:rPr>
              <w:t>（商务和技术文件中需提供证书复印件并加盖投标人公章，否则视为负偏离）</w:t>
            </w:r>
            <w:r>
              <w:rPr>
                <w:rFonts w:hint="eastAsia" w:ascii="宋体" w:hAnsi="宋体" w:cs="宋体"/>
                <w:color w:val="auto"/>
                <w:sz w:val="22"/>
                <w:highlight w:val="none"/>
              </w:rPr>
              <w:t>。</w:t>
            </w:r>
          </w:p>
        </w:tc>
        <w:tc>
          <w:tcPr>
            <w:tcW w:w="250" w:type="pct"/>
            <w:noWrap w:val="0"/>
            <w:vAlign w:val="center"/>
          </w:tcPr>
          <w:p w14:paraId="05EF31F2">
            <w:pPr>
              <w:spacing w:line="360" w:lineRule="exact"/>
              <w:jc w:val="center"/>
              <w:rPr>
                <w:rFonts w:hint="eastAsia" w:ascii="宋体" w:hAnsi="宋体" w:cs="宋体"/>
                <w:color w:val="auto"/>
                <w:sz w:val="22"/>
                <w:highlight w:val="none"/>
              </w:rPr>
            </w:pPr>
            <w:r>
              <w:rPr>
                <w:rFonts w:hint="eastAsia" w:ascii="宋体" w:hAnsi="宋体" w:cs="宋体"/>
                <w:color w:val="auto"/>
                <w:sz w:val="22"/>
                <w:highlight w:val="none"/>
              </w:rPr>
              <w:t>1</w:t>
            </w:r>
          </w:p>
        </w:tc>
        <w:tc>
          <w:tcPr>
            <w:tcW w:w="216" w:type="pct"/>
            <w:noWrap w:val="0"/>
            <w:vAlign w:val="center"/>
          </w:tcPr>
          <w:p w14:paraId="2F997315">
            <w:pPr>
              <w:spacing w:line="360" w:lineRule="exact"/>
              <w:jc w:val="center"/>
              <w:rPr>
                <w:rFonts w:hint="eastAsia" w:ascii="宋体" w:hAnsi="宋体" w:cs="宋体"/>
                <w:color w:val="auto"/>
                <w:sz w:val="22"/>
                <w:highlight w:val="none"/>
              </w:rPr>
            </w:pPr>
            <w:r>
              <w:rPr>
                <w:rFonts w:hint="eastAsia" w:ascii="宋体" w:hAnsi="宋体" w:cs="宋体"/>
                <w:color w:val="auto"/>
                <w:sz w:val="22"/>
                <w:highlight w:val="none"/>
              </w:rPr>
              <w:t>套</w:t>
            </w:r>
          </w:p>
        </w:tc>
        <w:tc>
          <w:tcPr>
            <w:tcW w:w="629" w:type="pct"/>
            <w:noWrap w:val="0"/>
            <w:vAlign w:val="center"/>
          </w:tcPr>
          <w:p w14:paraId="5D980563">
            <w:pPr>
              <w:spacing w:line="360" w:lineRule="exact"/>
              <w:jc w:val="center"/>
              <w:rPr>
                <w:rFonts w:hint="eastAsia" w:ascii="宋体" w:hAnsi="宋体" w:cs="宋体"/>
                <w:color w:val="auto"/>
                <w:sz w:val="22"/>
                <w:highlight w:val="none"/>
              </w:rPr>
            </w:pPr>
          </w:p>
        </w:tc>
      </w:tr>
      <w:tr w14:paraId="783A8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5" w:type="pct"/>
            <w:noWrap w:val="0"/>
            <w:vAlign w:val="center"/>
          </w:tcPr>
          <w:p w14:paraId="0D044D77">
            <w:pPr>
              <w:spacing w:line="360" w:lineRule="exact"/>
              <w:jc w:val="center"/>
              <w:rPr>
                <w:rFonts w:hint="eastAsia" w:ascii="宋体" w:hAnsi="宋体" w:cs="宋体"/>
                <w:color w:val="auto"/>
                <w:sz w:val="22"/>
                <w:highlight w:val="none"/>
              </w:rPr>
            </w:pPr>
            <w:r>
              <w:rPr>
                <w:rFonts w:hint="eastAsia" w:ascii="宋体" w:hAnsi="宋体" w:cs="宋体"/>
                <w:color w:val="auto"/>
                <w:sz w:val="22"/>
                <w:highlight w:val="none"/>
              </w:rPr>
              <w:t>2</w:t>
            </w:r>
          </w:p>
        </w:tc>
        <w:tc>
          <w:tcPr>
            <w:tcW w:w="758" w:type="pct"/>
            <w:noWrap w:val="0"/>
            <w:vAlign w:val="center"/>
          </w:tcPr>
          <w:p w14:paraId="7AD39C62">
            <w:pPr>
              <w:spacing w:line="360" w:lineRule="exact"/>
              <w:jc w:val="center"/>
              <w:rPr>
                <w:rFonts w:hint="eastAsia" w:ascii="宋体" w:hAnsi="宋体" w:cs="宋体"/>
                <w:color w:val="auto"/>
                <w:sz w:val="22"/>
                <w:highlight w:val="none"/>
              </w:rPr>
            </w:pPr>
            <w:r>
              <w:rPr>
                <w:rFonts w:hint="eastAsia" w:ascii="宋体" w:hAnsi="宋体" w:cs="宋体"/>
                <w:color w:val="auto"/>
                <w:sz w:val="22"/>
                <w:highlight w:val="none"/>
              </w:rPr>
              <w:t>降噪导风罩</w:t>
            </w:r>
          </w:p>
        </w:tc>
        <w:tc>
          <w:tcPr>
            <w:tcW w:w="2919" w:type="pct"/>
            <w:noWrap w:val="0"/>
            <w:vAlign w:val="center"/>
          </w:tcPr>
          <w:p w14:paraId="2E2AEADD">
            <w:pPr>
              <w:spacing w:line="360" w:lineRule="exact"/>
              <w:rPr>
                <w:rFonts w:hint="eastAsia" w:ascii="宋体" w:hAnsi="宋体" w:cs="宋体"/>
                <w:color w:val="auto"/>
                <w:sz w:val="22"/>
                <w:highlight w:val="none"/>
              </w:rPr>
            </w:pPr>
            <w:r>
              <w:rPr>
                <w:rFonts w:hint="eastAsia" w:ascii="宋体" w:hAnsi="宋体" w:cs="宋体"/>
                <w:color w:val="auto"/>
                <w:sz w:val="22"/>
                <w:highlight w:val="none"/>
              </w:rPr>
              <w:t>与机柜同一品牌，冷通道内部制冷气流做分配，使冷通道内冷气流均匀分布，消除热点区，并对机架式温控系统做降噪处理。</w:t>
            </w:r>
          </w:p>
        </w:tc>
        <w:tc>
          <w:tcPr>
            <w:tcW w:w="250" w:type="pct"/>
            <w:noWrap w:val="0"/>
            <w:vAlign w:val="center"/>
          </w:tcPr>
          <w:p w14:paraId="635833BC">
            <w:pPr>
              <w:spacing w:line="360" w:lineRule="exact"/>
              <w:jc w:val="center"/>
              <w:rPr>
                <w:rFonts w:hint="eastAsia" w:ascii="宋体" w:hAnsi="宋体" w:cs="宋体"/>
                <w:color w:val="auto"/>
                <w:sz w:val="22"/>
                <w:highlight w:val="none"/>
              </w:rPr>
            </w:pPr>
            <w:r>
              <w:rPr>
                <w:rFonts w:hint="eastAsia" w:ascii="宋体" w:hAnsi="宋体" w:cs="宋体"/>
                <w:color w:val="auto"/>
                <w:sz w:val="22"/>
                <w:highlight w:val="none"/>
              </w:rPr>
              <w:t>2</w:t>
            </w:r>
          </w:p>
        </w:tc>
        <w:tc>
          <w:tcPr>
            <w:tcW w:w="216" w:type="pct"/>
            <w:noWrap w:val="0"/>
            <w:vAlign w:val="center"/>
          </w:tcPr>
          <w:p w14:paraId="2C449C34">
            <w:pPr>
              <w:spacing w:line="360" w:lineRule="exact"/>
              <w:jc w:val="center"/>
              <w:rPr>
                <w:rFonts w:hint="eastAsia" w:ascii="宋体" w:hAnsi="宋体" w:cs="宋体"/>
                <w:color w:val="auto"/>
                <w:sz w:val="22"/>
                <w:highlight w:val="none"/>
              </w:rPr>
            </w:pPr>
            <w:r>
              <w:rPr>
                <w:rFonts w:hint="eastAsia" w:ascii="宋体" w:hAnsi="宋体" w:cs="宋体"/>
                <w:color w:val="auto"/>
                <w:sz w:val="22"/>
                <w:highlight w:val="none"/>
              </w:rPr>
              <w:t>套</w:t>
            </w:r>
          </w:p>
        </w:tc>
        <w:tc>
          <w:tcPr>
            <w:tcW w:w="629" w:type="pct"/>
            <w:noWrap w:val="0"/>
            <w:vAlign w:val="center"/>
          </w:tcPr>
          <w:p w14:paraId="4960EAF4">
            <w:pPr>
              <w:spacing w:line="360" w:lineRule="exact"/>
              <w:jc w:val="center"/>
              <w:rPr>
                <w:rFonts w:hint="eastAsia" w:ascii="宋体" w:hAnsi="宋体" w:cs="宋体"/>
                <w:color w:val="auto"/>
                <w:sz w:val="22"/>
                <w:highlight w:val="none"/>
              </w:rPr>
            </w:pPr>
          </w:p>
        </w:tc>
      </w:tr>
      <w:tr w14:paraId="1AA58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5" w:type="pct"/>
            <w:noWrap w:val="0"/>
            <w:vAlign w:val="center"/>
          </w:tcPr>
          <w:p w14:paraId="1C70B86D">
            <w:pPr>
              <w:spacing w:line="360" w:lineRule="exact"/>
              <w:jc w:val="center"/>
              <w:rPr>
                <w:rFonts w:hint="eastAsia" w:ascii="宋体" w:hAnsi="宋体" w:cs="宋体"/>
                <w:color w:val="auto"/>
                <w:sz w:val="22"/>
                <w:highlight w:val="none"/>
              </w:rPr>
            </w:pPr>
            <w:r>
              <w:rPr>
                <w:rFonts w:hint="eastAsia" w:ascii="宋体" w:hAnsi="宋体" w:cs="宋体"/>
                <w:color w:val="auto"/>
                <w:sz w:val="22"/>
                <w:highlight w:val="none"/>
              </w:rPr>
              <w:t>3</w:t>
            </w:r>
          </w:p>
        </w:tc>
        <w:tc>
          <w:tcPr>
            <w:tcW w:w="758" w:type="pct"/>
            <w:noWrap w:val="0"/>
            <w:vAlign w:val="center"/>
          </w:tcPr>
          <w:p w14:paraId="34F0F19C">
            <w:pPr>
              <w:spacing w:line="360" w:lineRule="exact"/>
              <w:jc w:val="center"/>
              <w:rPr>
                <w:rFonts w:hint="eastAsia" w:ascii="宋体" w:hAnsi="宋体" w:cs="宋体"/>
                <w:color w:val="auto"/>
                <w:sz w:val="22"/>
                <w:highlight w:val="none"/>
              </w:rPr>
            </w:pPr>
            <w:r>
              <w:rPr>
                <w:rFonts w:hint="eastAsia" w:ascii="宋体" w:hAnsi="宋体" w:cs="宋体"/>
                <w:color w:val="auto"/>
                <w:sz w:val="22"/>
                <w:highlight w:val="none"/>
              </w:rPr>
              <w:t>温控调节安装组件</w:t>
            </w:r>
          </w:p>
        </w:tc>
        <w:tc>
          <w:tcPr>
            <w:tcW w:w="2919" w:type="pct"/>
            <w:noWrap w:val="0"/>
            <w:vAlign w:val="center"/>
          </w:tcPr>
          <w:p w14:paraId="18427E53">
            <w:pPr>
              <w:spacing w:line="360" w:lineRule="exact"/>
              <w:rPr>
                <w:rFonts w:hint="eastAsia" w:ascii="宋体" w:hAnsi="宋体" w:cs="宋体"/>
                <w:color w:val="auto"/>
                <w:sz w:val="22"/>
                <w:highlight w:val="none"/>
              </w:rPr>
            </w:pPr>
            <w:r>
              <w:rPr>
                <w:rFonts w:hint="eastAsia" w:ascii="宋体" w:hAnsi="宋体" w:cs="宋体"/>
                <w:color w:val="auto"/>
                <w:sz w:val="22"/>
                <w:highlight w:val="none"/>
              </w:rPr>
              <w:t>与设备配套，温控系统安装下走管组件，配套温控系统内机与外机铜管安装连接。</w:t>
            </w:r>
          </w:p>
        </w:tc>
        <w:tc>
          <w:tcPr>
            <w:tcW w:w="250" w:type="pct"/>
            <w:noWrap w:val="0"/>
            <w:vAlign w:val="center"/>
          </w:tcPr>
          <w:p w14:paraId="68459D75">
            <w:pPr>
              <w:spacing w:line="360" w:lineRule="exact"/>
              <w:jc w:val="center"/>
              <w:rPr>
                <w:rFonts w:hint="eastAsia" w:ascii="宋体" w:hAnsi="宋体" w:cs="宋体"/>
                <w:color w:val="auto"/>
                <w:sz w:val="22"/>
                <w:highlight w:val="none"/>
              </w:rPr>
            </w:pPr>
            <w:r>
              <w:rPr>
                <w:rFonts w:hint="eastAsia" w:ascii="宋体" w:hAnsi="宋体" w:cs="宋体"/>
                <w:color w:val="auto"/>
                <w:sz w:val="22"/>
                <w:highlight w:val="none"/>
              </w:rPr>
              <w:t>1</w:t>
            </w:r>
          </w:p>
        </w:tc>
        <w:tc>
          <w:tcPr>
            <w:tcW w:w="216" w:type="pct"/>
            <w:noWrap w:val="0"/>
            <w:vAlign w:val="center"/>
          </w:tcPr>
          <w:p w14:paraId="55D0DA60">
            <w:pPr>
              <w:spacing w:line="360" w:lineRule="exact"/>
              <w:jc w:val="center"/>
              <w:rPr>
                <w:rFonts w:hint="eastAsia" w:ascii="宋体" w:hAnsi="宋体" w:cs="宋体"/>
                <w:color w:val="auto"/>
                <w:sz w:val="22"/>
                <w:highlight w:val="none"/>
              </w:rPr>
            </w:pPr>
            <w:r>
              <w:rPr>
                <w:rFonts w:hint="eastAsia" w:ascii="宋体" w:hAnsi="宋体" w:cs="宋体"/>
                <w:color w:val="auto"/>
                <w:sz w:val="22"/>
                <w:highlight w:val="none"/>
              </w:rPr>
              <w:t>套</w:t>
            </w:r>
          </w:p>
        </w:tc>
        <w:tc>
          <w:tcPr>
            <w:tcW w:w="629" w:type="pct"/>
            <w:noWrap w:val="0"/>
            <w:vAlign w:val="center"/>
          </w:tcPr>
          <w:p w14:paraId="6CBAE8D5">
            <w:pPr>
              <w:spacing w:line="360" w:lineRule="exact"/>
              <w:jc w:val="center"/>
              <w:rPr>
                <w:rFonts w:hint="eastAsia" w:ascii="宋体" w:hAnsi="宋体" w:cs="宋体"/>
                <w:color w:val="auto"/>
                <w:sz w:val="22"/>
                <w:highlight w:val="none"/>
              </w:rPr>
            </w:pPr>
          </w:p>
        </w:tc>
      </w:tr>
      <w:tr w14:paraId="6611F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5" w:type="pct"/>
            <w:noWrap w:val="0"/>
            <w:vAlign w:val="center"/>
          </w:tcPr>
          <w:p w14:paraId="25490979">
            <w:pPr>
              <w:spacing w:line="360" w:lineRule="exact"/>
              <w:jc w:val="center"/>
              <w:rPr>
                <w:rFonts w:hint="eastAsia" w:ascii="宋体" w:hAnsi="宋体" w:cs="宋体"/>
                <w:color w:val="auto"/>
                <w:sz w:val="22"/>
                <w:highlight w:val="none"/>
              </w:rPr>
            </w:pPr>
            <w:r>
              <w:rPr>
                <w:rFonts w:hint="eastAsia" w:ascii="宋体" w:hAnsi="宋体" w:cs="宋体"/>
                <w:color w:val="auto"/>
                <w:sz w:val="22"/>
                <w:highlight w:val="none"/>
              </w:rPr>
              <w:t>4</w:t>
            </w:r>
          </w:p>
        </w:tc>
        <w:tc>
          <w:tcPr>
            <w:tcW w:w="758" w:type="pct"/>
            <w:noWrap w:val="0"/>
            <w:vAlign w:val="center"/>
          </w:tcPr>
          <w:p w14:paraId="0B05BC4C">
            <w:pPr>
              <w:spacing w:line="360" w:lineRule="exact"/>
              <w:jc w:val="center"/>
              <w:rPr>
                <w:rFonts w:hint="eastAsia" w:ascii="宋体" w:hAnsi="宋体" w:cs="宋体"/>
                <w:color w:val="auto"/>
                <w:sz w:val="22"/>
                <w:highlight w:val="none"/>
              </w:rPr>
            </w:pPr>
            <w:r>
              <w:rPr>
                <w:rFonts w:hint="eastAsia" w:ascii="宋体" w:hAnsi="宋体" w:cs="宋体"/>
                <w:color w:val="auto"/>
                <w:sz w:val="22"/>
                <w:highlight w:val="none"/>
              </w:rPr>
              <w:t>精密温控系统主机</w:t>
            </w:r>
          </w:p>
        </w:tc>
        <w:tc>
          <w:tcPr>
            <w:tcW w:w="2919" w:type="pct"/>
            <w:noWrap w:val="0"/>
            <w:vAlign w:val="top"/>
          </w:tcPr>
          <w:p w14:paraId="2282D920">
            <w:pPr>
              <w:spacing w:line="360" w:lineRule="exact"/>
              <w:rPr>
                <w:rFonts w:hint="eastAsia" w:ascii="宋体" w:hAnsi="宋体" w:cs="宋体"/>
                <w:color w:val="auto"/>
                <w:sz w:val="22"/>
                <w:highlight w:val="none"/>
              </w:rPr>
            </w:pPr>
            <w:r>
              <w:rPr>
                <w:rFonts w:hint="eastAsia" w:ascii="宋体" w:hAnsi="宋体" w:cs="宋体"/>
                <w:color w:val="auto"/>
                <w:sz w:val="22"/>
                <w:highlight w:val="none"/>
              </w:rPr>
              <w:t>风冷单机内置直流变频压缩机，要求出厂时已充注R410A环保制冷剂及冷冻油，直流散热风机，支持内外机铜管最大连接长度≥60米不影响设备制冷。</w:t>
            </w:r>
          </w:p>
        </w:tc>
        <w:tc>
          <w:tcPr>
            <w:tcW w:w="250" w:type="pct"/>
            <w:noWrap w:val="0"/>
            <w:vAlign w:val="center"/>
          </w:tcPr>
          <w:p w14:paraId="309C370A">
            <w:pPr>
              <w:spacing w:line="360" w:lineRule="exact"/>
              <w:jc w:val="center"/>
              <w:rPr>
                <w:rFonts w:hint="eastAsia" w:ascii="宋体" w:hAnsi="宋体" w:cs="宋体"/>
                <w:color w:val="auto"/>
                <w:sz w:val="22"/>
                <w:highlight w:val="none"/>
              </w:rPr>
            </w:pPr>
            <w:r>
              <w:rPr>
                <w:rFonts w:hint="eastAsia" w:ascii="宋体" w:hAnsi="宋体" w:cs="宋体"/>
                <w:color w:val="auto"/>
                <w:sz w:val="22"/>
                <w:highlight w:val="none"/>
              </w:rPr>
              <w:t>2</w:t>
            </w:r>
          </w:p>
        </w:tc>
        <w:tc>
          <w:tcPr>
            <w:tcW w:w="216" w:type="pct"/>
            <w:noWrap w:val="0"/>
            <w:vAlign w:val="center"/>
          </w:tcPr>
          <w:p w14:paraId="6022A5CC">
            <w:pPr>
              <w:spacing w:line="360" w:lineRule="exact"/>
              <w:jc w:val="center"/>
              <w:rPr>
                <w:rFonts w:hint="eastAsia" w:ascii="宋体" w:hAnsi="宋体" w:cs="宋体"/>
                <w:color w:val="auto"/>
                <w:sz w:val="22"/>
                <w:highlight w:val="none"/>
              </w:rPr>
            </w:pPr>
            <w:r>
              <w:rPr>
                <w:rFonts w:hint="eastAsia" w:ascii="宋体" w:hAnsi="宋体" w:cs="宋体"/>
                <w:color w:val="auto"/>
                <w:sz w:val="22"/>
                <w:highlight w:val="none"/>
              </w:rPr>
              <w:t>台</w:t>
            </w:r>
          </w:p>
        </w:tc>
        <w:tc>
          <w:tcPr>
            <w:tcW w:w="629" w:type="pct"/>
            <w:noWrap w:val="0"/>
            <w:vAlign w:val="center"/>
          </w:tcPr>
          <w:p w14:paraId="4FD3EB22">
            <w:pPr>
              <w:spacing w:line="360" w:lineRule="exact"/>
              <w:jc w:val="center"/>
              <w:rPr>
                <w:rFonts w:hint="eastAsia" w:ascii="宋体" w:hAnsi="宋体" w:cs="宋体"/>
                <w:color w:val="auto"/>
                <w:sz w:val="22"/>
                <w:highlight w:val="none"/>
              </w:rPr>
            </w:pPr>
          </w:p>
        </w:tc>
      </w:tr>
      <w:tr w14:paraId="2F2E2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5" w:type="pct"/>
            <w:noWrap w:val="0"/>
            <w:vAlign w:val="center"/>
          </w:tcPr>
          <w:p w14:paraId="461D374E">
            <w:pPr>
              <w:spacing w:line="360" w:lineRule="exact"/>
              <w:jc w:val="center"/>
              <w:rPr>
                <w:rFonts w:hint="eastAsia" w:ascii="宋体" w:hAnsi="宋体" w:cs="宋体"/>
                <w:color w:val="auto"/>
                <w:sz w:val="22"/>
                <w:highlight w:val="none"/>
              </w:rPr>
            </w:pPr>
            <w:r>
              <w:rPr>
                <w:rFonts w:hint="eastAsia" w:ascii="宋体" w:hAnsi="宋体" w:cs="宋体"/>
                <w:color w:val="auto"/>
                <w:sz w:val="22"/>
                <w:highlight w:val="none"/>
              </w:rPr>
              <w:t>5</w:t>
            </w:r>
          </w:p>
        </w:tc>
        <w:tc>
          <w:tcPr>
            <w:tcW w:w="758" w:type="pct"/>
            <w:noWrap w:val="0"/>
            <w:vAlign w:val="center"/>
          </w:tcPr>
          <w:p w14:paraId="42DF1326">
            <w:pPr>
              <w:spacing w:line="360" w:lineRule="exact"/>
              <w:jc w:val="center"/>
              <w:rPr>
                <w:rFonts w:hint="eastAsia" w:ascii="宋体" w:hAnsi="宋体" w:cs="宋体"/>
                <w:color w:val="auto"/>
                <w:sz w:val="22"/>
                <w:highlight w:val="none"/>
              </w:rPr>
            </w:pPr>
            <w:r>
              <w:rPr>
                <w:rFonts w:hint="eastAsia" w:ascii="宋体" w:hAnsi="宋体" w:cs="宋体"/>
                <w:color w:val="auto"/>
                <w:sz w:val="22"/>
                <w:highlight w:val="none"/>
              </w:rPr>
              <w:t>辅材及安装</w:t>
            </w:r>
          </w:p>
        </w:tc>
        <w:tc>
          <w:tcPr>
            <w:tcW w:w="2919" w:type="pct"/>
            <w:noWrap w:val="0"/>
            <w:vAlign w:val="center"/>
          </w:tcPr>
          <w:p w14:paraId="7EF15AE5">
            <w:pPr>
              <w:spacing w:line="360" w:lineRule="exact"/>
              <w:rPr>
                <w:rFonts w:hint="eastAsia" w:ascii="宋体" w:hAnsi="宋体" w:cs="宋体"/>
                <w:color w:val="auto"/>
                <w:sz w:val="22"/>
                <w:highlight w:val="none"/>
              </w:rPr>
            </w:pPr>
            <w:r>
              <w:rPr>
                <w:rFonts w:hint="eastAsia" w:ascii="宋体" w:hAnsi="宋体" w:cs="宋体"/>
                <w:color w:val="auto"/>
                <w:sz w:val="22"/>
                <w:highlight w:val="none"/>
              </w:rPr>
              <w:t>定制，2套机架温控系统每套配置铜管及安装辅材，根据现场实际装修情况装好为止，含设备搬运，安装及调试。</w:t>
            </w:r>
          </w:p>
        </w:tc>
        <w:tc>
          <w:tcPr>
            <w:tcW w:w="250" w:type="pct"/>
            <w:noWrap w:val="0"/>
            <w:vAlign w:val="center"/>
          </w:tcPr>
          <w:p w14:paraId="71B1DB10">
            <w:pPr>
              <w:spacing w:line="360" w:lineRule="exact"/>
              <w:jc w:val="center"/>
              <w:rPr>
                <w:rFonts w:hint="eastAsia" w:ascii="宋体" w:hAnsi="宋体" w:cs="宋体"/>
                <w:color w:val="auto"/>
                <w:sz w:val="22"/>
                <w:highlight w:val="none"/>
              </w:rPr>
            </w:pPr>
            <w:r>
              <w:rPr>
                <w:rFonts w:hint="eastAsia" w:ascii="宋体" w:hAnsi="宋体" w:cs="宋体"/>
                <w:color w:val="auto"/>
                <w:sz w:val="22"/>
                <w:highlight w:val="none"/>
              </w:rPr>
              <w:t>1</w:t>
            </w:r>
          </w:p>
        </w:tc>
        <w:tc>
          <w:tcPr>
            <w:tcW w:w="216" w:type="pct"/>
            <w:noWrap w:val="0"/>
            <w:vAlign w:val="center"/>
          </w:tcPr>
          <w:p w14:paraId="727104B0">
            <w:pPr>
              <w:spacing w:line="360" w:lineRule="exact"/>
              <w:jc w:val="center"/>
              <w:rPr>
                <w:rFonts w:hint="eastAsia" w:ascii="宋体" w:hAnsi="宋体" w:cs="宋体"/>
                <w:color w:val="auto"/>
                <w:sz w:val="22"/>
                <w:highlight w:val="none"/>
              </w:rPr>
            </w:pPr>
            <w:r>
              <w:rPr>
                <w:rFonts w:hint="eastAsia" w:ascii="宋体" w:hAnsi="宋体" w:cs="宋体"/>
                <w:color w:val="auto"/>
                <w:sz w:val="22"/>
                <w:highlight w:val="none"/>
              </w:rPr>
              <w:t>项</w:t>
            </w:r>
          </w:p>
        </w:tc>
        <w:tc>
          <w:tcPr>
            <w:tcW w:w="629" w:type="pct"/>
            <w:noWrap w:val="0"/>
            <w:vAlign w:val="center"/>
          </w:tcPr>
          <w:p w14:paraId="5FB8FB91">
            <w:pPr>
              <w:spacing w:line="360" w:lineRule="exact"/>
              <w:jc w:val="center"/>
              <w:rPr>
                <w:rFonts w:ascii="宋体" w:hAnsi="宋体" w:cs="宋体"/>
                <w:color w:val="auto"/>
                <w:sz w:val="22"/>
                <w:highlight w:val="none"/>
              </w:rPr>
            </w:pPr>
            <w:r>
              <w:rPr>
                <w:rFonts w:hint="eastAsia" w:ascii="宋体" w:hAnsi="宋体" w:cs="宋体"/>
                <w:color w:val="auto"/>
                <w:sz w:val="22"/>
                <w:highlight w:val="none"/>
              </w:rPr>
              <w:t>本项不单独报价，费用含在设备中。</w:t>
            </w:r>
          </w:p>
        </w:tc>
      </w:tr>
    </w:tbl>
    <w:p w14:paraId="108B099A">
      <w:pPr>
        <w:snapToGrid w:val="0"/>
        <w:spacing w:line="360" w:lineRule="exact"/>
        <w:jc w:val="left"/>
        <w:rPr>
          <w:rFonts w:hint="eastAsia" w:ascii="宋体" w:hAnsi="宋体" w:cs="宋体"/>
          <w:b/>
          <w:bCs/>
          <w:color w:val="auto"/>
          <w:spacing w:val="-6"/>
          <w:sz w:val="22"/>
          <w:highlight w:val="none"/>
        </w:rPr>
      </w:pPr>
      <w:r>
        <w:rPr>
          <w:rFonts w:hint="eastAsia" w:ascii="宋体" w:hAnsi="宋体" w:cs="宋体"/>
          <w:b/>
          <w:bCs/>
          <w:color w:val="auto"/>
          <w:spacing w:val="-6"/>
          <w:sz w:val="22"/>
          <w:highlight w:val="none"/>
        </w:rPr>
        <w:t>四、其他</w:t>
      </w:r>
    </w:p>
    <w:p w14:paraId="112A626A">
      <w:pPr>
        <w:snapToGrid w:val="0"/>
        <w:spacing w:line="360" w:lineRule="exact"/>
        <w:ind w:firstLine="418" w:firstLineChars="200"/>
        <w:jc w:val="left"/>
        <w:rPr>
          <w:rFonts w:hint="eastAsia" w:ascii="宋体" w:hAnsi="宋体" w:cs="宋体"/>
          <w:b/>
          <w:bCs/>
          <w:color w:val="auto"/>
          <w:spacing w:val="-6"/>
          <w:sz w:val="22"/>
          <w:highlight w:val="none"/>
        </w:rPr>
      </w:pPr>
      <w:r>
        <w:rPr>
          <w:rFonts w:hint="eastAsia" w:ascii="宋体" w:hAnsi="宋体" w:cs="宋体"/>
          <w:b/>
          <w:bCs/>
          <w:color w:val="auto"/>
          <w:spacing w:val="-6"/>
          <w:sz w:val="22"/>
          <w:highlight w:val="none"/>
        </w:rPr>
        <w:t>1.除招标文件中所明确的采购需求外，欢迎其他能满足本项目采购需求且性所明确采购需求的产品参加投标报价。同时在采购需求偏离表中作出详细对比说明。</w:t>
      </w:r>
    </w:p>
    <w:p w14:paraId="7FACE793">
      <w:pPr>
        <w:snapToGrid w:val="0"/>
        <w:spacing w:line="360" w:lineRule="exact"/>
        <w:ind w:firstLine="418" w:firstLineChars="200"/>
        <w:jc w:val="left"/>
        <w:rPr>
          <w:rFonts w:hint="eastAsia" w:ascii="宋体" w:hAnsi="宋体" w:cs="宋体"/>
          <w:b/>
          <w:bCs/>
          <w:color w:val="auto"/>
          <w:spacing w:val="-6"/>
          <w:sz w:val="22"/>
          <w:highlight w:val="none"/>
        </w:rPr>
      </w:pPr>
      <w:r>
        <w:rPr>
          <w:rFonts w:hint="eastAsia" w:ascii="宋体" w:hAnsi="宋体" w:cs="宋体"/>
          <w:b/>
          <w:bCs/>
          <w:color w:val="auto"/>
          <w:spacing w:val="-6"/>
          <w:sz w:val="22"/>
          <w:highlight w:val="none"/>
        </w:rPr>
        <w:t>2.带“▲且加下划线”的有关条款为实质性条款，投标人必须做出实质性响应，不允许负偏离，出现负偏离的将导致投标无效。打“★”的条款为重要指标，允许负偏离，但在技术评分时会重点扣分，具体见评标办法。</w:t>
      </w:r>
    </w:p>
    <w:p w14:paraId="44CAD85F">
      <w:pPr>
        <w:snapToGrid w:val="0"/>
        <w:spacing w:line="360" w:lineRule="exact"/>
        <w:ind w:firstLine="418" w:firstLineChars="200"/>
        <w:jc w:val="left"/>
        <w:rPr>
          <w:rFonts w:hint="eastAsia" w:ascii="宋体" w:hAnsi="宋体" w:cs="宋体"/>
          <w:b/>
          <w:bCs/>
          <w:color w:val="auto"/>
          <w:spacing w:val="-6"/>
          <w:sz w:val="22"/>
          <w:highlight w:val="none"/>
        </w:rPr>
      </w:pPr>
      <w:r>
        <w:rPr>
          <w:rFonts w:hint="eastAsia" w:ascii="宋体" w:hAnsi="宋体" w:cs="宋体"/>
          <w:b/>
          <w:bCs/>
          <w:color w:val="auto"/>
          <w:spacing w:val="-6"/>
          <w:sz w:val="22"/>
          <w:highlight w:val="none"/>
        </w:rPr>
        <w:t>3.如技术要求中未特别注明需执行的国家相关标准、行业标准、地方标准或者其他标准、规范，则统一执行最新标准、规范。</w:t>
      </w:r>
    </w:p>
    <w:p w14:paraId="0BC68D6B">
      <w:pPr>
        <w:snapToGrid w:val="0"/>
        <w:spacing w:line="360" w:lineRule="exact"/>
        <w:ind w:firstLine="418" w:firstLineChars="200"/>
        <w:jc w:val="left"/>
        <w:rPr>
          <w:rFonts w:hint="eastAsia" w:ascii="宋体" w:hAnsi="宋体" w:cs="宋体"/>
          <w:b/>
          <w:color w:val="auto"/>
          <w:sz w:val="22"/>
          <w:highlight w:val="none"/>
        </w:rPr>
      </w:pPr>
      <w:r>
        <w:rPr>
          <w:rFonts w:hint="eastAsia" w:ascii="宋体" w:hAnsi="宋体" w:cs="宋体"/>
          <w:b/>
          <w:bCs/>
          <w:color w:val="auto"/>
          <w:spacing w:val="-6"/>
          <w:sz w:val="22"/>
          <w:highlight w:val="none"/>
        </w:rPr>
        <w:t>4.技术部分中需要提供的证明材料有有效期的必须在有效期内，否则视为未提供。</w:t>
      </w:r>
    </w:p>
    <w:p w14:paraId="05372EF1">
      <w:bookmarkStart w:id="3" w:name="_GoBack"/>
      <w:bookmarkEnd w:id="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EC1945"/>
    <w:multiLevelType w:val="singleLevel"/>
    <w:tmpl w:val="B0EC1945"/>
    <w:lvl w:ilvl="0" w:tentative="0">
      <w:start w:val="1"/>
      <w:numFmt w:val="decimal"/>
      <w:suff w:val="nothing"/>
      <w:lvlText w:val="%1．"/>
      <w:lvlJc w:val="left"/>
      <w:pPr>
        <w:ind w:left="0" w:firstLine="0"/>
      </w:pPr>
      <w:rPr>
        <w:rFonts w:hint="default"/>
      </w:rPr>
    </w:lvl>
  </w:abstractNum>
  <w:abstractNum w:abstractNumId="1">
    <w:nsid w:val="6C9028C3"/>
    <w:multiLevelType w:val="singleLevel"/>
    <w:tmpl w:val="6C9028C3"/>
    <w:lvl w:ilvl="0" w:tentative="0">
      <w:start w:val="1"/>
      <w:numFmt w:val="decimal"/>
      <w:lvlText w:val="(%1)"/>
      <w:lvlJc w:val="left"/>
      <w:pPr>
        <w:tabs>
          <w:tab w:val="left" w:pos="0"/>
        </w:tabs>
        <w:ind w:left="0" w:firstLine="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NiM2I2MmI4NjhmYmM5MGQ0ODZkZThlZWQ2MmVmYjUifQ=="/>
  </w:docVars>
  <w:rsids>
    <w:rsidRoot w:val="00000000"/>
    <w:rsid w:val="08B527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customStyle="1" w:styleId="2">
    <w:name w:val="首行缩进"/>
    <w:basedOn w:val="1"/>
    <w:qFormat/>
    <w:uiPriority w:val="0"/>
    <w:pPr>
      <w:spacing w:line="360" w:lineRule="auto"/>
      <w:ind w:firstLine="420"/>
    </w:pPr>
    <w:rPr>
      <w:rFonts w:cs="宋体"/>
      <w:szCs w:val="20"/>
    </w:rPr>
  </w:style>
  <w:style w:type="paragraph" w:styleId="3">
    <w:name w:val="annotation text"/>
    <w:basedOn w:val="1"/>
    <w:qFormat/>
    <w:uiPriority w:val="0"/>
    <w:pPr>
      <w:jc w:val="left"/>
    </w:pPr>
  </w:style>
  <w:style w:type="paragraph" w:styleId="4">
    <w:name w:val="Plain Text"/>
    <w:basedOn w:val="1"/>
    <w:qFormat/>
    <w:uiPriority w:val="0"/>
    <w:pPr>
      <w:widowControl/>
      <w:overflowPunct w:val="0"/>
      <w:autoSpaceDE w:val="0"/>
      <w:autoSpaceDN w:val="0"/>
      <w:adjustRightInd w:val="0"/>
      <w:jc w:val="left"/>
      <w:textAlignment w:val="baseline"/>
    </w:pPr>
    <w:rPr>
      <w:rFonts w:ascii="宋体" w:hAnsi="Courier New"/>
      <w:sz w:val="24"/>
    </w:rPr>
  </w:style>
  <w:style w:type="paragraph" w:customStyle="1" w:styleId="7">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2024-11-01T05:47:37Z</dcterms:created>
  <dc:creator>admin</dc:creator>
  <cp:lastModifiedBy>admin</cp:lastModifiedBy>
  <dcterms:modified xsi:type="dcterms:W3CDTF">2024-11-01T05:57:16Z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7AB9A88C8C6744FC810B6C104760B1F6_12</vt:lpwstr>
  </property>
</Properties>
</file>