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3150F">
      <w:pPr>
        <w:pageBreakBefore w:val="0"/>
        <w:kinsoku/>
        <w:wordWrap/>
        <w:overflowPunct/>
        <w:topLinePunct w:val="0"/>
        <w:bidi w:val="0"/>
        <w:spacing w:after="0" w:line="288" w:lineRule="auto"/>
        <w:jc w:val="center"/>
        <w:textAlignment w:val="auto"/>
        <w:rPr>
          <w:rFonts w:hint="eastAsia"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kern w:val="0"/>
          <w:sz w:val="30"/>
          <w:szCs w:val="30"/>
          <w:lang w:eastAsia="zh-CN"/>
          <w14:textFill>
            <w14:solidFill>
              <w14:schemeClr w14:val="tx1"/>
            </w14:solidFill>
          </w14:textFill>
        </w:rPr>
        <w:t>诸暨市自然资源和规划局2025年度松材线虫病免疫制剂采购</w:t>
      </w:r>
      <w:r>
        <w:rPr>
          <w:rFonts w:hint="eastAsia" w:ascii="宋体" w:hAnsi="宋体" w:cs="宋体"/>
          <w:b/>
          <w:bCs/>
          <w:color w:val="000000" w:themeColor="text1"/>
          <w:kern w:val="0"/>
          <w:sz w:val="30"/>
          <w:szCs w:val="30"/>
          <w14:textFill>
            <w14:solidFill>
              <w14:schemeClr w14:val="tx1"/>
            </w14:solidFill>
          </w14:textFill>
        </w:rPr>
        <w:t>项目</w:t>
      </w:r>
      <w:r>
        <w:rPr>
          <w:rFonts w:hint="eastAsia" w:ascii="宋体" w:hAnsi="宋体" w:cs="宋体"/>
          <w:b/>
          <w:color w:val="000000" w:themeColor="text1"/>
          <w:sz w:val="30"/>
          <w:szCs w:val="30"/>
          <w14:textFill>
            <w14:solidFill>
              <w14:schemeClr w14:val="tx1"/>
            </w14:solidFill>
          </w14:textFill>
        </w:rPr>
        <w:t>要素</w:t>
      </w:r>
    </w:p>
    <w:p w14:paraId="37EE6120">
      <w:pPr>
        <w:pageBreakBefore w:val="0"/>
        <w:kinsoku/>
        <w:wordWrap/>
        <w:overflowPunct/>
        <w:topLinePunct w:val="0"/>
        <w:bidi w:val="0"/>
        <w:spacing w:after="0" w:line="288" w:lineRule="auto"/>
        <w:ind w:firstLine="482" w:firstLineChars="200"/>
        <w:jc w:val="left"/>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一、项目名称：</w:t>
      </w:r>
      <w:r>
        <w:rPr>
          <w:rFonts w:hint="eastAsia" w:ascii="宋体" w:hAnsi="宋体" w:cs="宋体"/>
          <w:color w:val="000000" w:themeColor="text1"/>
          <w:sz w:val="24"/>
          <w:lang w:eastAsia="zh-CN"/>
          <w14:textFill>
            <w14:solidFill>
              <w14:schemeClr w14:val="tx1"/>
            </w14:solidFill>
          </w14:textFill>
        </w:rPr>
        <w:t>诸暨市自然资源和规划局2025年度松材线虫病免疫制剂采购</w:t>
      </w:r>
      <w:r>
        <w:rPr>
          <w:rFonts w:hint="eastAsia" w:ascii="宋体" w:hAnsi="宋体" w:cs="宋体"/>
          <w:color w:val="000000" w:themeColor="text1"/>
          <w:sz w:val="24"/>
          <w14:textFill>
            <w14:solidFill>
              <w14:schemeClr w14:val="tx1"/>
            </w14:solidFill>
          </w14:textFill>
        </w:rPr>
        <w:t>项目</w:t>
      </w:r>
      <w:r>
        <w:rPr>
          <w:rFonts w:hint="eastAsia" w:ascii="宋体" w:hAnsi="宋体" w:cs="宋体"/>
          <w:b/>
          <w:color w:val="000000" w:themeColor="text1"/>
          <w:sz w:val="24"/>
          <w14:textFill>
            <w14:solidFill>
              <w14:schemeClr w14:val="tx1"/>
            </w14:solidFill>
          </w14:textFill>
        </w:rPr>
        <w:t xml:space="preserve"> </w:t>
      </w:r>
    </w:p>
    <w:p w14:paraId="6A667683">
      <w:pPr>
        <w:pageBreakBefore w:val="0"/>
        <w:kinsoku/>
        <w:wordWrap/>
        <w:overflowPunct/>
        <w:topLinePunct w:val="0"/>
        <w:bidi w:val="0"/>
        <w:spacing w:after="0" w:line="288" w:lineRule="auto"/>
        <w:ind w:firstLine="482" w:firstLineChars="200"/>
        <w:textAlignment w:val="auto"/>
        <w:rPr>
          <w:rFonts w:hint="eastAsia" w:ascii="宋体" w:hAnsi="宋体"/>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二、项目内容及规模：</w:t>
      </w:r>
      <w:r>
        <w:rPr>
          <w:rFonts w:hint="eastAsia" w:ascii="宋体" w:hAnsi="宋体" w:cs="宋体"/>
          <w:color w:val="000000" w:themeColor="text1"/>
          <w:sz w:val="24"/>
          <w:lang w:eastAsia="zh-CN"/>
          <w14:textFill>
            <w14:solidFill>
              <w14:schemeClr w14:val="tx1"/>
            </w14:solidFill>
          </w14:textFill>
        </w:rPr>
        <w:t>诸暨市自然资源和规划局2025年度松材线虫病免疫制剂采购</w:t>
      </w:r>
      <w:r>
        <w:rPr>
          <w:rFonts w:hint="eastAsia" w:ascii="宋体" w:hAnsi="宋体"/>
          <w:color w:val="000000" w:themeColor="text1"/>
          <w:sz w:val="24"/>
          <w:szCs w:val="20"/>
          <w14:textFill>
            <w14:solidFill>
              <w14:schemeClr w14:val="tx1"/>
            </w14:solidFill>
          </w14:textFill>
        </w:rPr>
        <w:t>，对全市需保护的古松树、城区周边、部分村风景松树、部分景区周边和基本实现无疫情单位重点区域松树打孔注药1.8万瓶，约8000株保护，采用单价招标，数量按实结算，最高单价限价为11元/瓶，采购预算为19.8万元，</w:t>
      </w:r>
      <w:r>
        <w:rPr>
          <w:rFonts w:hint="eastAsia" w:ascii="宋体" w:hAnsi="宋体" w:cs="宋体"/>
          <w:color w:val="000000" w:themeColor="text1"/>
          <w:kern w:val="1"/>
          <w:sz w:val="24"/>
          <w14:textFill>
            <w14:solidFill>
              <w14:schemeClr w14:val="tx1"/>
            </w14:solidFill>
          </w14:textFill>
        </w:rPr>
        <w:t>详见下表</w:t>
      </w:r>
      <w:r>
        <w:rPr>
          <w:rFonts w:hint="eastAsia" w:ascii="宋体" w:hAnsi="宋体"/>
          <w:color w:val="000000" w:themeColor="text1"/>
          <w:sz w:val="24"/>
          <w:szCs w:val="20"/>
          <w14:textFill>
            <w14:solidFill>
              <w14:schemeClr w14:val="tx1"/>
            </w14:solidFill>
          </w14:textFill>
        </w:rPr>
        <w:t>。</w:t>
      </w:r>
    </w:p>
    <w:tbl>
      <w:tblPr>
        <w:tblStyle w:val="7"/>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193"/>
        <w:gridCol w:w="935"/>
        <w:gridCol w:w="1184"/>
        <w:gridCol w:w="1778"/>
        <w:gridCol w:w="1233"/>
      </w:tblGrid>
      <w:tr w14:paraId="2FD5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179" w:type="dxa"/>
            <w:tcBorders>
              <w:bottom w:val="single" w:color="auto" w:sz="4" w:space="0"/>
            </w:tcBorders>
            <w:vAlign w:val="center"/>
          </w:tcPr>
          <w:p w14:paraId="47D358F2">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1193" w:type="dxa"/>
            <w:vAlign w:val="center"/>
          </w:tcPr>
          <w:p w14:paraId="5A913534">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w:t>
            </w:r>
          </w:p>
        </w:tc>
        <w:tc>
          <w:tcPr>
            <w:tcW w:w="935" w:type="dxa"/>
            <w:vAlign w:val="center"/>
          </w:tcPr>
          <w:p w14:paraId="07BDA56C">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1184" w:type="dxa"/>
            <w:vAlign w:val="center"/>
          </w:tcPr>
          <w:p w14:paraId="5ED2886B">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8" w:type="dxa"/>
            <w:vAlign w:val="center"/>
          </w:tcPr>
          <w:p w14:paraId="6CD1B0B3">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w:t>
            </w:r>
          </w:p>
        </w:tc>
        <w:tc>
          <w:tcPr>
            <w:tcW w:w="1233" w:type="dxa"/>
            <w:vAlign w:val="center"/>
          </w:tcPr>
          <w:p w14:paraId="49078C8C">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w:t>
            </w:r>
          </w:p>
        </w:tc>
      </w:tr>
      <w:tr w14:paraId="14B2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79" w:type="dxa"/>
            <w:tcBorders>
              <w:top w:val="single" w:color="auto" w:sz="4" w:space="0"/>
              <w:left w:val="single" w:color="auto" w:sz="4" w:space="0"/>
              <w:bottom w:val="single" w:color="auto" w:sz="4" w:space="0"/>
            </w:tcBorders>
            <w:vAlign w:val="center"/>
          </w:tcPr>
          <w:p w14:paraId="7FA6F194">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含量</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%（含）以上的甲维盐</w:t>
            </w:r>
          </w:p>
        </w:tc>
        <w:tc>
          <w:tcPr>
            <w:tcW w:w="1193" w:type="dxa"/>
            <w:vAlign w:val="center"/>
          </w:tcPr>
          <w:p w14:paraId="43DD3444">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50ml/瓶</w:t>
            </w:r>
          </w:p>
        </w:tc>
        <w:tc>
          <w:tcPr>
            <w:tcW w:w="935" w:type="dxa"/>
            <w:vAlign w:val="center"/>
          </w:tcPr>
          <w:p w14:paraId="3B31A1C0">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瓶</w:t>
            </w:r>
          </w:p>
        </w:tc>
        <w:tc>
          <w:tcPr>
            <w:tcW w:w="1184" w:type="dxa"/>
            <w:vAlign w:val="center"/>
          </w:tcPr>
          <w:p w14:paraId="02356ECA">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18000</w:t>
            </w:r>
          </w:p>
        </w:tc>
        <w:tc>
          <w:tcPr>
            <w:tcW w:w="1778" w:type="dxa"/>
            <w:vAlign w:val="center"/>
          </w:tcPr>
          <w:p w14:paraId="13793C97">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11元/瓶</w:t>
            </w:r>
          </w:p>
        </w:tc>
        <w:tc>
          <w:tcPr>
            <w:tcW w:w="1233" w:type="dxa"/>
            <w:vAlign w:val="center"/>
          </w:tcPr>
          <w:p w14:paraId="21132AD0">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19.8万元</w:t>
            </w:r>
          </w:p>
        </w:tc>
      </w:tr>
    </w:tbl>
    <w:p w14:paraId="2E6184BE">
      <w:pPr>
        <w:keepNext w:val="0"/>
        <w:keepLines w:val="0"/>
        <w:pageBreakBefore w:val="0"/>
        <w:widowControl w:val="0"/>
        <w:kinsoku/>
        <w:wordWrap/>
        <w:overflowPunct/>
        <w:topLinePunct w:val="0"/>
        <w:autoSpaceDE/>
        <w:autoSpaceDN/>
        <w:bidi w:val="0"/>
        <w:snapToGrid/>
        <w:spacing w:after="0" w:line="288" w:lineRule="auto"/>
        <w:ind w:firstLine="482" w:firstLineChars="200"/>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三、投标人（供应商）资格要求：</w:t>
      </w:r>
    </w:p>
    <w:p w14:paraId="2F69FE4E">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1.符合下列要求：</w:t>
      </w:r>
    </w:p>
    <w:p w14:paraId="0B97A3E5">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（1）具有独立承担民事责任的能力；</w:t>
      </w:r>
    </w:p>
    <w:p w14:paraId="152C9AD5">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（2）具有良好的商业信誉和健全的财务会计制度；</w:t>
      </w:r>
    </w:p>
    <w:p w14:paraId="5104024A">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（3）具有履行合同所必需的设备和专业技术能力；</w:t>
      </w:r>
    </w:p>
    <w:p w14:paraId="00EF1E56">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（4）有依法缴纳税收和社会保障资金的良好记录；</w:t>
      </w:r>
    </w:p>
    <w:p w14:paraId="58CA391D">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（5）参加</w:t>
      </w:r>
      <w:r>
        <w:rPr>
          <w:rFonts w:hint="eastAsia" w:ascii="宋体" w:hAnsi="宋体" w:eastAsia="宋体" w:cs="Times New Roman"/>
          <w:color w:val="000000" w:themeColor="text1"/>
          <w:lang w:val="en-US" w:eastAsia="zh-CN"/>
          <w14:textFill>
            <w14:solidFill>
              <w14:schemeClr w14:val="tx1"/>
            </w14:solidFill>
          </w14:textFill>
        </w:rPr>
        <w:t>本次</w:t>
      </w:r>
      <w:r>
        <w:rPr>
          <w:rFonts w:hint="eastAsia" w:ascii="宋体" w:hAnsi="宋体" w:eastAsia="宋体" w:cs="Times New Roman"/>
          <w:color w:val="000000" w:themeColor="text1"/>
          <w14:textFill>
            <w14:solidFill>
              <w14:schemeClr w14:val="tx1"/>
            </w14:solidFill>
          </w14:textFill>
        </w:rPr>
        <w:t>采购活动前三年内，在经营活动中没有重大违法记录；</w:t>
      </w:r>
    </w:p>
    <w:p w14:paraId="413F9C04">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（6）法律、行政法规规定的其他条件。</w:t>
      </w:r>
    </w:p>
    <w:p w14:paraId="6D6237D5">
      <w:pPr>
        <w:pStyle w:val="9"/>
        <w:keepNext w:val="0"/>
        <w:keepLines w:val="0"/>
        <w:pageBreakBefore w:val="0"/>
        <w:widowControl w:val="0"/>
        <w:kinsoku/>
        <w:wordWrap/>
        <w:overflowPunct/>
        <w:topLinePunct w:val="0"/>
        <w:autoSpaceDE/>
        <w:autoSpaceDN/>
        <w:bidi w:val="0"/>
        <w:adjustRightInd w:val="0"/>
        <w:snapToGrid/>
        <w:spacing w:after="0" w:afterLines="0" w:line="288" w:lineRule="auto"/>
        <w:ind w:firstLine="480"/>
        <w:textAlignment w:val="auto"/>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BCACC0B">
      <w:pPr>
        <w:keepNext w:val="0"/>
        <w:keepLines w:val="0"/>
        <w:pageBreakBefore w:val="0"/>
        <w:widowControl w:val="0"/>
        <w:kinsoku/>
        <w:wordWrap/>
        <w:overflowPunct/>
        <w:topLinePunct w:val="0"/>
        <w:autoSpaceDE/>
        <w:autoSpaceDN/>
        <w:bidi w:val="0"/>
        <w:snapToGrid/>
        <w:spacing w:after="0" w:line="288"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3、本项目不接受联合体投标。</w:t>
      </w:r>
    </w:p>
    <w:p w14:paraId="47E9C354">
      <w:pPr>
        <w:keepNext w:val="0"/>
        <w:keepLines w:val="0"/>
        <w:pageBreakBefore w:val="0"/>
        <w:widowControl w:val="0"/>
        <w:kinsoku/>
        <w:wordWrap/>
        <w:overflowPunct/>
        <w:topLinePunct w:val="0"/>
        <w:autoSpaceDE/>
        <w:autoSpaceDN/>
        <w:bidi w:val="0"/>
        <w:snapToGrid/>
        <w:spacing w:after="0" w:line="288"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四、评标办法：</w:t>
      </w:r>
      <w:r>
        <w:rPr>
          <w:rFonts w:hint="eastAsia" w:ascii="宋体" w:hAnsi="宋体" w:cs="宋体"/>
          <w:color w:val="000000" w:themeColor="text1"/>
          <w:sz w:val="24"/>
          <w14:textFill>
            <w14:solidFill>
              <w14:schemeClr w14:val="tx1"/>
            </w14:solidFill>
          </w14:textFill>
        </w:rPr>
        <w:t>综</w:t>
      </w:r>
      <w:r>
        <w:rPr>
          <w:rFonts w:hint="eastAsia" w:ascii="宋体" w:hAnsi="宋体" w:cs="宋体"/>
          <w:color w:val="000000" w:themeColor="text1"/>
          <w:kern w:val="0"/>
          <w:sz w:val="24"/>
          <w14:textFill>
            <w14:solidFill>
              <w14:schemeClr w14:val="tx1"/>
            </w14:solidFill>
          </w14:textFill>
        </w:rPr>
        <w:t>合评分法</w:t>
      </w:r>
    </w:p>
    <w:p w14:paraId="06171B62">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五、评分标准：</w:t>
      </w:r>
    </w:p>
    <w:p w14:paraId="0A235F8A">
      <w:pPr>
        <w:keepNext w:val="0"/>
        <w:keepLines w:val="0"/>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1、评分办法</w:t>
      </w:r>
    </w:p>
    <w:p w14:paraId="1E1CD5B9">
      <w:pPr>
        <w:keepNext w:val="0"/>
        <w:keepLines w:val="0"/>
        <w:pageBreakBefore w:val="0"/>
        <w:widowControl w:val="0"/>
        <w:kinsoku/>
        <w:wordWrap/>
        <w:overflowPunct/>
        <w:topLinePunct w:val="0"/>
        <w:autoSpaceDE/>
        <w:autoSpaceDN/>
        <w:bidi w:val="0"/>
        <w:adjustRightInd/>
        <w:snapToGrid/>
        <w:spacing w:after="0" w:line="288" w:lineRule="auto"/>
        <w:ind w:firstLine="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（1）满分为100分。总得分=技术得分+商务得分。</w:t>
      </w:r>
    </w:p>
    <w:p w14:paraId="44433E25">
      <w:pPr>
        <w:keepNext w:val="0"/>
        <w:keepLines w:val="0"/>
        <w:pageBreakBefore w:val="0"/>
        <w:widowControl w:val="0"/>
        <w:kinsoku/>
        <w:wordWrap/>
        <w:overflowPunct/>
        <w:topLinePunct w:val="0"/>
        <w:autoSpaceDE/>
        <w:autoSpaceDN/>
        <w:bidi w:val="0"/>
        <w:adjustRightInd/>
        <w:snapToGrid/>
        <w:spacing w:after="0" w:line="288" w:lineRule="auto"/>
        <w:ind w:firstLine="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（2）技术得分=技术评分，技术评分=所有评委的有效评分的算术平均数。</w:t>
      </w:r>
    </w:p>
    <w:p w14:paraId="4F38AD67">
      <w:pPr>
        <w:keepNext w:val="0"/>
        <w:keepLines w:val="0"/>
        <w:pageBreakBefore w:val="0"/>
        <w:widowControl w:val="0"/>
        <w:kinsoku/>
        <w:wordWrap/>
        <w:overflowPunct/>
        <w:topLinePunct w:val="0"/>
        <w:autoSpaceDE/>
        <w:autoSpaceDN/>
        <w:bidi w:val="0"/>
        <w:adjustRightInd/>
        <w:snapToGrid/>
        <w:spacing w:after="0" w:line="288" w:lineRule="auto"/>
        <w:ind w:firstLine="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（3）商务得分=（评标基准价/投标报价）*价格权值*100，评标基准价=有效投标人的最低投标报价，价格权值=</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w:t>
      </w:r>
    </w:p>
    <w:p w14:paraId="0F74FA95">
      <w:pPr>
        <w:keepNext w:val="0"/>
        <w:keepLines w:val="0"/>
        <w:pageBreakBefore w:val="0"/>
        <w:widowControl w:val="0"/>
        <w:kinsoku/>
        <w:wordWrap/>
        <w:overflowPunct/>
        <w:topLinePunct w:val="0"/>
        <w:autoSpaceDE/>
        <w:autoSpaceDN/>
        <w:bidi w:val="0"/>
        <w:adjustRightInd/>
        <w:snapToGrid/>
        <w:spacing w:after="0" w:line="288" w:lineRule="auto"/>
        <w:ind w:firstLine="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（4）技术评分细则（</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0分）</w:t>
      </w:r>
    </w:p>
    <w:tbl>
      <w:tblPr>
        <w:tblStyle w:val="7"/>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13"/>
        <w:gridCol w:w="87"/>
        <w:gridCol w:w="880"/>
        <w:gridCol w:w="6351"/>
        <w:gridCol w:w="936"/>
      </w:tblGrid>
      <w:tr w14:paraId="3A12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84F120E">
            <w:pPr>
              <w:pageBreakBefore w:val="0"/>
              <w:kinsoku/>
              <w:wordWrap/>
              <w:overflowPunct/>
              <w:topLinePunct w:val="0"/>
              <w:bidi w:val="0"/>
              <w:spacing w:after="0" w:line="288" w:lineRule="auto"/>
              <w:jc w:val="center"/>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序号</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187AC3F9">
            <w:pPr>
              <w:pageBreakBefore w:val="0"/>
              <w:kinsoku/>
              <w:wordWrap/>
              <w:overflowPunct/>
              <w:topLinePunct w:val="0"/>
              <w:bidi w:val="0"/>
              <w:spacing w:after="0" w:line="288" w:lineRule="auto"/>
              <w:jc w:val="center"/>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评审项目</w:t>
            </w:r>
          </w:p>
        </w:tc>
        <w:tc>
          <w:tcPr>
            <w:tcW w:w="6351" w:type="dxa"/>
            <w:tcBorders>
              <w:top w:val="single" w:color="auto" w:sz="4" w:space="0"/>
              <w:left w:val="single" w:color="auto" w:sz="4" w:space="0"/>
              <w:bottom w:val="single" w:color="auto" w:sz="4" w:space="0"/>
              <w:right w:val="single" w:color="auto" w:sz="4" w:space="0"/>
            </w:tcBorders>
            <w:vAlign w:val="center"/>
          </w:tcPr>
          <w:p w14:paraId="1D3B41D2">
            <w:pPr>
              <w:pageBreakBefore w:val="0"/>
              <w:kinsoku/>
              <w:wordWrap/>
              <w:overflowPunct/>
              <w:topLinePunct w:val="0"/>
              <w:bidi w:val="0"/>
              <w:spacing w:after="0" w:line="288" w:lineRule="auto"/>
              <w:jc w:val="center"/>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评审细则</w:t>
            </w:r>
          </w:p>
        </w:tc>
        <w:tc>
          <w:tcPr>
            <w:tcW w:w="936" w:type="dxa"/>
            <w:tcBorders>
              <w:top w:val="single" w:color="auto" w:sz="4" w:space="0"/>
              <w:left w:val="single" w:color="auto" w:sz="4" w:space="0"/>
              <w:bottom w:val="single" w:color="auto" w:sz="4" w:space="0"/>
              <w:right w:val="single" w:color="auto" w:sz="4" w:space="0"/>
            </w:tcBorders>
            <w:vAlign w:val="center"/>
          </w:tcPr>
          <w:p w14:paraId="3FA4D7EF">
            <w:pPr>
              <w:pageBreakBefore w:val="0"/>
              <w:kinsoku/>
              <w:wordWrap/>
              <w:overflowPunct/>
              <w:topLinePunct w:val="0"/>
              <w:bidi w:val="0"/>
              <w:spacing w:after="0" w:line="288"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14:paraId="1C7D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7CAB90E">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013540E7">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相关工作经验</w:t>
            </w:r>
          </w:p>
        </w:tc>
        <w:tc>
          <w:tcPr>
            <w:tcW w:w="6351" w:type="dxa"/>
            <w:tcBorders>
              <w:top w:val="single" w:color="auto" w:sz="4" w:space="0"/>
              <w:left w:val="single" w:color="auto" w:sz="4" w:space="0"/>
              <w:bottom w:val="single" w:color="auto" w:sz="4" w:space="0"/>
              <w:right w:val="single" w:color="auto" w:sz="4" w:space="0"/>
            </w:tcBorders>
            <w:vAlign w:val="center"/>
          </w:tcPr>
          <w:p w14:paraId="4C0F4A6A">
            <w:pPr>
              <w:pStyle w:val="11"/>
              <w:keepNext w:val="0"/>
              <w:keepLines w:val="0"/>
              <w:pageBreakBefore w:val="0"/>
              <w:widowControl w:val="0"/>
              <w:kinsoku/>
              <w:wordWrap/>
              <w:overflowPunct/>
              <w:topLinePunct w:val="0"/>
              <w:autoSpaceDE/>
              <w:autoSpaceDN/>
              <w:bidi w:val="0"/>
              <w:adjustRightInd/>
              <w:snapToGrid/>
              <w:spacing w:before="0" w:after="0" w:line="288" w:lineRule="auto"/>
              <w:ind w:firstLine="0" w:firstLine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投标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人自2021年1月1日（以合同签订时间为准）以来的类似业绩，每提供一个业绩得0.5分，最高得2分。</w:t>
            </w:r>
          </w:p>
          <w:p w14:paraId="2F2B3EFD">
            <w:pPr>
              <w:keepNext w:val="0"/>
              <w:keepLines w:val="0"/>
              <w:pageBreakBefore w:val="0"/>
              <w:widowControl w:val="0"/>
              <w:kinsoku/>
              <w:wordWrap/>
              <w:overflowPunct/>
              <w:topLinePunct w:val="0"/>
              <w:autoSpaceDE/>
              <w:autoSpaceDN/>
              <w:bidi w:val="0"/>
              <w:adjustRightInd/>
              <w:snapToGrid/>
              <w:spacing w:after="0" w:line="288" w:lineRule="auto"/>
              <w:textAlignment w:val="auto"/>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（技术文件中提供合同复印件加盖投标人公章，不提供不得分）</w:t>
            </w:r>
          </w:p>
        </w:tc>
        <w:tc>
          <w:tcPr>
            <w:tcW w:w="936" w:type="dxa"/>
            <w:tcBorders>
              <w:top w:val="single" w:color="auto" w:sz="4" w:space="0"/>
              <w:left w:val="single" w:color="auto" w:sz="4" w:space="0"/>
              <w:bottom w:val="single" w:color="auto" w:sz="4" w:space="0"/>
              <w:right w:val="single" w:color="auto" w:sz="4" w:space="0"/>
            </w:tcBorders>
            <w:vAlign w:val="center"/>
          </w:tcPr>
          <w:p w14:paraId="09EEAF89">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069C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1EBF816">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388C1D54">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项目理解</w:t>
            </w:r>
          </w:p>
        </w:tc>
        <w:tc>
          <w:tcPr>
            <w:tcW w:w="6351" w:type="dxa"/>
            <w:tcBorders>
              <w:top w:val="single" w:color="auto" w:sz="4" w:space="0"/>
              <w:left w:val="single" w:color="auto" w:sz="4" w:space="0"/>
              <w:bottom w:val="single" w:color="auto" w:sz="4" w:space="0"/>
              <w:right w:val="single" w:color="auto" w:sz="4" w:space="0"/>
            </w:tcBorders>
            <w:vAlign w:val="center"/>
          </w:tcPr>
          <w:p w14:paraId="5ECA8FA6">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bookmarkStart w:id="0" w:name="OLE_LINK8"/>
            <w:r>
              <w:rPr>
                <w:rFonts w:hint="eastAsia"/>
                <w:color w:val="000000" w:themeColor="text1"/>
                <w:sz w:val="24"/>
                <w:szCs w:val="24"/>
                <w14:textFill>
                  <w14:solidFill>
                    <w14:schemeClr w14:val="tx1"/>
                  </w14:solidFill>
                </w14:textFill>
              </w:rPr>
              <w:t>（1）</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对诸暨市松林资源和松材线虫病发生情况的掌握：情况掌握全面准确的得2分，基本准确的得1分；完全不准确的不得分。</w:t>
            </w:r>
            <w:bookmarkEnd w:id="0"/>
          </w:p>
          <w:p w14:paraId="1A363B2C">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bookmarkStart w:id="1" w:name="OLE_LINK10"/>
            <w:bookmarkStart w:id="2" w:name="OLE_LINK6"/>
            <w:bookmarkStart w:id="3" w:name="OLE_LINK5"/>
            <w:r>
              <w:rPr>
                <w:rFonts w:hint="eastAsia"/>
                <w:color w:val="000000" w:themeColor="text1"/>
                <w:sz w:val="24"/>
                <w:szCs w:val="24"/>
                <w14:textFill>
                  <w14:solidFill>
                    <w14:schemeClr w14:val="tx1"/>
                  </w14:solidFill>
                </w14:textFill>
              </w:rPr>
              <w:t>（2）</w:t>
            </w:r>
            <w:bookmarkEnd w:id="1"/>
            <w:bookmarkEnd w:id="2"/>
            <w:bookmarkEnd w:id="3"/>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对诸暨市</w:t>
            </w:r>
            <w:bookmarkStart w:id="4" w:name="OLE_LINK1"/>
            <w:r>
              <w:rPr>
                <w:rFonts w:hint="eastAsia"/>
                <w:color w:val="000000" w:themeColor="text1"/>
                <w:sz w:val="24"/>
                <w:szCs w:val="24"/>
                <w14:textFill>
                  <w14:solidFill>
                    <w14:schemeClr w14:val="tx1"/>
                  </w14:solidFill>
                </w14:textFill>
              </w:rPr>
              <w:t>树干注药防治松材线虫病项目</w:t>
            </w:r>
            <w:bookmarkEnd w:id="4"/>
            <w:r>
              <w:rPr>
                <w:rFonts w:hint="eastAsia"/>
                <w:color w:val="000000" w:themeColor="text1"/>
                <w:sz w:val="24"/>
                <w:szCs w:val="24"/>
                <w14:textFill>
                  <w14:solidFill>
                    <w14:schemeClr w14:val="tx1"/>
                  </w14:solidFill>
                </w14:textFill>
              </w:rPr>
              <w:t>背景的理解：</w:t>
            </w:r>
            <w:bookmarkStart w:id="5" w:name="OLE_LINK9"/>
            <w:r>
              <w:rPr>
                <w:rFonts w:hint="eastAsia"/>
                <w:color w:val="000000" w:themeColor="text1"/>
                <w:sz w:val="24"/>
                <w:szCs w:val="24"/>
                <w14:textFill>
                  <w14:solidFill>
                    <w14:schemeClr w14:val="tx1"/>
                  </w14:solidFill>
                </w14:textFill>
              </w:rPr>
              <w:t>完全理解的得2分，基本理解的得1分；完全不理解的不得分。</w:t>
            </w:r>
            <w:bookmarkEnd w:id="5"/>
          </w:p>
          <w:p w14:paraId="583C9C63">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对打孔注药举措在诸暨市森林健康建设分类施策中的特殊性理解：完全理解的</w:t>
            </w:r>
            <w:r>
              <w:rPr>
                <w:rFonts w:hint="eastAsia"/>
                <w:color w:val="000000" w:themeColor="text1"/>
                <w:sz w:val="24"/>
                <w:szCs w:val="24"/>
                <w14:textFill>
                  <w14:solidFill>
                    <w14:schemeClr w14:val="tx1"/>
                  </w14:solidFill>
                </w14:textFill>
              </w:rPr>
              <w:t>得</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分</w:t>
            </w:r>
            <w:r>
              <w:rPr>
                <w:rFonts w:hint="eastAsia"/>
                <w:color w:val="000000" w:themeColor="text1"/>
                <w:sz w:val="24"/>
                <w:szCs w:val="24"/>
                <w14:textFill>
                  <w14:solidFill>
                    <w14:schemeClr w14:val="tx1"/>
                  </w14:solidFill>
                </w14:textFill>
              </w:rPr>
              <w:t>，基本理解的</w:t>
            </w:r>
            <w:r>
              <w:rPr>
                <w:rFonts w:hint="eastAsia"/>
                <w:color w:val="000000" w:themeColor="text1"/>
                <w:sz w:val="24"/>
                <w:szCs w:val="24"/>
                <w14:textFill>
                  <w14:solidFill>
                    <w14:schemeClr w14:val="tx1"/>
                  </w14:solidFill>
                </w14:textFill>
              </w:rPr>
              <w:t>得</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分</w:t>
            </w:r>
            <w:r>
              <w:rPr>
                <w:rFonts w:hint="eastAsia"/>
                <w:color w:val="000000" w:themeColor="text1"/>
                <w:sz w:val="24"/>
                <w:szCs w:val="24"/>
                <w14:textFill>
                  <w14:solidFill>
                    <w14:schemeClr w14:val="tx1"/>
                  </w14:solidFill>
                </w14:textFill>
              </w:rPr>
              <w:t>；完全不理解的不得分。</w:t>
            </w:r>
          </w:p>
        </w:tc>
        <w:tc>
          <w:tcPr>
            <w:tcW w:w="936" w:type="dxa"/>
            <w:tcBorders>
              <w:top w:val="single" w:color="auto" w:sz="4" w:space="0"/>
              <w:left w:val="single" w:color="auto" w:sz="4" w:space="0"/>
              <w:bottom w:val="single" w:color="auto" w:sz="4" w:space="0"/>
              <w:right w:val="single" w:color="auto" w:sz="4" w:space="0"/>
            </w:tcBorders>
            <w:vAlign w:val="center"/>
          </w:tcPr>
          <w:p w14:paraId="5593EB0E">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4A9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E011B4B">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1F724267">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投标产品有效成分</w:t>
            </w:r>
          </w:p>
        </w:tc>
        <w:tc>
          <w:tcPr>
            <w:tcW w:w="6351" w:type="dxa"/>
            <w:tcBorders>
              <w:top w:val="single" w:color="auto" w:sz="4" w:space="0"/>
              <w:left w:val="single" w:color="auto" w:sz="4" w:space="0"/>
              <w:bottom w:val="single" w:color="auto" w:sz="4" w:space="0"/>
              <w:right w:val="single" w:color="auto" w:sz="4" w:space="0"/>
            </w:tcBorders>
            <w:vAlign w:val="center"/>
          </w:tcPr>
          <w:p w14:paraId="3C9D7A2E">
            <w:pPr>
              <w:pageBreakBefore w:val="0"/>
              <w:kinsoku/>
              <w:wordWrap/>
              <w:overflowPunct/>
              <w:topLinePunct w:val="0"/>
              <w:bidi w:val="0"/>
              <w:spacing w:after="0" w:line="288"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有效成分为甲维盐：含量1.0</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不含1.0</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-1.5（不含1.5）的得2分，1.5-2.0（不含2.0）的得3分，含量2.0（含2.0）以上的得4分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其余不得分</w:t>
            </w:r>
            <w:r>
              <w:rPr>
                <w:rFonts w:hint="eastAsia"/>
                <w:color w:val="000000" w:themeColor="text1"/>
                <w:sz w:val="24"/>
                <w:szCs w:val="24"/>
                <w14:textFill>
                  <w14:solidFill>
                    <w14:schemeClr w14:val="tx1"/>
                  </w14:solidFill>
                </w14:textFill>
              </w:rPr>
              <w:t>。</w:t>
            </w:r>
          </w:p>
          <w:p w14:paraId="1BC6BFB1">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（以农药登记证为准，</w:t>
            </w:r>
            <w:r>
              <w:rPr>
                <w:rFonts w:hint="eastAsia" w:ascii="宋体" w:hAnsi="宋体" w:eastAsia="宋体" w:cs="宋体"/>
                <w:b/>
                <w:bCs/>
                <w:color w:val="000000" w:themeColor="text1"/>
                <w:sz w:val="24"/>
                <w:szCs w:val="24"/>
                <w:lang w:val="en-US" w:eastAsia="zh-CN"/>
                <w14:textFill>
                  <w14:solidFill>
                    <w14:schemeClr w14:val="tx1"/>
                  </w14:solidFill>
                </w14:textFill>
              </w:rPr>
              <w:t>技术文件中</w:t>
            </w:r>
            <w:r>
              <w:rPr>
                <w:rFonts w:hint="eastAsia" w:ascii="宋体" w:hAnsi="宋体" w:eastAsia="宋体" w:cs="宋体"/>
                <w:b/>
                <w:bCs/>
                <w:color w:val="000000" w:themeColor="text1"/>
                <w:sz w:val="24"/>
                <w:szCs w:val="24"/>
                <w14:textFill>
                  <w14:solidFill>
                    <w14:schemeClr w14:val="tx1"/>
                  </w14:solidFill>
                </w14:textFill>
              </w:rPr>
              <w:t>提供农药登记证复印件加盖投标人公章，不提供不得分）</w:t>
            </w:r>
          </w:p>
        </w:tc>
        <w:tc>
          <w:tcPr>
            <w:tcW w:w="936" w:type="dxa"/>
            <w:tcBorders>
              <w:top w:val="single" w:color="auto" w:sz="4" w:space="0"/>
              <w:left w:val="single" w:color="auto" w:sz="4" w:space="0"/>
              <w:bottom w:val="single" w:color="auto" w:sz="4" w:space="0"/>
              <w:right w:val="single" w:color="auto" w:sz="4" w:space="0"/>
            </w:tcBorders>
            <w:vAlign w:val="center"/>
          </w:tcPr>
          <w:p w14:paraId="0170E57F">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7374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46FB776">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0479FA1A">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技术指标响应</w:t>
            </w:r>
          </w:p>
        </w:tc>
        <w:tc>
          <w:tcPr>
            <w:tcW w:w="6351" w:type="dxa"/>
            <w:tcBorders>
              <w:top w:val="single" w:color="auto" w:sz="4" w:space="0"/>
              <w:left w:val="single" w:color="auto" w:sz="4" w:space="0"/>
              <w:bottom w:val="single" w:color="auto" w:sz="4" w:space="0"/>
              <w:right w:val="single" w:color="auto" w:sz="4" w:space="0"/>
            </w:tcBorders>
            <w:vAlign w:val="center"/>
          </w:tcPr>
          <w:p w14:paraId="30CECB4B">
            <w:pPr>
              <w:pageBreakBefore w:val="0"/>
              <w:kinsoku/>
              <w:wordWrap/>
              <w:overflowPunct/>
              <w:topLinePunct w:val="0"/>
              <w:bidi w:val="0"/>
              <w:spacing w:after="0" w:line="288"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评委根据投标产品的规格、技术指标和质量标准等，符合招标文件要求的得4分，不满足此项的不得分。</w:t>
            </w:r>
          </w:p>
        </w:tc>
        <w:tc>
          <w:tcPr>
            <w:tcW w:w="936" w:type="dxa"/>
            <w:tcBorders>
              <w:top w:val="single" w:color="auto" w:sz="4" w:space="0"/>
              <w:left w:val="single" w:color="auto" w:sz="4" w:space="0"/>
              <w:bottom w:val="single" w:color="auto" w:sz="4" w:space="0"/>
              <w:right w:val="single" w:color="auto" w:sz="4" w:space="0"/>
            </w:tcBorders>
            <w:vAlign w:val="center"/>
          </w:tcPr>
          <w:p w14:paraId="069878BA">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0-4</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0A2B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51ED870">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572DE5BC">
            <w:pPr>
              <w:pageBreakBefore w:val="0"/>
              <w:kinsoku/>
              <w:wordWrap/>
              <w:overflowPunct/>
              <w:topLinePunct w:val="0"/>
              <w:bidi w:val="0"/>
              <w:spacing w:after="0" w:line="288" w:lineRule="auto"/>
              <w:jc w:val="center"/>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投标产品推广应用</w:t>
            </w:r>
          </w:p>
        </w:tc>
        <w:tc>
          <w:tcPr>
            <w:tcW w:w="6351" w:type="dxa"/>
            <w:tcBorders>
              <w:top w:val="single" w:color="auto" w:sz="4" w:space="0"/>
              <w:left w:val="single" w:color="auto" w:sz="4" w:space="0"/>
              <w:bottom w:val="single" w:color="auto" w:sz="4" w:space="0"/>
              <w:right w:val="single" w:color="auto" w:sz="4" w:space="0"/>
            </w:tcBorders>
            <w:vAlign w:val="center"/>
          </w:tcPr>
          <w:p w14:paraId="745F25F0">
            <w:pPr>
              <w:pageBreakBefore w:val="0"/>
              <w:kinsoku/>
              <w:wordWrap/>
              <w:overflowPunct/>
              <w:topLinePunct w:val="0"/>
              <w:bidi w:val="0"/>
              <w:spacing w:after="0" w:line="288" w:lineRule="auto"/>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投标产品在其登记有效期内，近3年内的推广应用证明，并证明有99%以上防效作用的得分，每提供一个案例得1分，最高得3分。</w:t>
            </w:r>
          </w:p>
          <w:p w14:paraId="76403839">
            <w:pPr>
              <w:pageBreakBefore w:val="0"/>
              <w:kinsoku/>
              <w:wordWrap/>
              <w:overflowPunct/>
              <w:topLinePunct w:val="0"/>
              <w:bidi w:val="0"/>
              <w:spacing w:after="0" w:line="288" w:lineRule="auto"/>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技术文件中</w:t>
            </w:r>
            <w:r>
              <w:rPr>
                <w:rFonts w:hint="eastAsia" w:ascii="宋体" w:hAnsi="宋体" w:cs="宋体"/>
                <w:b/>
                <w:bCs/>
                <w:color w:val="000000" w:themeColor="text1"/>
                <w:sz w:val="24"/>
                <w:szCs w:val="24"/>
                <w14:textFill>
                  <w14:solidFill>
                    <w14:schemeClr w14:val="tx1"/>
                  </w14:solidFill>
                </w14:textFill>
              </w:rPr>
              <w:t>提供相关证明材料并加盖投标人公章，不提供不得分）</w:t>
            </w:r>
          </w:p>
        </w:tc>
        <w:tc>
          <w:tcPr>
            <w:tcW w:w="936" w:type="dxa"/>
            <w:tcBorders>
              <w:top w:val="single" w:color="auto" w:sz="4" w:space="0"/>
              <w:left w:val="single" w:color="auto" w:sz="4" w:space="0"/>
              <w:bottom w:val="single" w:color="auto" w:sz="4" w:space="0"/>
              <w:right w:val="single" w:color="auto" w:sz="4" w:space="0"/>
            </w:tcBorders>
            <w:vAlign w:val="center"/>
          </w:tcPr>
          <w:p w14:paraId="1DD27D86">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kern w:val="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1807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EBB1EAD">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0F5D2B53">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企业规范管理能力</w:t>
            </w:r>
          </w:p>
        </w:tc>
        <w:tc>
          <w:tcPr>
            <w:tcW w:w="6351" w:type="dxa"/>
            <w:tcBorders>
              <w:top w:val="single" w:color="auto" w:sz="4" w:space="0"/>
              <w:left w:val="single" w:color="auto" w:sz="4" w:space="0"/>
              <w:bottom w:val="single" w:color="auto" w:sz="4" w:space="0"/>
              <w:right w:val="single" w:color="auto" w:sz="4" w:space="0"/>
            </w:tcBorders>
            <w:vAlign w:val="center"/>
          </w:tcPr>
          <w:p w14:paraId="35424F0C">
            <w:pPr>
              <w:pageBreakBefore w:val="0"/>
              <w:kinsoku/>
              <w:wordWrap/>
              <w:overflowPunct/>
              <w:topLinePunct w:val="0"/>
              <w:bidi w:val="0"/>
              <w:spacing w:after="0" w:line="288" w:lineRule="auto"/>
              <w:textAlignment w:val="auto"/>
              <w:rPr>
                <w:rFonts w:ascii="宋体" w:hAnsi="宋体" w:cs="宋体"/>
                <w:bCs/>
                <w:color w:val="000000" w:themeColor="text1"/>
                <w:kern w:val="32"/>
                <w:sz w:val="24"/>
                <w:szCs w:val="24"/>
                <w14:textFill>
                  <w14:solidFill>
                    <w14:schemeClr w14:val="tx1"/>
                  </w14:solidFill>
                </w14:textFill>
              </w:rPr>
            </w:pPr>
            <w:r>
              <w:rPr>
                <w:rFonts w:hint="eastAsia" w:ascii="宋体" w:hAnsi="宋体" w:cs="宋体"/>
                <w:bCs/>
                <w:color w:val="000000" w:themeColor="text1"/>
                <w:kern w:val="32"/>
                <w:sz w:val="24"/>
                <w:szCs w:val="24"/>
                <w14:textFill>
                  <w14:solidFill>
                    <w14:schemeClr w14:val="tx1"/>
                  </w14:solidFill>
                </w14:textFill>
              </w:rPr>
              <w:t>投标人具有质量管理体系认证证书、环境管理体系认证证书、职业健康安全管理体系认证证书，每提供一个得1分，最高得3分。</w:t>
            </w:r>
          </w:p>
          <w:p w14:paraId="04EDA15E">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技术文件中</w:t>
            </w:r>
            <w:r>
              <w:rPr>
                <w:rFonts w:hint="eastAsia" w:ascii="宋体" w:hAnsi="宋体" w:cs="宋体"/>
                <w:b/>
                <w:bCs/>
                <w:color w:val="000000" w:themeColor="text1"/>
                <w:sz w:val="24"/>
                <w:szCs w:val="24"/>
                <w14:textFill>
                  <w14:solidFill>
                    <w14:schemeClr w14:val="tx1"/>
                  </w14:solidFill>
                </w14:textFill>
              </w:rPr>
              <w:t>提供有效证书复印件或相关证明材料加盖投标人公章，不提供不得分）</w:t>
            </w:r>
          </w:p>
        </w:tc>
        <w:tc>
          <w:tcPr>
            <w:tcW w:w="936" w:type="dxa"/>
            <w:tcBorders>
              <w:top w:val="single" w:color="auto" w:sz="4" w:space="0"/>
              <w:left w:val="single" w:color="auto" w:sz="4" w:space="0"/>
              <w:bottom w:val="single" w:color="auto" w:sz="4" w:space="0"/>
              <w:right w:val="single" w:color="auto" w:sz="4" w:space="0"/>
            </w:tcBorders>
            <w:vAlign w:val="center"/>
          </w:tcPr>
          <w:p w14:paraId="12676D09">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kern w:val="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 xml:space="preserve"> </w:t>
            </w:r>
          </w:p>
        </w:tc>
      </w:tr>
      <w:tr w14:paraId="1C95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7499FA1">
            <w:pPr>
              <w:pageBreakBefore w:val="0"/>
              <w:kinsoku/>
              <w:wordWrap/>
              <w:overflowPunct/>
              <w:topLinePunct w:val="0"/>
              <w:bidi w:val="0"/>
              <w:spacing w:after="0" w:line="288" w:lineRule="auto"/>
              <w:jc w:val="center"/>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5A313C35">
            <w:pPr>
              <w:pageBreakBefore w:val="0"/>
              <w:kinsoku/>
              <w:wordWrap/>
              <w:overflowPunct/>
              <w:topLinePunct w:val="0"/>
              <w:bidi w:val="0"/>
              <w:spacing w:after="0" w:line="288" w:lineRule="auto"/>
              <w:jc w:val="center"/>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作业规程</w:t>
            </w:r>
          </w:p>
        </w:tc>
        <w:tc>
          <w:tcPr>
            <w:tcW w:w="6351" w:type="dxa"/>
            <w:tcBorders>
              <w:top w:val="single" w:color="auto" w:sz="4" w:space="0"/>
              <w:left w:val="single" w:color="auto" w:sz="4" w:space="0"/>
              <w:bottom w:val="single" w:color="auto" w:sz="4" w:space="0"/>
              <w:right w:val="single" w:color="auto" w:sz="4" w:space="0"/>
            </w:tcBorders>
            <w:vAlign w:val="center"/>
          </w:tcPr>
          <w:p w14:paraId="62EF6B7A">
            <w:pPr>
              <w:pageBreakBefore w:val="0"/>
              <w:kinsoku/>
              <w:wordWrap/>
              <w:overflowPunct/>
              <w:topLinePunct w:val="0"/>
              <w:bidi w:val="0"/>
              <w:spacing w:after="0" w:line="288"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根据投标人提供的松材线虫病防治针剂注射技术规程</w:t>
            </w:r>
            <w:r>
              <w:rPr>
                <w:rFonts w:hint="eastAsia" w:ascii="宋体" w:hAnsi="宋体" w:cs="宋体"/>
                <w:bCs/>
                <w:color w:val="000000" w:themeColor="text1"/>
                <w:kern w:val="0"/>
                <w:sz w:val="24"/>
                <w:szCs w:val="24"/>
                <w14:textFill>
                  <w14:solidFill>
                    <w14:schemeClr w14:val="tx1"/>
                  </w14:solidFill>
                </w14:textFill>
              </w:rPr>
              <w:t>进行打分，</w:t>
            </w:r>
            <w:r>
              <w:rPr>
                <w:rFonts w:hint="eastAsia" w:ascii="宋体" w:hAnsi="宋体" w:cs="宋体"/>
                <w:color w:val="000000" w:themeColor="text1"/>
                <w:sz w:val="24"/>
                <w:szCs w:val="24"/>
                <w14:textFill>
                  <w14:solidFill>
                    <w14:schemeClr w14:val="tx1"/>
                  </w14:solidFill>
                </w14:textFill>
              </w:rPr>
              <w:t>最高</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w:t>
            </w:r>
          </w:p>
          <w:p w14:paraId="29C04BC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288" w:lineRule="auto"/>
              <w:ind w:leftChars="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w:t>
            </w:r>
            <w:r>
              <w:rPr>
                <w:rFonts w:hint="eastAsia" w:ascii="宋体" w:hAnsi="宋体" w:cs="宋体"/>
                <w:color w:val="000000" w:themeColor="text1"/>
                <w:sz w:val="24"/>
                <w:szCs w:val="24"/>
                <w:lang w:val="zh-CN"/>
                <w14:textFill>
                  <w14:solidFill>
                    <w14:schemeClr w14:val="tx1"/>
                  </w14:solidFill>
                </w14:textFill>
              </w:rPr>
              <w:t>内容完整全面，科学合理，</w:t>
            </w:r>
            <w:r>
              <w:rPr>
                <w:rFonts w:hint="eastAsia" w:ascii="宋体" w:hAnsi="宋体" w:cs="宋体"/>
                <w:color w:val="000000" w:themeColor="text1"/>
                <w:sz w:val="24"/>
                <w:szCs w:val="24"/>
                <w14:textFill>
                  <w14:solidFill>
                    <w14:schemeClr w14:val="tx1"/>
                  </w14:solidFill>
                </w14:textFill>
              </w:rPr>
              <w:t>可行</w:t>
            </w:r>
            <w:r>
              <w:rPr>
                <w:rFonts w:hint="eastAsia" w:ascii="宋体" w:hAnsi="宋体" w:cs="宋体"/>
                <w:color w:val="000000" w:themeColor="text1"/>
                <w:sz w:val="24"/>
                <w:szCs w:val="24"/>
                <w:lang w:val="zh-CN"/>
                <w14:textFill>
                  <w14:solidFill>
                    <w14:schemeClr w14:val="tx1"/>
                  </w14:solidFill>
                </w14:textFill>
              </w:rPr>
              <w:t>性强的</w:t>
            </w:r>
            <w:r>
              <w:rPr>
                <w:rFonts w:hint="eastAsia" w:ascii="宋体" w:hAnsi="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分；</w:t>
            </w:r>
          </w:p>
          <w:p w14:paraId="0FD9F03E">
            <w:pPr>
              <w:pageBreakBefore w:val="0"/>
              <w:kinsoku/>
              <w:wordWrap/>
              <w:overflowPunct/>
              <w:topLinePunct w:val="0"/>
              <w:autoSpaceDE w:val="0"/>
              <w:autoSpaceDN w:val="0"/>
              <w:bidi w:val="0"/>
              <w:adjustRightInd w:val="0"/>
              <w:spacing w:after="0" w:line="288"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hint="eastAsia" w:ascii="宋体" w:hAnsi="宋体" w:cs="宋体"/>
                <w:color w:val="000000" w:themeColor="text1"/>
                <w:sz w:val="24"/>
                <w:szCs w:val="24"/>
                <w:lang w:val="zh-CN"/>
                <w14:textFill>
                  <w14:solidFill>
                    <w14:schemeClr w14:val="tx1"/>
                  </w14:solidFill>
                </w14:textFill>
              </w:rPr>
              <w:t>内容相对合理全面，具有一定可行性的</w:t>
            </w:r>
            <w:r>
              <w:rPr>
                <w:rFonts w:hint="eastAsia" w:ascii="宋体" w:hAnsi="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分；</w:t>
            </w:r>
          </w:p>
          <w:p w14:paraId="239F90F7">
            <w:pPr>
              <w:pageBreakBefore w:val="0"/>
              <w:kinsoku/>
              <w:wordWrap/>
              <w:overflowPunct/>
              <w:topLinePunct w:val="0"/>
              <w:autoSpaceDE w:val="0"/>
              <w:autoSpaceDN w:val="0"/>
              <w:bidi w:val="0"/>
              <w:adjustRightInd w:val="0"/>
              <w:spacing w:after="0" w:line="288"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rFonts w:hint="eastAsia" w:ascii="宋体" w:hAnsi="宋体" w:cs="宋体"/>
                <w:color w:val="000000" w:themeColor="text1"/>
                <w:sz w:val="24"/>
                <w:szCs w:val="24"/>
                <w:lang w:val="zh-CN"/>
                <w14:textFill>
                  <w14:solidFill>
                    <w14:schemeClr w14:val="tx1"/>
                  </w14:solidFill>
                </w14:textFill>
              </w:rPr>
              <w:t>内容</w:t>
            </w:r>
            <w:r>
              <w:rPr>
                <w:rFonts w:hint="eastAsia" w:ascii="宋体" w:hAnsi="宋体" w:cs="宋体"/>
                <w:color w:val="000000" w:themeColor="text1"/>
                <w:sz w:val="24"/>
                <w:szCs w:val="24"/>
                <w14:textFill>
                  <w14:solidFill>
                    <w14:schemeClr w14:val="tx1"/>
                  </w14:solidFill>
                </w14:textFill>
              </w:rPr>
              <w:t>简</w:t>
            </w:r>
            <w:r>
              <w:rPr>
                <w:rFonts w:hint="eastAsia" w:ascii="宋体" w:hAnsi="宋体" w:cs="宋体"/>
                <w:color w:val="000000" w:themeColor="text1"/>
                <w:sz w:val="24"/>
                <w:szCs w:val="24"/>
                <w:lang w:val="zh-CN"/>
                <w14:textFill>
                  <w14:solidFill>
                    <w14:schemeClr w14:val="tx1"/>
                  </w14:solidFill>
                </w14:textFill>
              </w:rPr>
              <w:t>略，</w:t>
            </w:r>
            <w:r>
              <w:rPr>
                <w:rFonts w:hint="eastAsia" w:ascii="宋体" w:hAnsi="宋体" w:cs="宋体"/>
                <w:color w:val="000000" w:themeColor="text1"/>
                <w:sz w:val="24"/>
                <w:szCs w:val="24"/>
                <w14:textFill>
                  <w14:solidFill>
                    <w14:schemeClr w14:val="tx1"/>
                  </w14:solidFill>
                </w14:textFill>
              </w:rPr>
              <w:t>可行</w:t>
            </w:r>
            <w:r>
              <w:rPr>
                <w:rFonts w:hint="eastAsia" w:ascii="宋体" w:hAnsi="宋体" w:cs="宋体"/>
                <w:color w:val="000000" w:themeColor="text1"/>
                <w:sz w:val="24"/>
                <w:szCs w:val="24"/>
                <w:lang w:val="zh-CN"/>
                <w14:textFill>
                  <w14:solidFill>
                    <w14:schemeClr w14:val="tx1"/>
                  </w14:solidFill>
                </w14:textFill>
              </w:rPr>
              <w:t>性</w:t>
            </w:r>
            <w:r>
              <w:rPr>
                <w:rFonts w:hint="eastAsia" w:ascii="宋体" w:hAnsi="宋体" w:cs="宋体"/>
                <w:color w:val="000000" w:themeColor="text1"/>
                <w:sz w:val="24"/>
                <w:szCs w:val="24"/>
                <w14:textFill>
                  <w14:solidFill>
                    <w14:schemeClr w14:val="tx1"/>
                  </w14:solidFill>
                </w14:textFill>
              </w:rPr>
              <w:t>不高的得</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rFonts w:hint="eastAsia" w:ascii="宋体" w:hAnsi="宋体" w:cs="宋体"/>
                <w:color w:val="000000" w:themeColor="text1"/>
                <w:sz w:val="24"/>
                <w:szCs w:val="24"/>
                <w14:textFill>
                  <w14:solidFill>
                    <w14:schemeClr w14:val="tx1"/>
                  </w14:solidFill>
                </w14:textFill>
              </w:rPr>
              <w:t>分；</w:t>
            </w:r>
          </w:p>
          <w:p w14:paraId="4E5DEC36">
            <w:pPr>
              <w:pageBreakBefore w:val="0"/>
              <w:kinsoku/>
              <w:wordWrap/>
              <w:overflowPunct/>
              <w:topLinePunct w:val="0"/>
              <w:bidi w:val="0"/>
              <w:spacing w:after="0" w:line="288" w:lineRule="auto"/>
              <w:textAlignment w:val="auto"/>
              <w:rPr>
                <w:rFonts w:hint="eastAsia" w:ascii="宋体" w:hAnsi="宋体" w:cs="宋体"/>
                <w:bCs/>
                <w:color w:val="000000" w:themeColor="text1"/>
                <w:kern w:val="3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④未提供本项不得分。</w:t>
            </w:r>
          </w:p>
        </w:tc>
        <w:tc>
          <w:tcPr>
            <w:tcW w:w="936" w:type="dxa"/>
            <w:tcBorders>
              <w:top w:val="single" w:color="auto" w:sz="4" w:space="0"/>
              <w:left w:val="single" w:color="auto" w:sz="4" w:space="0"/>
              <w:bottom w:val="single" w:color="auto" w:sz="4" w:space="0"/>
              <w:right w:val="single" w:color="auto" w:sz="4" w:space="0"/>
            </w:tcBorders>
            <w:vAlign w:val="center"/>
          </w:tcPr>
          <w:p w14:paraId="7514AF8C">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kern w:val="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028D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14:paraId="3C5A7094">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800" w:type="dxa"/>
            <w:gridSpan w:val="2"/>
            <w:vMerge w:val="restart"/>
            <w:tcBorders>
              <w:top w:val="single" w:color="auto" w:sz="4" w:space="0"/>
              <w:left w:val="single" w:color="auto" w:sz="4" w:space="0"/>
              <w:bottom w:val="single" w:color="auto" w:sz="4" w:space="0"/>
              <w:right w:val="single" w:color="auto" w:sz="4" w:space="0"/>
            </w:tcBorders>
            <w:vAlign w:val="center"/>
          </w:tcPr>
          <w:p w14:paraId="53BBC293">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项目组织实施方案</w:t>
            </w:r>
          </w:p>
        </w:tc>
        <w:tc>
          <w:tcPr>
            <w:tcW w:w="880" w:type="dxa"/>
            <w:tcBorders>
              <w:top w:val="single" w:color="auto" w:sz="4" w:space="0"/>
              <w:left w:val="single" w:color="auto" w:sz="4" w:space="0"/>
              <w:bottom w:val="single" w:color="auto" w:sz="4" w:space="0"/>
              <w:right w:val="single" w:color="auto" w:sz="4" w:space="0"/>
            </w:tcBorders>
            <w:vAlign w:val="center"/>
          </w:tcPr>
          <w:p w14:paraId="2EB830CD">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项目服务方案的详细描述</w:t>
            </w:r>
          </w:p>
        </w:tc>
        <w:tc>
          <w:tcPr>
            <w:tcW w:w="6351" w:type="dxa"/>
            <w:tcBorders>
              <w:top w:val="single" w:color="auto" w:sz="4" w:space="0"/>
              <w:left w:val="single" w:color="auto" w:sz="4" w:space="0"/>
              <w:bottom w:val="single" w:color="auto" w:sz="4" w:space="0"/>
              <w:right w:val="single" w:color="auto" w:sz="4" w:space="0"/>
            </w:tcBorders>
            <w:vAlign w:val="center"/>
          </w:tcPr>
          <w:p w14:paraId="49B0F2D7">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根据投标人提供的项目服务方案，包括</w:t>
            </w:r>
            <w:r>
              <w:rPr>
                <w:rFonts w:hint="eastAsia" w:ascii="宋体" w:hAnsi="宋体" w:cs="宋体"/>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质量保证措施</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技术服务措施</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质量保证承诺等由专家进行综合评价。（</w:t>
            </w:r>
            <w:r>
              <w:rPr>
                <w:color w:val="000000" w:themeColor="text1"/>
                <w:sz w:val="24"/>
                <w:szCs w:val="24"/>
                <w14:textFill>
                  <w14:solidFill>
                    <w14:schemeClr w14:val="tx1"/>
                  </w14:solidFill>
                </w14:textFill>
              </w:rPr>
              <w:t>每</w:t>
            </w:r>
            <w:r>
              <w:rPr>
                <w:rFonts w:hint="eastAsia"/>
                <w:color w:val="000000" w:themeColor="text1"/>
                <w:sz w:val="24"/>
                <w:szCs w:val="24"/>
                <w:lang w:val="en-US" w:eastAsia="zh-CN"/>
                <w14:textFill>
                  <w14:solidFill>
                    <w14:schemeClr w14:val="tx1"/>
                  </w14:solidFill>
                </w14:textFill>
              </w:rPr>
              <w:t>小</w:t>
            </w:r>
            <w:r>
              <w:rPr>
                <w:color w:val="000000" w:themeColor="text1"/>
                <w:sz w:val="24"/>
                <w:szCs w:val="24"/>
                <w14:textFill>
                  <w14:solidFill>
                    <w14:schemeClr w14:val="tx1"/>
                  </w14:solidFill>
                </w14:textFill>
              </w:rPr>
              <w:t>项</w:t>
            </w:r>
            <w:r>
              <w:rPr>
                <w:rFonts w:hint="eastAsia"/>
                <w:color w:val="000000" w:themeColor="text1"/>
                <w:sz w:val="24"/>
                <w:szCs w:val="24"/>
                <w:lang w:val="en-US" w:eastAsia="zh-CN"/>
                <w14:textFill>
                  <w14:solidFill>
                    <w14:schemeClr w14:val="tx1"/>
                  </w14:solidFill>
                </w14:textFill>
              </w:rPr>
              <w:t>最高得</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，满分</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分）</w:t>
            </w:r>
          </w:p>
          <w:p w14:paraId="35F0ACF0">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w:t>
            </w:r>
            <w:r>
              <w:rPr>
                <w:color w:val="000000" w:themeColor="text1"/>
                <w:sz w:val="24"/>
                <w:szCs w:val="24"/>
                <w14:textFill>
                  <w14:solidFill>
                    <w14:schemeClr w14:val="tx1"/>
                  </w14:solidFill>
                </w14:textFill>
              </w:rPr>
              <w:t>对每项内容进行了</w:t>
            </w:r>
            <w:r>
              <w:rPr>
                <w:rFonts w:hint="eastAsia"/>
                <w:color w:val="000000" w:themeColor="text1"/>
                <w:sz w:val="24"/>
                <w:szCs w:val="24"/>
                <w14:textFill>
                  <w14:solidFill>
                    <w14:schemeClr w14:val="tx1"/>
                  </w14:solidFill>
                </w14:textFill>
              </w:rPr>
              <w:t>全面</w:t>
            </w:r>
            <w:r>
              <w:rPr>
                <w:color w:val="000000" w:themeColor="text1"/>
                <w:sz w:val="24"/>
                <w:szCs w:val="24"/>
                <w14:textFill>
                  <w14:solidFill>
                    <w14:schemeClr w14:val="tx1"/>
                  </w14:solidFill>
                </w14:textFill>
              </w:rPr>
              <w:t>阐述且合理适用的，每项得</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color w:val="000000" w:themeColor="text1"/>
                <w:sz w:val="24"/>
                <w:szCs w:val="24"/>
                <w14:textFill>
                  <w14:solidFill>
                    <w14:schemeClr w14:val="tx1"/>
                  </w14:solidFill>
                </w14:textFill>
              </w:rPr>
              <w:t>分；</w:t>
            </w:r>
          </w:p>
          <w:p w14:paraId="7ACC30FD">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对每项进行了阐述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但</w:t>
            </w:r>
            <w:r>
              <w:rPr>
                <w:rFonts w:hint="eastAsia"/>
                <w:color w:val="000000" w:themeColor="text1"/>
                <w:sz w:val="24"/>
                <w:szCs w:val="24"/>
                <w14:textFill>
                  <w14:solidFill>
                    <w14:schemeClr w14:val="tx1"/>
                  </w14:solidFill>
                </w14:textFill>
              </w:rPr>
              <w:t>阐述</w:t>
            </w:r>
            <w:r>
              <w:rPr>
                <w:color w:val="000000" w:themeColor="text1"/>
                <w:sz w:val="24"/>
                <w:szCs w:val="24"/>
                <w14:textFill>
                  <w14:solidFill>
                    <w14:schemeClr w14:val="tx1"/>
                  </w14:solidFill>
                </w14:textFill>
              </w:rPr>
              <w:t>一般合理的，每项得</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color w:val="000000" w:themeColor="text1"/>
                <w:sz w:val="24"/>
                <w:szCs w:val="24"/>
                <w14:textFill>
                  <w14:solidFill>
                    <w14:schemeClr w14:val="tx1"/>
                  </w14:solidFill>
                </w14:textFill>
              </w:rPr>
              <w:t>分；</w:t>
            </w:r>
          </w:p>
          <w:p w14:paraId="1036C564">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对每项进行了阐述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但</w:t>
            </w:r>
            <w:r>
              <w:rPr>
                <w:rFonts w:hint="eastAsia"/>
                <w:color w:val="000000" w:themeColor="text1"/>
                <w:sz w:val="24"/>
                <w:szCs w:val="24"/>
                <w14:textFill>
                  <w14:solidFill>
                    <w14:schemeClr w14:val="tx1"/>
                  </w14:solidFill>
                </w14:textFill>
              </w:rPr>
              <w:t>阐述较差且不够</w:t>
            </w:r>
            <w:r>
              <w:rPr>
                <w:color w:val="000000" w:themeColor="text1"/>
                <w:sz w:val="24"/>
                <w:szCs w:val="24"/>
                <w14:textFill>
                  <w14:solidFill>
                    <w14:schemeClr w14:val="tx1"/>
                  </w14:solidFill>
                </w14:textFill>
              </w:rPr>
              <w:t>合理的，每项</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color w:val="000000" w:themeColor="text1"/>
                <w:sz w:val="24"/>
                <w:szCs w:val="24"/>
                <w14:textFill>
                  <w14:solidFill>
                    <w14:schemeClr w14:val="tx1"/>
                  </w14:solidFill>
                </w14:textFill>
              </w:rPr>
              <w:t>分；</w:t>
            </w:r>
          </w:p>
          <w:p w14:paraId="4BD4FB64">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w:t>
            </w:r>
            <w:r>
              <w:rPr>
                <w:color w:val="000000" w:themeColor="text1"/>
                <w:sz w:val="24"/>
                <w:szCs w:val="24"/>
                <w14:textFill>
                  <w14:solidFill>
                    <w14:schemeClr w14:val="tx1"/>
                  </w14:solidFill>
                </w14:textFill>
              </w:rPr>
              <w:t>对内容未进行阐述的，得0分；</w:t>
            </w:r>
          </w:p>
        </w:tc>
        <w:tc>
          <w:tcPr>
            <w:tcW w:w="936" w:type="dxa"/>
            <w:tcBorders>
              <w:top w:val="single" w:color="auto" w:sz="4" w:space="0"/>
              <w:left w:val="single" w:color="auto" w:sz="4" w:space="0"/>
              <w:bottom w:val="single" w:color="auto" w:sz="4" w:space="0"/>
              <w:right w:val="single" w:color="auto" w:sz="4" w:space="0"/>
            </w:tcBorders>
            <w:vAlign w:val="center"/>
          </w:tcPr>
          <w:p w14:paraId="708A0CE2">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0-9</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61BC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14:paraId="43427955">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p>
        </w:tc>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14:paraId="6EC0F629">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007566CB">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项目管理措施包括：规章制度、作业标准落实及作业质量考核等</w:t>
            </w:r>
          </w:p>
        </w:tc>
        <w:tc>
          <w:tcPr>
            <w:tcW w:w="6351" w:type="dxa"/>
            <w:tcBorders>
              <w:top w:val="single" w:color="auto" w:sz="4" w:space="0"/>
              <w:left w:val="single" w:color="auto" w:sz="4" w:space="0"/>
              <w:bottom w:val="single" w:color="auto" w:sz="4" w:space="0"/>
              <w:right w:val="single" w:color="auto" w:sz="4" w:space="0"/>
            </w:tcBorders>
            <w:vAlign w:val="center"/>
          </w:tcPr>
          <w:p w14:paraId="70B4BF68">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由评委对</w:t>
            </w:r>
            <w:r>
              <w:rPr>
                <w:rFonts w:hint="eastAsia" w:ascii="宋体" w:hAnsi="宋体" w:cs="宋体"/>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项目管理规章制度完备情况</w:t>
            </w: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作业标准落实保障情况</w:t>
            </w: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作业质量考核的实效性等进行综合打分。（</w:t>
            </w:r>
            <w:r>
              <w:rPr>
                <w:color w:val="000000" w:themeColor="text1"/>
                <w:sz w:val="24"/>
                <w:szCs w:val="24"/>
                <w14:textFill>
                  <w14:solidFill>
                    <w14:schemeClr w14:val="tx1"/>
                  </w14:solidFill>
                </w14:textFill>
              </w:rPr>
              <w:t>每</w:t>
            </w:r>
            <w:r>
              <w:rPr>
                <w:rFonts w:hint="eastAsia"/>
                <w:color w:val="000000" w:themeColor="text1"/>
                <w:sz w:val="24"/>
                <w:szCs w:val="24"/>
                <w:lang w:val="en-US" w:eastAsia="zh-CN"/>
                <w14:textFill>
                  <w14:solidFill>
                    <w14:schemeClr w14:val="tx1"/>
                  </w14:solidFill>
                </w14:textFill>
              </w:rPr>
              <w:t>小</w:t>
            </w:r>
            <w:r>
              <w:rPr>
                <w:color w:val="000000" w:themeColor="text1"/>
                <w:sz w:val="24"/>
                <w:szCs w:val="24"/>
                <w14:textFill>
                  <w14:solidFill>
                    <w14:schemeClr w14:val="tx1"/>
                  </w14:solidFill>
                </w14:textFill>
              </w:rPr>
              <w:t>项</w:t>
            </w:r>
            <w:r>
              <w:rPr>
                <w:rFonts w:hint="eastAsia"/>
                <w:color w:val="000000" w:themeColor="text1"/>
                <w:sz w:val="24"/>
                <w:szCs w:val="24"/>
                <w:lang w:val="en-US" w:eastAsia="zh-CN"/>
                <w14:textFill>
                  <w14:solidFill>
                    <w14:schemeClr w14:val="tx1"/>
                  </w14:solidFill>
                </w14:textFill>
              </w:rPr>
              <w:t>最高得</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，满分</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分）</w:t>
            </w:r>
          </w:p>
          <w:p w14:paraId="711EB282">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w:t>
            </w:r>
            <w:r>
              <w:rPr>
                <w:color w:val="000000" w:themeColor="text1"/>
                <w:sz w:val="24"/>
                <w:szCs w:val="24"/>
                <w14:textFill>
                  <w14:solidFill>
                    <w14:schemeClr w14:val="tx1"/>
                  </w14:solidFill>
                </w14:textFill>
              </w:rPr>
              <w:t>对每项内容进行了</w:t>
            </w:r>
            <w:r>
              <w:rPr>
                <w:rFonts w:hint="eastAsia"/>
                <w:color w:val="000000" w:themeColor="text1"/>
                <w:sz w:val="24"/>
                <w:szCs w:val="24"/>
                <w14:textFill>
                  <w14:solidFill>
                    <w14:schemeClr w14:val="tx1"/>
                  </w14:solidFill>
                </w14:textFill>
              </w:rPr>
              <w:t>全面</w:t>
            </w:r>
            <w:r>
              <w:rPr>
                <w:color w:val="000000" w:themeColor="text1"/>
                <w:sz w:val="24"/>
                <w:szCs w:val="24"/>
                <w14:textFill>
                  <w14:solidFill>
                    <w14:schemeClr w14:val="tx1"/>
                  </w14:solidFill>
                </w14:textFill>
              </w:rPr>
              <w:t>阐述且合理适用的，每项得</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color w:val="000000" w:themeColor="text1"/>
                <w:sz w:val="24"/>
                <w:szCs w:val="24"/>
                <w14:textFill>
                  <w14:solidFill>
                    <w14:schemeClr w14:val="tx1"/>
                  </w14:solidFill>
                </w14:textFill>
              </w:rPr>
              <w:t>分；</w:t>
            </w:r>
          </w:p>
          <w:p w14:paraId="55A20156">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对每项进行了阐述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但</w:t>
            </w:r>
            <w:r>
              <w:rPr>
                <w:rFonts w:hint="eastAsia"/>
                <w:color w:val="000000" w:themeColor="text1"/>
                <w:sz w:val="24"/>
                <w:szCs w:val="24"/>
                <w14:textFill>
                  <w14:solidFill>
                    <w14:schemeClr w14:val="tx1"/>
                  </w14:solidFill>
                </w14:textFill>
              </w:rPr>
              <w:t>阐述</w:t>
            </w:r>
            <w:r>
              <w:rPr>
                <w:color w:val="000000" w:themeColor="text1"/>
                <w:sz w:val="24"/>
                <w:szCs w:val="24"/>
                <w14:textFill>
                  <w14:solidFill>
                    <w14:schemeClr w14:val="tx1"/>
                  </w14:solidFill>
                </w14:textFill>
              </w:rPr>
              <w:t>一般合理的，每项得</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color w:val="000000" w:themeColor="text1"/>
                <w:sz w:val="24"/>
                <w:szCs w:val="24"/>
                <w14:textFill>
                  <w14:solidFill>
                    <w14:schemeClr w14:val="tx1"/>
                  </w14:solidFill>
                </w14:textFill>
              </w:rPr>
              <w:t>分；</w:t>
            </w:r>
          </w:p>
          <w:p w14:paraId="26FAD88C">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对每项进行了阐述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但</w:t>
            </w:r>
            <w:r>
              <w:rPr>
                <w:rFonts w:hint="eastAsia"/>
                <w:color w:val="000000" w:themeColor="text1"/>
                <w:sz w:val="24"/>
                <w:szCs w:val="24"/>
                <w14:textFill>
                  <w14:solidFill>
                    <w14:schemeClr w14:val="tx1"/>
                  </w14:solidFill>
                </w14:textFill>
              </w:rPr>
              <w:t>阐述较差且不够</w:t>
            </w:r>
            <w:r>
              <w:rPr>
                <w:color w:val="000000" w:themeColor="text1"/>
                <w:sz w:val="24"/>
                <w:szCs w:val="24"/>
                <w14:textFill>
                  <w14:solidFill>
                    <w14:schemeClr w14:val="tx1"/>
                  </w14:solidFill>
                </w14:textFill>
              </w:rPr>
              <w:t>合理的，每项</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color w:val="000000" w:themeColor="text1"/>
                <w:sz w:val="24"/>
                <w:szCs w:val="24"/>
                <w14:textFill>
                  <w14:solidFill>
                    <w14:schemeClr w14:val="tx1"/>
                  </w14:solidFill>
                </w14:textFill>
              </w:rPr>
              <w:t>分；</w:t>
            </w:r>
          </w:p>
          <w:p w14:paraId="53FCFF5B">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w:t>
            </w:r>
            <w:r>
              <w:rPr>
                <w:color w:val="000000" w:themeColor="text1"/>
                <w:sz w:val="24"/>
                <w:szCs w:val="24"/>
                <w14:textFill>
                  <w14:solidFill>
                    <w14:schemeClr w14:val="tx1"/>
                  </w14:solidFill>
                </w14:textFill>
              </w:rPr>
              <w:t>对内容未进行阐述的，得0分；</w:t>
            </w:r>
          </w:p>
        </w:tc>
        <w:tc>
          <w:tcPr>
            <w:tcW w:w="936" w:type="dxa"/>
            <w:tcBorders>
              <w:top w:val="single" w:color="auto" w:sz="4" w:space="0"/>
              <w:left w:val="single" w:color="auto" w:sz="4" w:space="0"/>
              <w:bottom w:val="single" w:color="auto" w:sz="4" w:space="0"/>
              <w:right w:val="single" w:color="auto" w:sz="4" w:space="0"/>
            </w:tcBorders>
            <w:vAlign w:val="center"/>
          </w:tcPr>
          <w:p w14:paraId="3DDA67AE">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0-9</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6735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14:paraId="59BF63ED">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p>
        </w:tc>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14:paraId="5D9EED74">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08DB5EF0">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针对本项目特点和难点分析及解决措施</w:t>
            </w:r>
          </w:p>
        </w:tc>
        <w:tc>
          <w:tcPr>
            <w:tcW w:w="6351" w:type="dxa"/>
            <w:tcBorders>
              <w:top w:val="single" w:color="auto" w:sz="4" w:space="0"/>
              <w:left w:val="single" w:color="auto" w:sz="4" w:space="0"/>
              <w:bottom w:val="single" w:color="auto" w:sz="4" w:space="0"/>
              <w:right w:val="single" w:color="auto" w:sz="4" w:space="0"/>
            </w:tcBorders>
            <w:vAlign w:val="center"/>
          </w:tcPr>
          <w:p w14:paraId="23D99DEB">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针对本项目</w:t>
            </w:r>
            <w:r>
              <w:rPr>
                <w:rFonts w:hint="eastAsia" w:ascii="宋体" w:hAnsi="宋体" w:cs="宋体"/>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特点和难点分析、</w:t>
            </w: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解决措施，由评委进行综合打分（</w:t>
            </w:r>
            <w:r>
              <w:rPr>
                <w:color w:val="000000" w:themeColor="text1"/>
                <w:sz w:val="24"/>
                <w:szCs w:val="24"/>
                <w14:textFill>
                  <w14:solidFill>
                    <w14:schemeClr w14:val="tx1"/>
                  </w14:solidFill>
                </w14:textFill>
              </w:rPr>
              <w:t>每</w:t>
            </w:r>
            <w:r>
              <w:rPr>
                <w:rFonts w:hint="eastAsia"/>
                <w:color w:val="000000" w:themeColor="text1"/>
                <w:sz w:val="24"/>
                <w:szCs w:val="24"/>
                <w:lang w:val="en-US" w:eastAsia="zh-CN"/>
                <w14:textFill>
                  <w14:solidFill>
                    <w14:schemeClr w14:val="tx1"/>
                  </w14:solidFill>
                </w14:textFill>
              </w:rPr>
              <w:t>小</w:t>
            </w:r>
            <w:r>
              <w:rPr>
                <w:color w:val="000000" w:themeColor="text1"/>
                <w:sz w:val="24"/>
                <w:szCs w:val="24"/>
                <w14:textFill>
                  <w14:solidFill>
                    <w14:schemeClr w14:val="tx1"/>
                  </w14:solidFill>
                </w14:textFill>
              </w:rPr>
              <w:t>项</w:t>
            </w:r>
            <w:r>
              <w:rPr>
                <w:rFonts w:hint="eastAsia"/>
                <w:color w:val="000000" w:themeColor="text1"/>
                <w:sz w:val="24"/>
                <w:szCs w:val="24"/>
                <w:lang w:val="en-US" w:eastAsia="zh-CN"/>
                <w14:textFill>
                  <w14:solidFill>
                    <w14:schemeClr w14:val="tx1"/>
                  </w14:solidFill>
                </w14:textFill>
              </w:rPr>
              <w:t>最高得</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，满分</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分）</w:t>
            </w:r>
          </w:p>
          <w:p w14:paraId="7651CEC8">
            <w:pPr>
              <w:pageBreakBefore w:val="0"/>
              <w:numPr>
                <w:ilvl w:val="0"/>
                <w:numId w:val="0"/>
              </w:numPr>
              <w:kinsoku/>
              <w:wordWrap/>
              <w:overflowPunct/>
              <w:topLinePunct w:val="0"/>
              <w:bidi w:val="0"/>
              <w:spacing w:after="0" w:line="288" w:lineRule="auto"/>
              <w:ind w:leftChars="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w:t>
            </w:r>
            <w:r>
              <w:rPr>
                <w:color w:val="000000" w:themeColor="text1"/>
                <w:sz w:val="24"/>
                <w:szCs w:val="24"/>
                <w14:textFill>
                  <w14:solidFill>
                    <w14:schemeClr w14:val="tx1"/>
                  </w14:solidFill>
                </w14:textFill>
              </w:rPr>
              <w:t>分析及解决措施描述合理，符合项目要求的每项得</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color w:val="000000" w:themeColor="text1"/>
                <w:sz w:val="24"/>
                <w:szCs w:val="24"/>
                <w14:textFill>
                  <w14:solidFill>
                    <w14:schemeClr w14:val="tx1"/>
                  </w14:solidFill>
                </w14:textFill>
              </w:rPr>
              <w:t>分；</w:t>
            </w:r>
          </w:p>
          <w:p w14:paraId="3DD9D774">
            <w:pPr>
              <w:pageBreakBefore w:val="0"/>
              <w:numPr>
                <w:ilvl w:val="0"/>
                <w:numId w:val="0"/>
              </w:numPr>
              <w:kinsoku/>
              <w:wordWrap/>
              <w:overflowPunct/>
              <w:topLinePunct w:val="0"/>
              <w:bidi w:val="0"/>
              <w:spacing w:after="0" w:line="288" w:lineRule="auto"/>
              <w:ind w:leftChars="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分析及解决措施描述基本合理，基本能符合要求的每项得</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color w:val="000000" w:themeColor="text1"/>
                <w:sz w:val="24"/>
                <w:szCs w:val="24"/>
                <w14:textFill>
                  <w14:solidFill>
                    <w14:schemeClr w14:val="tx1"/>
                  </w14:solidFill>
                </w14:textFill>
              </w:rPr>
              <w:t>分；</w:t>
            </w:r>
          </w:p>
          <w:p w14:paraId="368CACBE">
            <w:pPr>
              <w:pageBreakBefore w:val="0"/>
              <w:numPr>
                <w:ilvl w:val="0"/>
                <w:numId w:val="0"/>
              </w:numPr>
              <w:kinsoku/>
              <w:wordWrap/>
              <w:overflowPunct/>
              <w:topLinePunct w:val="0"/>
              <w:bidi w:val="0"/>
              <w:spacing w:after="0" w:line="288" w:lineRule="auto"/>
              <w:ind w:leftChars="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分析及解决措施描述</w:t>
            </w:r>
            <w:r>
              <w:rPr>
                <w:rFonts w:hint="eastAsia"/>
                <w:color w:val="000000" w:themeColor="text1"/>
                <w:sz w:val="24"/>
                <w:szCs w:val="24"/>
                <w14:textFill>
                  <w14:solidFill>
                    <w14:schemeClr w14:val="tx1"/>
                  </w14:solidFill>
                </w14:textFill>
              </w:rPr>
              <w:t>较差，只有</w:t>
            </w:r>
            <w:r>
              <w:rPr>
                <w:color w:val="000000" w:themeColor="text1"/>
                <w:sz w:val="24"/>
                <w:szCs w:val="24"/>
                <w14:textFill>
                  <w14:solidFill>
                    <w14:schemeClr w14:val="tx1"/>
                  </w14:solidFill>
                </w14:textFill>
              </w:rPr>
              <w:t>部分可行的每项得</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color w:val="000000" w:themeColor="text1"/>
                <w:sz w:val="24"/>
                <w:szCs w:val="24"/>
                <w14:textFill>
                  <w14:solidFill>
                    <w14:schemeClr w14:val="tx1"/>
                  </w14:solidFill>
                </w14:textFill>
              </w:rPr>
              <w:t>分</w:t>
            </w:r>
            <w:r>
              <w:rPr>
                <w:rFonts w:hint="eastAsia"/>
                <w:color w:val="000000" w:themeColor="text1"/>
                <w:sz w:val="24"/>
                <w:szCs w:val="24"/>
                <w14:textFill>
                  <w14:solidFill>
                    <w14:schemeClr w14:val="tx1"/>
                  </w14:solidFill>
                </w14:textFill>
              </w:rPr>
              <w:t>；</w:t>
            </w:r>
          </w:p>
          <w:p w14:paraId="37C82C69">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w:t>
            </w:r>
            <w:r>
              <w:rPr>
                <w:color w:val="000000" w:themeColor="text1"/>
                <w:sz w:val="24"/>
                <w:szCs w:val="24"/>
                <w14:textFill>
                  <w14:solidFill>
                    <w14:schemeClr w14:val="tx1"/>
                  </w14:solidFill>
                </w14:textFill>
              </w:rPr>
              <w:t>对内容未进行阐述的，得0分</w:t>
            </w:r>
            <w:r>
              <w:rPr>
                <w:rFonts w:hint="eastAsia"/>
                <w:color w:val="000000" w:themeColor="text1"/>
                <w:sz w:val="24"/>
                <w:szCs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vAlign w:val="center"/>
          </w:tcPr>
          <w:p w14:paraId="3D8D08E2">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0-6</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314B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right w:val="single" w:color="auto" w:sz="4" w:space="0"/>
            </w:tcBorders>
            <w:vAlign w:val="center"/>
          </w:tcPr>
          <w:p w14:paraId="1C6CACA8">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1680" w:type="dxa"/>
            <w:gridSpan w:val="3"/>
            <w:tcBorders>
              <w:top w:val="single" w:color="auto" w:sz="4" w:space="0"/>
              <w:left w:val="single" w:color="auto" w:sz="4" w:space="0"/>
              <w:right w:val="single" w:color="auto" w:sz="4" w:space="0"/>
            </w:tcBorders>
            <w:vAlign w:val="center"/>
          </w:tcPr>
          <w:p w14:paraId="46C183A5">
            <w:pPr>
              <w:pageBreakBefore w:val="0"/>
              <w:kinsoku/>
              <w:wordWrap/>
              <w:overflowPunct/>
              <w:topLinePunct w:val="0"/>
              <w:bidi w:val="0"/>
              <w:spacing w:after="0" w:line="288" w:lineRule="auto"/>
              <w:jc w:val="center"/>
              <w:textAlignment w:val="auto"/>
              <w:rPr>
                <w:bCs/>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风险排查</w:t>
            </w:r>
          </w:p>
        </w:tc>
        <w:tc>
          <w:tcPr>
            <w:tcW w:w="6351" w:type="dxa"/>
            <w:tcBorders>
              <w:top w:val="single" w:color="auto" w:sz="4" w:space="0"/>
              <w:left w:val="single" w:color="auto" w:sz="4" w:space="0"/>
              <w:right w:val="single" w:color="auto" w:sz="4" w:space="0"/>
            </w:tcBorders>
            <w:vAlign w:val="center"/>
          </w:tcPr>
          <w:p w14:paraId="539AAC83">
            <w:pPr>
              <w:keepNext w:val="0"/>
              <w:keepLines w:val="0"/>
              <w:pageBreakBefore w:val="0"/>
              <w:widowControl w:val="0"/>
              <w:kinsoku/>
              <w:wordWrap/>
              <w:overflowPunct/>
              <w:topLinePunct w:val="0"/>
              <w:bidi w:val="0"/>
              <w:adjustRightInd w:val="0"/>
              <w:snapToGrid w:val="0"/>
              <w:spacing w:after="0" w:line="288"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提供的诸暨市松林分布情况和松材线虫病防治针剂注射区域地形概况、隐患点及风险防范措施等进行综合打分。</w:t>
            </w:r>
          </w:p>
          <w:p w14:paraId="48CF47DC">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①</w:t>
            </w:r>
            <w:r>
              <w:rPr>
                <w:rFonts w:hint="eastAsia" w:ascii="宋体" w:hAnsi="宋体" w:eastAsia="宋体" w:cs="宋体"/>
                <w:color w:val="000000" w:themeColor="text1"/>
                <w:sz w:val="24"/>
                <w:highlight w:val="none"/>
                <w:lang w:val="en-US" w:eastAsia="zh-CN"/>
                <w14:textFill>
                  <w14:solidFill>
                    <w14:schemeClr w14:val="tx1"/>
                  </w14:solidFill>
                </w14:textFill>
              </w:rPr>
              <w:t>需求吻合、方案点对点应答详尽明晰、合理化建议具有较强建设性得（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]分；</w:t>
            </w:r>
          </w:p>
          <w:p w14:paraId="49337CD2">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②</w:t>
            </w:r>
            <w:r>
              <w:rPr>
                <w:rFonts w:hint="eastAsia" w:ascii="宋体" w:hAnsi="宋体" w:eastAsia="宋体" w:cs="宋体"/>
                <w:color w:val="000000" w:themeColor="text1"/>
                <w:sz w:val="24"/>
                <w:highlight w:val="none"/>
                <w:lang w:val="en-US" w:eastAsia="zh-CN"/>
                <w14:textFill>
                  <w14:solidFill>
                    <w14:schemeClr w14:val="tx1"/>
                  </w14:solidFill>
                </w14:textFill>
              </w:rPr>
              <w:t>需求基本吻合、方案点对点应答基本明晰、合理化建议具有一定建设性得（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p>
          <w:p w14:paraId="4146C5FC">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③</w:t>
            </w:r>
            <w:r>
              <w:rPr>
                <w:rFonts w:hint="eastAsia" w:ascii="宋体" w:hAnsi="宋体" w:eastAsia="宋体" w:cs="宋体"/>
                <w:color w:val="000000" w:themeColor="text1"/>
                <w:sz w:val="24"/>
                <w:highlight w:val="none"/>
                <w:lang w:val="en-US" w:eastAsia="zh-CN"/>
                <w14:textFill>
                  <w14:solidFill>
                    <w14:schemeClr w14:val="tx1"/>
                  </w14:solidFill>
                </w14:textFill>
              </w:rPr>
              <w:t>需求不太吻合、方案点对点应答不太清晰、合理化建议有但缺乏建设性得（0,</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]分；</w:t>
            </w:r>
          </w:p>
          <w:p w14:paraId="0C7F207C">
            <w:pPr>
              <w:keepNext w:val="0"/>
              <w:keepLines w:val="0"/>
              <w:pageBreakBefore w:val="0"/>
              <w:widowControl w:val="0"/>
              <w:kinsoku/>
              <w:wordWrap/>
              <w:overflowPunct/>
              <w:topLinePunct w:val="0"/>
              <w:bidi w:val="0"/>
              <w:adjustRightInd w:val="0"/>
              <w:snapToGrid w:val="0"/>
              <w:spacing w:after="0" w:line="288" w:lineRule="auto"/>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④未提供本项不得分。</w:t>
            </w:r>
          </w:p>
        </w:tc>
        <w:tc>
          <w:tcPr>
            <w:tcW w:w="936" w:type="dxa"/>
            <w:tcBorders>
              <w:top w:val="single" w:color="auto" w:sz="4" w:space="0"/>
              <w:left w:val="single" w:color="auto" w:sz="4" w:space="0"/>
              <w:right w:val="single" w:color="auto" w:sz="4" w:space="0"/>
            </w:tcBorders>
            <w:vAlign w:val="center"/>
          </w:tcPr>
          <w:p w14:paraId="195A0348">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45AC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CB05E09">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349B255D">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设备配备</w:t>
            </w:r>
          </w:p>
        </w:tc>
        <w:tc>
          <w:tcPr>
            <w:tcW w:w="6351" w:type="dxa"/>
            <w:tcBorders>
              <w:top w:val="single" w:color="auto" w:sz="4" w:space="0"/>
              <w:left w:val="single" w:color="auto" w:sz="4" w:space="0"/>
              <w:bottom w:val="single" w:color="auto" w:sz="4" w:space="0"/>
              <w:right w:val="single" w:color="auto" w:sz="4" w:space="0"/>
            </w:tcBorders>
            <w:vAlign w:val="center"/>
          </w:tcPr>
          <w:p w14:paraId="4C90BB85">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对采购人需求的设备保障程度。根据投标人提供的施工车辆和打孔机等专用工具的性能，相关设备配备数量是否满足项目需求，以及装备的先进性、针对性和合理性等，由专家打分，最高</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分。</w:t>
            </w:r>
          </w:p>
          <w:p w14:paraId="79265573">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①</w:t>
            </w:r>
            <w:r>
              <w:rPr>
                <w:color w:val="000000" w:themeColor="text1"/>
                <w:sz w:val="24"/>
                <w:szCs w:val="24"/>
                <w14:textFill>
                  <w14:solidFill>
                    <w14:schemeClr w14:val="tx1"/>
                  </w14:solidFill>
                </w14:textFill>
              </w:rPr>
              <w:t>提供的设备满足项目需求得</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color w:val="000000" w:themeColor="text1"/>
                <w:sz w:val="24"/>
                <w:szCs w:val="24"/>
                <w14:textFill>
                  <w14:solidFill>
                    <w14:schemeClr w14:val="tx1"/>
                  </w14:solidFill>
                </w14:textFill>
              </w:rPr>
              <w:t>分；</w:t>
            </w:r>
          </w:p>
          <w:p w14:paraId="58D821BA">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w:t>
            </w:r>
            <w:r>
              <w:rPr>
                <w:color w:val="000000" w:themeColor="text1"/>
                <w:sz w:val="24"/>
                <w:szCs w:val="24"/>
                <w14:textFill>
                  <w14:solidFill>
                    <w14:schemeClr w14:val="tx1"/>
                  </w14:solidFill>
                </w14:textFill>
              </w:rPr>
              <w:t>提供的设备基本满足项目需求得</w:t>
            </w:r>
            <w:r>
              <w:rPr>
                <w:rFonts w:hint="eastAsia" w:ascii="宋体" w:hAnsi="宋体" w:eastAsia="宋体" w:cs="宋体"/>
                <w:color w:val="000000" w:themeColor="text1"/>
                <w:sz w:val="24"/>
                <w:highlight w:val="none"/>
                <w:lang w:val="en-US" w:eastAsia="zh-CN"/>
                <w14:textFill>
                  <w14:solidFill>
                    <w14:schemeClr w14:val="tx1"/>
                  </w14:solidFill>
                </w14:textFill>
              </w:rPr>
              <w:t>（1,2]</w:t>
            </w:r>
            <w:r>
              <w:rPr>
                <w:color w:val="000000" w:themeColor="text1"/>
                <w:sz w:val="24"/>
                <w:szCs w:val="24"/>
                <w14:textFill>
                  <w14:solidFill>
                    <w14:schemeClr w14:val="tx1"/>
                  </w14:solidFill>
                </w14:textFill>
              </w:rPr>
              <w:t>分；</w:t>
            </w:r>
          </w:p>
          <w:p w14:paraId="26464A20">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w:t>
            </w:r>
            <w:r>
              <w:rPr>
                <w:color w:val="000000" w:themeColor="text1"/>
                <w:sz w:val="24"/>
                <w:szCs w:val="24"/>
                <w14:textFill>
                  <w14:solidFill>
                    <w14:schemeClr w14:val="tx1"/>
                  </w14:solidFill>
                </w14:textFill>
              </w:rPr>
              <w:t>提供的设备一般项目需求得</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color w:val="000000" w:themeColor="text1"/>
                <w:sz w:val="24"/>
                <w:szCs w:val="24"/>
                <w14:textFill>
                  <w14:solidFill>
                    <w14:schemeClr w14:val="tx1"/>
                  </w14:solidFill>
                </w14:textFill>
              </w:rPr>
              <w:t>分。</w:t>
            </w:r>
          </w:p>
          <w:p w14:paraId="55877E3E">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④</w:t>
            </w:r>
            <w:r>
              <w:rPr>
                <w:color w:val="000000" w:themeColor="text1"/>
                <w:sz w:val="24"/>
                <w:szCs w:val="24"/>
                <w14:textFill>
                  <w14:solidFill>
                    <w14:schemeClr w14:val="tx1"/>
                  </w14:solidFill>
                </w14:textFill>
              </w:rPr>
              <w:t>未提供不得分。</w:t>
            </w:r>
          </w:p>
        </w:tc>
        <w:tc>
          <w:tcPr>
            <w:tcW w:w="936" w:type="dxa"/>
            <w:tcBorders>
              <w:top w:val="single" w:color="auto" w:sz="4" w:space="0"/>
              <w:left w:val="single" w:color="auto" w:sz="4" w:space="0"/>
              <w:bottom w:val="single" w:color="auto" w:sz="4" w:space="0"/>
              <w:right w:val="single" w:color="auto" w:sz="4" w:space="0"/>
            </w:tcBorders>
            <w:vAlign w:val="center"/>
          </w:tcPr>
          <w:p w14:paraId="4EE929E3">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7C5E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ADAE006">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40B70A75">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信息化管理能力</w:t>
            </w:r>
          </w:p>
        </w:tc>
        <w:tc>
          <w:tcPr>
            <w:tcW w:w="6351" w:type="dxa"/>
            <w:tcBorders>
              <w:top w:val="single" w:color="auto" w:sz="4" w:space="0"/>
              <w:left w:val="single" w:color="auto" w:sz="4" w:space="0"/>
              <w:bottom w:val="single" w:color="auto" w:sz="4" w:space="0"/>
              <w:right w:val="single" w:color="auto" w:sz="4" w:space="0"/>
            </w:tcBorders>
            <w:vAlign w:val="center"/>
          </w:tcPr>
          <w:p w14:paraId="79E8D9AD">
            <w:pPr>
              <w:pageBreakBefore w:val="0"/>
              <w:kinsoku/>
              <w:wordWrap/>
              <w:overflowPunct/>
              <w:topLinePunct w:val="0"/>
              <w:bidi w:val="0"/>
              <w:spacing w:after="0" w:line="288" w:lineRule="auto"/>
              <w:textAlignment w:val="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投标人承诺团队人员会使用省数字森防针剂注射监管系统，满足实时监理施工进度、防止施工造假、保证施工质量和实现项目数据统计留档等要求。</w:t>
            </w:r>
          </w:p>
          <w:p w14:paraId="47FD56FA">
            <w:pPr>
              <w:pageBreakBefore w:val="0"/>
              <w:kinsoku/>
              <w:wordWrap/>
              <w:overflowPunct/>
              <w:topLinePunct w:val="0"/>
              <w:bidi w:val="0"/>
              <w:spacing w:after="0" w:line="288" w:lineRule="auto"/>
              <w:textAlignment w:val="auto"/>
              <w:rPr>
                <w:rFonts w:ascii="宋体" w:hAnsi="宋体"/>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技术文件中</w:t>
            </w:r>
            <w:r>
              <w:rPr>
                <w:rFonts w:hint="eastAsia" w:ascii="宋体" w:hAnsi="宋体" w:cs="仿宋"/>
                <w:b/>
                <w:bCs/>
                <w:color w:val="000000" w:themeColor="text1"/>
                <w:sz w:val="24"/>
                <w:szCs w:val="24"/>
                <w14:textFill>
                  <w14:solidFill>
                    <w14:schemeClr w14:val="tx1"/>
                  </w14:solidFill>
                </w14:textFill>
              </w:rPr>
              <w:t>提供承诺书的</w:t>
            </w:r>
            <w:r>
              <w:rPr>
                <w:rFonts w:hint="eastAsia" w:ascii="宋体" w:hAnsi="宋体" w:cs="仿宋"/>
                <w:b/>
                <w:bCs/>
                <w:color w:val="000000" w:themeColor="text1"/>
                <w:sz w:val="24"/>
                <w:szCs w:val="24"/>
                <w14:textFill>
                  <w14:solidFill>
                    <w14:schemeClr w14:val="tx1"/>
                  </w14:solidFill>
                </w14:textFill>
              </w:rPr>
              <w:t>得</w:t>
            </w:r>
            <w:r>
              <w:rPr>
                <w:rFonts w:hint="eastAsia" w:ascii="宋体" w:hAnsi="宋体" w:cs="仿宋"/>
                <w:b/>
                <w:bCs/>
                <w:color w:val="000000" w:themeColor="text1"/>
                <w:sz w:val="24"/>
                <w:szCs w:val="24"/>
                <w:lang w:val="en-US" w:eastAsia="zh-CN"/>
                <w14:textFill>
                  <w14:solidFill>
                    <w14:schemeClr w14:val="tx1"/>
                  </w14:solidFill>
                </w14:textFill>
              </w:rPr>
              <w:t>2</w:t>
            </w:r>
            <w:r>
              <w:rPr>
                <w:rFonts w:hint="eastAsia" w:ascii="宋体" w:hAnsi="宋体" w:cs="仿宋"/>
                <w:b/>
                <w:bCs/>
                <w:color w:val="000000" w:themeColor="text1"/>
                <w:sz w:val="24"/>
                <w:szCs w:val="24"/>
                <w14:textFill>
                  <w14:solidFill>
                    <w14:schemeClr w14:val="tx1"/>
                  </w14:solidFill>
                </w14:textFill>
              </w:rPr>
              <w:t>分</w:t>
            </w:r>
            <w:r>
              <w:rPr>
                <w:rFonts w:hint="eastAsia" w:ascii="宋体" w:hAnsi="宋体" w:cs="仿宋"/>
                <w:b/>
                <w:bCs/>
                <w:color w:val="000000" w:themeColor="text1"/>
                <w:sz w:val="24"/>
                <w:szCs w:val="24"/>
                <w14:textFill>
                  <w14:solidFill>
                    <w14:schemeClr w14:val="tx1"/>
                  </w14:solidFill>
                </w14:textFill>
              </w:rPr>
              <w:t>，承诺书格式自拟，不提供的不得分。）</w:t>
            </w:r>
          </w:p>
        </w:tc>
        <w:tc>
          <w:tcPr>
            <w:tcW w:w="936" w:type="dxa"/>
            <w:tcBorders>
              <w:top w:val="single" w:color="auto" w:sz="4" w:space="0"/>
              <w:left w:val="single" w:color="auto" w:sz="4" w:space="0"/>
              <w:bottom w:val="single" w:color="auto" w:sz="4" w:space="0"/>
              <w:right w:val="single" w:color="auto" w:sz="4" w:space="0"/>
            </w:tcBorders>
            <w:vAlign w:val="center"/>
          </w:tcPr>
          <w:p w14:paraId="270F5912">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7778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416B20A">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6A05F64E">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项目负责人</w:t>
            </w:r>
          </w:p>
        </w:tc>
        <w:tc>
          <w:tcPr>
            <w:tcW w:w="6351" w:type="dxa"/>
            <w:tcBorders>
              <w:top w:val="single" w:color="auto" w:sz="4" w:space="0"/>
              <w:left w:val="single" w:color="auto" w:sz="4" w:space="0"/>
              <w:bottom w:val="single" w:color="auto" w:sz="4" w:space="0"/>
              <w:right w:val="single" w:color="auto" w:sz="4" w:space="0"/>
            </w:tcBorders>
            <w:vAlign w:val="center"/>
          </w:tcPr>
          <w:p w14:paraId="67C7B1D3">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项目负责人具有林业行业正高级职称得3分，副高级职称得2分，中级及以下职称得1分，没有不得分。</w:t>
            </w:r>
          </w:p>
          <w:p w14:paraId="389AD481">
            <w:pPr>
              <w:keepNext w:val="0"/>
              <w:keepLines w:val="0"/>
              <w:pageBreakBefore w:val="0"/>
              <w:widowControl/>
              <w:kinsoku/>
              <w:wordWrap/>
              <w:overflowPunct/>
              <w:topLinePunct w:val="0"/>
              <w:autoSpaceDE/>
              <w:autoSpaceDN/>
              <w:bidi w:val="0"/>
              <w:adjustRightInd/>
              <w:snapToGrid/>
              <w:spacing w:after="0" w:line="288" w:lineRule="auto"/>
              <w:textAlignment w:val="auto"/>
              <w:rPr>
                <w:color w:val="000000" w:themeColor="text1"/>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技术文件中</w:t>
            </w:r>
            <w:r>
              <w:rPr>
                <w:rFonts w:hint="eastAsia" w:ascii="宋体" w:hAnsi="宋体" w:eastAsia="宋体" w:cs="宋体"/>
                <w:b/>
                <w:bCs w:val="0"/>
                <w:color w:val="000000" w:themeColor="text1"/>
                <w:kern w:val="0"/>
                <w:sz w:val="24"/>
                <w:szCs w:val="24"/>
                <w14:textFill>
                  <w14:solidFill>
                    <w14:schemeClr w14:val="tx1"/>
                  </w14:solidFill>
                </w14:textFill>
              </w:rPr>
              <w:t>提供证书复印件</w:t>
            </w:r>
            <w:r>
              <w:rPr>
                <w:rFonts w:hint="eastAsia" w:ascii="宋体" w:hAnsi="宋体" w:cs="宋体"/>
                <w:b/>
                <w:bCs w:val="0"/>
                <w:color w:val="000000" w:themeColor="text1"/>
                <w:kern w:val="0"/>
                <w:sz w:val="24"/>
                <w:szCs w:val="24"/>
                <w:lang w:val="en-US" w:eastAsia="zh-CN"/>
                <w14:textFill>
                  <w14:solidFill>
                    <w14:schemeClr w14:val="tx1"/>
                  </w14:solidFill>
                </w14:textFill>
              </w:rPr>
              <w:t>等证明材料</w:t>
            </w:r>
            <w:r>
              <w:rPr>
                <w:rFonts w:hint="eastAsia" w:ascii="宋体" w:hAnsi="宋体" w:cs="宋体"/>
                <w:b/>
                <w:bCs w:val="0"/>
                <w:color w:val="000000" w:themeColor="text1"/>
                <w:kern w:val="0"/>
                <w:sz w:val="24"/>
                <w:szCs w:val="24"/>
                <w:lang w:eastAsia="zh-CN"/>
                <w14:textFill>
                  <w14:solidFill>
                    <w14:schemeClr w14:val="tx1"/>
                  </w14:solidFill>
                </w14:textFill>
              </w:rPr>
              <w:t>，</w:t>
            </w:r>
            <w:r>
              <w:rPr>
                <w:rFonts w:hint="eastAsia" w:ascii="宋体" w:hAnsi="宋体" w:cs="宋体"/>
                <w:b/>
                <w:bCs w:val="0"/>
                <w:color w:val="000000" w:themeColor="text1"/>
                <w:kern w:val="0"/>
                <w:sz w:val="24"/>
                <w:szCs w:val="24"/>
                <w:lang w:val="en-US" w:eastAsia="zh-CN"/>
                <w14:textFill>
                  <w14:solidFill>
                    <w14:schemeClr w14:val="tx1"/>
                  </w14:solidFill>
                </w14:textFill>
              </w:rPr>
              <w:t>投标人为其缴纳的</w:t>
            </w:r>
            <w:r>
              <w:rPr>
                <w:rFonts w:hint="eastAsia" w:ascii="宋体" w:hAnsi="宋体" w:eastAsia="宋体" w:cs="宋体"/>
                <w:b/>
                <w:bCs w:val="0"/>
                <w:color w:val="000000" w:themeColor="text1"/>
                <w:kern w:val="0"/>
                <w:sz w:val="24"/>
                <w:szCs w:val="24"/>
                <w14:textFill>
                  <w14:solidFill>
                    <w14:schemeClr w14:val="tx1"/>
                  </w14:solidFill>
                </w14:textFill>
              </w:rPr>
              <w:t>近三个月的社保证明复印件</w:t>
            </w:r>
            <w:r>
              <w:rPr>
                <w:rFonts w:hint="eastAsia" w:ascii="宋体" w:hAnsi="宋体" w:cs="宋体"/>
                <w:b/>
                <w:bCs w:val="0"/>
                <w:color w:val="000000" w:themeColor="text1"/>
                <w:kern w:val="0"/>
                <w:sz w:val="24"/>
                <w:szCs w:val="24"/>
                <w:lang w:eastAsia="zh-CN"/>
                <w14:textFill>
                  <w14:solidFill>
                    <w14:schemeClr w14:val="tx1"/>
                  </w14:solidFill>
                </w14:textFill>
              </w:rPr>
              <w:t>（</w:t>
            </w:r>
            <w:r>
              <w:rPr>
                <w:rFonts w:hint="eastAsia" w:ascii="宋体" w:hAnsi="宋体" w:eastAsia="宋体" w:cs="宋体"/>
                <w:b/>
                <w:bCs w:val="0"/>
                <w:color w:val="000000" w:themeColor="text1"/>
                <w:kern w:val="0"/>
                <w:sz w:val="24"/>
                <w:szCs w:val="24"/>
                <w14:textFill>
                  <w14:solidFill>
                    <w14:schemeClr w14:val="tx1"/>
                  </w14:solidFill>
                </w14:textFill>
              </w:rPr>
              <w:t>外聘人员需提供聘用合同复印件</w:t>
            </w:r>
            <w:r>
              <w:rPr>
                <w:rFonts w:hint="eastAsia" w:ascii="宋体" w:hAnsi="宋体" w:cs="宋体"/>
                <w:b/>
                <w:bCs w:val="0"/>
                <w:color w:val="000000" w:themeColor="text1"/>
                <w:kern w:val="0"/>
                <w:sz w:val="24"/>
                <w:szCs w:val="24"/>
                <w:lang w:eastAsia="zh-CN"/>
                <w14:textFill>
                  <w14:solidFill>
                    <w14:schemeClr w14:val="tx1"/>
                  </w14:solidFill>
                </w14:textFill>
              </w:rPr>
              <w:t>）</w:t>
            </w:r>
            <w:r>
              <w:rPr>
                <w:rFonts w:hint="eastAsia" w:ascii="宋体" w:hAnsi="宋体" w:cs="宋体"/>
                <w:b/>
                <w:bCs w:val="0"/>
                <w:color w:val="000000" w:themeColor="text1"/>
                <w:kern w:val="0"/>
                <w:sz w:val="24"/>
                <w:szCs w:val="24"/>
                <w:lang w:val="en-US" w:eastAsia="zh-CN"/>
                <w14:textFill>
                  <w14:solidFill>
                    <w14:schemeClr w14:val="tx1"/>
                  </w14:solidFill>
                </w14:textFill>
              </w:rPr>
              <w:t>加盖投标人公章</w:t>
            </w:r>
            <w:r>
              <w:rPr>
                <w:rFonts w:hint="eastAsia" w:ascii="宋体" w:hAnsi="宋体" w:cs="宋体"/>
                <w:b/>
                <w:bCs w:val="0"/>
                <w:color w:val="000000" w:themeColor="text1"/>
                <w:sz w:val="24"/>
                <w:szCs w:val="24"/>
                <w:lang w:eastAsia="zh-CN"/>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不提供不得分</w:t>
            </w:r>
            <w:r>
              <w:rPr>
                <w:rFonts w:hint="eastAsia" w:ascii="宋体" w:hAnsi="宋体" w:eastAsia="宋体" w:cs="宋体"/>
                <w:b/>
                <w:bCs w:val="0"/>
                <w:color w:val="000000" w:themeColor="text1"/>
                <w:kern w:val="0"/>
                <w:sz w:val="24"/>
                <w:szCs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vAlign w:val="center"/>
          </w:tcPr>
          <w:p w14:paraId="4C628853">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79E5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FDC0B6C">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228D16FC">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项目组成员</w:t>
            </w:r>
          </w:p>
        </w:tc>
        <w:tc>
          <w:tcPr>
            <w:tcW w:w="6351" w:type="dxa"/>
            <w:tcBorders>
              <w:top w:val="single" w:color="auto" w:sz="4" w:space="0"/>
              <w:left w:val="single" w:color="auto" w:sz="4" w:space="0"/>
              <w:bottom w:val="single" w:color="auto" w:sz="4" w:space="0"/>
              <w:right w:val="single" w:color="auto" w:sz="4" w:space="0"/>
            </w:tcBorders>
            <w:vAlign w:val="center"/>
          </w:tcPr>
          <w:p w14:paraId="417A5FA2">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根据投标人计划安排的项目服务人员（除项目负责人外）数量、职称、学历、专业和人员安排的科学性和合理性等情况，专家打分，</w:t>
            </w:r>
            <w:r>
              <w:rPr>
                <w:color w:val="000000" w:themeColor="text1"/>
                <w:sz w:val="24"/>
                <w:szCs w:val="24"/>
                <w14:textFill>
                  <w14:solidFill>
                    <w14:schemeClr w14:val="tx1"/>
                  </w14:solidFill>
                </w14:textFill>
              </w:rPr>
              <w:t>最高</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w:t>
            </w:r>
          </w:p>
          <w:p w14:paraId="5873FF52">
            <w:pPr>
              <w:pageBreakBefore w:val="0"/>
              <w:numPr>
                <w:ilvl w:val="0"/>
                <w:numId w:val="0"/>
              </w:numPr>
              <w:kinsoku/>
              <w:wordWrap/>
              <w:overflowPunct/>
              <w:topLinePunct w:val="0"/>
              <w:bidi w:val="0"/>
              <w:spacing w:after="0" w:line="288" w:lineRule="auto"/>
              <w:ind w:leftChars="0"/>
              <w:textAlignment w:val="auto"/>
              <w:rPr>
                <w:color w:val="000000" w:themeColor="text1"/>
                <w:sz w:val="24"/>
                <w:szCs w:val="24"/>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①</w:t>
            </w:r>
            <w:r>
              <w:rPr>
                <w:color w:val="000000" w:themeColor="text1"/>
                <w:sz w:val="24"/>
                <w:szCs w:val="24"/>
                <w14:textFill>
                  <w14:solidFill>
                    <w14:schemeClr w14:val="tx1"/>
                  </w14:solidFill>
                </w14:textFill>
              </w:rPr>
              <w:t>项目服务人员安排合理科学的得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分；</w:t>
            </w:r>
          </w:p>
          <w:p w14:paraId="77726E2F">
            <w:pPr>
              <w:pageBreakBefore w:val="0"/>
              <w:numPr>
                <w:ilvl w:val="0"/>
                <w:numId w:val="0"/>
              </w:numPr>
              <w:kinsoku/>
              <w:wordWrap/>
              <w:overflowPunct/>
              <w:topLinePunct w:val="0"/>
              <w:bidi w:val="0"/>
              <w:spacing w:after="0" w:line="288" w:lineRule="auto"/>
              <w:ind w:leftChars="0"/>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w:t>
            </w:r>
            <w:r>
              <w:rPr>
                <w:color w:val="000000" w:themeColor="text1"/>
                <w:sz w:val="24"/>
                <w:szCs w:val="24"/>
                <w14:textFill>
                  <w14:solidFill>
                    <w14:schemeClr w14:val="tx1"/>
                  </w14:solidFill>
                </w14:textFill>
              </w:rPr>
              <w:t>项目服务人员安排基本合理科学的得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分；</w:t>
            </w:r>
          </w:p>
          <w:p w14:paraId="40125370">
            <w:pPr>
              <w:keepNext w:val="0"/>
              <w:keepLines w:val="0"/>
              <w:pageBreakBefore w:val="0"/>
              <w:widowControl w:val="0"/>
              <w:numPr>
                <w:ilvl w:val="0"/>
                <w:numId w:val="0"/>
              </w:numPr>
              <w:kinsoku/>
              <w:wordWrap/>
              <w:overflowPunct/>
              <w:topLinePunct w:val="0"/>
              <w:autoSpaceDE/>
              <w:autoSpaceDN/>
              <w:bidi w:val="0"/>
              <w:adjustRightInd/>
              <w:snapToGrid w:val="0"/>
              <w:spacing w:after="0" w:line="288" w:lineRule="auto"/>
              <w:ind w:leftChars="0"/>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w:t>
            </w:r>
            <w:r>
              <w:rPr>
                <w:color w:val="000000" w:themeColor="text1"/>
                <w:sz w:val="24"/>
                <w:szCs w:val="24"/>
                <w14:textFill>
                  <w14:solidFill>
                    <w14:schemeClr w14:val="tx1"/>
                  </w14:solidFill>
                </w14:textFill>
              </w:rPr>
              <w:t>项目服务人员安排一般合理科学的得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(0，1]</w:t>
            </w:r>
            <w:r>
              <w:rPr>
                <w:color w:val="000000" w:themeColor="text1"/>
                <w:sz w:val="24"/>
                <w:szCs w:val="24"/>
                <w14:textFill>
                  <w14:solidFill>
                    <w14:schemeClr w14:val="tx1"/>
                  </w14:solidFill>
                </w14:textFill>
              </w:rPr>
              <w:t>分；</w:t>
            </w:r>
          </w:p>
          <w:p w14:paraId="610F4D2B">
            <w:pPr>
              <w:pStyle w:val="2"/>
              <w:keepNext w:val="0"/>
              <w:keepLines w:val="0"/>
              <w:pageBreakBefore w:val="0"/>
              <w:widowControl w:val="0"/>
              <w:kinsoku/>
              <w:wordWrap/>
              <w:overflowPunct/>
              <w:topLinePunct w:val="0"/>
              <w:autoSpaceDE/>
              <w:autoSpaceDN/>
              <w:bidi w:val="0"/>
              <w:adjustRightInd/>
              <w:snapToGrid w:val="0"/>
              <w:spacing w:after="0" w:line="288" w:lineRule="auto"/>
              <w:ind w:left="0" w:leftChars="0" w:firstLine="0" w:firstLineChars="0"/>
              <w:textAlignment w:val="auto"/>
              <w:rPr>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④未提供本项不得分。</w:t>
            </w:r>
          </w:p>
        </w:tc>
        <w:tc>
          <w:tcPr>
            <w:tcW w:w="936" w:type="dxa"/>
            <w:tcBorders>
              <w:top w:val="single" w:color="auto" w:sz="4" w:space="0"/>
              <w:left w:val="single" w:color="auto" w:sz="4" w:space="0"/>
              <w:bottom w:val="single" w:color="auto" w:sz="4" w:space="0"/>
              <w:right w:val="single" w:color="auto" w:sz="4" w:space="0"/>
            </w:tcBorders>
            <w:vAlign w:val="center"/>
          </w:tcPr>
          <w:p w14:paraId="593D0DE4">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1667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FCA3CB7">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1680" w:type="dxa"/>
            <w:gridSpan w:val="3"/>
            <w:tcBorders>
              <w:top w:val="single" w:color="auto" w:sz="4" w:space="0"/>
              <w:left w:val="single" w:color="auto" w:sz="4" w:space="0"/>
              <w:bottom w:val="single" w:color="auto" w:sz="4" w:space="0"/>
              <w:right w:val="single" w:color="auto" w:sz="4" w:space="0"/>
            </w:tcBorders>
            <w:vAlign w:val="center"/>
          </w:tcPr>
          <w:p w14:paraId="52F34D8B">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合理化建议</w:t>
            </w:r>
          </w:p>
        </w:tc>
        <w:tc>
          <w:tcPr>
            <w:tcW w:w="6351" w:type="dxa"/>
            <w:tcBorders>
              <w:top w:val="single" w:color="auto" w:sz="4" w:space="0"/>
              <w:left w:val="single" w:color="auto" w:sz="4" w:space="0"/>
              <w:bottom w:val="single" w:color="auto" w:sz="4" w:space="0"/>
              <w:right w:val="single" w:color="auto" w:sz="4" w:space="0"/>
            </w:tcBorders>
            <w:vAlign w:val="center"/>
          </w:tcPr>
          <w:p w14:paraId="3001F1CB">
            <w:pPr>
              <w:pStyle w:val="3"/>
              <w:keepNext w:val="0"/>
              <w:keepLines w:val="0"/>
              <w:pageBreakBefore w:val="0"/>
              <w:widowControl w:val="0"/>
              <w:kinsoku/>
              <w:wordWrap/>
              <w:overflowPunct/>
              <w:topLinePunct w:val="0"/>
              <w:autoSpaceDE/>
              <w:autoSpaceDN/>
              <w:bidi w:val="0"/>
              <w:adjustRightInd w:val="0"/>
              <w:snapToGrid w:val="0"/>
              <w:spacing w:after="0" w:line="288" w:lineRule="auto"/>
              <w:ind w:left="0" w:leftChars="0" w:firstLine="0" w:firstLine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根据投标人提出的合理化建议、免疫制剂的质量检查措施及针对本项目的管理措施或服务承诺进行</w:t>
            </w:r>
            <w:r>
              <w:rPr>
                <w:rFonts w:hint="eastAsia" w:ascii="宋体" w:hAnsi="宋体" w:cs="宋体"/>
                <w:bCs/>
                <w:color w:val="000000" w:themeColor="text1"/>
                <w:sz w:val="24"/>
                <w:szCs w:val="24"/>
                <w:lang w:val="en-US" w:eastAsia="zh-CN"/>
                <w14:textFill>
                  <w14:solidFill>
                    <w14:schemeClr w14:val="tx1"/>
                  </w14:solidFill>
                </w14:textFill>
              </w:rPr>
              <w:t>打分</w:t>
            </w:r>
            <w:r>
              <w:rPr>
                <w:rFonts w:hint="eastAsia" w:ascii="宋体" w:hAnsi="宋体" w:eastAsia="宋体" w:cs="宋体"/>
                <w:bCs/>
                <w:color w:val="000000" w:themeColor="text1"/>
                <w:sz w:val="24"/>
                <w:szCs w:val="24"/>
                <w14:textFill>
                  <w14:solidFill>
                    <w14:schemeClr w14:val="tx1"/>
                  </w14:solidFill>
                </w14:textFill>
              </w:rPr>
              <w:t>，最高得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分。</w:t>
            </w:r>
          </w:p>
          <w:p w14:paraId="0FAE9F79">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①方案详实完善、安排合理、内容可行得（2,3]分；</w:t>
            </w:r>
          </w:p>
          <w:p w14:paraId="7F6BCB3D">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②方案基本详实完善、安排基本合理、内容基本可行得（1,2]分；</w:t>
            </w:r>
          </w:p>
          <w:p w14:paraId="4E079916">
            <w:pPr>
              <w:keepNext w:val="0"/>
              <w:keepLines w:val="0"/>
              <w:pageBreakBefore w:val="0"/>
              <w:widowControl w:val="0"/>
              <w:kinsoku/>
              <w:wordWrap/>
              <w:overflowPunct/>
              <w:topLinePunct w:val="0"/>
              <w:autoSpaceDE w:val="0"/>
              <w:autoSpaceDN w:val="0"/>
              <w:bidi w:val="0"/>
              <w:adjustRightInd w:val="0"/>
              <w:snapToGrid w:val="0"/>
              <w:spacing w:after="0" w:line="288"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③方案详实不太完善、安排不太合理、内容缺失得（0,1]分；</w:t>
            </w:r>
          </w:p>
          <w:p w14:paraId="3C8264BF">
            <w:pPr>
              <w:keepNext w:val="0"/>
              <w:keepLines w:val="0"/>
              <w:pageBreakBefore w:val="0"/>
              <w:widowControl w:val="0"/>
              <w:kinsoku/>
              <w:wordWrap/>
              <w:overflowPunct/>
              <w:topLinePunct w:val="0"/>
              <w:bidi w:val="0"/>
              <w:adjustRightInd w:val="0"/>
              <w:snapToGrid w:val="0"/>
              <w:spacing w:after="0" w:line="288" w:lineRule="auto"/>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④未提供本项不得分。</w:t>
            </w:r>
          </w:p>
        </w:tc>
        <w:tc>
          <w:tcPr>
            <w:tcW w:w="936" w:type="dxa"/>
            <w:tcBorders>
              <w:top w:val="single" w:color="auto" w:sz="4" w:space="0"/>
              <w:left w:val="single" w:color="auto" w:sz="4" w:space="0"/>
              <w:bottom w:val="single" w:color="auto" w:sz="4" w:space="0"/>
              <w:right w:val="single" w:color="auto" w:sz="4" w:space="0"/>
            </w:tcBorders>
            <w:vAlign w:val="center"/>
          </w:tcPr>
          <w:p w14:paraId="695F091D">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1012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7" w:type="dxa"/>
            <w:vMerge w:val="restart"/>
            <w:tcBorders>
              <w:top w:val="single" w:color="auto" w:sz="4" w:space="0"/>
              <w:left w:val="single" w:color="auto" w:sz="4" w:space="0"/>
              <w:right w:val="single" w:color="auto" w:sz="4" w:space="0"/>
            </w:tcBorders>
            <w:vAlign w:val="center"/>
          </w:tcPr>
          <w:p w14:paraId="1BC7800D">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713" w:type="dxa"/>
            <w:vMerge w:val="restart"/>
            <w:tcBorders>
              <w:top w:val="single" w:color="auto" w:sz="4" w:space="0"/>
              <w:left w:val="single" w:color="auto" w:sz="4" w:space="0"/>
              <w:right w:val="single" w:color="auto" w:sz="4" w:space="0"/>
            </w:tcBorders>
            <w:vAlign w:val="center"/>
          </w:tcPr>
          <w:p w14:paraId="10171165">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服务承诺</w:t>
            </w:r>
          </w:p>
        </w:tc>
        <w:tc>
          <w:tcPr>
            <w:tcW w:w="967" w:type="dxa"/>
            <w:gridSpan w:val="2"/>
            <w:tcBorders>
              <w:top w:val="single" w:color="auto" w:sz="4" w:space="0"/>
              <w:left w:val="single" w:color="auto" w:sz="4" w:space="0"/>
              <w:right w:val="single" w:color="auto" w:sz="4" w:space="0"/>
            </w:tcBorders>
            <w:vAlign w:val="center"/>
          </w:tcPr>
          <w:p w14:paraId="5E575CD9">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后期技术服务</w:t>
            </w:r>
          </w:p>
        </w:tc>
        <w:tc>
          <w:tcPr>
            <w:tcW w:w="6351" w:type="dxa"/>
            <w:tcBorders>
              <w:top w:val="single" w:color="auto" w:sz="4" w:space="0"/>
              <w:left w:val="single" w:color="auto" w:sz="4" w:space="0"/>
              <w:bottom w:val="single" w:color="auto" w:sz="4" w:space="0"/>
              <w:right w:val="single" w:color="auto" w:sz="4" w:space="0"/>
            </w:tcBorders>
            <w:vAlign w:val="center"/>
          </w:tcPr>
          <w:p w14:paraId="56D540D2">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是否严格按照使用说明书作业，及时做好查漏补缺工作，漏缺</w:t>
            </w:r>
            <w:r>
              <w:rPr>
                <w:rFonts w:hint="eastAsia" w:ascii="宋体" w:hAnsi="宋体" w:eastAsia="宋体" w:cs="宋体"/>
                <w:color w:val="000000" w:themeColor="text1"/>
                <w:sz w:val="24"/>
                <w:szCs w:val="24"/>
                <w14:textFill>
                  <w14:solidFill>
                    <w14:schemeClr w14:val="tx1"/>
                  </w14:solidFill>
                </w14:textFill>
              </w:rPr>
              <w:t>率≤1‰，0-1分；</w:t>
            </w:r>
          </w:p>
        </w:tc>
        <w:tc>
          <w:tcPr>
            <w:tcW w:w="936" w:type="dxa"/>
            <w:tcBorders>
              <w:top w:val="single" w:color="auto" w:sz="4" w:space="0"/>
              <w:left w:val="single" w:color="auto" w:sz="4" w:space="0"/>
              <w:bottom w:val="single" w:color="auto" w:sz="4" w:space="0"/>
              <w:right w:val="single" w:color="auto" w:sz="4" w:space="0"/>
            </w:tcBorders>
            <w:vAlign w:val="center"/>
          </w:tcPr>
          <w:p w14:paraId="5398F79B">
            <w:pPr>
              <w:pageBreakBefore w:val="0"/>
              <w:kinsoku/>
              <w:wordWrap/>
              <w:overflowPunct/>
              <w:topLinePunct w:val="0"/>
              <w:bidi w:val="0"/>
              <w:spacing w:after="0"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3774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27" w:type="dxa"/>
            <w:vMerge w:val="continue"/>
            <w:tcBorders>
              <w:left w:val="single" w:color="auto" w:sz="4" w:space="0"/>
              <w:bottom w:val="single" w:color="auto" w:sz="4" w:space="0"/>
              <w:right w:val="single" w:color="auto" w:sz="4" w:space="0"/>
            </w:tcBorders>
            <w:vAlign w:val="center"/>
          </w:tcPr>
          <w:p w14:paraId="0785EB86">
            <w:pPr>
              <w:pageBreakBefore w:val="0"/>
              <w:kinsoku/>
              <w:wordWrap/>
              <w:overflowPunct/>
              <w:topLinePunct w:val="0"/>
              <w:bidi w:val="0"/>
              <w:spacing w:after="0" w:line="288" w:lineRule="auto"/>
              <w:jc w:val="center"/>
              <w:textAlignment w:val="auto"/>
              <w:rPr>
                <w:rFonts w:hint="eastAsia"/>
                <w:color w:val="000000" w:themeColor="text1"/>
                <w:sz w:val="24"/>
                <w:szCs w:val="24"/>
                <w14:textFill>
                  <w14:solidFill>
                    <w14:schemeClr w14:val="tx1"/>
                  </w14:solidFill>
                </w14:textFill>
              </w:rPr>
            </w:pPr>
          </w:p>
        </w:tc>
        <w:tc>
          <w:tcPr>
            <w:tcW w:w="713" w:type="dxa"/>
            <w:vMerge w:val="continue"/>
            <w:tcBorders>
              <w:left w:val="single" w:color="auto" w:sz="4" w:space="0"/>
              <w:bottom w:val="single" w:color="auto" w:sz="4" w:space="0"/>
              <w:right w:val="single" w:color="auto" w:sz="4" w:space="0"/>
            </w:tcBorders>
            <w:vAlign w:val="center"/>
          </w:tcPr>
          <w:p w14:paraId="5EE3DB08">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p>
        </w:tc>
        <w:tc>
          <w:tcPr>
            <w:tcW w:w="967" w:type="dxa"/>
            <w:gridSpan w:val="2"/>
            <w:tcBorders>
              <w:left w:val="single" w:color="auto" w:sz="4" w:space="0"/>
              <w:bottom w:val="single" w:color="auto" w:sz="4" w:space="0"/>
              <w:right w:val="single" w:color="auto" w:sz="4" w:space="0"/>
            </w:tcBorders>
            <w:vAlign w:val="center"/>
          </w:tcPr>
          <w:p w14:paraId="25DF2547">
            <w:pPr>
              <w:pageBreakBefore w:val="0"/>
              <w:kinsoku/>
              <w:wordWrap/>
              <w:overflowPunct/>
              <w:topLinePunct w:val="0"/>
              <w:bidi w:val="0"/>
              <w:spacing w:after="0" w:line="288"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售后服务</w:t>
            </w:r>
          </w:p>
        </w:tc>
        <w:tc>
          <w:tcPr>
            <w:tcW w:w="6351" w:type="dxa"/>
            <w:tcBorders>
              <w:top w:val="single" w:color="auto" w:sz="4" w:space="0"/>
              <w:left w:val="single" w:color="auto" w:sz="4" w:space="0"/>
              <w:bottom w:val="single" w:color="auto" w:sz="4" w:space="0"/>
              <w:right w:val="single" w:color="auto" w:sz="4" w:space="0"/>
            </w:tcBorders>
            <w:vAlign w:val="center"/>
          </w:tcPr>
          <w:p w14:paraId="6C73F6A5">
            <w:pPr>
              <w:pageBreakBefore w:val="0"/>
              <w:kinsoku/>
              <w:wordWrap/>
              <w:overflowPunct/>
              <w:topLinePunct w:val="0"/>
              <w:bidi w:val="0"/>
              <w:spacing w:after="0" w:line="288" w:lineRule="auto"/>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根据投标人提供的售后服务方案、服务承诺及落实服务承诺的保障措施等打分。</w:t>
            </w:r>
          </w:p>
          <w:p w14:paraId="0A125013">
            <w:pPr>
              <w:pageBreakBefore w:val="0"/>
              <w:kinsoku/>
              <w:wordWrap/>
              <w:overflowPunct/>
              <w:topLinePunct w:val="0"/>
              <w:bidi w:val="0"/>
              <w:spacing w:after="0"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①方案详实完善、内容</w:t>
            </w:r>
            <w:r>
              <w:rPr>
                <w:rFonts w:hint="eastAsia" w:ascii="宋体" w:hAnsi="宋体" w:eastAsia="宋体" w:cs="宋体"/>
                <w:color w:val="000000" w:themeColor="text1"/>
                <w:sz w:val="24"/>
                <w:szCs w:val="24"/>
                <w:lang w:val="en-US" w:eastAsia="zh-CN"/>
                <w14:textFill>
                  <w14:solidFill>
                    <w14:schemeClr w14:val="tx1"/>
                  </w14:solidFill>
                </w14:textFill>
              </w:rPr>
              <w:t>可行得(2，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8A8823E">
            <w:pPr>
              <w:pageBreakBefore w:val="0"/>
              <w:kinsoku/>
              <w:wordWrap/>
              <w:overflowPunct/>
              <w:topLinePunct w:val="0"/>
              <w:bidi w:val="0"/>
              <w:spacing w:after="0"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②方案基本详实完善、内容基本可行得(1，2]分；</w:t>
            </w:r>
          </w:p>
          <w:p w14:paraId="3CC02EE4">
            <w:pPr>
              <w:pageBreakBefore w:val="0"/>
              <w:kinsoku/>
              <w:wordWrap/>
              <w:overflowPunct/>
              <w:topLinePunct w:val="0"/>
              <w:bidi w:val="0"/>
              <w:spacing w:after="0"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③方案详实不太完善、内容缺失得(0，1]分；</w:t>
            </w:r>
          </w:p>
          <w:p w14:paraId="61373853">
            <w:pPr>
              <w:pageBreakBefore w:val="0"/>
              <w:kinsoku/>
              <w:wordWrap/>
              <w:overflowPunct/>
              <w:topLinePunct w:val="0"/>
              <w:bidi w:val="0"/>
              <w:spacing w:after="0" w:line="288" w:lineRule="auto"/>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④未提供本项不得分。</w:t>
            </w:r>
          </w:p>
        </w:tc>
        <w:tc>
          <w:tcPr>
            <w:tcW w:w="936" w:type="dxa"/>
            <w:tcBorders>
              <w:top w:val="single" w:color="auto" w:sz="4" w:space="0"/>
              <w:left w:val="single" w:color="auto" w:sz="4" w:space="0"/>
              <w:bottom w:val="single" w:color="auto" w:sz="4" w:space="0"/>
              <w:right w:val="single" w:color="auto" w:sz="4" w:space="0"/>
            </w:tcBorders>
            <w:vAlign w:val="center"/>
          </w:tcPr>
          <w:p w14:paraId="010D7E85">
            <w:pPr>
              <w:pageBreakBefore w:val="0"/>
              <w:kinsoku/>
              <w:wordWrap/>
              <w:overflowPunct/>
              <w:topLinePunct w:val="0"/>
              <w:bidi w:val="0"/>
              <w:spacing w:after="0" w:line="288"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0-3分</w:t>
            </w:r>
          </w:p>
        </w:tc>
      </w:tr>
    </w:tbl>
    <w:p w14:paraId="598C3850">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b/>
          <w:bCs/>
          <w:color w:val="000000" w:themeColor="text1"/>
          <w:sz w:val="24"/>
          <w:szCs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（5）本次评审通过资格审查和符合性评审的单位全部入围进行商务评审。</w:t>
      </w:r>
      <w:bookmarkStart w:id="6" w:name="_GoBack"/>
      <w:bookmarkEnd w:id="6"/>
    </w:p>
    <w:p w14:paraId="65EFD30C">
      <w:pPr>
        <w:pStyle w:val="12"/>
        <w:pageBreakBefore w:val="0"/>
        <w:widowControl w:val="0"/>
        <w:kinsoku/>
        <w:wordWrap/>
        <w:overflowPunct/>
        <w:topLinePunct w:val="0"/>
        <w:autoSpaceDE/>
        <w:autoSpaceDN/>
        <w:bidi w:val="0"/>
        <w:adjustRightInd/>
        <w:snapToGrid/>
        <w:spacing w:after="0" w:line="288" w:lineRule="auto"/>
        <w:ind w:left="0" w:leftChars="0" w:firstLine="0"/>
        <w:textAlignment w:val="auto"/>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六、采购需求</w:t>
      </w:r>
    </w:p>
    <w:p w14:paraId="46CF1F4E">
      <w:pPr>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(一）参数要求</w:t>
      </w:r>
    </w:p>
    <w:p w14:paraId="0F8CD8C1">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1.含量1%以上的甲维盐，使用方法为树干注射（打孔注药）。</w:t>
      </w:r>
    </w:p>
    <w:p w14:paraId="1B9A40E0">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2.投标人提供</w:t>
      </w:r>
      <w:r>
        <w:rPr>
          <w:rFonts w:ascii="宋体" w:hAnsi="宋体" w:cs="宋体"/>
          <w:color w:val="000000" w:themeColor="text1"/>
          <w:kern w:val="0"/>
          <w:sz w:val="24"/>
          <w14:textFill>
            <w14:solidFill>
              <w14:schemeClr w14:val="tx1"/>
            </w14:solidFill>
          </w14:textFill>
        </w:rPr>
        <w:t>的注干剂具有国家农业部门批准核发的有效期内</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农药三证（农药生产许可证、农药登记证、农药标准）；且农药登记证登记作物为松树，</w:t>
      </w:r>
      <w:r>
        <w:rPr>
          <w:rFonts w:hint="eastAsia" w:ascii="宋体" w:hAnsi="宋体" w:cs="宋体"/>
          <w:color w:val="000000" w:themeColor="text1"/>
          <w:kern w:val="0"/>
          <w:sz w:val="24"/>
          <w14:textFill>
            <w14:solidFill>
              <w14:schemeClr w14:val="tx1"/>
            </w14:solidFill>
          </w14:textFill>
        </w:rPr>
        <w:t>防治对象为松材线虫。</w:t>
      </w:r>
    </w:p>
    <w:p w14:paraId="682544D5">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规格：50毫升/瓶。</w:t>
      </w:r>
    </w:p>
    <w:p w14:paraId="1A415A9A">
      <w:pPr>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（二）服务要求</w:t>
      </w:r>
    </w:p>
    <w:p w14:paraId="2E917B15">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1.按照《浙江省打孔注药防治松材线虫病实施方案》执行，实行每株树挂牌（标牌为红色），做好台账并将相关信息录入数字森防平台系统。</w:t>
      </w:r>
    </w:p>
    <w:p w14:paraId="6827B4F1">
      <w:pPr>
        <w:pageBreakBefore w:val="0"/>
        <w:widowControl w:val="0"/>
        <w:kinsoku/>
        <w:wordWrap/>
        <w:overflowPunct/>
        <w:topLinePunct w:val="0"/>
        <w:autoSpaceDE/>
        <w:autoSpaceDN/>
        <w:bidi w:val="0"/>
        <w:adjustRightInd/>
        <w:snapToGrid/>
        <w:spacing w:after="0" w:line="288" w:lineRule="auto"/>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2.中标人需为本项目配备足够的人员进行药物注射，作业期间，所有的安全责任及赔偿均由中标人自行承担。</w:t>
      </w:r>
    </w:p>
    <w:p w14:paraId="121E1BE3">
      <w:pPr>
        <w:pStyle w:val="5"/>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cs="宋体"/>
          <w:bCs/>
          <w:color w:val="000000" w:themeColor="text1"/>
          <w:kern w:val="2"/>
          <w:sz w:val="24"/>
          <w14:textFill>
            <w14:solidFill>
              <w14:schemeClr w14:val="tx1"/>
            </w14:solidFill>
          </w14:textFill>
        </w:rPr>
      </w:pPr>
      <w:r>
        <w:rPr>
          <w:rFonts w:hint="eastAsia" w:ascii="宋体" w:hAnsi="宋体" w:cs="宋体"/>
          <w:bCs/>
          <w:color w:val="000000" w:themeColor="text1"/>
          <w:kern w:val="2"/>
          <w:sz w:val="24"/>
          <w14:textFill>
            <w14:solidFill>
              <w14:schemeClr w14:val="tx1"/>
            </w14:solidFill>
          </w14:textFill>
        </w:rPr>
        <w:t>（三）项目要求</w:t>
      </w:r>
    </w:p>
    <w:p w14:paraId="420DD4BE">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1.项目工期：60日历天。</w:t>
      </w:r>
    </w:p>
    <w:p w14:paraId="1F38C203">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2.服务要求：对全市需保护的古松树、城区周边、部分村风景松树、部分景区周边和基本实现无疫情单位重点区域松树打孔注药1.8万瓶，约8000株保护，投标人须为本项目配备足够的人员进行药物注射。</w:t>
      </w:r>
    </w:p>
    <w:p w14:paraId="53802D3F">
      <w:pPr>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w:t>
      </w:r>
      <w:r>
        <w:rPr>
          <w:rFonts w:ascii="宋体" w:hAnsi="宋体" w:cs="宋体"/>
          <w:b/>
          <w:bCs/>
          <w:color w:val="000000" w:themeColor="text1"/>
          <w:sz w:val="24"/>
          <w14:textFill>
            <w14:solidFill>
              <w14:schemeClr w14:val="tx1"/>
            </w14:solidFill>
          </w14:textFill>
        </w:rPr>
        <w:t>质量标准</w:t>
      </w:r>
    </w:p>
    <w:tbl>
      <w:tblPr>
        <w:tblStyle w:val="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2"/>
        <w:gridCol w:w="2832"/>
      </w:tblGrid>
      <w:tr w14:paraId="7ABE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14:paraId="2D1AC82E">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kern w:val="0"/>
                <w:sz w:val="24"/>
                <w14:textFill>
                  <w14:solidFill>
                    <w14:schemeClr w14:val="tx1"/>
                  </w14:solidFill>
                </w14:textFill>
              </w:rPr>
            </w:pPr>
          </w:p>
        </w:tc>
        <w:tc>
          <w:tcPr>
            <w:tcW w:w="2832" w:type="dxa"/>
            <w:vAlign w:val="center"/>
          </w:tcPr>
          <w:p w14:paraId="38465881">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当年防治效果</w:t>
            </w:r>
          </w:p>
        </w:tc>
        <w:tc>
          <w:tcPr>
            <w:tcW w:w="2832" w:type="dxa"/>
            <w:vAlign w:val="center"/>
          </w:tcPr>
          <w:p w14:paraId="313BD6A4">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第二年防治效果</w:t>
            </w:r>
          </w:p>
        </w:tc>
      </w:tr>
      <w:tr w14:paraId="4264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14:paraId="1C72468F">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合格</w:t>
            </w:r>
          </w:p>
        </w:tc>
        <w:tc>
          <w:tcPr>
            <w:tcW w:w="2832" w:type="dxa"/>
            <w:vAlign w:val="center"/>
          </w:tcPr>
          <w:p w14:paraId="3257F23A">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松材线虫引起的松树死亡率≤1%</w:t>
            </w:r>
          </w:p>
        </w:tc>
        <w:tc>
          <w:tcPr>
            <w:tcW w:w="2832" w:type="dxa"/>
            <w:vAlign w:val="center"/>
          </w:tcPr>
          <w:p w14:paraId="3EFECCF4">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松材线虫引起的松树死亡率≤1%</w:t>
            </w:r>
          </w:p>
        </w:tc>
      </w:tr>
      <w:tr w14:paraId="7B4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14:paraId="3C96675C">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不合格</w:t>
            </w:r>
          </w:p>
        </w:tc>
        <w:tc>
          <w:tcPr>
            <w:tcW w:w="2832" w:type="dxa"/>
            <w:vAlign w:val="center"/>
          </w:tcPr>
          <w:p w14:paraId="23BE21CA">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松材线虫引起的松树死亡率≥1%</w:t>
            </w:r>
          </w:p>
        </w:tc>
        <w:tc>
          <w:tcPr>
            <w:tcW w:w="2832" w:type="dxa"/>
            <w:vAlign w:val="center"/>
          </w:tcPr>
          <w:p w14:paraId="32C18DAF">
            <w:pPr>
              <w:pageBreakBefore w:val="0"/>
              <w:widowControl w:val="0"/>
              <w:kinsoku/>
              <w:wordWrap/>
              <w:overflowPunct/>
              <w:topLinePunct w:val="0"/>
              <w:autoSpaceDE/>
              <w:autoSpaceDN/>
              <w:bidi w:val="0"/>
              <w:adjustRightInd/>
              <w:snapToGrid/>
              <w:spacing w:after="0" w:line="288" w:lineRule="auto"/>
              <w:jc w:val="center"/>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松材线虫引起的松树死亡率≥1%</w:t>
            </w:r>
          </w:p>
        </w:tc>
      </w:tr>
    </w:tbl>
    <w:p w14:paraId="00498D1F">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对松树死亡原因有异议的，可组织专家取样检测，未检出松材线虫病的，可不予赔偿。</w:t>
      </w:r>
    </w:p>
    <w:p w14:paraId="49199DEF">
      <w:pPr>
        <w:pStyle w:val="5"/>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cs="宋体"/>
          <w:bCs/>
          <w:color w:val="000000" w:themeColor="text1"/>
          <w:kern w:val="2"/>
          <w:sz w:val="24"/>
          <w14:textFill>
            <w14:solidFill>
              <w14:schemeClr w14:val="tx1"/>
            </w14:solidFill>
          </w14:textFill>
        </w:rPr>
      </w:pPr>
      <w:r>
        <w:rPr>
          <w:rFonts w:hint="eastAsia" w:ascii="宋体" w:hAnsi="宋体" w:cs="宋体"/>
          <w:bCs/>
          <w:color w:val="000000" w:themeColor="text1"/>
          <w:kern w:val="2"/>
          <w:sz w:val="24"/>
          <w14:textFill>
            <w14:solidFill>
              <w14:schemeClr w14:val="tx1"/>
            </w14:solidFill>
          </w14:textFill>
        </w:rPr>
        <w:t>（五）履约保证金及付款方式</w:t>
      </w:r>
    </w:p>
    <w:p w14:paraId="623B929F">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1.履约保证金：中标人须向采购人缴纳1%的履约保证金，履约保证金在项目完成后10个工作日内无息退还。</w:t>
      </w:r>
    </w:p>
    <w:p w14:paraId="1357F180">
      <w:pPr>
        <w:pageBreakBefore w:val="0"/>
        <w:widowControl w:val="0"/>
        <w:kinsoku/>
        <w:wordWrap/>
        <w:overflowPunct/>
        <w:topLinePunct w:val="0"/>
        <w:autoSpaceDE/>
        <w:autoSpaceDN/>
        <w:bidi w:val="0"/>
        <w:adjustRightInd/>
        <w:snapToGrid/>
        <w:spacing w:after="0" w:line="288" w:lineRule="auto"/>
        <w:ind w:firstLine="480"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w:t>
      </w:r>
      <w:r>
        <w:rPr>
          <w:rFonts w:hint="eastAsia" w:ascii="宋体" w:hAnsi="宋体" w:cs="宋体"/>
          <w:color w:val="000000" w:themeColor="text1"/>
          <w:kern w:val="0"/>
          <w:sz w:val="24"/>
          <w14:textFill>
            <w14:solidFill>
              <w14:schemeClr w14:val="tx1"/>
            </w14:solidFill>
          </w14:textFill>
        </w:rPr>
        <w:t>施工结束针剂作业验收合格后，支付合同总价的60%；当年10月第一次防治效果评价合格支付合同总价的30%。次年12月第二次防治效果评价合格支付合同总价的10%。作业验收不合格的不予支付工程款和保证金；效果评价不合格的，松树死亡率每增加0.1%扣除合同总价的10%（不足0.1%的按比例扣除），松树死亡率&gt;2%不予支付相应的项目款。</w:t>
      </w:r>
    </w:p>
    <w:p w14:paraId="4D2DDFBD">
      <w:pPr>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（六）最高限价</w:t>
      </w:r>
    </w:p>
    <w:p w14:paraId="2ADE111F">
      <w:pPr>
        <w:pageBreakBefore w:val="0"/>
        <w:widowControl w:val="0"/>
        <w:kinsoku/>
        <w:wordWrap/>
        <w:overflowPunct/>
        <w:topLinePunct w:val="0"/>
        <w:autoSpaceDE/>
        <w:autoSpaceDN/>
        <w:bidi w:val="0"/>
        <w:adjustRightInd/>
        <w:snapToGrid/>
        <w:spacing w:after="0" w:line="288" w:lineRule="auto"/>
        <w:ind w:firstLine="472" w:firstLineChars="196"/>
        <w:jc w:val="left"/>
        <w:textAlignment w:val="auto"/>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本次招标最高单价限价为壹拾壹元每瓶（小写：11.00元/瓶），最高合同金额不超过人民币</w:t>
      </w:r>
      <w:r>
        <w:rPr>
          <w:rFonts w:hint="eastAsia" w:ascii="宋体" w:hAnsi="宋体"/>
          <w:b/>
          <w:bCs/>
          <w:color w:val="000000" w:themeColor="text1"/>
          <w:sz w:val="24"/>
          <w:lang w:val="en-US" w:eastAsia="zh-CN"/>
          <w14:textFill>
            <w14:solidFill>
              <w14:schemeClr w14:val="tx1"/>
            </w14:solidFill>
          </w14:textFill>
        </w:rPr>
        <w:t>壹</w:t>
      </w:r>
      <w:r>
        <w:rPr>
          <w:rFonts w:hint="eastAsia" w:ascii="宋体" w:hAnsi="宋体"/>
          <w:b/>
          <w:bCs/>
          <w:color w:val="000000" w:themeColor="text1"/>
          <w:sz w:val="24"/>
          <w14:textFill>
            <w14:solidFill>
              <w14:schemeClr w14:val="tx1"/>
            </w14:solidFill>
          </w14:textFill>
        </w:rPr>
        <w:t>拾玖万捌千元整（¥198000.00），任何超过最高单价限价的报价将被</w:t>
      </w:r>
      <w:r>
        <w:rPr>
          <w:rFonts w:hint="eastAsia" w:ascii="宋体" w:hAnsi="宋体" w:cs="宋体"/>
          <w:b/>
          <w:bCs/>
          <w:color w:val="000000" w:themeColor="text1"/>
          <w:sz w:val="24"/>
          <w14:textFill>
            <w14:solidFill>
              <w14:schemeClr w14:val="tx1"/>
            </w14:solidFill>
          </w14:textFill>
        </w:rPr>
        <w:t>认定为无效报价（本项目投标报价包括药剂、运输、人工等项目实施的一切费用）。</w:t>
      </w:r>
    </w:p>
    <w:p w14:paraId="041D51DF">
      <w:pPr>
        <w:pageBreakBefore w:val="0"/>
        <w:kinsoku/>
        <w:wordWrap/>
        <w:overflowPunct/>
        <w:topLinePunct w:val="0"/>
        <w:bidi w:val="0"/>
        <w:spacing w:after="0" w:line="288" w:lineRule="auto"/>
        <w:textAlignment w:val="auto"/>
        <w:rPr>
          <w:color w:val="000000" w:themeColor="text1"/>
          <w14:textFill>
            <w14:solidFill>
              <w14:schemeClr w14:val="tx1"/>
            </w14:solidFill>
          </w14:textFill>
        </w:rPr>
      </w:pPr>
    </w:p>
    <w:p w14:paraId="70145D2C">
      <w:pPr>
        <w:pageBreakBefore w:val="0"/>
        <w:kinsoku/>
        <w:wordWrap/>
        <w:overflowPunct/>
        <w:topLinePunct w:val="0"/>
        <w:bidi w:val="0"/>
        <w:spacing w:after="0" w:line="288" w:lineRule="auto"/>
        <w:textAlignment w:val="auto"/>
        <w:rPr>
          <w:color w:val="000000" w:themeColor="text1"/>
          <w14:textFill>
            <w14:solidFill>
              <w14:schemeClr w14:val="tx1"/>
            </w14:solidFill>
          </w14:textFill>
        </w:rPr>
      </w:pPr>
    </w:p>
    <w:sectPr>
      <w:pgSz w:w="11906" w:h="16838"/>
      <w:pgMar w:top="1236" w:right="1236" w:bottom="1236" w:left="123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N2YyMjU4MjYxNDQzNzZjNDA2NmQxNGRiZGYwNzcifQ=="/>
    <w:docVar w:name="KSO_WPS_MARK_KEY" w:val="e8a578ae-e33d-4156-8b28-cf064a01ec64"/>
  </w:docVars>
  <w:rsids>
    <w:rsidRoot w:val="5F426E62"/>
    <w:rsid w:val="000A489B"/>
    <w:rsid w:val="001E545E"/>
    <w:rsid w:val="002D1BF1"/>
    <w:rsid w:val="0058260C"/>
    <w:rsid w:val="006639AC"/>
    <w:rsid w:val="006D2278"/>
    <w:rsid w:val="00795E55"/>
    <w:rsid w:val="0083432D"/>
    <w:rsid w:val="00933374"/>
    <w:rsid w:val="00D35C49"/>
    <w:rsid w:val="00E42608"/>
    <w:rsid w:val="030D17A1"/>
    <w:rsid w:val="050D43E6"/>
    <w:rsid w:val="0FD73462"/>
    <w:rsid w:val="18B22975"/>
    <w:rsid w:val="1FFC4903"/>
    <w:rsid w:val="26D43069"/>
    <w:rsid w:val="2F2C5212"/>
    <w:rsid w:val="371330E1"/>
    <w:rsid w:val="39016940"/>
    <w:rsid w:val="3AD70E50"/>
    <w:rsid w:val="3FFC0A50"/>
    <w:rsid w:val="4A7E293A"/>
    <w:rsid w:val="4A9F72BE"/>
    <w:rsid w:val="551D04F5"/>
    <w:rsid w:val="5BBA00DF"/>
    <w:rsid w:val="5F426E62"/>
    <w:rsid w:val="64C359B3"/>
    <w:rsid w:val="6C3D1EED"/>
    <w:rsid w:val="6FBB88A3"/>
    <w:rsid w:val="73FE63BD"/>
    <w:rsid w:val="790E75A4"/>
    <w:rsid w:val="79450F15"/>
    <w:rsid w:val="7ED8A7F7"/>
    <w:rsid w:val="B57AC696"/>
    <w:rsid w:val="EBB7F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360" w:lineRule="auto"/>
      <w:ind w:firstLine="420" w:firstLineChars="200"/>
    </w:pPr>
    <w:rPr>
      <w:rFonts w:ascii="Calibri" w:hAnsi="Calibri"/>
      <w:sz w:val="24"/>
      <w:szCs w:val="22"/>
    </w:rPr>
  </w:style>
  <w:style w:type="paragraph" w:styleId="3">
    <w:name w:val="Body Text Indent"/>
    <w:basedOn w:val="1"/>
    <w:next w:val="1"/>
    <w:qFormat/>
    <w:uiPriority w:val="0"/>
    <w:pPr>
      <w:spacing w:after="120"/>
      <w:ind w:left="420" w:leftChars="200"/>
    </w:pPr>
  </w:style>
  <w:style w:type="paragraph" w:styleId="4">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6">
    <w:name w:val="Body Text 3"/>
    <w:basedOn w:val="1"/>
    <w:qFormat/>
    <w:uiPriority w:val="0"/>
    <w:pPr>
      <w:spacing w:before="156" w:beforeLines="50" w:line="400" w:lineRule="exact"/>
      <w:jc w:val="left"/>
    </w:pPr>
    <w:rPr>
      <w:b/>
      <w:color w:val="FF6600"/>
      <w:sz w:val="24"/>
    </w:rPr>
  </w:style>
  <w:style w:type="paragraph" w:customStyle="1" w:styleId="9">
    <w:name w:val="正文段"/>
    <w:basedOn w:val="1"/>
    <w:qFormat/>
    <w:uiPriority w:val="0"/>
    <w:pPr>
      <w:widowControl/>
      <w:snapToGrid w:val="0"/>
      <w:spacing w:afterLines="50"/>
      <w:ind w:firstLine="200" w:firstLineChars="200"/>
    </w:pPr>
    <w:rPr>
      <w:sz w:val="24"/>
      <w:szCs w:val="20"/>
    </w:rPr>
  </w:style>
  <w:style w:type="paragraph" w:customStyle="1" w:styleId="10">
    <w:name w:val="索引 51"/>
    <w:basedOn w:val="1"/>
    <w:next w:val="1"/>
    <w:qFormat/>
    <w:uiPriority w:val="0"/>
    <w:pPr>
      <w:ind w:left="800" w:leftChars="800"/>
    </w:pPr>
  </w:style>
  <w:style w:type="paragraph" w:customStyle="1" w:styleId="11">
    <w:name w:val="正文2"/>
    <w:basedOn w:val="1"/>
    <w:qFormat/>
    <w:uiPriority w:val="0"/>
    <w:pPr>
      <w:spacing w:before="156" w:line="360" w:lineRule="auto"/>
      <w:ind w:firstLine="510" w:firstLineChars="200"/>
    </w:pPr>
    <w:rPr>
      <w:sz w:val="24"/>
      <w:szCs w:val="20"/>
    </w:rPr>
  </w:style>
  <w:style w:type="paragraph" w:customStyle="1" w:styleId="12">
    <w:name w:val="正文文本首行缩进 21"/>
    <w:basedOn w:val="13"/>
    <w:qFormat/>
    <w:uiPriority w:val="0"/>
    <w:pPr>
      <w:spacing w:line="240" w:lineRule="auto"/>
      <w:ind w:firstLine="420"/>
    </w:pPr>
    <w:rPr>
      <w:rFonts w:cs="宋体"/>
    </w:rPr>
  </w:style>
  <w:style w:type="paragraph" w:customStyle="1" w:styleId="13">
    <w:name w:val="正文文本缩进1"/>
    <w:basedOn w:val="1"/>
    <w:next w:val="1"/>
    <w:qFormat/>
    <w:uiPriority w:val="0"/>
    <w:pPr>
      <w:spacing w:after="120"/>
      <w:ind w:left="420" w:leftChars="200"/>
    </w:pPr>
    <w:rPr>
      <w:color w:val="000000"/>
      <w:szCs w:val="21"/>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2630</Words>
  <Characters>2828</Characters>
  <Lines>28</Lines>
  <Paragraphs>7</Paragraphs>
  <TotalTime>44</TotalTime>
  <ScaleCrop>false</ScaleCrop>
  <LinksUpToDate>false</LinksUpToDate>
  <CharactersWithSpaces>2838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2024-12-22T11:38:00Z</dcterms:created>
  <dc:creator>张位军</dc:creator>
  <cp:lastModifiedBy>路飞</cp:lastModifiedBy>
  <dcterms:modified xsi:type="dcterms:W3CDTF">2025-01-02T13:13:12Z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08ADCBB52ACD411590D0C12B5CEDACED_12</vt:lpwstr>
  </property>
  <property fmtid="{D5CDD505-2E9C-101B-9397-08002B2CF9AE}" pid="4" name="KSOTemplateDocerSaveRecord">
    <vt:lpwstr>eyJoZGlkIjoiZjVhNGJiMWVmZTg4ZjFhYWZhYWFiMzBkODkwYWRkZmUiLCJ1c2VySWQiOiI3MTQxNzcxODMifQ==</vt:lpwstr>
  </property>
</Properties>
</file>