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73766B">
      <w:pPr>
        <w:spacing w:line="600" w:lineRule="auto"/>
        <w:ind w:firstLine="0" w:firstLineChars="0"/>
        <w:jc w:val="center"/>
        <w:rPr>
          <w:rFonts w:hint="eastAsia" w:ascii="Arial" w:hAnsi="宋体" w:eastAsia="宋体" w:cs="Arial"/>
          <w:b/>
          <w:bCs/>
          <w:sz w:val="48"/>
          <w:szCs w:val="48"/>
          <w:lang w:eastAsia="zh-CN"/>
        </w:rPr>
      </w:pPr>
      <w:r>
        <w:rPr>
          <w:rFonts w:hint="eastAsia" w:ascii="Arial" w:hAnsi="宋体" w:cs="Arial"/>
          <w:b/>
          <w:bCs/>
          <w:sz w:val="48"/>
          <w:szCs w:val="48"/>
          <w:lang w:eastAsia="zh-CN"/>
        </w:rPr>
        <w:t>浙江省杭州高级中学</w:t>
      </w:r>
    </w:p>
    <w:p w14:paraId="30682124">
      <w:pPr>
        <w:spacing w:line="600" w:lineRule="auto"/>
        <w:ind w:firstLine="0" w:firstLineChars="0"/>
        <w:jc w:val="center"/>
        <w:rPr>
          <w:rFonts w:ascii="Arial" w:hAnsi="宋体" w:cs="Arial"/>
          <w:b/>
          <w:bCs/>
          <w:sz w:val="48"/>
          <w:szCs w:val="48"/>
        </w:rPr>
      </w:pPr>
      <w:r>
        <w:rPr>
          <w:rFonts w:hint="eastAsia" w:ascii="Arial" w:hAnsi="宋体" w:cs="Arial"/>
          <w:b/>
          <w:bCs/>
          <w:sz w:val="48"/>
          <w:szCs w:val="48"/>
          <w:lang w:eastAsia="zh-CN"/>
        </w:rPr>
        <w:t>ZSSL浙江省第十届中小学生游泳联赛杭州市级比赛项目</w:t>
      </w:r>
      <w:r>
        <w:rPr>
          <w:rFonts w:hint="eastAsia" w:ascii="Arial" w:hAnsi="宋体" w:cs="Arial"/>
          <w:b/>
          <w:bCs/>
          <w:sz w:val="48"/>
          <w:szCs w:val="48"/>
        </w:rPr>
        <w:t>（非政府）</w:t>
      </w:r>
    </w:p>
    <w:p w14:paraId="211B93CD">
      <w:pPr>
        <w:spacing w:line="600" w:lineRule="auto"/>
        <w:ind w:firstLine="964"/>
        <w:jc w:val="center"/>
        <w:rPr>
          <w:rFonts w:ascii="Arial" w:hAnsi="宋体" w:cs="Arial"/>
          <w:b/>
          <w:bCs/>
          <w:sz w:val="48"/>
          <w:szCs w:val="48"/>
        </w:rPr>
      </w:pPr>
    </w:p>
    <w:p w14:paraId="793888F8">
      <w:pPr>
        <w:spacing w:line="600" w:lineRule="auto"/>
        <w:ind w:firstLine="964"/>
        <w:jc w:val="center"/>
        <w:rPr>
          <w:rFonts w:ascii="Arial" w:hAnsi="宋体" w:cs="Arial"/>
          <w:b/>
          <w:bCs/>
          <w:sz w:val="48"/>
          <w:szCs w:val="48"/>
        </w:rPr>
      </w:pPr>
    </w:p>
    <w:p w14:paraId="21589E27">
      <w:pPr>
        <w:spacing w:line="600" w:lineRule="auto"/>
        <w:ind w:firstLine="964"/>
        <w:jc w:val="center"/>
        <w:rPr>
          <w:rFonts w:ascii="Arial" w:hAnsi="宋体" w:cs="Arial"/>
          <w:b/>
          <w:bCs/>
          <w:sz w:val="48"/>
          <w:szCs w:val="48"/>
        </w:rPr>
      </w:pPr>
    </w:p>
    <w:p w14:paraId="60CA96CB">
      <w:pPr>
        <w:pStyle w:val="44"/>
        <w:ind w:firstLine="210"/>
      </w:pPr>
    </w:p>
    <w:p w14:paraId="713B3B49">
      <w:pPr>
        <w:snapToGrid w:val="0"/>
        <w:ind w:firstLine="0" w:firstLineChars="0"/>
        <w:jc w:val="center"/>
        <w:rPr>
          <w:rFonts w:ascii="Arial" w:hAnsi="宋体" w:cs="Arial"/>
          <w:b/>
          <w:sz w:val="84"/>
          <w:szCs w:val="84"/>
        </w:rPr>
      </w:pPr>
    </w:p>
    <w:p w14:paraId="578B4D28">
      <w:pPr>
        <w:snapToGrid w:val="0"/>
        <w:ind w:firstLine="0" w:firstLineChars="0"/>
        <w:jc w:val="center"/>
        <w:rPr>
          <w:rFonts w:ascii="Arial" w:hAnsi="Arial" w:cs="Arial"/>
          <w:b/>
          <w:sz w:val="84"/>
          <w:szCs w:val="84"/>
        </w:rPr>
      </w:pPr>
      <w:r>
        <w:rPr>
          <w:rFonts w:hint="eastAsia" w:ascii="Arial" w:hAnsi="宋体" w:cs="Arial"/>
          <w:b/>
          <w:sz w:val="84"/>
          <w:szCs w:val="84"/>
        </w:rPr>
        <w:t>竞争性磋商文件</w:t>
      </w:r>
    </w:p>
    <w:p w14:paraId="16BF4F28">
      <w:pPr>
        <w:snapToGrid w:val="0"/>
        <w:ind w:firstLine="723"/>
        <w:rPr>
          <w:rFonts w:ascii="Arial" w:hAnsi="Arial" w:cs="Arial"/>
          <w:b/>
          <w:sz w:val="36"/>
        </w:rPr>
      </w:pPr>
    </w:p>
    <w:p w14:paraId="53B99E96">
      <w:pPr>
        <w:pStyle w:val="44"/>
        <w:ind w:firstLine="0" w:firstLineChars="0"/>
        <w:rPr>
          <w:rFonts w:ascii="Arial" w:hAnsi="Arial" w:cs="Arial"/>
          <w:b/>
          <w:sz w:val="36"/>
        </w:rPr>
      </w:pPr>
    </w:p>
    <w:p w14:paraId="4885AE01">
      <w:pPr>
        <w:snapToGrid w:val="0"/>
        <w:ind w:firstLine="0" w:firstLineChars="0"/>
        <w:rPr>
          <w:rFonts w:ascii="Arial" w:hAnsi="Arial" w:cs="Arial"/>
          <w:b/>
          <w:sz w:val="36"/>
        </w:rPr>
      </w:pPr>
    </w:p>
    <w:p w14:paraId="708E8BE2">
      <w:pPr>
        <w:ind w:firstLine="560"/>
        <w:rPr>
          <w:sz w:val="28"/>
          <w:szCs w:val="28"/>
        </w:rPr>
      </w:pPr>
      <w:r>
        <w:rPr>
          <w:rFonts w:hint="eastAsia"/>
          <w:sz w:val="28"/>
          <w:szCs w:val="28"/>
        </w:rPr>
        <w:t>采购项目：</w:t>
      </w:r>
      <w:r>
        <w:rPr>
          <w:rFonts w:hint="eastAsia"/>
          <w:sz w:val="28"/>
          <w:szCs w:val="28"/>
          <w:lang w:eastAsia="zh-CN"/>
        </w:rPr>
        <w:t>ZSSL浙江省第十届中小学生游泳联赛杭州市级比赛项目</w:t>
      </w:r>
      <w:r>
        <w:rPr>
          <w:rFonts w:hint="eastAsia"/>
          <w:sz w:val="28"/>
          <w:szCs w:val="28"/>
        </w:rPr>
        <w:t>（非政府）</w:t>
      </w:r>
    </w:p>
    <w:p w14:paraId="1FD67477">
      <w:pPr>
        <w:ind w:firstLine="560"/>
        <w:rPr>
          <w:rFonts w:hint="eastAsia" w:eastAsia="宋体"/>
          <w:sz w:val="28"/>
          <w:szCs w:val="28"/>
          <w:lang w:eastAsia="zh-CN"/>
        </w:rPr>
      </w:pPr>
      <w:r>
        <w:rPr>
          <w:rFonts w:hint="eastAsia"/>
          <w:sz w:val="28"/>
          <w:szCs w:val="28"/>
        </w:rPr>
        <w:t>采购编号：</w:t>
      </w:r>
      <w:r>
        <w:rPr>
          <w:rFonts w:hint="eastAsia"/>
          <w:sz w:val="28"/>
          <w:szCs w:val="28"/>
          <w:lang w:eastAsia="zh-CN"/>
        </w:rPr>
        <w:t>ZJXL-HG-202501</w:t>
      </w:r>
    </w:p>
    <w:p w14:paraId="091A9983">
      <w:pPr>
        <w:ind w:firstLine="560"/>
        <w:rPr>
          <w:rFonts w:hint="eastAsia" w:eastAsia="宋体"/>
          <w:sz w:val="28"/>
          <w:szCs w:val="28"/>
          <w:lang w:eastAsia="zh-CN"/>
        </w:rPr>
      </w:pPr>
      <w:r>
        <w:rPr>
          <w:rFonts w:hint="eastAsia"/>
          <w:sz w:val="28"/>
          <w:szCs w:val="28"/>
        </w:rPr>
        <w:t>采 购 人：</w:t>
      </w:r>
      <w:r>
        <w:rPr>
          <w:rFonts w:hint="eastAsia"/>
          <w:sz w:val="28"/>
          <w:szCs w:val="28"/>
          <w:lang w:eastAsia="zh-CN"/>
        </w:rPr>
        <w:t>浙江省杭州高级中学</w:t>
      </w:r>
    </w:p>
    <w:p w14:paraId="26DA5E30">
      <w:pPr>
        <w:ind w:firstLine="560"/>
        <w:rPr>
          <w:sz w:val="28"/>
          <w:szCs w:val="28"/>
        </w:rPr>
      </w:pPr>
      <w:r>
        <w:rPr>
          <w:rFonts w:hint="eastAsia"/>
          <w:sz w:val="28"/>
          <w:szCs w:val="28"/>
        </w:rPr>
        <w:t>代理机构：浙江信镧建设工程咨询有限公司</w:t>
      </w:r>
    </w:p>
    <w:p w14:paraId="0DF8D3EE">
      <w:pPr>
        <w:ind w:firstLine="560"/>
        <w:sectPr>
          <w:headerReference r:id="rId7" w:type="first"/>
          <w:footerReference r:id="rId10" w:type="first"/>
          <w:headerReference r:id="rId5" w:type="default"/>
          <w:footerReference r:id="rId8" w:type="default"/>
          <w:headerReference r:id="rId6" w:type="even"/>
          <w:footerReference r:id="rId9" w:type="even"/>
          <w:pgSz w:w="11906" w:h="16838"/>
          <w:pgMar w:top="1440" w:right="1797" w:bottom="1440" w:left="1797" w:header="851" w:footer="992" w:gutter="0"/>
          <w:cols w:space="720" w:num="1"/>
          <w:docGrid w:type="lines" w:linePitch="312" w:charSpace="0"/>
        </w:sectPr>
      </w:pPr>
      <w:r>
        <w:rPr>
          <w:rFonts w:hint="eastAsia"/>
          <w:sz w:val="28"/>
          <w:szCs w:val="28"/>
        </w:rPr>
        <w:t>时    间：二〇二</w:t>
      </w:r>
      <w:r>
        <w:rPr>
          <w:rFonts w:hint="eastAsia"/>
          <w:sz w:val="28"/>
          <w:szCs w:val="28"/>
          <w:lang w:val="en-US" w:eastAsia="zh-CN"/>
        </w:rPr>
        <w:t>五</w:t>
      </w:r>
      <w:r>
        <w:rPr>
          <w:rFonts w:hint="eastAsia"/>
          <w:sz w:val="28"/>
          <w:szCs w:val="28"/>
        </w:rPr>
        <w:t>年</w:t>
      </w:r>
      <w:r>
        <w:rPr>
          <w:rFonts w:hint="eastAsia"/>
          <w:sz w:val="28"/>
          <w:szCs w:val="28"/>
          <w:lang w:val="en-US" w:eastAsia="zh-CN"/>
        </w:rPr>
        <w:t>四</w:t>
      </w:r>
      <w:r>
        <w:rPr>
          <w:rFonts w:hint="eastAsia"/>
          <w:sz w:val="28"/>
          <w:szCs w:val="28"/>
        </w:rPr>
        <w:t>月</w:t>
      </w:r>
    </w:p>
    <w:p w14:paraId="422C233E">
      <w:pPr>
        <w:pStyle w:val="141"/>
        <w:ind w:firstLine="422"/>
        <w:jc w:val="center"/>
      </w:pPr>
      <w:bookmarkStart w:id="0" w:name="_Toc24634"/>
      <w:bookmarkStart w:id="1" w:name="_Toc30803"/>
      <w:r>
        <w:rPr>
          <w:lang w:val="zh-CN"/>
        </w:rPr>
        <w:t>目录</w:t>
      </w:r>
      <w:bookmarkEnd w:id="0"/>
      <w:bookmarkEnd w:id="1"/>
    </w:p>
    <w:p w14:paraId="60418E6D">
      <w:pPr>
        <w:pStyle w:val="32"/>
        <w:tabs>
          <w:tab w:val="right" w:leader="dot" w:pos="8306"/>
          <w:tab w:val="clear" w:pos="8296"/>
        </w:tabs>
      </w:pPr>
      <w:r>
        <w:fldChar w:fldCharType="begin"/>
      </w:r>
      <w:r>
        <w:instrText xml:space="preserve"> TOC \o "1-2" \h \z \u </w:instrText>
      </w:r>
      <w:r>
        <w:fldChar w:fldCharType="separate"/>
      </w:r>
    </w:p>
    <w:p w14:paraId="018CF94B">
      <w:pPr>
        <w:pStyle w:val="32"/>
        <w:tabs>
          <w:tab w:val="right" w:leader="dot" w:pos="8306"/>
          <w:tab w:val="clear" w:pos="8296"/>
        </w:tabs>
      </w:pPr>
      <w:r>
        <w:fldChar w:fldCharType="begin"/>
      </w:r>
      <w:r>
        <w:instrText xml:space="preserve"> HYPERLINK \l "_Toc19020" </w:instrText>
      </w:r>
      <w:r>
        <w:fldChar w:fldCharType="separate"/>
      </w:r>
      <w:r>
        <w:rPr>
          <w:rFonts w:hint="eastAsia"/>
        </w:rPr>
        <w:t>竞争性磋商公告</w:t>
      </w:r>
      <w:r>
        <w:tab/>
      </w:r>
      <w:r>
        <w:fldChar w:fldCharType="begin"/>
      </w:r>
      <w:r>
        <w:instrText xml:space="preserve"> PAGEREF _Toc19020 \h </w:instrText>
      </w:r>
      <w:r>
        <w:fldChar w:fldCharType="separate"/>
      </w:r>
      <w:r>
        <w:t>3</w:t>
      </w:r>
      <w:r>
        <w:fldChar w:fldCharType="end"/>
      </w:r>
      <w:r>
        <w:fldChar w:fldCharType="end"/>
      </w:r>
    </w:p>
    <w:p w14:paraId="49F1FACC">
      <w:pPr>
        <w:pStyle w:val="32"/>
        <w:tabs>
          <w:tab w:val="right" w:leader="dot" w:pos="8306"/>
          <w:tab w:val="clear" w:pos="8296"/>
        </w:tabs>
      </w:pPr>
      <w:r>
        <w:fldChar w:fldCharType="begin"/>
      </w:r>
      <w:r>
        <w:instrText xml:space="preserve"> HYPERLINK \l "_Toc25161" </w:instrText>
      </w:r>
      <w:r>
        <w:fldChar w:fldCharType="separate"/>
      </w:r>
      <w:r>
        <w:rPr>
          <w:rFonts w:hint="eastAsia"/>
        </w:rPr>
        <w:t>第一章 供应商须知</w:t>
      </w:r>
      <w:r>
        <w:tab/>
      </w:r>
      <w:r>
        <w:fldChar w:fldCharType="begin"/>
      </w:r>
      <w:r>
        <w:instrText xml:space="preserve"> PAGEREF _Toc25161 \h </w:instrText>
      </w:r>
      <w:r>
        <w:fldChar w:fldCharType="separate"/>
      </w:r>
      <w:r>
        <w:t>5</w:t>
      </w:r>
      <w:r>
        <w:fldChar w:fldCharType="end"/>
      </w:r>
      <w:r>
        <w:fldChar w:fldCharType="end"/>
      </w:r>
    </w:p>
    <w:p w14:paraId="534ED2D2">
      <w:pPr>
        <w:pStyle w:val="32"/>
        <w:tabs>
          <w:tab w:val="right" w:leader="dot" w:pos="8306"/>
          <w:tab w:val="clear" w:pos="8296"/>
        </w:tabs>
      </w:pPr>
      <w:r>
        <w:fldChar w:fldCharType="begin"/>
      </w:r>
      <w:r>
        <w:instrText xml:space="preserve"> HYPERLINK \l "_Toc13801" </w:instrText>
      </w:r>
      <w:r>
        <w:fldChar w:fldCharType="separate"/>
      </w:r>
      <w:r>
        <w:rPr>
          <w:rFonts w:hint="eastAsia"/>
        </w:rPr>
        <w:t>第二章 采购项目技术规范</w:t>
      </w:r>
      <w:r>
        <w:t>和</w:t>
      </w:r>
      <w:r>
        <w:rPr>
          <w:rFonts w:hint="eastAsia"/>
        </w:rPr>
        <w:t>要求</w:t>
      </w:r>
      <w:r>
        <w:tab/>
      </w:r>
      <w:r>
        <w:fldChar w:fldCharType="begin"/>
      </w:r>
      <w:r>
        <w:instrText xml:space="preserve"> PAGEREF _Toc13801 \h </w:instrText>
      </w:r>
      <w:r>
        <w:fldChar w:fldCharType="separate"/>
      </w:r>
      <w:r>
        <w:t>15</w:t>
      </w:r>
      <w:r>
        <w:fldChar w:fldCharType="end"/>
      </w:r>
      <w:r>
        <w:fldChar w:fldCharType="end"/>
      </w:r>
    </w:p>
    <w:p w14:paraId="6456FDF6">
      <w:pPr>
        <w:pStyle w:val="32"/>
        <w:tabs>
          <w:tab w:val="right" w:leader="dot" w:pos="8306"/>
          <w:tab w:val="clear" w:pos="8296"/>
        </w:tabs>
      </w:pPr>
      <w:r>
        <w:fldChar w:fldCharType="begin"/>
      </w:r>
      <w:r>
        <w:instrText xml:space="preserve"> HYPERLINK \l "_Toc24879" </w:instrText>
      </w:r>
      <w:r>
        <w:fldChar w:fldCharType="separate"/>
      </w:r>
      <w:r>
        <w:rPr>
          <w:rFonts w:hint="eastAsia"/>
        </w:rPr>
        <w:t>第三章 采购项目商务要求</w:t>
      </w:r>
      <w:r>
        <w:tab/>
      </w:r>
      <w:r>
        <w:fldChar w:fldCharType="begin"/>
      </w:r>
      <w:r>
        <w:instrText xml:space="preserve"> PAGEREF _Toc24879 \h </w:instrText>
      </w:r>
      <w:r>
        <w:fldChar w:fldCharType="separate"/>
      </w:r>
      <w:r>
        <w:t>17</w:t>
      </w:r>
      <w:r>
        <w:fldChar w:fldCharType="end"/>
      </w:r>
      <w:r>
        <w:fldChar w:fldCharType="end"/>
      </w:r>
    </w:p>
    <w:p w14:paraId="5DB32D69">
      <w:pPr>
        <w:pStyle w:val="32"/>
        <w:tabs>
          <w:tab w:val="right" w:leader="dot" w:pos="8306"/>
          <w:tab w:val="clear" w:pos="8296"/>
        </w:tabs>
      </w:pPr>
      <w:r>
        <w:fldChar w:fldCharType="begin"/>
      </w:r>
      <w:r>
        <w:instrText xml:space="preserve"> HYPERLINK \l "_Toc869" </w:instrText>
      </w:r>
      <w:r>
        <w:fldChar w:fldCharType="separate"/>
      </w:r>
      <w:r>
        <w:rPr>
          <w:rFonts w:hint="eastAsia"/>
        </w:rPr>
        <w:t>第四章 合同格式</w:t>
      </w:r>
      <w:r>
        <w:tab/>
      </w:r>
      <w:r>
        <w:fldChar w:fldCharType="begin"/>
      </w:r>
      <w:r>
        <w:instrText xml:space="preserve"> PAGEREF _Toc869 \h </w:instrText>
      </w:r>
      <w:r>
        <w:fldChar w:fldCharType="separate"/>
      </w:r>
      <w:r>
        <w:t>17</w:t>
      </w:r>
      <w:r>
        <w:fldChar w:fldCharType="end"/>
      </w:r>
      <w:r>
        <w:fldChar w:fldCharType="end"/>
      </w:r>
    </w:p>
    <w:p w14:paraId="785801CE">
      <w:pPr>
        <w:pStyle w:val="32"/>
        <w:tabs>
          <w:tab w:val="right" w:leader="dot" w:pos="8306"/>
          <w:tab w:val="clear" w:pos="8296"/>
        </w:tabs>
      </w:pPr>
      <w:r>
        <w:fldChar w:fldCharType="begin"/>
      </w:r>
      <w:r>
        <w:instrText xml:space="preserve"> HYPERLINK \l "_Toc21114" </w:instrText>
      </w:r>
      <w:r>
        <w:fldChar w:fldCharType="separate"/>
      </w:r>
      <w:r>
        <w:rPr>
          <w:rFonts w:hint="eastAsia"/>
        </w:rPr>
        <w:t>第五章 磋商响应文件内容</w:t>
      </w:r>
      <w:r>
        <w:t>及</w:t>
      </w:r>
      <w:r>
        <w:rPr>
          <w:rFonts w:hint="eastAsia"/>
        </w:rPr>
        <w:t>格式</w:t>
      </w:r>
      <w:r>
        <w:tab/>
      </w:r>
      <w:r>
        <w:fldChar w:fldCharType="begin"/>
      </w:r>
      <w:r>
        <w:instrText xml:space="preserve"> PAGEREF _Toc21114 \h </w:instrText>
      </w:r>
      <w:r>
        <w:fldChar w:fldCharType="separate"/>
      </w:r>
      <w:r>
        <w:t>31</w:t>
      </w:r>
      <w:r>
        <w:fldChar w:fldCharType="end"/>
      </w:r>
      <w:r>
        <w:fldChar w:fldCharType="end"/>
      </w:r>
    </w:p>
    <w:p w14:paraId="1A690FB2">
      <w:pPr>
        <w:pStyle w:val="32"/>
        <w:tabs>
          <w:tab w:val="right" w:leader="dot" w:pos="8306"/>
          <w:tab w:val="clear" w:pos="8296"/>
        </w:tabs>
      </w:pPr>
      <w:r>
        <w:fldChar w:fldCharType="begin"/>
      </w:r>
      <w:r>
        <w:instrText xml:space="preserve"> HYPERLINK \l "_Toc7825" </w:instrText>
      </w:r>
      <w:r>
        <w:fldChar w:fldCharType="separate"/>
      </w:r>
      <w:r>
        <w:rPr>
          <w:rFonts w:hint="eastAsia"/>
        </w:rPr>
        <w:t>第六章</w:t>
      </w:r>
      <w:r>
        <w:t xml:space="preserve"> </w:t>
      </w:r>
      <w:r>
        <w:rPr>
          <w:rFonts w:hint="eastAsia"/>
        </w:rPr>
        <w:t>评审办法</w:t>
      </w:r>
      <w:r>
        <w:tab/>
      </w:r>
      <w:r>
        <w:fldChar w:fldCharType="begin"/>
      </w:r>
      <w:r>
        <w:instrText xml:space="preserve"> PAGEREF _Toc7825 \h </w:instrText>
      </w:r>
      <w:r>
        <w:fldChar w:fldCharType="separate"/>
      </w:r>
      <w:r>
        <w:t>48</w:t>
      </w:r>
      <w:r>
        <w:fldChar w:fldCharType="end"/>
      </w:r>
      <w:r>
        <w:fldChar w:fldCharType="end"/>
      </w:r>
    </w:p>
    <w:p w14:paraId="7B54B22A">
      <w:pPr>
        <w:ind w:firstLine="420"/>
      </w:pPr>
      <w:r>
        <w:fldChar w:fldCharType="end"/>
      </w:r>
    </w:p>
    <w:p w14:paraId="33774D0A">
      <w:pPr>
        <w:snapToGrid w:val="0"/>
        <w:ind w:firstLine="560"/>
        <w:rPr>
          <w:rFonts w:ascii="宋体" w:hAnsi="宋体" w:cs="宋体"/>
          <w:sz w:val="28"/>
          <w:szCs w:val="28"/>
        </w:rPr>
        <w:sectPr>
          <w:headerReference r:id="rId11" w:type="default"/>
          <w:footerReference r:id="rId13" w:type="default"/>
          <w:headerReference r:id="rId12" w:type="even"/>
          <w:footerReference r:id="rId14" w:type="even"/>
          <w:pgSz w:w="11906" w:h="16838"/>
          <w:pgMar w:top="1440" w:right="1800" w:bottom="1440" w:left="1800" w:header="851" w:footer="992" w:gutter="0"/>
          <w:cols w:space="720" w:num="1"/>
          <w:docGrid w:type="lines" w:linePitch="312" w:charSpace="0"/>
        </w:sectPr>
      </w:pPr>
    </w:p>
    <w:p w14:paraId="18A7197B">
      <w:pPr>
        <w:pStyle w:val="2"/>
        <w:ind w:firstLine="0" w:firstLineChars="0"/>
        <w:rPr>
          <w:rStyle w:val="55"/>
          <w:b w:val="0"/>
          <w:bCs w:val="0"/>
        </w:rPr>
      </w:pPr>
      <w:bookmarkStart w:id="2" w:name="_Toc8841"/>
      <w:bookmarkStart w:id="3" w:name="_Toc25313"/>
      <w:bookmarkStart w:id="4" w:name="_Toc452457411"/>
      <w:r>
        <w:rPr>
          <w:rStyle w:val="55"/>
          <w:rFonts w:hint="eastAsia"/>
          <w:b w:val="0"/>
          <w:bCs w:val="0"/>
        </w:rPr>
        <w:t>浙江信镧建设工程咨询有限公司</w:t>
      </w:r>
      <w:bookmarkEnd w:id="2"/>
      <w:bookmarkEnd w:id="3"/>
    </w:p>
    <w:p w14:paraId="6C020677">
      <w:pPr>
        <w:pStyle w:val="2"/>
        <w:ind w:firstLine="0" w:firstLineChars="0"/>
        <w:rPr>
          <w:rStyle w:val="55"/>
          <w:b w:val="0"/>
          <w:bCs w:val="0"/>
        </w:rPr>
      </w:pPr>
      <w:bookmarkStart w:id="5" w:name="_Toc19739"/>
      <w:bookmarkStart w:id="6" w:name="_Toc23066"/>
      <w:r>
        <w:rPr>
          <w:rStyle w:val="55"/>
          <w:rFonts w:hint="eastAsia"/>
          <w:b w:val="0"/>
          <w:bCs w:val="0"/>
        </w:rPr>
        <w:t>关于</w:t>
      </w:r>
      <w:r>
        <w:rPr>
          <w:rStyle w:val="55"/>
          <w:rFonts w:hint="eastAsia"/>
          <w:b w:val="0"/>
          <w:bCs w:val="0"/>
          <w:lang w:eastAsia="zh-CN"/>
        </w:rPr>
        <w:t>浙江省杭州高级中学ZSSL浙江省第十届中小学生游泳联赛杭州市级比赛项目</w:t>
      </w:r>
      <w:r>
        <w:rPr>
          <w:rStyle w:val="55"/>
          <w:rFonts w:hint="eastAsia"/>
          <w:b w:val="0"/>
          <w:bCs w:val="0"/>
        </w:rPr>
        <w:t>（非政府）的</w:t>
      </w:r>
      <w:bookmarkEnd w:id="5"/>
      <w:bookmarkEnd w:id="6"/>
    </w:p>
    <w:p w14:paraId="08516882">
      <w:pPr>
        <w:pStyle w:val="2"/>
        <w:ind w:firstLine="0" w:firstLineChars="0"/>
        <w:rPr>
          <w:kern w:val="0"/>
        </w:rPr>
      </w:pPr>
      <w:bookmarkStart w:id="7" w:name="_Toc5917"/>
      <w:bookmarkStart w:id="8" w:name="_Toc19020"/>
      <w:bookmarkStart w:id="9" w:name="_Toc26711"/>
      <w:r>
        <w:rPr>
          <w:rStyle w:val="55"/>
          <w:rFonts w:hint="eastAsia"/>
          <w:b w:val="0"/>
          <w:bCs w:val="0"/>
        </w:rPr>
        <w:t>竞争性磋商</w:t>
      </w:r>
      <w:bookmarkEnd w:id="7"/>
      <w:r>
        <w:rPr>
          <w:rStyle w:val="55"/>
          <w:rFonts w:hint="eastAsia"/>
          <w:b w:val="0"/>
          <w:bCs w:val="0"/>
        </w:rPr>
        <w:t>公告</w:t>
      </w:r>
      <w:bookmarkEnd w:id="8"/>
      <w:bookmarkEnd w:id="9"/>
    </w:p>
    <w:p w14:paraId="27ADEA54">
      <w:pPr>
        <w:ind w:firstLine="420"/>
        <w:rPr>
          <w:rFonts w:ascii="宋体" w:hAnsi="宋体"/>
        </w:rPr>
      </w:pPr>
      <w:bookmarkStart w:id="10" w:name="B10_招标内容"/>
      <w:bookmarkEnd w:id="10"/>
      <w:bookmarkStart w:id="11" w:name="_Toc30808"/>
      <w:bookmarkStart w:id="12" w:name="_Toc25249"/>
      <w:bookmarkStart w:id="13" w:name="_Toc11161"/>
      <w:bookmarkStart w:id="14" w:name="_Toc18662"/>
      <w:bookmarkStart w:id="15" w:name="_Toc25717"/>
      <w:bookmarkStart w:id="16" w:name="_Toc16719"/>
      <w:r>
        <w:rPr>
          <w:rFonts w:hint="eastAsia" w:ascii="宋体" w:hAnsi="宋体"/>
        </w:rPr>
        <w:t>一.采购项目编号</w:t>
      </w:r>
      <w:bookmarkStart w:id="17" w:name="B08_项目编号"/>
      <w:r>
        <w:rPr>
          <w:rFonts w:hint="eastAsia" w:ascii="宋体" w:hAnsi="宋体"/>
        </w:rPr>
        <w:t>：</w:t>
      </w:r>
      <w:bookmarkEnd w:id="11"/>
      <w:bookmarkEnd w:id="12"/>
      <w:bookmarkEnd w:id="13"/>
      <w:bookmarkEnd w:id="14"/>
      <w:bookmarkEnd w:id="15"/>
      <w:bookmarkEnd w:id="16"/>
    </w:p>
    <w:p w14:paraId="72E142DD">
      <w:pPr>
        <w:ind w:firstLine="420"/>
        <w:rPr>
          <w:rFonts w:hint="eastAsia" w:ascii="宋体" w:hAnsi="宋体" w:eastAsia="宋体"/>
          <w:lang w:eastAsia="zh-CN"/>
        </w:rPr>
      </w:pPr>
      <w:r>
        <w:rPr>
          <w:rFonts w:hint="eastAsia" w:ascii="宋体" w:hAnsi="宋体"/>
        </w:rPr>
        <w:t xml:space="preserve"> </w:t>
      </w:r>
      <w:bookmarkEnd w:id="17"/>
      <w:r>
        <w:rPr>
          <w:rFonts w:hint="eastAsia" w:ascii="宋体" w:hAnsi="宋体"/>
          <w:lang w:eastAsia="zh-CN"/>
        </w:rPr>
        <w:t>ZJXL-HG-202501</w:t>
      </w:r>
    </w:p>
    <w:p w14:paraId="19106BBF">
      <w:pPr>
        <w:ind w:firstLine="420"/>
        <w:rPr>
          <w:rFonts w:ascii="宋体" w:hAnsi="宋体"/>
        </w:rPr>
      </w:pPr>
      <w:bookmarkStart w:id="18" w:name="_Toc6506"/>
      <w:bookmarkStart w:id="19" w:name="_Toc1896"/>
      <w:bookmarkStart w:id="20" w:name="_Toc18630"/>
      <w:bookmarkStart w:id="21" w:name="_Toc3548"/>
      <w:bookmarkStart w:id="22" w:name="_Toc31460"/>
      <w:bookmarkStart w:id="23" w:name="_Toc11758"/>
      <w:r>
        <w:rPr>
          <w:rFonts w:hint="eastAsia" w:ascii="宋体" w:hAnsi="宋体"/>
        </w:rPr>
        <w:t>二.采购组织类型：</w:t>
      </w:r>
      <w:bookmarkEnd w:id="18"/>
      <w:bookmarkEnd w:id="19"/>
      <w:bookmarkEnd w:id="20"/>
      <w:bookmarkEnd w:id="21"/>
      <w:bookmarkEnd w:id="22"/>
      <w:bookmarkEnd w:id="23"/>
    </w:p>
    <w:p w14:paraId="5D33DB3F">
      <w:pPr>
        <w:ind w:firstLine="420"/>
        <w:rPr>
          <w:rFonts w:ascii="宋体" w:hAnsi="宋体"/>
        </w:rPr>
      </w:pPr>
      <w:bookmarkStart w:id="24" w:name="B09_采购组织类型"/>
      <w:r>
        <w:rPr>
          <w:rFonts w:hint="eastAsia" w:ascii="宋体" w:hAnsi="宋体"/>
        </w:rPr>
        <w:t xml:space="preserve"> 自行采购</w:t>
      </w:r>
      <w:bookmarkEnd w:id="24"/>
    </w:p>
    <w:p w14:paraId="53737EE9">
      <w:pPr>
        <w:ind w:firstLine="420"/>
        <w:rPr>
          <w:rFonts w:ascii="宋体" w:hAnsi="宋体"/>
        </w:rPr>
      </w:pPr>
      <w:bookmarkStart w:id="25" w:name="_Toc30007"/>
      <w:bookmarkStart w:id="26" w:name="_Toc16119"/>
      <w:bookmarkStart w:id="27" w:name="_Toc2752"/>
      <w:bookmarkStart w:id="28" w:name="_Toc31232"/>
      <w:bookmarkStart w:id="29" w:name="_Toc25004"/>
      <w:bookmarkStart w:id="30" w:name="_Toc4740"/>
      <w:r>
        <w:rPr>
          <w:rFonts w:hint="eastAsia" w:ascii="宋体" w:hAnsi="宋体"/>
        </w:rPr>
        <w:t>三.采购项目概况:</w:t>
      </w:r>
      <w:bookmarkEnd w:id="25"/>
      <w:bookmarkEnd w:id="26"/>
      <w:bookmarkEnd w:id="27"/>
      <w:bookmarkEnd w:id="28"/>
      <w:bookmarkEnd w:id="29"/>
      <w:bookmarkEnd w:id="30"/>
    </w:p>
    <w:tbl>
      <w:tblPr>
        <w:tblStyle w:val="46"/>
        <w:tblW w:w="95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723"/>
        <w:gridCol w:w="680"/>
        <w:gridCol w:w="956"/>
        <w:gridCol w:w="1157"/>
        <w:gridCol w:w="1188"/>
        <w:gridCol w:w="1899"/>
        <w:gridCol w:w="1183"/>
      </w:tblGrid>
      <w:tr w14:paraId="63DA50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8" w:type="dxa"/>
            <w:tcBorders>
              <w:top w:val="single" w:color="auto" w:sz="4" w:space="0"/>
              <w:left w:val="single" w:color="auto" w:sz="4" w:space="0"/>
              <w:bottom w:val="single" w:color="auto" w:sz="4" w:space="0"/>
              <w:right w:val="single" w:color="auto" w:sz="4" w:space="0"/>
            </w:tcBorders>
            <w:vAlign w:val="center"/>
          </w:tcPr>
          <w:p w14:paraId="7EED1FC2">
            <w:pPr>
              <w:widowControl/>
              <w:ind w:firstLine="0" w:firstLineChars="0"/>
              <w:jc w:val="center"/>
              <w:rPr>
                <w:rFonts w:ascii="宋体" w:hAnsi="宋体" w:cs="宋体"/>
                <w:kern w:val="0"/>
                <w:szCs w:val="21"/>
              </w:rPr>
            </w:pPr>
            <w:r>
              <w:rPr>
                <w:rFonts w:hint="eastAsia" w:ascii="宋体" w:hAnsi="宋体" w:cs="宋体"/>
                <w:kern w:val="0"/>
                <w:szCs w:val="21"/>
              </w:rPr>
              <w:t>序号</w:t>
            </w:r>
          </w:p>
        </w:tc>
        <w:tc>
          <w:tcPr>
            <w:tcW w:w="1723" w:type="dxa"/>
            <w:tcBorders>
              <w:top w:val="single" w:color="auto" w:sz="4" w:space="0"/>
              <w:left w:val="single" w:color="auto" w:sz="4" w:space="0"/>
              <w:bottom w:val="single" w:color="auto" w:sz="4" w:space="0"/>
              <w:right w:val="single" w:color="auto" w:sz="4" w:space="0"/>
            </w:tcBorders>
            <w:vAlign w:val="center"/>
          </w:tcPr>
          <w:p w14:paraId="67331F2F">
            <w:pPr>
              <w:widowControl/>
              <w:ind w:firstLine="0" w:firstLineChars="0"/>
              <w:jc w:val="center"/>
              <w:rPr>
                <w:rFonts w:ascii="宋体" w:hAnsi="宋体" w:cs="宋体"/>
                <w:kern w:val="0"/>
                <w:szCs w:val="21"/>
              </w:rPr>
            </w:pPr>
            <w:r>
              <w:rPr>
                <w:rFonts w:hint="eastAsia" w:ascii="宋体" w:hAnsi="宋体" w:cs="宋体"/>
                <w:kern w:val="0"/>
                <w:szCs w:val="21"/>
              </w:rPr>
              <w:t>项目名称</w:t>
            </w:r>
          </w:p>
        </w:tc>
        <w:tc>
          <w:tcPr>
            <w:tcW w:w="680" w:type="dxa"/>
            <w:tcBorders>
              <w:top w:val="single" w:color="auto" w:sz="4" w:space="0"/>
              <w:left w:val="single" w:color="auto" w:sz="4" w:space="0"/>
              <w:bottom w:val="single" w:color="auto" w:sz="4" w:space="0"/>
              <w:right w:val="single" w:color="auto" w:sz="4" w:space="0"/>
            </w:tcBorders>
            <w:vAlign w:val="center"/>
          </w:tcPr>
          <w:p w14:paraId="7A3A73BB">
            <w:pPr>
              <w:widowControl/>
              <w:ind w:firstLine="0" w:firstLineChars="0"/>
              <w:jc w:val="center"/>
              <w:rPr>
                <w:rFonts w:ascii="宋体" w:hAnsi="宋体" w:cs="宋体"/>
                <w:kern w:val="0"/>
                <w:szCs w:val="21"/>
              </w:rPr>
            </w:pPr>
            <w:r>
              <w:rPr>
                <w:rFonts w:hint="eastAsia" w:ascii="宋体" w:hAnsi="宋体" w:cs="宋体"/>
                <w:kern w:val="0"/>
                <w:szCs w:val="21"/>
              </w:rPr>
              <w:t>数量</w:t>
            </w:r>
          </w:p>
        </w:tc>
        <w:tc>
          <w:tcPr>
            <w:tcW w:w="956" w:type="dxa"/>
            <w:tcBorders>
              <w:top w:val="single" w:color="auto" w:sz="4" w:space="0"/>
              <w:left w:val="single" w:color="auto" w:sz="4" w:space="0"/>
              <w:bottom w:val="single" w:color="auto" w:sz="4" w:space="0"/>
              <w:right w:val="single" w:color="auto" w:sz="4" w:space="0"/>
            </w:tcBorders>
            <w:vAlign w:val="center"/>
          </w:tcPr>
          <w:p w14:paraId="0494383C">
            <w:pPr>
              <w:widowControl/>
              <w:ind w:firstLine="0" w:firstLineChars="0"/>
              <w:jc w:val="center"/>
              <w:rPr>
                <w:rFonts w:ascii="宋体" w:hAnsi="宋体" w:cs="宋体"/>
                <w:kern w:val="0"/>
                <w:szCs w:val="21"/>
              </w:rPr>
            </w:pPr>
            <w:r>
              <w:rPr>
                <w:rFonts w:hint="eastAsia" w:ascii="宋体" w:hAnsi="宋体" w:cs="宋体"/>
                <w:kern w:val="0"/>
                <w:szCs w:val="21"/>
              </w:rPr>
              <w:t>单位</w:t>
            </w:r>
          </w:p>
        </w:tc>
        <w:tc>
          <w:tcPr>
            <w:tcW w:w="1157" w:type="dxa"/>
            <w:tcBorders>
              <w:top w:val="single" w:color="auto" w:sz="4" w:space="0"/>
              <w:left w:val="single" w:color="auto" w:sz="4" w:space="0"/>
              <w:bottom w:val="single" w:color="auto" w:sz="4" w:space="0"/>
              <w:right w:val="single" w:color="auto" w:sz="4" w:space="0"/>
            </w:tcBorders>
            <w:vAlign w:val="center"/>
          </w:tcPr>
          <w:p w14:paraId="368E5A7F">
            <w:pPr>
              <w:widowControl/>
              <w:ind w:firstLine="0" w:firstLineChars="0"/>
              <w:jc w:val="center"/>
              <w:rPr>
                <w:rFonts w:ascii="宋体" w:hAnsi="宋体"/>
              </w:rPr>
            </w:pPr>
            <w:r>
              <w:rPr>
                <w:rFonts w:hint="eastAsia" w:ascii="宋体" w:hAnsi="宋体"/>
              </w:rPr>
              <w:t>预算</w:t>
            </w:r>
          </w:p>
        </w:tc>
        <w:tc>
          <w:tcPr>
            <w:tcW w:w="1188" w:type="dxa"/>
            <w:tcBorders>
              <w:top w:val="single" w:color="auto" w:sz="4" w:space="0"/>
              <w:left w:val="single" w:color="auto" w:sz="4" w:space="0"/>
              <w:bottom w:val="single" w:color="auto" w:sz="4" w:space="0"/>
              <w:right w:val="single" w:color="auto" w:sz="4" w:space="0"/>
            </w:tcBorders>
            <w:vAlign w:val="center"/>
          </w:tcPr>
          <w:p w14:paraId="020E8379">
            <w:pPr>
              <w:widowControl/>
              <w:ind w:firstLine="0" w:firstLineChars="0"/>
              <w:jc w:val="center"/>
              <w:rPr>
                <w:rFonts w:ascii="宋体" w:hAnsi="宋体" w:cs="宋体"/>
                <w:kern w:val="0"/>
                <w:szCs w:val="21"/>
              </w:rPr>
            </w:pPr>
            <w:r>
              <w:rPr>
                <w:rFonts w:hint="eastAsia" w:ascii="宋体" w:hAnsi="宋体"/>
              </w:rPr>
              <w:t>最高限价</w:t>
            </w:r>
          </w:p>
        </w:tc>
        <w:tc>
          <w:tcPr>
            <w:tcW w:w="1899" w:type="dxa"/>
            <w:tcBorders>
              <w:top w:val="single" w:color="auto" w:sz="4" w:space="0"/>
              <w:left w:val="single" w:color="auto" w:sz="4" w:space="0"/>
              <w:bottom w:val="single" w:color="auto" w:sz="4" w:space="0"/>
              <w:right w:val="single" w:color="auto" w:sz="4" w:space="0"/>
            </w:tcBorders>
            <w:vAlign w:val="center"/>
          </w:tcPr>
          <w:p w14:paraId="480D1259">
            <w:pPr>
              <w:widowControl/>
              <w:ind w:firstLine="0" w:firstLineChars="0"/>
              <w:jc w:val="center"/>
              <w:rPr>
                <w:rFonts w:ascii="宋体" w:hAnsi="宋体" w:cs="宋体"/>
                <w:kern w:val="0"/>
                <w:szCs w:val="21"/>
              </w:rPr>
            </w:pPr>
            <w:r>
              <w:rPr>
                <w:rFonts w:hint="eastAsia" w:ascii="宋体" w:hAnsi="宋体" w:cs="宋体"/>
                <w:kern w:val="0"/>
                <w:szCs w:val="21"/>
              </w:rPr>
              <w:t>简要规格描述</w:t>
            </w:r>
          </w:p>
        </w:tc>
        <w:tc>
          <w:tcPr>
            <w:tcW w:w="1183" w:type="dxa"/>
            <w:tcBorders>
              <w:top w:val="single" w:color="auto" w:sz="4" w:space="0"/>
              <w:left w:val="single" w:color="auto" w:sz="4" w:space="0"/>
              <w:bottom w:val="single" w:color="auto" w:sz="4" w:space="0"/>
              <w:right w:val="single" w:color="auto" w:sz="4" w:space="0"/>
            </w:tcBorders>
            <w:vAlign w:val="center"/>
          </w:tcPr>
          <w:p w14:paraId="457DCB32">
            <w:pPr>
              <w:widowControl/>
              <w:ind w:firstLine="0" w:firstLineChars="0"/>
              <w:jc w:val="center"/>
              <w:rPr>
                <w:rFonts w:ascii="宋体" w:hAnsi="宋体" w:cs="宋体"/>
                <w:kern w:val="0"/>
                <w:szCs w:val="21"/>
              </w:rPr>
            </w:pPr>
            <w:r>
              <w:rPr>
                <w:rFonts w:hint="eastAsia" w:ascii="宋体" w:hAnsi="宋体" w:cs="宋体"/>
                <w:kern w:val="0"/>
                <w:szCs w:val="21"/>
              </w:rPr>
              <w:t>备注</w:t>
            </w:r>
          </w:p>
        </w:tc>
      </w:tr>
      <w:tr w14:paraId="57972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18" w:type="dxa"/>
            <w:tcBorders>
              <w:top w:val="single" w:color="auto" w:sz="4" w:space="0"/>
              <w:left w:val="single" w:color="auto" w:sz="4" w:space="0"/>
              <w:bottom w:val="single" w:color="auto" w:sz="4" w:space="0"/>
              <w:right w:val="single" w:color="auto" w:sz="4" w:space="0"/>
            </w:tcBorders>
            <w:vAlign w:val="center"/>
          </w:tcPr>
          <w:p w14:paraId="1438DEF9">
            <w:pPr>
              <w:widowControl/>
              <w:spacing w:line="360" w:lineRule="auto"/>
              <w:ind w:firstLine="0" w:firstLineChars="0"/>
              <w:jc w:val="center"/>
              <w:rPr>
                <w:rFonts w:ascii="宋体" w:hAnsi="宋体" w:cs="宋体"/>
                <w:kern w:val="0"/>
                <w:szCs w:val="21"/>
              </w:rPr>
            </w:pPr>
            <w:r>
              <w:rPr>
                <w:rFonts w:hint="eastAsia" w:ascii="宋体" w:hAnsi="宋体" w:cs="宋体"/>
                <w:kern w:val="0"/>
                <w:szCs w:val="21"/>
              </w:rPr>
              <w:t>1</w:t>
            </w:r>
          </w:p>
        </w:tc>
        <w:tc>
          <w:tcPr>
            <w:tcW w:w="1723" w:type="dxa"/>
            <w:tcBorders>
              <w:top w:val="single" w:color="auto" w:sz="4" w:space="0"/>
              <w:left w:val="single" w:color="auto" w:sz="4" w:space="0"/>
              <w:bottom w:val="single" w:color="auto" w:sz="4" w:space="0"/>
              <w:right w:val="single" w:color="auto" w:sz="4" w:space="0"/>
            </w:tcBorders>
            <w:vAlign w:val="center"/>
          </w:tcPr>
          <w:p w14:paraId="7E7D73C6">
            <w:pPr>
              <w:spacing w:line="360" w:lineRule="auto"/>
              <w:ind w:firstLine="0" w:firstLineChars="0"/>
              <w:jc w:val="center"/>
              <w:rPr>
                <w:rFonts w:ascii="宋体" w:hAnsi="宋体" w:cs="宋体"/>
                <w:kern w:val="0"/>
                <w:szCs w:val="21"/>
              </w:rPr>
            </w:pPr>
            <w:r>
              <w:rPr>
                <w:rFonts w:hint="eastAsia" w:ascii="宋体" w:hAnsi="宋体" w:cs="宋体"/>
                <w:kern w:val="0"/>
                <w:szCs w:val="21"/>
                <w:lang w:eastAsia="zh-CN"/>
              </w:rPr>
              <w:t>ZSSL浙江省第十届中小学生游泳联赛杭州市级比赛项目</w:t>
            </w:r>
            <w:r>
              <w:rPr>
                <w:rFonts w:hint="eastAsia" w:ascii="宋体" w:hAnsi="宋体" w:cs="宋体"/>
                <w:kern w:val="0"/>
                <w:szCs w:val="21"/>
              </w:rPr>
              <w:t>(非政府）</w:t>
            </w:r>
          </w:p>
        </w:tc>
        <w:tc>
          <w:tcPr>
            <w:tcW w:w="680" w:type="dxa"/>
            <w:tcBorders>
              <w:top w:val="single" w:color="auto" w:sz="4" w:space="0"/>
              <w:left w:val="single" w:color="auto" w:sz="4" w:space="0"/>
              <w:bottom w:val="single" w:color="auto" w:sz="4" w:space="0"/>
              <w:right w:val="single" w:color="auto" w:sz="4" w:space="0"/>
            </w:tcBorders>
            <w:vAlign w:val="center"/>
          </w:tcPr>
          <w:p w14:paraId="1F3A5E73">
            <w:pPr>
              <w:widowControl/>
              <w:spacing w:line="360" w:lineRule="auto"/>
              <w:ind w:firstLine="0" w:firstLineChars="0"/>
              <w:jc w:val="center"/>
              <w:rPr>
                <w:rFonts w:ascii="宋体" w:hAnsi="宋体" w:cs="宋体"/>
                <w:kern w:val="0"/>
                <w:szCs w:val="21"/>
              </w:rPr>
            </w:pPr>
            <w:r>
              <w:rPr>
                <w:rFonts w:hint="eastAsia" w:ascii="宋体" w:hAnsi="宋体" w:cs="宋体"/>
                <w:kern w:val="0"/>
                <w:szCs w:val="21"/>
              </w:rPr>
              <w:t>1</w:t>
            </w:r>
          </w:p>
        </w:tc>
        <w:tc>
          <w:tcPr>
            <w:tcW w:w="956" w:type="dxa"/>
            <w:tcBorders>
              <w:top w:val="single" w:color="auto" w:sz="4" w:space="0"/>
              <w:left w:val="single" w:color="auto" w:sz="4" w:space="0"/>
              <w:bottom w:val="single" w:color="auto" w:sz="4" w:space="0"/>
              <w:right w:val="single" w:color="auto" w:sz="4" w:space="0"/>
            </w:tcBorders>
            <w:vAlign w:val="center"/>
          </w:tcPr>
          <w:p w14:paraId="272F05AB">
            <w:pPr>
              <w:widowControl/>
              <w:spacing w:line="360" w:lineRule="auto"/>
              <w:ind w:firstLine="0" w:firstLineChars="0"/>
              <w:jc w:val="center"/>
              <w:rPr>
                <w:rFonts w:ascii="宋体" w:hAnsi="宋体" w:cs="宋体"/>
                <w:kern w:val="0"/>
                <w:szCs w:val="21"/>
              </w:rPr>
            </w:pPr>
            <w:r>
              <w:rPr>
                <w:rFonts w:hint="eastAsia" w:ascii="宋体" w:hAnsi="宋体" w:cs="宋体"/>
                <w:kern w:val="0"/>
                <w:szCs w:val="21"/>
              </w:rPr>
              <w:t>项</w:t>
            </w:r>
          </w:p>
        </w:tc>
        <w:tc>
          <w:tcPr>
            <w:tcW w:w="1157" w:type="dxa"/>
            <w:tcBorders>
              <w:top w:val="single" w:color="auto" w:sz="4" w:space="0"/>
              <w:left w:val="single" w:color="auto" w:sz="4" w:space="0"/>
              <w:bottom w:val="single" w:color="auto" w:sz="4" w:space="0"/>
              <w:right w:val="single" w:color="auto" w:sz="4" w:space="0"/>
            </w:tcBorders>
            <w:vAlign w:val="center"/>
          </w:tcPr>
          <w:p w14:paraId="782380F3">
            <w:pPr>
              <w:spacing w:line="360" w:lineRule="auto"/>
              <w:ind w:firstLine="0" w:firstLineChars="0"/>
              <w:jc w:val="center"/>
              <w:rPr>
                <w:rFonts w:ascii="宋体" w:hAnsi="宋体" w:cs="宋体"/>
                <w:kern w:val="0"/>
                <w:szCs w:val="21"/>
              </w:rPr>
            </w:pPr>
            <w:r>
              <w:rPr>
                <w:rFonts w:hint="eastAsia" w:ascii="宋体" w:hAnsi="宋体" w:cs="宋体"/>
                <w:kern w:val="0"/>
                <w:szCs w:val="21"/>
                <w:lang w:val="en-US" w:eastAsia="zh-CN"/>
              </w:rPr>
              <w:t>16</w:t>
            </w:r>
            <w:r>
              <w:rPr>
                <w:rFonts w:hint="eastAsia" w:ascii="宋体" w:hAnsi="宋体" w:cs="宋体"/>
                <w:kern w:val="0"/>
                <w:szCs w:val="21"/>
              </w:rPr>
              <w:t>万</w:t>
            </w:r>
          </w:p>
        </w:tc>
        <w:tc>
          <w:tcPr>
            <w:tcW w:w="1188" w:type="dxa"/>
            <w:tcBorders>
              <w:top w:val="single" w:color="auto" w:sz="4" w:space="0"/>
              <w:left w:val="single" w:color="auto" w:sz="4" w:space="0"/>
              <w:bottom w:val="single" w:color="auto" w:sz="4" w:space="0"/>
              <w:right w:val="single" w:color="auto" w:sz="4" w:space="0"/>
            </w:tcBorders>
            <w:vAlign w:val="center"/>
          </w:tcPr>
          <w:p w14:paraId="3CF354FD">
            <w:pPr>
              <w:spacing w:line="360" w:lineRule="auto"/>
              <w:ind w:firstLine="0" w:firstLineChars="0"/>
              <w:jc w:val="center"/>
              <w:rPr>
                <w:rFonts w:ascii="宋体" w:hAnsi="宋体" w:cs="宋体"/>
                <w:kern w:val="0"/>
                <w:szCs w:val="21"/>
              </w:rPr>
            </w:pPr>
            <w:r>
              <w:rPr>
                <w:rFonts w:hint="eastAsia" w:ascii="宋体" w:hAnsi="宋体" w:cs="宋体"/>
                <w:kern w:val="0"/>
                <w:szCs w:val="21"/>
                <w:lang w:val="en-US" w:eastAsia="zh-CN"/>
              </w:rPr>
              <w:t>16</w:t>
            </w:r>
            <w:r>
              <w:rPr>
                <w:rFonts w:hint="eastAsia" w:ascii="宋体" w:hAnsi="宋体" w:cs="宋体"/>
                <w:kern w:val="0"/>
                <w:szCs w:val="21"/>
              </w:rPr>
              <w:t>万</w:t>
            </w:r>
          </w:p>
        </w:tc>
        <w:tc>
          <w:tcPr>
            <w:tcW w:w="1899" w:type="dxa"/>
            <w:tcBorders>
              <w:top w:val="single" w:color="auto" w:sz="4" w:space="0"/>
              <w:left w:val="single" w:color="auto" w:sz="4" w:space="0"/>
              <w:bottom w:val="single" w:color="auto" w:sz="4" w:space="0"/>
              <w:right w:val="single" w:color="auto" w:sz="4" w:space="0"/>
            </w:tcBorders>
            <w:vAlign w:val="center"/>
          </w:tcPr>
          <w:p w14:paraId="20630CC6">
            <w:pPr>
              <w:spacing w:line="360" w:lineRule="auto"/>
              <w:ind w:firstLine="0" w:firstLineChars="0"/>
              <w:jc w:val="center"/>
              <w:rPr>
                <w:rFonts w:ascii="宋体" w:hAnsi="宋体" w:cs="宋体"/>
                <w:kern w:val="0"/>
                <w:szCs w:val="21"/>
              </w:rPr>
            </w:pPr>
            <w:r>
              <w:rPr>
                <w:rFonts w:hint="eastAsia" w:ascii="宋体" w:hAnsi="宋体" w:cs="宋体"/>
                <w:kern w:val="0"/>
                <w:szCs w:val="21"/>
                <w:lang w:val="en-US" w:eastAsia="zh-CN"/>
              </w:rPr>
              <w:t>举办</w:t>
            </w:r>
            <w:r>
              <w:rPr>
                <w:rFonts w:hint="eastAsia" w:ascii="宋体" w:hAnsi="宋体" w:cs="宋体"/>
                <w:kern w:val="0"/>
                <w:szCs w:val="21"/>
                <w:lang w:eastAsia="zh-CN"/>
              </w:rPr>
              <w:t>ZSSL浙江省第十届中小学生游泳联赛杭州市级比赛</w:t>
            </w:r>
            <w:r>
              <w:rPr>
                <w:rFonts w:hint="eastAsia" w:ascii="宋体" w:hAnsi="宋体" w:cs="宋体"/>
                <w:kern w:val="0"/>
                <w:szCs w:val="21"/>
              </w:rPr>
              <w:t>。详见采购文件要求</w:t>
            </w:r>
          </w:p>
        </w:tc>
        <w:tc>
          <w:tcPr>
            <w:tcW w:w="1183" w:type="dxa"/>
            <w:tcBorders>
              <w:top w:val="single" w:color="auto" w:sz="4" w:space="0"/>
              <w:left w:val="single" w:color="auto" w:sz="4" w:space="0"/>
              <w:bottom w:val="single" w:color="auto" w:sz="4" w:space="0"/>
              <w:right w:val="single" w:color="auto" w:sz="4" w:space="0"/>
            </w:tcBorders>
            <w:vAlign w:val="center"/>
          </w:tcPr>
          <w:p w14:paraId="62F2FE24">
            <w:pPr>
              <w:widowControl/>
              <w:spacing w:line="360" w:lineRule="auto"/>
              <w:ind w:firstLine="0" w:firstLineChars="0"/>
              <w:jc w:val="center"/>
              <w:rPr>
                <w:rFonts w:ascii="宋体" w:hAnsi="宋体" w:cs="宋体"/>
                <w:kern w:val="0"/>
                <w:szCs w:val="21"/>
              </w:rPr>
            </w:pPr>
          </w:p>
        </w:tc>
      </w:tr>
    </w:tbl>
    <w:p w14:paraId="500C75D1">
      <w:pPr>
        <w:ind w:firstLine="420"/>
        <w:rPr>
          <w:rFonts w:ascii="宋体" w:hAnsi="宋体"/>
        </w:rPr>
      </w:pPr>
      <w:r>
        <w:rPr>
          <w:rFonts w:hint="eastAsia" w:ascii="宋体" w:hAnsi="宋体"/>
        </w:rPr>
        <w:t>四.供应商资格要求：</w:t>
      </w:r>
    </w:p>
    <w:p w14:paraId="21CBCE51">
      <w:pPr>
        <w:ind w:firstLine="420"/>
        <w:rPr>
          <w:rFonts w:ascii="宋体" w:hAnsi="宋体"/>
        </w:rPr>
      </w:pPr>
      <w:r>
        <w:rPr>
          <w:rFonts w:hint="eastAsia" w:ascii="宋体" w:hAnsi="宋体"/>
        </w:rPr>
        <w:t>1基本资格要求：</w:t>
      </w:r>
    </w:p>
    <w:p w14:paraId="7BE9DFDB">
      <w:pPr>
        <w:ind w:firstLine="420"/>
        <w:rPr>
          <w:rFonts w:ascii="宋体" w:hAnsi="宋体"/>
        </w:rPr>
      </w:pPr>
      <w:r>
        <w:rPr>
          <w:rFonts w:hint="eastAsia" w:ascii="宋体" w:hAnsi="宋体"/>
        </w:rPr>
        <w:t>1.1符合《中华人民共和国政府采购法》第二十二条的规定；</w:t>
      </w:r>
    </w:p>
    <w:p w14:paraId="29ED4738">
      <w:pPr>
        <w:ind w:firstLine="420"/>
        <w:rPr>
          <w:rFonts w:ascii="宋体" w:hAnsi="宋体"/>
        </w:rPr>
      </w:pPr>
      <w:r>
        <w:rPr>
          <w:rFonts w:hint="eastAsia" w:ascii="宋体" w:hAnsi="宋体"/>
        </w:rPr>
        <w:t>1.2未被“信用中国”（www.creditchina.gov.cn）、中国政府采购网（www.ccgp.gov.cn）列入失信被执行人、重大税收违法案件当事人名单、政府采购严重违法失信行为记录名单。</w:t>
      </w:r>
    </w:p>
    <w:p w14:paraId="48C667CA">
      <w:pPr>
        <w:ind w:firstLine="420"/>
        <w:rPr>
          <w:rFonts w:ascii="宋体" w:hAnsi="宋体" w:cs="宋体"/>
          <w:szCs w:val="21"/>
        </w:rPr>
      </w:pPr>
      <w:r>
        <w:rPr>
          <w:rFonts w:hint="eastAsia" w:ascii="宋体" w:hAnsi="宋体"/>
        </w:rPr>
        <w:t>1.3</w:t>
      </w:r>
      <w:r>
        <w:rPr>
          <w:rFonts w:hint="eastAsia" w:ascii="宋体" w:hAnsi="宋体" w:cs="宋体"/>
          <w:szCs w:val="21"/>
        </w:rPr>
        <w:t>单位负责人为同一人或者存在直接控股、管理关系的不同供应商，不得参加同一合同项下的政府采购活动。</w:t>
      </w:r>
    </w:p>
    <w:p w14:paraId="52AA31C5">
      <w:pPr>
        <w:ind w:firstLine="420"/>
        <w:rPr>
          <w:rFonts w:ascii="宋体" w:hAnsi="宋体" w:cs="宋体"/>
          <w:szCs w:val="21"/>
        </w:rPr>
      </w:pPr>
      <w:r>
        <w:rPr>
          <w:rFonts w:hint="eastAsia" w:ascii="宋体" w:hAnsi="宋体" w:cs="宋体"/>
          <w:szCs w:val="21"/>
        </w:rPr>
        <w:t>1.4除单一来源采购项目外，为采购项目提供整体设计、规范编制或者项目管理、监理、检测等服务的供应商，不得再参加该采购项目投标。</w:t>
      </w:r>
    </w:p>
    <w:p w14:paraId="74C4D012">
      <w:pPr>
        <w:ind w:firstLine="420"/>
        <w:rPr>
          <w:rFonts w:ascii="宋体" w:hAnsi="宋体"/>
        </w:rPr>
      </w:pPr>
      <w:r>
        <w:rPr>
          <w:rFonts w:hint="eastAsia" w:ascii="宋体" w:hAnsi="宋体"/>
        </w:rPr>
        <w:t>2特定资格要求：无。</w:t>
      </w:r>
    </w:p>
    <w:p w14:paraId="46C68044">
      <w:pPr>
        <w:ind w:firstLine="420"/>
      </w:pPr>
      <w:r>
        <w:rPr>
          <w:rFonts w:hint="eastAsia" w:ascii="宋体" w:hAnsi="宋体"/>
        </w:rPr>
        <w:t>3联合体投标：不接受联合体投标。</w:t>
      </w:r>
    </w:p>
    <w:p w14:paraId="2DAB4F65">
      <w:pPr>
        <w:ind w:firstLine="420"/>
        <w:rPr>
          <w:rFonts w:ascii="宋体" w:hAnsi="宋体"/>
        </w:rPr>
      </w:pPr>
      <w:r>
        <w:rPr>
          <w:rFonts w:hint="eastAsia" w:ascii="宋体" w:hAnsi="宋体"/>
        </w:rPr>
        <w:t>五.报名、竞争性磋商文件的发售时间、地址、方式、售价：</w:t>
      </w:r>
    </w:p>
    <w:p w14:paraId="6BBD41AE">
      <w:pPr>
        <w:ind w:firstLine="420"/>
        <w:rPr>
          <w:rFonts w:ascii="宋体" w:hAnsi="宋体"/>
        </w:rPr>
      </w:pPr>
      <w:r>
        <w:rPr>
          <w:rFonts w:hint="eastAsia" w:ascii="宋体" w:hAnsi="宋体"/>
        </w:rPr>
        <w:t>1.报名/发售时间：202</w:t>
      </w:r>
      <w:r>
        <w:rPr>
          <w:rFonts w:hint="eastAsia" w:ascii="宋体" w:hAnsi="宋体"/>
          <w:lang w:val="en-US" w:eastAsia="zh-CN"/>
        </w:rPr>
        <w:t>5</w:t>
      </w:r>
      <w:r>
        <w:rPr>
          <w:rFonts w:hint="eastAsia" w:ascii="宋体" w:hAnsi="宋体"/>
        </w:rPr>
        <w:t>年</w:t>
      </w:r>
      <w:r>
        <w:rPr>
          <w:rFonts w:hint="eastAsia" w:ascii="宋体" w:hAnsi="宋体"/>
          <w:lang w:val="en-US" w:eastAsia="zh-CN"/>
        </w:rPr>
        <w:t>04</w:t>
      </w:r>
      <w:r>
        <w:rPr>
          <w:rFonts w:hint="eastAsia" w:ascii="宋体" w:hAnsi="宋体"/>
        </w:rPr>
        <w:t>月</w:t>
      </w:r>
      <w:r>
        <w:rPr>
          <w:rFonts w:hint="eastAsia" w:ascii="宋体" w:hAnsi="宋体"/>
          <w:lang w:val="en-US" w:eastAsia="zh-CN"/>
        </w:rPr>
        <w:t>01</w:t>
      </w:r>
      <w:r>
        <w:rPr>
          <w:rFonts w:hint="eastAsia" w:ascii="宋体" w:hAnsi="宋体"/>
        </w:rPr>
        <w:t>日至202</w:t>
      </w:r>
      <w:r>
        <w:rPr>
          <w:rFonts w:hint="eastAsia" w:ascii="宋体" w:hAnsi="宋体"/>
          <w:lang w:val="en-US" w:eastAsia="zh-CN"/>
        </w:rPr>
        <w:t>5</w:t>
      </w:r>
      <w:r>
        <w:rPr>
          <w:rFonts w:hint="eastAsia" w:ascii="宋体" w:hAnsi="宋体"/>
        </w:rPr>
        <w:t>年</w:t>
      </w:r>
      <w:r>
        <w:rPr>
          <w:rFonts w:hint="eastAsia" w:ascii="宋体" w:hAnsi="宋体"/>
          <w:lang w:val="en-US" w:eastAsia="zh-CN"/>
        </w:rPr>
        <w:t>04</w:t>
      </w:r>
      <w:r>
        <w:rPr>
          <w:rFonts w:hint="eastAsia" w:ascii="宋体" w:hAnsi="宋体"/>
        </w:rPr>
        <w:t>月</w:t>
      </w:r>
      <w:r>
        <w:rPr>
          <w:rFonts w:hint="eastAsia" w:ascii="宋体" w:hAnsi="宋体"/>
          <w:lang w:val="en-US" w:eastAsia="zh-CN"/>
        </w:rPr>
        <w:t>09</w:t>
      </w:r>
      <w:r>
        <w:rPr>
          <w:rFonts w:hint="eastAsia" w:ascii="宋体" w:hAnsi="宋体"/>
        </w:rPr>
        <w:t>日（双休日及法定节假日除外）。</w:t>
      </w:r>
    </w:p>
    <w:p w14:paraId="49C7D794">
      <w:pPr>
        <w:ind w:firstLine="420"/>
        <w:rPr>
          <w:rFonts w:ascii="宋体" w:hAnsi="宋体"/>
        </w:rPr>
      </w:pPr>
      <w:r>
        <w:rPr>
          <w:rFonts w:hint="eastAsia" w:ascii="宋体" w:hAnsi="宋体"/>
        </w:rPr>
        <w:t>上午：9:00-11:30</w:t>
      </w:r>
    </w:p>
    <w:p w14:paraId="2BC00143">
      <w:pPr>
        <w:ind w:firstLine="420"/>
        <w:rPr>
          <w:rFonts w:ascii="宋体" w:hAnsi="宋体"/>
        </w:rPr>
      </w:pPr>
      <w:r>
        <w:rPr>
          <w:rFonts w:hint="eastAsia" w:ascii="宋体" w:hAnsi="宋体"/>
        </w:rPr>
        <w:t>下午：14:00-17:00</w:t>
      </w:r>
    </w:p>
    <w:p w14:paraId="4E6BF273">
      <w:pPr>
        <w:ind w:firstLine="420"/>
        <w:rPr>
          <w:rFonts w:ascii="宋体" w:hAnsi="宋体"/>
        </w:rPr>
      </w:pPr>
      <w:r>
        <w:rPr>
          <w:rFonts w:hint="eastAsia" w:ascii="宋体" w:hAnsi="宋体"/>
        </w:rPr>
        <w:t>2.报名/发售地址</w:t>
      </w:r>
      <w:r>
        <w:rPr>
          <w:rFonts w:hint="eastAsia" w:ascii="Calibri" w:hAnsi="Calibri"/>
        </w:rPr>
        <w:t>：报名后邮箱发送获取</w:t>
      </w:r>
    </w:p>
    <w:p w14:paraId="3BA79F8F">
      <w:pPr>
        <w:pStyle w:val="44"/>
        <w:ind w:firstLineChars="200"/>
      </w:pPr>
      <w:r>
        <w:rPr>
          <w:rFonts w:hint="eastAsia" w:ascii="宋体" w:hAnsi="宋体" w:eastAsia="宋体" w:cs="宋体"/>
          <w:bCs/>
        </w:rPr>
        <w:t>3.磋商文件售价(元)：500</w:t>
      </w:r>
    </w:p>
    <w:p w14:paraId="1E39C4A9">
      <w:pPr>
        <w:ind w:firstLine="420"/>
        <w:rPr>
          <w:rFonts w:ascii="宋体" w:hAnsi="宋体"/>
          <w:highlight w:val="red"/>
        </w:rPr>
      </w:pPr>
      <w:r>
        <w:rPr>
          <w:rFonts w:hint="eastAsia" w:ascii="宋体" w:hAnsi="宋体"/>
        </w:rPr>
        <w:t>4.供应商报名时应提交的资料：供应商报名登记表及报名费截图</w:t>
      </w:r>
    </w:p>
    <w:p w14:paraId="36C24350">
      <w:pPr>
        <w:ind w:firstLine="420"/>
        <w:rPr>
          <w:rFonts w:ascii="宋体" w:hAnsi="宋体"/>
        </w:rPr>
      </w:pPr>
      <w:r>
        <w:rPr>
          <w:rFonts w:hint="eastAsia" w:ascii="宋体" w:hAnsi="宋体"/>
        </w:rPr>
        <w:t>5.获取方式：</w:t>
      </w:r>
    </w:p>
    <w:p w14:paraId="7CBFC9B1">
      <w:pPr>
        <w:ind w:firstLine="420"/>
        <w:rPr>
          <w:rFonts w:ascii="宋体" w:hAnsi="宋体"/>
        </w:rPr>
      </w:pPr>
      <w:r>
        <w:rPr>
          <w:rFonts w:hint="eastAsia" w:ascii="宋体" w:hAnsi="宋体"/>
        </w:rPr>
        <w:t>（1）邮箱报名：将供应商报名登记表及报名费截图发送至浙江信镧建设工程咨询有限公司邮箱（</w:t>
      </w:r>
      <w:r>
        <w:rPr>
          <w:rFonts w:hint="eastAsia"/>
        </w:rPr>
        <w:t>ZJXL87967630@126.COM</w:t>
      </w:r>
      <w:r>
        <w:rPr>
          <w:rFonts w:hint="eastAsia" w:ascii="宋体" w:hAnsi="宋体"/>
        </w:rPr>
        <w:t>）。</w:t>
      </w:r>
    </w:p>
    <w:p w14:paraId="1CF6CA41">
      <w:pPr>
        <w:pStyle w:val="44"/>
        <w:ind w:firstLineChars="200"/>
        <w:rPr>
          <w:rFonts w:ascii="宋体" w:hAnsi="宋体" w:eastAsia="宋体"/>
        </w:rPr>
      </w:pPr>
      <w:r>
        <w:rPr>
          <w:rFonts w:hint="eastAsia" w:ascii="宋体" w:hAnsi="宋体" w:eastAsia="宋体"/>
        </w:rPr>
        <w:t>（2）报名为依法获取采购文件的唯一途径，未报名的潜在供应商，对采购文件提起质疑的，不予受理。</w:t>
      </w:r>
      <w:r>
        <w:rPr>
          <w:rFonts w:ascii="宋体" w:hAnsi="宋体" w:eastAsia="宋体"/>
        </w:rPr>
        <w:tab/>
      </w:r>
    </w:p>
    <w:p w14:paraId="79BE2A67">
      <w:pPr>
        <w:ind w:firstLine="420"/>
        <w:rPr>
          <w:rFonts w:ascii="宋体" w:hAnsi="宋体"/>
        </w:rPr>
      </w:pPr>
      <w:r>
        <w:rPr>
          <w:rFonts w:hint="eastAsia" w:ascii="宋体" w:hAnsi="宋体"/>
        </w:rPr>
        <w:t>六.响应文件提交截止时间：202</w:t>
      </w:r>
      <w:r>
        <w:rPr>
          <w:rFonts w:hint="eastAsia" w:ascii="宋体" w:hAnsi="宋体"/>
          <w:lang w:val="en-US" w:eastAsia="zh-CN"/>
        </w:rPr>
        <w:t>5</w:t>
      </w:r>
      <w:r>
        <w:rPr>
          <w:rFonts w:hint="eastAsia" w:ascii="宋体" w:hAnsi="宋体"/>
        </w:rPr>
        <w:t>年0</w:t>
      </w:r>
      <w:r>
        <w:rPr>
          <w:rFonts w:hint="eastAsia" w:ascii="宋体" w:hAnsi="宋体"/>
          <w:lang w:val="en-US" w:eastAsia="zh-CN"/>
        </w:rPr>
        <w:t>4</w:t>
      </w:r>
      <w:r>
        <w:rPr>
          <w:rFonts w:hint="eastAsia" w:ascii="宋体" w:hAnsi="宋体"/>
        </w:rPr>
        <w:t>月</w:t>
      </w:r>
      <w:r>
        <w:rPr>
          <w:rFonts w:hint="eastAsia" w:ascii="宋体" w:hAnsi="宋体"/>
          <w:lang w:val="en-US" w:eastAsia="zh-CN"/>
        </w:rPr>
        <w:t>14</w:t>
      </w:r>
      <w:r>
        <w:rPr>
          <w:rFonts w:hint="eastAsia" w:ascii="宋体" w:hAnsi="宋体"/>
        </w:rPr>
        <w:t xml:space="preserve">日  </w:t>
      </w:r>
      <w:r>
        <w:rPr>
          <w:rFonts w:hint="eastAsia" w:ascii="宋体" w:hAnsi="宋体"/>
          <w:lang w:val="en-US" w:eastAsia="zh-CN"/>
        </w:rPr>
        <w:t>09</w:t>
      </w:r>
      <w:r>
        <w:rPr>
          <w:rFonts w:hint="eastAsia" w:ascii="宋体" w:hAnsi="宋体"/>
        </w:rPr>
        <w:t>:</w:t>
      </w:r>
      <w:r>
        <w:rPr>
          <w:rFonts w:hint="eastAsia" w:ascii="宋体" w:hAnsi="宋体"/>
          <w:lang w:val="en-US" w:eastAsia="zh-CN"/>
        </w:rPr>
        <w:t>3</w:t>
      </w:r>
      <w:r>
        <w:rPr>
          <w:rFonts w:hint="eastAsia" w:ascii="宋体" w:hAnsi="宋体"/>
        </w:rPr>
        <w:t>0。</w:t>
      </w:r>
    </w:p>
    <w:p w14:paraId="387C79A5">
      <w:pPr>
        <w:ind w:firstLine="420"/>
        <w:rPr>
          <w:rFonts w:ascii="宋体" w:hAnsi="宋体"/>
        </w:rPr>
      </w:pPr>
      <w:r>
        <w:rPr>
          <w:rFonts w:hint="eastAsia" w:ascii="宋体" w:hAnsi="宋体"/>
        </w:rPr>
        <w:t>七.响应文件提交地址：杭州市西湖区文二路391号西湖国际科技大厦B2</w:t>
      </w:r>
      <w:r>
        <w:rPr>
          <w:rFonts w:hint="eastAsia" w:ascii="宋体" w:hAnsi="宋体"/>
          <w:lang w:val="en-US" w:eastAsia="zh-CN"/>
        </w:rPr>
        <w:t>-</w:t>
      </w:r>
      <w:r>
        <w:rPr>
          <w:rFonts w:hint="eastAsia" w:ascii="宋体" w:hAnsi="宋体"/>
        </w:rPr>
        <w:t>1107室</w:t>
      </w:r>
    </w:p>
    <w:p w14:paraId="04A9CB74">
      <w:pPr>
        <w:ind w:firstLine="420"/>
        <w:rPr>
          <w:rFonts w:ascii="宋体" w:hAnsi="宋体"/>
        </w:rPr>
      </w:pPr>
      <w:r>
        <w:rPr>
          <w:rFonts w:hint="eastAsia" w:ascii="宋体" w:hAnsi="宋体"/>
        </w:rPr>
        <w:t>八.磋商开始时间：202</w:t>
      </w:r>
      <w:r>
        <w:rPr>
          <w:rFonts w:hint="eastAsia" w:ascii="宋体" w:hAnsi="宋体"/>
          <w:lang w:val="en-US" w:eastAsia="zh-CN"/>
        </w:rPr>
        <w:t>5</w:t>
      </w:r>
      <w:r>
        <w:rPr>
          <w:rFonts w:hint="eastAsia" w:ascii="宋体" w:hAnsi="宋体"/>
        </w:rPr>
        <w:t>年0</w:t>
      </w:r>
      <w:r>
        <w:rPr>
          <w:rFonts w:hint="eastAsia" w:ascii="宋体" w:hAnsi="宋体"/>
          <w:lang w:val="en-US" w:eastAsia="zh-CN"/>
        </w:rPr>
        <w:t>4</w:t>
      </w:r>
      <w:r>
        <w:rPr>
          <w:rFonts w:hint="eastAsia" w:ascii="宋体" w:hAnsi="宋体"/>
        </w:rPr>
        <w:t>月</w:t>
      </w:r>
      <w:r>
        <w:rPr>
          <w:rFonts w:hint="eastAsia" w:ascii="宋体" w:hAnsi="宋体"/>
          <w:lang w:val="en-US" w:eastAsia="zh-CN"/>
        </w:rPr>
        <w:t>14</w:t>
      </w:r>
      <w:r>
        <w:rPr>
          <w:rFonts w:hint="eastAsia" w:ascii="宋体" w:hAnsi="宋体"/>
        </w:rPr>
        <w:t xml:space="preserve">日  </w:t>
      </w:r>
      <w:r>
        <w:rPr>
          <w:rFonts w:hint="eastAsia" w:ascii="宋体" w:hAnsi="宋体"/>
          <w:lang w:val="en-US" w:eastAsia="zh-CN"/>
        </w:rPr>
        <w:t>09</w:t>
      </w:r>
      <w:r>
        <w:rPr>
          <w:rFonts w:hint="eastAsia" w:ascii="宋体" w:hAnsi="宋体"/>
        </w:rPr>
        <w:t>:</w:t>
      </w:r>
      <w:r>
        <w:rPr>
          <w:rFonts w:hint="eastAsia" w:ascii="宋体" w:hAnsi="宋体"/>
          <w:lang w:val="en-US" w:eastAsia="zh-CN"/>
        </w:rPr>
        <w:t>3</w:t>
      </w:r>
      <w:r>
        <w:rPr>
          <w:rFonts w:hint="eastAsia" w:ascii="宋体" w:hAnsi="宋体"/>
        </w:rPr>
        <w:t>0。</w:t>
      </w:r>
    </w:p>
    <w:p w14:paraId="0C93F68C">
      <w:pPr>
        <w:ind w:firstLine="420"/>
        <w:rPr>
          <w:rFonts w:ascii="宋体" w:hAnsi="宋体"/>
        </w:rPr>
      </w:pPr>
      <w:r>
        <w:rPr>
          <w:rFonts w:hint="eastAsia" w:ascii="宋体" w:hAnsi="宋体"/>
        </w:rPr>
        <w:t>九.磋商地址：杭州市西湖区文二路391号西湖国际科技大厦B2</w:t>
      </w:r>
      <w:r>
        <w:rPr>
          <w:rFonts w:hint="eastAsia" w:ascii="宋体" w:hAnsi="宋体"/>
          <w:lang w:val="en-US" w:eastAsia="zh-CN"/>
        </w:rPr>
        <w:t>-</w:t>
      </w:r>
      <w:r>
        <w:rPr>
          <w:rFonts w:hint="eastAsia" w:ascii="宋体" w:hAnsi="宋体"/>
        </w:rPr>
        <w:t>1107室</w:t>
      </w:r>
    </w:p>
    <w:p w14:paraId="498B81E5">
      <w:pPr>
        <w:ind w:firstLine="420"/>
        <w:rPr>
          <w:rFonts w:ascii="宋体" w:hAnsi="宋体"/>
        </w:rPr>
      </w:pPr>
      <w:r>
        <w:rPr>
          <w:rFonts w:hint="eastAsia" w:ascii="宋体" w:hAnsi="宋体"/>
        </w:rPr>
        <w:t>十.其他事项：</w:t>
      </w:r>
    </w:p>
    <w:p w14:paraId="5C9CAEFF">
      <w:pPr>
        <w:ind w:firstLine="420"/>
        <w:rPr>
          <w:rFonts w:ascii="宋体" w:hAnsi="宋体"/>
        </w:rPr>
      </w:pPr>
      <w:r>
        <w:rPr>
          <w:rFonts w:hint="eastAsia" w:ascii="宋体" w:hAnsi="宋体"/>
        </w:rPr>
        <w:t>1.供应商认为磋商文件使自己的权益受到损害的，可以自收到磋商文件之日（发售截止日之后收到磋商文件的，以发售截止日为准）或者磋商文件公告期限届满之日（竞争性磋商公告为公告发布后的第6个工作日）起7个工作日内，以书面形式向采购人和采购代理机构一次性提出质疑，逾期不再受理。质疑供应商对采购人、采购代理机构的答复不满意或者采购人、采购代理机构未在规定的时间内作出答复的，可以在答复期满后15个工作日内向监督管理部门投诉。质疑函范本、投诉书范本请到浙江政府采购网下载专区下载。</w:t>
      </w:r>
    </w:p>
    <w:p w14:paraId="48292FD3">
      <w:pPr>
        <w:ind w:firstLine="420"/>
        <w:rPr>
          <w:rFonts w:ascii="宋体" w:hAnsi="宋体"/>
        </w:rPr>
      </w:pPr>
      <w:r>
        <w:rPr>
          <w:rFonts w:hint="eastAsia" w:ascii="宋体" w:hAnsi="宋体"/>
        </w:rPr>
        <w:t>2.采购公告期限：3个工作日。</w:t>
      </w:r>
    </w:p>
    <w:p w14:paraId="1F7927D7">
      <w:pPr>
        <w:ind w:firstLine="420"/>
        <w:rPr>
          <w:rFonts w:ascii="宋体" w:hAnsi="宋体"/>
        </w:rPr>
      </w:pPr>
      <w:r>
        <w:rPr>
          <w:rFonts w:hint="eastAsia" w:ascii="宋体" w:hAnsi="宋体"/>
        </w:rPr>
        <w:t>3.磋商文件发售截止时间之后，不再受理报名。</w:t>
      </w:r>
    </w:p>
    <w:p w14:paraId="528AC8B6">
      <w:pPr>
        <w:ind w:firstLine="420"/>
        <w:rPr>
          <w:rFonts w:ascii="宋体" w:hAnsi="宋体"/>
        </w:rPr>
      </w:pPr>
      <w:bookmarkStart w:id="31" w:name="_Toc504485732"/>
      <w:bookmarkStart w:id="32" w:name="_Toc26377"/>
      <w:bookmarkStart w:id="33" w:name="_Toc6424"/>
      <w:bookmarkStart w:id="34" w:name="_Toc8820"/>
      <w:bookmarkStart w:id="35" w:name="_Toc26379"/>
      <w:bookmarkStart w:id="36" w:name="_Toc13337"/>
      <w:bookmarkStart w:id="37" w:name="_Toc19742"/>
      <w:r>
        <w:rPr>
          <w:rFonts w:hint="eastAsia" w:ascii="宋体" w:hAnsi="宋体"/>
        </w:rPr>
        <w:t>十一.联系方式：</w:t>
      </w:r>
      <w:bookmarkEnd w:id="31"/>
      <w:bookmarkEnd w:id="32"/>
      <w:bookmarkEnd w:id="33"/>
      <w:bookmarkEnd w:id="34"/>
      <w:bookmarkEnd w:id="35"/>
      <w:bookmarkEnd w:id="36"/>
      <w:bookmarkEnd w:id="37"/>
    </w:p>
    <w:p w14:paraId="536EF21C">
      <w:pPr>
        <w:ind w:firstLine="420"/>
        <w:rPr>
          <w:rFonts w:ascii="宋体" w:hAnsi="宋体"/>
        </w:rPr>
      </w:pPr>
      <w:r>
        <w:rPr>
          <w:rFonts w:hint="eastAsia" w:ascii="宋体" w:hAnsi="宋体"/>
        </w:rPr>
        <w:t>1、采购代理机构名称：浙江信镧建设工程咨询有限公司</w:t>
      </w:r>
    </w:p>
    <w:p w14:paraId="759CECEA">
      <w:pPr>
        <w:ind w:firstLine="420" w:firstLineChars="0"/>
        <w:rPr>
          <w:rFonts w:ascii="宋体" w:hAnsi="宋体"/>
        </w:rPr>
      </w:pPr>
      <w:r>
        <w:rPr>
          <w:rFonts w:hint="eastAsia" w:ascii="宋体" w:hAnsi="宋体"/>
        </w:rPr>
        <w:t xml:space="preserve">报名、采购文件咨询联系人：曹威  </w:t>
      </w:r>
    </w:p>
    <w:p w14:paraId="4E48FB45">
      <w:pPr>
        <w:ind w:firstLine="420" w:firstLineChars="0"/>
        <w:rPr>
          <w:rFonts w:ascii="宋体" w:hAnsi="宋体"/>
        </w:rPr>
      </w:pPr>
      <w:r>
        <w:rPr>
          <w:rFonts w:hint="eastAsia" w:ascii="宋体" w:hAnsi="宋体"/>
        </w:rPr>
        <w:t>联系电话：0571-87967630</w:t>
      </w:r>
    </w:p>
    <w:p w14:paraId="432A2A53">
      <w:pPr>
        <w:ind w:firstLine="420" w:firstLineChars="0"/>
        <w:rPr>
          <w:rFonts w:ascii="宋体" w:hAnsi="宋体"/>
        </w:rPr>
      </w:pPr>
      <w:r>
        <w:rPr>
          <w:rFonts w:hint="eastAsia" w:ascii="宋体" w:hAnsi="宋体"/>
        </w:rPr>
        <w:t>磋商响应、成交通知书、合同签订联系人：胡校芳</w:t>
      </w:r>
    </w:p>
    <w:p w14:paraId="14017467">
      <w:pPr>
        <w:ind w:firstLine="420" w:firstLineChars="0"/>
        <w:rPr>
          <w:rFonts w:ascii="宋体" w:hAnsi="宋体"/>
        </w:rPr>
      </w:pPr>
      <w:r>
        <w:rPr>
          <w:rFonts w:hint="eastAsia" w:ascii="宋体" w:hAnsi="宋体"/>
        </w:rPr>
        <w:t>联系电话：0571-87967630</w:t>
      </w:r>
    </w:p>
    <w:p w14:paraId="38915D2A">
      <w:pPr>
        <w:ind w:firstLine="420" w:firstLineChars="0"/>
        <w:rPr>
          <w:rFonts w:ascii="宋体" w:hAnsi="宋体"/>
        </w:rPr>
      </w:pPr>
      <w:r>
        <w:rPr>
          <w:rFonts w:hint="eastAsia" w:ascii="宋体" w:hAnsi="宋体"/>
        </w:rPr>
        <w:t>传真：0571-85024997</w:t>
      </w:r>
    </w:p>
    <w:p w14:paraId="3149D15E">
      <w:pPr>
        <w:ind w:firstLine="420" w:firstLineChars="0"/>
        <w:rPr>
          <w:rFonts w:ascii="宋体" w:hAnsi="宋体"/>
        </w:rPr>
      </w:pPr>
      <w:r>
        <w:rPr>
          <w:rFonts w:hint="eastAsia" w:ascii="宋体" w:hAnsi="宋体"/>
        </w:rPr>
        <w:t>地址：杭州市西湖区文二路391号西湖国际科技大厦B2楼1107室</w:t>
      </w:r>
    </w:p>
    <w:p w14:paraId="1036ADA9">
      <w:pPr>
        <w:ind w:firstLine="420"/>
        <w:rPr>
          <w:rFonts w:hint="eastAsia" w:ascii="宋体" w:hAnsi="宋体" w:eastAsia="宋体"/>
          <w:lang w:eastAsia="zh-CN"/>
        </w:rPr>
      </w:pPr>
      <w:r>
        <w:rPr>
          <w:rFonts w:hint="eastAsia" w:ascii="宋体" w:hAnsi="宋体"/>
        </w:rPr>
        <w:t>2、采购人名称：</w:t>
      </w:r>
      <w:r>
        <w:rPr>
          <w:rFonts w:hint="eastAsia" w:ascii="宋体" w:hAnsi="宋体"/>
          <w:lang w:eastAsia="zh-CN"/>
        </w:rPr>
        <w:t>浙江省杭州高级中学</w:t>
      </w:r>
    </w:p>
    <w:p w14:paraId="094D3C38">
      <w:pPr>
        <w:ind w:firstLine="420" w:firstLineChars="0"/>
        <w:rPr>
          <w:rFonts w:hint="eastAsia" w:ascii="宋体" w:hAnsi="宋体" w:eastAsia="宋体"/>
          <w:lang w:eastAsia="zh-CN"/>
        </w:rPr>
      </w:pPr>
      <w:r>
        <w:rPr>
          <w:rFonts w:hint="eastAsia" w:ascii="宋体" w:hAnsi="宋体"/>
        </w:rPr>
        <w:t xml:space="preserve">联系人： </w:t>
      </w:r>
      <w:r>
        <w:rPr>
          <w:rFonts w:hint="eastAsia" w:ascii="宋体" w:hAnsi="宋体"/>
          <w:lang w:val="en-US" w:eastAsia="zh-CN"/>
        </w:rPr>
        <w:t>陈</w:t>
      </w:r>
      <w:r>
        <w:rPr>
          <w:rFonts w:hint="eastAsia" w:ascii="宋体" w:hAnsi="宋体"/>
          <w:lang w:eastAsia="zh-CN"/>
        </w:rPr>
        <w:t>老师</w:t>
      </w:r>
    </w:p>
    <w:p w14:paraId="0F6DA66E">
      <w:pPr>
        <w:ind w:firstLine="420" w:firstLineChars="0"/>
        <w:rPr>
          <w:rFonts w:hint="eastAsia" w:ascii="宋体" w:hAnsi="宋体" w:eastAsia="宋体"/>
          <w:lang w:eastAsia="zh-CN"/>
        </w:rPr>
      </w:pPr>
      <w:r>
        <w:rPr>
          <w:rFonts w:hint="eastAsia" w:ascii="宋体" w:hAnsi="宋体"/>
        </w:rPr>
        <w:t xml:space="preserve">联系电话： </w:t>
      </w:r>
      <w:r>
        <w:rPr>
          <w:rFonts w:hint="eastAsia" w:ascii="宋体" w:hAnsi="宋体"/>
          <w:lang w:eastAsia="zh-CN"/>
        </w:rPr>
        <w:t>0571-86988676</w:t>
      </w:r>
    </w:p>
    <w:p w14:paraId="4CE35AB7">
      <w:pPr>
        <w:widowControl/>
        <w:ind w:firstLine="420" w:firstLineChars="0"/>
        <w:rPr>
          <w:rFonts w:hint="eastAsia" w:ascii="宋体" w:hAnsi="宋体" w:eastAsia="宋体"/>
          <w:lang w:eastAsia="zh-CN"/>
        </w:rPr>
      </w:pPr>
      <w:r>
        <w:rPr>
          <w:rFonts w:hint="eastAsia" w:ascii="宋体" w:hAnsi="宋体"/>
        </w:rPr>
        <w:t>地址：</w:t>
      </w:r>
      <w:r>
        <w:rPr>
          <w:rFonts w:hint="eastAsia" w:ascii="宋体" w:hAnsi="宋体"/>
          <w:lang w:eastAsia="zh-CN"/>
        </w:rPr>
        <w:t>杭州市上城区之江东路1958号</w:t>
      </w:r>
    </w:p>
    <w:p w14:paraId="01164F44">
      <w:pPr>
        <w:ind w:firstLine="420" w:firstLineChars="0"/>
        <w:rPr>
          <w:rFonts w:hint="eastAsia" w:ascii="宋体" w:hAnsi="宋体" w:eastAsia="宋体"/>
          <w:lang w:eastAsia="zh-CN"/>
        </w:rPr>
      </w:pPr>
      <w:r>
        <w:rPr>
          <w:rFonts w:hint="eastAsia" w:ascii="宋体" w:hAnsi="宋体"/>
        </w:rPr>
        <w:t>3、采购监督管理部门名称：</w:t>
      </w:r>
      <w:r>
        <w:rPr>
          <w:rFonts w:hint="eastAsia" w:ascii="宋体" w:hAnsi="宋体"/>
          <w:lang w:eastAsia="zh-CN"/>
        </w:rPr>
        <w:t>浙江省杭州高级中学</w:t>
      </w:r>
    </w:p>
    <w:p w14:paraId="76352C24">
      <w:pPr>
        <w:ind w:firstLine="420" w:firstLineChars="0"/>
        <w:rPr>
          <w:rFonts w:ascii="宋体" w:hAnsi="宋体"/>
        </w:rPr>
      </w:pPr>
      <w:r>
        <w:rPr>
          <w:rFonts w:hint="eastAsia" w:ascii="宋体" w:hAnsi="宋体"/>
        </w:rPr>
        <w:t>联系人：</w:t>
      </w:r>
      <w:r>
        <w:rPr>
          <w:rFonts w:hint="eastAsia" w:ascii="宋体" w:hAnsi="宋体"/>
          <w:lang w:eastAsia="zh-CN"/>
        </w:rPr>
        <w:t>朱老师</w:t>
      </w:r>
      <w:r>
        <w:rPr>
          <w:rFonts w:hint="eastAsia" w:ascii="宋体" w:hAnsi="宋体"/>
        </w:rPr>
        <w:t xml:space="preserve"> </w:t>
      </w:r>
    </w:p>
    <w:p w14:paraId="27D0887C">
      <w:pPr>
        <w:ind w:firstLine="420" w:firstLineChars="0"/>
        <w:rPr>
          <w:rFonts w:hint="eastAsia" w:ascii="宋体" w:hAnsi="宋体" w:eastAsia="宋体"/>
          <w:lang w:eastAsia="zh-CN"/>
        </w:rPr>
      </w:pPr>
      <w:r>
        <w:rPr>
          <w:rFonts w:hint="eastAsia" w:ascii="宋体" w:hAnsi="宋体"/>
        </w:rPr>
        <w:t xml:space="preserve">监督投诉电话： </w:t>
      </w:r>
      <w:r>
        <w:rPr>
          <w:rFonts w:hint="eastAsia" w:ascii="宋体" w:hAnsi="宋体"/>
          <w:lang w:eastAsia="zh-CN"/>
        </w:rPr>
        <w:t>0571-85179870</w:t>
      </w:r>
    </w:p>
    <w:p w14:paraId="7C9F9010">
      <w:pPr>
        <w:ind w:firstLine="420" w:firstLineChars="0"/>
        <w:rPr>
          <w:rFonts w:hint="eastAsia" w:ascii="宋体" w:hAnsi="宋体" w:eastAsia="宋体"/>
          <w:lang w:eastAsia="zh-CN"/>
        </w:rPr>
      </w:pPr>
      <w:r>
        <w:rPr>
          <w:rFonts w:hint="eastAsia" w:ascii="宋体" w:hAnsi="宋体"/>
        </w:rPr>
        <w:t>地址：</w:t>
      </w:r>
      <w:r>
        <w:rPr>
          <w:rFonts w:hint="eastAsia" w:ascii="宋体" w:hAnsi="宋体"/>
          <w:lang w:eastAsia="zh-CN"/>
        </w:rPr>
        <w:t>杭州市上城区之江东路1958号</w:t>
      </w:r>
    </w:p>
    <w:p w14:paraId="41B90019">
      <w:pPr>
        <w:ind w:firstLine="787" w:firstLineChars="375"/>
        <w:rPr>
          <w:rFonts w:ascii="宋体" w:hAnsi="宋体"/>
          <w:kern w:val="0"/>
        </w:rPr>
      </w:pPr>
      <w:r>
        <w:br w:type="page"/>
      </w:r>
    </w:p>
    <w:bookmarkEnd w:id="4"/>
    <w:p w14:paraId="00000603">
      <w:pPr>
        <w:pStyle w:val="2"/>
        <w:ind w:firstLine="482"/>
      </w:pPr>
      <w:bookmarkStart w:id="38" w:name="_Toc17943"/>
      <w:bookmarkStart w:id="39" w:name="_Toc23581"/>
      <w:bookmarkStart w:id="40" w:name="_Toc25161"/>
      <w:bookmarkStart w:id="41" w:name="_Toc452457412"/>
      <w:r>
        <w:rPr>
          <w:rFonts w:hint="eastAsia"/>
        </w:rPr>
        <w:t>第一章 供应商须知</w:t>
      </w:r>
      <w:bookmarkEnd w:id="38"/>
      <w:bookmarkEnd w:id="39"/>
      <w:bookmarkEnd w:id="40"/>
      <w:bookmarkEnd w:id="41"/>
    </w:p>
    <w:p w14:paraId="22013DF6">
      <w:pPr>
        <w:pStyle w:val="3"/>
      </w:pPr>
      <w:bookmarkStart w:id="42" w:name="_Toc14101"/>
      <w:bookmarkStart w:id="43" w:name="_Toc452457413"/>
      <w:bookmarkStart w:id="44" w:name="_Toc26890"/>
      <w:bookmarkStart w:id="45" w:name="_Toc6469"/>
      <w:r>
        <w:rPr>
          <w:rFonts w:hint="eastAsia"/>
        </w:rPr>
        <w:t>供应商须知前附表</w:t>
      </w:r>
      <w:bookmarkEnd w:id="42"/>
      <w:bookmarkEnd w:id="43"/>
      <w:bookmarkEnd w:id="44"/>
      <w:bookmarkEnd w:id="45"/>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525"/>
        <w:gridCol w:w="6576"/>
      </w:tblGrid>
      <w:tr w14:paraId="34921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77B1FC92">
            <w:pPr>
              <w:spacing w:line="440" w:lineRule="exact"/>
              <w:ind w:firstLine="0" w:firstLineChars="0"/>
              <w:rPr>
                <w:szCs w:val="21"/>
              </w:rPr>
            </w:pPr>
            <w:r>
              <w:rPr>
                <w:szCs w:val="21"/>
              </w:rPr>
              <w:t>条款号</w:t>
            </w:r>
          </w:p>
        </w:tc>
        <w:tc>
          <w:tcPr>
            <w:tcW w:w="1525" w:type="dxa"/>
            <w:vAlign w:val="center"/>
          </w:tcPr>
          <w:p w14:paraId="7F214DAB">
            <w:pPr>
              <w:spacing w:line="440" w:lineRule="exact"/>
              <w:ind w:firstLine="0" w:firstLineChars="0"/>
              <w:jc w:val="left"/>
              <w:rPr>
                <w:szCs w:val="21"/>
              </w:rPr>
            </w:pPr>
            <w:r>
              <w:rPr>
                <w:szCs w:val="21"/>
              </w:rPr>
              <w:t>条款名称</w:t>
            </w:r>
          </w:p>
        </w:tc>
        <w:tc>
          <w:tcPr>
            <w:tcW w:w="6576" w:type="dxa"/>
            <w:vAlign w:val="center"/>
          </w:tcPr>
          <w:p w14:paraId="7D3C0944">
            <w:pPr>
              <w:spacing w:line="440" w:lineRule="exact"/>
              <w:ind w:firstLine="420"/>
              <w:jc w:val="center"/>
              <w:rPr>
                <w:szCs w:val="21"/>
              </w:rPr>
            </w:pPr>
            <w:r>
              <w:rPr>
                <w:szCs w:val="21"/>
              </w:rPr>
              <w:t>编列内容</w:t>
            </w:r>
          </w:p>
        </w:tc>
      </w:tr>
      <w:tr w14:paraId="7980B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51" w:type="dxa"/>
            <w:vAlign w:val="center"/>
          </w:tcPr>
          <w:p w14:paraId="1CDE869D">
            <w:pPr>
              <w:spacing w:before="24" w:beforeLines="10" w:line="340" w:lineRule="atLeast"/>
              <w:ind w:left="210" w:firstLine="0" w:firstLineChars="0"/>
              <w:rPr>
                <w:rFonts w:ascii="宋体" w:hAnsi="宋体"/>
              </w:rPr>
            </w:pPr>
            <w:r>
              <w:rPr>
                <w:rFonts w:hint="eastAsia" w:ascii="宋体" w:hAnsi="宋体"/>
              </w:rPr>
              <w:t>1</w:t>
            </w:r>
          </w:p>
        </w:tc>
        <w:tc>
          <w:tcPr>
            <w:tcW w:w="1525" w:type="dxa"/>
            <w:vAlign w:val="center"/>
          </w:tcPr>
          <w:p w14:paraId="79618C79">
            <w:pPr>
              <w:spacing w:before="24" w:beforeLines="10" w:line="340" w:lineRule="atLeast"/>
              <w:ind w:firstLine="0" w:firstLineChars="0"/>
              <w:jc w:val="left"/>
              <w:rPr>
                <w:rFonts w:ascii="宋体" w:hAnsi="宋体"/>
              </w:rPr>
            </w:pPr>
            <w:r>
              <w:rPr>
                <w:rFonts w:hint="eastAsia" w:ascii="宋体" w:hAnsi="宋体"/>
              </w:rPr>
              <w:t>采购</w:t>
            </w:r>
            <w:r>
              <w:rPr>
                <w:rFonts w:ascii="宋体" w:hAnsi="宋体"/>
              </w:rPr>
              <w:t>方式</w:t>
            </w:r>
          </w:p>
        </w:tc>
        <w:tc>
          <w:tcPr>
            <w:tcW w:w="6576" w:type="dxa"/>
            <w:vAlign w:val="center"/>
          </w:tcPr>
          <w:p w14:paraId="4BCC5212">
            <w:pPr>
              <w:spacing w:before="24" w:beforeLines="10" w:line="340" w:lineRule="atLeast"/>
              <w:ind w:firstLine="420"/>
              <w:jc w:val="left"/>
              <w:rPr>
                <w:rFonts w:ascii="宋体" w:hAnsi="宋体"/>
              </w:rPr>
            </w:pPr>
            <w:r>
              <w:rPr>
                <w:rFonts w:ascii="宋体" w:hAnsi="宋体"/>
              </w:rPr>
              <w:t>竞争性磋商</w:t>
            </w:r>
          </w:p>
        </w:tc>
      </w:tr>
      <w:tr w14:paraId="66AA9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51" w:type="dxa"/>
            <w:vAlign w:val="center"/>
          </w:tcPr>
          <w:p w14:paraId="2CF918FB">
            <w:pPr>
              <w:spacing w:before="24" w:beforeLines="10" w:line="340" w:lineRule="atLeast"/>
              <w:ind w:left="210" w:firstLine="0" w:firstLineChars="0"/>
              <w:rPr>
                <w:rFonts w:ascii="宋体" w:hAnsi="宋体"/>
              </w:rPr>
            </w:pPr>
            <w:r>
              <w:rPr>
                <w:rFonts w:hint="eastAsia" w:ascii="宋体" w:hAnsi="宋体"/>
              </w:rPr>
              <w:t>2</w:t>
            </w:r>
          </w:p>
        </w:tc>
        <w:tc>
          <w:tcPr>
            <w:tcW w:w="1525" w:type="dxa"/>
            <w:vAlign w:val="center"/>
          </w:tcPr>
          <w:p w14:paraId="5B2EBD2F">
            <w:pPr>
              <w:spacing w:before="24" w:beforeLines="10"/>
              <w:ind w:firstLine="0" w:firstLineChars="0"/>
              <w:jc w:val="left"/>
              <w:rPr>
                <w:rFonts w:ascii="宋体" w:hAnsi="宋体"/>
                <w:kern w:val="0"/>
              </w:rPr>
            </w:pPr>
            <w:r>
              <w:rPr>
                <w:rFonts w:hint="eastAsia" w:ascii="宋体" w:hAnsi="宋体" w:cs="宋体"/>
                <w:szCs w:val="21"/>
              </w:rPr>
              <w:t>分包或转包</w:t>
            </w:r>
          </w:p>
        </w:tc>
        <w:tc>
          <w:tcPr>
            <w:tcW w:w="6576" w:type="dxa"/>
            <w:vAlign w:val="center"/>
          </w:tcPr>
          <w:p w14:paraId="7BCABC6E">
            <w:pPr>
              <w:spacing w:before="24" w:beforeLines="10"/>
              <w:ind w:firstLine="420"/>
              <w:jc w:val="left"/>
              <w:rPr>
                <w:rFonts w:ascii="宋体" w:hAnsi="宋体" w:cs="宋体"/>
                <w:szCs w:val="21"/>
              </w:rPr>
            </w:pPr>
            <w:r>
              <w:rPr>
                <w:rFonts w:hint="eastAsia" w:ascii="宋体" w:hAnsi="宋体" w:cs="宋体"/>
                <w:szCs w:val="21"/>
              </w:rPr>
              <w:t>1</w:t>
            </w:r>
            <w:r>
              <w:rPr>
                <w:rFonts w:ascii="宋体" w:hAnsi="宋体" w:cs="宋体"/>
                <w:szCs w:val="21"/>
              </w:rPr>
              <w:t>.</w:t>
            </w:r>
            <w:r>
              <w:rPr>
                <w:rFonts w:hint="eastAsia" w:ascii="宋体" w:hAnsi="宋体" w:cs="宋体"/>
                <w:szCs w:val="21"/>
              </w:rPr>
              <w:t>本项目不得分包。</w:t>
            </w:r>
          </w:p>
          <w:p w14:paraId="333D7406">
            <w:pPr>
              <w:spacing w:before="24" w:beforeLines="10"/>
              <w:ind w:firstLine="420"/>
              <w:jc w:val="left"/>
              <w:rPr>
                <w:rFonts w:ascii="宋体" w:hAnsi="宋体"/>
              </w:rPr>
            </w:pPr>
            <w:r>
              <w:rPr>
                <w:rFonts w:hint="eastAsia" w:ascii="宋体" w:hAnsi="宋体" w:cs="宋体"/>
                <w:szCs w:val="21"/>
              </w:rPr>
              <w:t>2</w:t>
            </w:r>
            <w:r>
              <w:rPr>
                <w:rFonts w:ascii="宋体" w:hAnsi="宋体" w:cs="宋体"/>
                <w:szCs w:val="21"/>
              </w:rPr>
              <w:t>.</w:t>
            </w:r>
            <w:r>
              <w:rPr>
                <w:rFonts w:hint="eastAsia" w:ascii="宋体" w:hAnsi="宋体" w:cs="宋体"/>
                <w:szCs w:val="21"/>
              </w:rPr>
              <w:t>本项目不得转包。</w:t>
            </w:r>
          </w:p>
        </w:tc>
      </w:tr>
      <w:tr w14:paraId="419E7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51" w:type="dxa"/>
            <w:vAlign w:val="center"/>
          </w:tcPr>
          <w:p w14:paraId="280ABE64">
            <w:pPr>
              <w:spacing w:before="24" w:beforeLines="10" w:line="340" w:lineRule="atLeast"/>
              <w:ind w:left="210" w:firstLine="0" w:firstLineChars="0"/>
              <w:rPr>
                <w:rFonts w:ascii="宋体" w:hAnsi="宋体"/>
              </w:rPr>
            </w:pPr>
            <w:r>
              <w:rPr>
                <w:rFonts w:hint="eastAsia" w:ascii="宋体" w:hAnsi="宋体"/>
              </w:rPr>
              <w:t>3</w:t>
            </w:r>
          </w:p>
        </w:tc>
        <w:tc>
          <w:tcPr>
            <w:tcW w:w="1525" w:type="dxa"/>
            <w:vAlign w:val="center"/>
          </w:tcPr>
          <w:p w14:paraId="04BB69D7">
            <w:pPr>
              <w:spacing w:before="24" w:beforeLines="10" w:line="340" w:lineRule="atLeast"/>
              <w:ind w:firstLine="0" w:firstLineChars="0"/>
              <w:jc w:val="left"/>
              <w:rPr>
                <w:rFonts w:ascii="宋体" w:hAnsi="宋体"/>
              </w:rPr>
            </w:pPr>
            <w:r>
              <w:rPr>
                <w:rFonts w:hint="eastAsia" w:ascii="宋体" w:hAnsi="宋体"/>
              </w:rPr>
              <w:t>供应商</w:t>
            </w:r>
            <w:r>
              <w:rPr>
                <w:rFonts w:ascii="宋体" w:hAnsi="宋体"/>
              </w:rPr>
              <w:t>资格条件</w:t>
            </w:r>
          </w:p>
        </w:tc>
        <w:tc>
          <w:tcPr>
            <w:tcW w:w="6576" w:type="dxa"/>
            <w:vAlign w:val="center"/>
          </w:tcPr>
          <w:p w14:paraId="02288C48">
            <w:pPr>
              <w:spacing w:before="24" w:beforeLines="10" w:line="340" w:lineRule="atLeast"/>
              <w:ind w:firstLine="420"/>
              <w:jc w:val="left"/>
              <w:rPr>
                <w:rFonts w:ascii="宋体" w:hAnsi="宋体"/>
              </w:rPr>
            </w:pPr>
            <w:r>
              <w:rPr>
                <w:rFonts w:hint="eastAsia" w:ascii="宋体" w:hAnsi="宋体"/>
              </w:rPr>
              <w:t>见竞争性</w:t>
            </w:r>
            <w:r>
              <w:rPr>
                <w:rFonts w:ascii="宋体" w:hAnsi="宋体"/>
              </w:rPr>
              <w:t>磋商公告</w:t>
            </w:r>
          </w:p>
        </w:tc>
      </w:tr>
      <w:tr w14:paraId="46B38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4EB7A3C4">
            <w:pPr>
              <w:spacing w:before="24" w:beforeLines="10" w:line="340" w:lineRule="atLeast"/>
              <w:ind w:left="210" w:firstLine="0" w:firstLineChars="0"/>
              <w:rPr>
                <w:rFonts w:ascii="宋体" w:hAnsi="宋体"/>
                <w:kern w:val="0"/>
              </w:rPr>
            </w:pPr>
            <w:r>
              <w:rPr>
                <w:rFonts w:hint="eastAsia" w:ascii="宋体" w:hAnsi="宋体"/>
                <w:kern w:val="0"/>
              </w:rPr>
              <w:t>4</w:t>
            </w:r>
          </w:p>
        </w:tc>
        <w:tc>
          <w:tcPr>
            <w:tcW w:w="1525" w:type="dxa"/>
            <w:vAlign w:val="center"/>
          </w:tcPr>
          <w:p w14:paraId="6B711570">
            <w:pPr>
              <w:spacing w:before="24" w:beforeLines="10" w:line="340" w:lineRule="atLeast"/>
              <w:ind w:firstLine="0" w:firstLineChars="0"/>
              <w:jc w:val="left"/>
              <w:rPr>
                <w:szCs w:val="21"/>
              </w:rPr>
            </w:pPr>
            <w:r>
              <w:rPr>
                <w:rFonts w:hint="eastAsia" w:ascii="宋体" w:hAnsi="宋体"/>
              </w:rPr>
              <w:t>磋商</w:t>
            </w:r>
            <w:r>
              <w:rPr>
                <w:rFonts w:ascii="宋体" w:hAnsi="宋体"/>
              </w:rPr>
              <w:t>有效期</w:t>
            </w:r>
          </w:p>
        </w:tc>
        <w:tc>
          <w:tcPr>
            <w:tcW w:w="6576" w:type="dxa"/>
            <w:vAlign w:val="center"/>
          </w:tcPr>
          <w:p w14:paraId="4B31CC74">
            <w:pPr>
              <w:spacing w:line="440" w:lineRule="exact"/>
              <w:ind w:firstLine="420"/>
              <w:rPr>
                <w:szCs w:val="21"/>
              </w:rPr>
            </w:pPr>
            <w:r>
              <w:rPr>
                <w:rFonts w:hint="eastAsia" w:ascii="宋体" w:hAnsi="宋体"/>
              </w:rPr>
              <w:t>60天</w:t>
            </w:r>
          </w:p>
        </w:tc>
      </w:tr>
      <w:tr w14:paraId="54AE0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69339E66">
            <w:pPr>
              <w:spacing w:before="24" w:beforeLines="10" w:line="340" w:lineRule="atLeast"/>
              <w:ind w:left="210" w:firstLine="0" w:firstLineChars="0"/>
              <w:rPr>
                <w:rFonts w:ascii="宋体" w:hAnsi="宋体"/>
                <w:kern w:val="0"/>
              </w:rPr>
            </w:pPr>
            <w:r>
              <w:rPr>
                <w:rFonts w:hint="eastAsia" w:ascii="宋体" w:hAnsi="宋体"/>
                <w:kern w:val="0"/>
              </w:rPr>
              <w:t>5</w:t>
            </w:r>
          </w:p>
        </w:tc>
        <w:tc>
          <w:tcPr>
            <w:tcW w:w="1525" w:type="dxa"/>
            <w:vAlign w:val="center"/>
          </w:tcPr>
          <w:p w14:paraId="50D72066">
            <w:pPr>
              <w:spacing w:before="24" w:beforeLines="10" w:line="340" w:lineRule="atLeast"/>
              <w:ind w:firstLine="0" w:firstLineChars="0"/>
              <w:jc w:val="left"/>
              <w:rPr>
                <w:rFonts w:ascii="宋体" w:hAnsi="宋体"/>
              </w:rPr>
            </w:pPr>
            <w:r>
              <w:rPr>
                <w:rFonts w:hint="eastAsia" w:ascii="宋体" w:hAnsi="宋体"/>
              </w:rPr>
              <w:t>磋商保证金</w:t>
            </w:r>
          </w:p>
        </w:tc>
        <w:tc>
          <w:tcPr>
            <w:tcW w:w="6576" w:type="dxa"/>
            <w:vAlign w:val="center"/>
          </w:tcPr>
          <w:p w14:paraId="738A37AD">
            <w:pPr>
              <w:spacing w:line="440" w:lineRule="exact"/>
              <w:ind w:firstLine="420"/>
              <w:rPr>
                <w:rFonts w:ascii="宋体" w:hAnsi="宋体"/>
              </w:rPr>
            </w:pPr>
            <w:r>
              <w:rPr>
                <w:rFonts w:hint="eastAsia" w:ascii="宋体" w:hAnsi="宋体"/>
              </w:rPr>
              <w:t>无</w:t>
            </w:r>
          </w:p>
        </w:tc>
      </w:tr>
      <w:tr w14:paraId="19AC7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14015046">
            <w:pPr>
              <w:spacing w:before="24" w:beforeLines="10" w:line="340" w:lineRule="atLeast"/>
              <w:ind w:left="210" w:firstLine="0" w:firstLineChars="0"/>
              <w:rPr>
                <w:rFonts w:ascii="宋体" w:hAnsi="宋体"/>
                <w:kern w:val="0"/>
              </w:rPr>
            </w:pPr>
            <w:r>
              <w:rPr>
                <w:rFonts w:hint="eastAsia" w:ascii="宋体" w:hAnsi="宋体"/>
                <w:kern w:val="0"/>
              </w:rPr>
              <w:t>6</w:t>
            </w:r>
          </w:p>
        </w:tc>
        <w:tc>
          <w:tcPr>
            <w:tcW w:w="1525" w:type="dxa"/>
            <w:tcBorders>
              <w:top w:val="single" w:color="auto" w:sz="4" w:space="0"/>
              <w:left w:val="single" w:color="auto" w:sz="4" w:space="0"/>
              <w:bottom w:val="single" w:color="auto" w:sz="4" w:space="0"/>
              <w:right w:val="single" w:color="auto" w:sz="4" w:space="0"/>
            </w:tcBorders>
            <w:vAlign w:val="center"/>
          </w:tcPr>
          <w:p w14:paraId="1EFB964C">
            <w:pPr>
              <w:spacing w:before="24" w:beforeLines="10" w:line="340" w:lineRule="atLeast"/>
              <w:ind w:firstLine="0" w:firstLineChars="0"/>
              <w:jc w:val="left"/>
              <w:rPr>
                <w:rFonts w:ascii="宋体" w:hAnsi="宋体"/>
                <w:kern w:val="0"/>
              </w:rPr>
            </w:pPr>
            <w:r>
              <w:rPr>
                <w:rFonts w:hint="eastAsia" w:ascii="宋体" w:hAnsi="宋体"/>
                <w:kern w:val="0"/>
              </w:rPr>
              <w:t>履约保证金</w:t>
            </w:r>
          </w:p>
        </w:tc>
        <w:tc>
          <w:tcPr>
            <w:tcW w:w="6576" w:type="dxa"/>
            <w:tcBorders>
              <w:top w:val="single" w:color="auto" w:sz="4" w:space="0"/>
              <w:left w:val="single" w:color="auto" w:sz="4" w:space="0"/>
              <w:bottom w:val="single" w:color="auto" w:sz="4" w:space="0"/>
              <w:right w:val="single" w:color="auto" w:sz="4" w:space="0"/>
            </w:tcBorders>
            <w:vAlign w:val="center"/>
          </w:tcPr>
          <w:p w14:paraId="544F9F16">
            <w:pPr>
              <w:spacing w:line="440" w:lineRule="exact"/>
              <w:ind w:firstLine="420"/>
              <w:jc w:val="left"/>
              <w:rPr>
                <w:rFonts w:ascii="宋体" w:hAnsi="宋体"/>
              </w:rPr>
            </w:pPr>
            <w:r>
              <w:rPr>
                <w:rFonts w:hint="default" w:ascii="宋体" w:hAnsi="宋体"/>
              </w:rPr>
              <w:t>无</w:t>
            </w:r>
          </w:p>
        </w:tc>
      </w:tr>
      <w:tr w14:paraId="31E72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6438EC59">
            <w:pPr>
              <w:ind w:firstLine="210" w:firstLineChars="100"/>
              <w:jc w:val="left"/>
              <w:rPr>
                <w:rFonts w:ascii="宋体" w:hAnsi="宋体"/>
              </w:rPr>
            </w:pPr>
            <w:r>
              <w:rPr>
                <w:rFonts w:hint="eastAsia" w:ascii="宋体" w:hAnsi="宋体"/>
              </w:rPr>
              <w:t>7</w:t>
            </w:r>
          </w:p>
        </w:tc>
        <w:tc>
          <w:tcPr>
            <w:tcW w:w="1525" w:type="dxa"/>
            <w:tcBorders>
              <w:top w:val="single" w:color="auto" w:sz="4" w:space="0"/>
              <w:left w:val="single" w:color="auto" w:sz="4" w:space="0"/>
              <w:bottom w:val="single" w:color="auto" w:sz="4" w:space="0"/>
              <w:right w:val="single" w:color="auto" w:sz="4" w:space="0"/>
            </w:tcBorders>
            <w:vAlign w:val="center"/>
          </w:tcPr>
          <w:p w14:paraId="713DA293">
            <w:pPr>
              <w:spacing w:before="24" w:beforeLines="10" w:line="340" w:lineRule="atLeast"/>
              <w:ind w:firstLine="0" w:firstLineChars="0"/>
              <w:jc w:val="left"/>
              <w:rPr>
                <w:rFonts w:ascii="宋体" w:hAnsi="宋体"/>
              </w:rPr>
            </w:pPr>
            <w:r>
              <w:rPr>
                <w:rFonts w:hint="eastAsia" w:ascii="宋体" w:hAnsi="宋体" w:cs="Times New Roman"/>
                <w:kern w:val="2"/>
              </w:rPr>
              <w:t>现场勘查</w:t>
            </w:r>
          </w:p>
        </w:tc>
        <w:tc>
          <w:tcPr>
            <w:tcW w:w="6576" w:type="dxa"/>
            <w:tcBorders>
              <w:top w:val="single" w:color="auto" w:sz="4" w:space="0"/>
              <w:left w:val="single" w:color="auto" w:sz="4" w:space="0"/>
              <w:bottom w:val="single" w:color="auto" w:sz="4" w:space="0"/>
              <w:right w:val="single" w:color="auto" w:sz="4" w:space="0"/>
            </w:tcBorders>
            <w:vAlign w:val="center"/>
          </w:tcPr>
          <w:p w14:paraId="4A7E3F90">
            <w:pPr>
              <w:snapToGrid/>
              <w:spacing w:before="0" w:beforeLines="-2147483648" w:line="440" w:lineRule="exact"/>
              <w:ind w:firstLine="420" w:firstLineChars="0"/>
              <w:jc w:val="left"/>
              <w:rPr>
                <w:rFonts w:ascii="宋体" w:hAnsi="宋体"/>
              </w:rPr>
            </w:pPr>
            <w:r>
              <w:rPr>
                <w:rFonts w:hint="eastAsia" w:ascii="宋体" w:hAnsi="宋体" w:cs="Times New Roman"/>
              </w:rPr>
              <w:t>无</w:t>
            </w:r>
          </w:p>
        </w:tc>
      </w:tr>
      <w:tr w14:paraId="5BF56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50C560C1">
            <w:pPr>
              <w:ind w:firstLine="210" w:firstLineChars="100"/>
              <w:jc w:val="left"/>
              <w:rPr>
                <w:rFonts w:ascii="宋体" w:hAnsi="宋体"/>
              </w:rPr>
            </w:pPr>
            <w:r>
              <w:rPr>
                <w:rFonts w:hint="eastAsia" w:ascii="宋体" w:hAnsi="宋体"/>
              </w:rPr>
              <w:t>8</w:t>
            </w:r>
          </w:p>
        </w:tc>
        <w:tc>
          <w:tcPr>
            <w:tcW w:w="1525" w:type="dxa"/>
            <w:tcBorders>
              <w:top w:val="single" w:color="auto" w:sz="4" w:space="0"/>
              <w:left w:val="single" w:color="auto" w:sz="4" w:space="0"/>
              <w:bottom w:val="single" w:color="auto" w:sz="4" w:space="0"/>
              <w:right w:val="single" w:color="auto" w:sz="4" w:space="0"/>
            </w:tcBorders>
            <w:vAlign w:val="center"/>
          </w:tcPr>
          <w:p w14:paraId="2DB16002">
            <w:pPr>
              <w:spacing w:before="24" w:beforeLines="10" w:line="340" w:lineRule="atLeast"/>
              <w:ind w:firstLine="0" w:firstLineChars="0"/>
              <w:jc w:val="left"/>
              <w:rPr>
                <w:rFonts w:hint="eastAsia" w:ascii="宋体" w:hAnsi="宋体" w:cs="Times New Roman"/>
              </w:rPr>
            </w:pPr>
            <w:r>
              <w:rPr>
                <w:rFonts w:hint="eastAsia" w:ascii="宋体" w:hAnsi="宋体" w:cs="Times New Roman"/>
              </w:rPr>
              <w:t>视频演示</w:t>
            </w:r>
          </w:p>
        </w:tc>
        <w:tc>
          <w:tcPr>
            <w:tcW w:w="6576" w:type="dxa"/>
            <w:tcBorders>
              <w:top w:val="single" w:color="auto" w:sz="4" w:space="0"/>
              <w:left w:val="single" w:color="auto" w:sz="4" w:space="0"/>
              <w:bottom w:val="single" w:color="auto" w:sz="4" w:space="0"/>
              <w:right w:val="single" w:color="auto" w:sz="4" w:space="0"/>
            </w:tcBorders>
            <w:vAlign w:val="center"/>
          </w:tcPr>
          <w:p w14:paraId="5C6D4166">
            <w:pPr>
              <w:spacing w:before="0" w:beforeLines="-2147483648" w:line="440" w:lineRule="exact"/>
              <w:ind w:firstLine="420" w:firstLineChars="0"/>
              <w:jc w:val="left"/>
              <w:rPr>
                <w:rFonts w:hint="eastAsia" w:ascii="宋体" w:hAnsi="宋体" w:cs="Times New Roman"/>
              </w:rPr>
            </w:pPr>
            <w:r>
              <w:rPr>
                <w:rFonts w:hint="eastAsia" w:ascii="宋体" w:hAnsi="宋体" w:cs="Times New Roman"/>
              </w:rPr>
              <w:t>无</w:t>
            </w:r>
          </w:p>
        </w:tc>
      </w:tr>
      <w:tr w14:paraId="6C3F4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1" w:type="dxa"/>
            <w:vAlign w:val="center"/>
          </w:tcPr>
          <w:p w14:paraId="6790CA99">
            <w:pPr>
              <w:spacing w:before="24" w:beforeLines="10" w:line="340" w:lineRule="atLeast"/>
              <w:ind w:left="210" w:firstLine="0" w:firstLineChars="0"/>
              <w:rPr>
                <w:rFonts w:ascii="宋体" w:hAnsi="宋体"/>
              </w:rPr>
            </w:pPr>
            <w:r>
              <w:rPr>
                <w:rFonts w:hint="eastAsia" w:ascii="宋体" w:hAnsi="宋体"/>
              </w:rPr>
              <w:t>9</w:t>
            </w:r>
          </w:p>
        </w:tc>
        <w:tc>
          <w:tcPr>
            <w:tcW w:w="1525" w:type="dxa"/>
            <w:vAlign w:val="center"/>
          </w:tcPr>
          <w:p w14:paraId="00D5BDD4">
            <w:pPr>
              <w:spacing w:before="24" w:beforeLines="10"/>
              <w:ind w:firstLine="0" w:firstLineChars="0"/>
              <w:rPr>
                <w:rFonts w:ascii="宋体" w:hAnsi="宋体"/>
                <w:kern w:val="0"/>
              </w:rPr>
            </w:pPr>
            <w:r>
              <w:rPr>
                <w:rFonts w:hint="eastAsia" w:ascii="宋体" w:hAnsi="宋体" w:cs="宋体"/>
                <w:kern w:val="0"/>
                <w:szCs w:val="21"/>
              </w:rPr>
              <w:t>响应文件编制、装订及密封要求</w:t>
            </w:r>
          </w:p>
        </w:tc>
        <w:tc>
          <w:tcPr>
            <w:tcW w:w="6576" w:type="dxa"/>
            <w:vAlign w:val="center"/>
          </w:tcPr>
          <w:p w14:paraId="448FF904">
            <w:pPr>
              <w:spacing w:before="24" w:beforeLines="10"/>
              <w:ind w:firstLine="420"/>
              <w:jc w:val="left"/>
              <w:rPr>
                <w:rFonts w:ascii="宋体" w:hAnsi="宋体" w:cs="宋体"/>
                <w:szCs w:val="21"/>
              </w:rPr>
            </w:pPr>
            <w:r>
              <w:rPr>
                <w:rFonts w:hint="eastAsia" w:ascii="宋体" w:hAnsi="宋体" w:cs="宋体"/>
                <w:szCs w:val="21"/>
              </w:rPr>
              <w:t>供应商应按本磋商文件规定的格式及要求编制、签署、盖章、装订、密封响应文件，并标注页码，提供目录。</w:t>
            </w:r>
          </w:p>
          <w:p w14:paraId="38E961E8">
            <w:pPr>
              <w:ind w:firstLine="420" w:firstLineChars="200"/>
              <w:jc w:val="left"/>
              <w:rPr>
                <w:rFonts w:ascii="宋体" w:hAnsi="宋体"/>
              </w:rPr>
            </w:pPr>
            <w:r>
              <w:rPr>
                <w:rFonts w:hint="eastAsia" w:ascii="宋体" w:hAnsi="宋体" w:cs="宋体"/>
                <w:szCs w:val="21"/>
              </w:rPr>
              <w:t>将资格证明文件、报价文件、商务技术文件三部分装订成一本并密封，并在外包装封皮上注明：采购人名称、项目名称、采购编号、供应商名称，授权委托人签名。响应文件均应胶装。</w:t>
            </w:r>
          </w:p>
        </w:tc>
      </w:tr>
      <w:tr w14:paraId="09786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51" w:type="dxa"/>
            <w:vAlign w:val="center"/>
          </w:tcPr>
          <w:p w14:paraId="6ACA5C57">
            <w:pPr>
              <w:spacing w:before="24" w:beforeLines="10" w:line="340" w:lineRule="atLeast"/>
              <w:ind w:left="210" w:firstLine="0" w:firstLineChars="0"/>
              <w:rPr>
                <w:rFonts w:ascii="宋体" w:hAnsi="宋体"/>
              </w:rPr>
            </w:pPr>
            <w:r>
              <w:rPr>
                <w:rFonts w:hint="eastAsia" w:ascii="宋体" w:hAnsi="宋体"/>
              </w:rPr>
              <w:t>10</w:t>
            </w:r>
          </w:p>
        </w:tc>
        <w:tc>
          <w:tcPr>
            <w:tcW w:w="1525" w:type="dxa"/>
            <w:vAlign w:val="center"/>
          </w:tcPr>
          <w:p w14:paraId="13DA97AC">
            <w:pPr>
              <w:spacing w:before="24" w:beforeLines="10"/>
              <w:ind w:firstLine="0" w:firstLineChars="0"/>
              <w:rPr>
                <w:rFonts w:ascii="宋体" w:hAnsi="宋体"/>
              </w:rPr>
            </w:pPr>
            <w:r>
              <w:rPr>
                <w:rFonts w:hint="eastAsia" w:ascii="宋体" w:hAnsi="宋体" w:cs="宋体"/>
                <w:szCs w:val="21"/>
              </w:rPr>
              <w:t>响应文件份数</w:t>
            </w:r>
          </w:p>
        </w:tc>
        <w:tc>
          <w:tcPr>
            <w:tcW w:w="6576" w:type="dxa"/>
            <w:tcBorders>
              <w:top w:val="single" w:color="auto" w:sz="4" w:space="0"/>
              <w:left w:val="single" w:color="auto" w:sz="4" w:space="0"/>
              <w:bottom w:val="single" w:color="auto" w:sz="4" w:space="0"/>
              <w:right w:val="single" w:color="auto" w:sz="4" w:space="0"/>
            </w:tcBorders>
            <w:vAlign w:val="center"/>
          </w:tcPr>
          <w:p w14:paraId="3E02E4E4">
            <w:pPr>
              <w:ind w:firstLine="420"/>
              <w:rPr>
                <w:rFonts w:ascii="宋体" w:hAnsi="宋体" w:cs="宋体"/>
                <w:szCs w:val="21"/>
              </w:rPr>
            </w:pPr>
            <w:r>
              <w:rPr>
                <w:rFonts w:hint="eastAsia" w:ascii="宋体" w:hAnsi="宋体" w:cs="宋体"/>
                <w:szCs w:val="21"/>
              </w:rPr>
              <w:t>1.纸质版：磋商响应文件正本1份，副本3份</w:t>
            </w:r>
          </w:p>
          <w:p w14:paraId="0FF47D44">
            <w:pPr>
              <w:ind w:firstLine="420"/>
              <w:jc w:val="left"/>
              <w:rPr>
                <w:szCs w:val="21"/>
              </w:rPr>
            </w:pPr>
            <w:r>
              <w:rPr>
                <w:rFonts w:hint="eastAsia" w:ascii="宋体" w:hAnsi="宋体" w:cs="宋体"/>
                <w:szCs w:val="21"/>
              </w:rPr>
              <w:t>2.电子响应文件：</w:t>
            </w:r>
            <w:r>
              <w:rPr>
                <w:rFonts w:hint="eastAsia" w:ascii="宋体" w:hAnsi="宋体" w:cs="宋体"/>
                <w:szCs w:val="21"/>
                <w:u w:val="single"/>
              </w:rPr>
              <w:t xml:space="preserve"> 1 </w:t>
            </w:r>
            <w:r>
              <w:rPr>
                <w:rFonts w:hint="eastAsia" w:ascii="宋体" w:hAnsi="宋体" w:cs="宋体"/>
                <w:szCs w:val="21"/>
              </w:rPr>
              <w:t>份，内容与纸质响应文件正本（已盖章签字）一致，PDF格式，U盘存储。不一致的，以纸质响应文件正本为准。（U盘随响应文件一并密封）</w:t>
            </w:r>
          </w:p>
        </w:tc>
      </w:tr>
      <w:tr w14:paraId="1E465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851" w:type="dxa"/>
            <w:vAlign w:val="center"/>
          </w:tcPr>
          <w:p w14:paraId="32C98928">
            <w:pPr>
              <w:spacing w:before="24" w:beforeLines="10" w:line="340" w:lineRule="atLeast"/>
              <w:ind w:left="210" w:firstLine="0" w:firstLineChars="0"/>
              <w:rPr>
                <w:rFonts w:ascii="宋体" w:hAnsi="宋体"/>
              </w:rPr>
            </w:pPr>
            <w:r>
              <w:rPr>
                <w:rFonts w:hint="eastAsia" w:ascii="宋体" w:hAnsi="宋体"/>
              </w:rPr>
              <w:t>11</w:t>
            </w:r>
          </w:p>
        </w:tc>
        <w:tc>
          <w:tcPr>
            <w:tcW w:w="1525" w:type="dxa"/>
            <w:vAlign w:val="center"/>
          </w:tcPr>
          <w:p w14:paraId="75AF2A9B">
            <w:pPr>
              <w:spacing w:before="24" w:beforeLines="10"/>
              <w:ind w:firstLine="0" w:firstLineChars="0"/>
              <w:rPr>
                <w:rFonts w:ascii="宋体" w:hAnsi="宋体"/>
              </w:rPr>
            </w:pPr>
            <w:r>
              <w:rPr>
                <w:rFonts w:hint="eastAsia" w:ascii="宋体" w:hAnsi="宋体" w:cs="宋体"/>
                <w:szCs w:val="21"/>
              </w:rPr>
              <w:t>响应文件的接收</w:t>
            </w:r>
          </w:p>
        </w:tc>
        <w:tc>
          <w:tcPr>
            <w:tcW w:w="6576" w:type="dxa"/>
            <w:tcBorders>
              <w:top w:val="single" w:color="auto" w:sz="4" w:space="0"/>
              <w:left w:val="single" w:color="auto" w:sz="4" w:space="0"/>
              <w:bottom w:val="single" w:color="auto" w:sz="4" w:space="0"/>
              <w:right w:val="single" w:color="auto" w:sz="4" w:space="0"/>
            </w:tcBorders>
            <w:vAlign w:val="center"/>
          </w:tcPr>
          <w:p w14:paraId="04CB0AA7">
            <w:pPr>
              <w:ind w:firstLine="420"/>
              <w:jc w:val="left"/>
              <w:rPr>
                <w:rFonts w:ascii="宋体" w:hAnsi="宋体" w:cs="宋体"/>
                <w:bCs/>
                <w:szCs w:val="21"/>
              </w:rPr>
            </w:pPr>
            <w:r>
              <w:rPr>
                <w:rFonts w:hint="eastAsia" w:ascii="宋体" w:hAnsi="宋体" w:cs="宋体"/>
                <w:bCs/>
                <w:szCs w:val="21"/>
              </w:rPr>
              <w:t>供应商递交响应文件时，如出现下列情况之一的，响应文件将被拒收：</w:t>
            </w:r>
          </w:p>
          <w:p w14:paraId="58DD0DFD">
            <w:pPr>
              <w:ind w:firstLine="420"/>
              <w:jc w:val="left"/>
              <w:rPr>
                <w:rFonts w:ascii="宋体" w:hAnsi="宋体" w:cs="宋体"/>
                <w:bCs/>
                <w:szCs w:val="21"/>
              </w:rPr>
            </w:pPr>
            <w:r>
              <w:rPr>
                <w:rFonts w:ascii="宋体" w:hAnsi="宋体" w:cs="宋体"/>
                <w:bCs/>
                <w:szCs w:val="21"/>
              </w:rPr>
              <w:t>1.</w:t>
            </w:r>
            <w:r>
              <w:rPr>
                <w:rFonts w:hint="eastAsia" w:ascii="宋体" w:hAnsi="宋体" w:cs="宋体"/>
                <w:bCs/>
                <w:szCs w:val="21"/>
              </w:rPr>
              <w:t>未密封的响应文件；</w:t>
            </w:r>
          </w:p>
          <w:p w14:paraId="6BA70959">
            <w:pPr>
              <w:ind w:firstLine="420"/>
              <w:jc w:val="left"/>
              <w:rPr>
                <w:rFonts w:ascii="宋体" w:hAnsi="宋体" w:cs="宋体"/>
                <w:bCs/>
                <w:szCs w:val="21"/>
              </w:rPr>
            </w:pPr>
            <w:r>
              <w:rPr>
                <w:rFonts w:ascii="宋体" w:hAnsi="宋体" w:cs="宋体"/>
                <w:bCs/>
                <w:szCs w:val="21"/>
              </w:rPr>
              <w:t>2.</w:t>
            </w:r>
            <w:r>
              <w:rPr>
                <w:rFonts w:hint="eastAsia" w:ascii="宋体" w:hAnsi="宋体" w:cs="宋体"/>
                <w:bCs/>
                <w:szCs w:val="21"/>
              </w:rPr>
              <w:t>由于包装不妥，在送交途中严重破损或失散的响应文件；</w:t>
            </w:r>
          </w:p>
          <w:p w14:paraId="3745FC90">
            <w:pPr>
              <w:ind w:firstLine="420"/>
              <w:jc w:val="left"/>
              <w:rPr>
                <w:rFonts w:ascii="宋体" w:hAnsi="宋体" w:cs="宋体"/>
                <w:bCs/>
                <w:szCs w:val="21"/>
              </w:rPr>
            </w:pPr>
            <w:r>
              <w:rPr>
                <w:rFonts w:ascii="宋体" w:hAnsi="宋体" w:cs="宋体"/>
                <w:bCs/>
                <w:szCs w:val="21"/>
              </w:rPr>
              <w:t>3.</w:t>
            </w:r>
            <w:r>
              <w:rPr>
                <w:rFonts w:hint="eastAsia" w:ascii="宋体" w:hAnsi="宋体" w:cs="宋体"/>
                <w:bCs/>
                <w:szCs w:val="21"/>
              </w:rPr>
              <w:t>仅以非纸制文本形式的响应文件；</w:t>
            </w:r>
          </w:p>
          <w:p w14:paraId="5CD1B5E6">
            <w:pPr>
              <w:ind w:firstLine="420"/>
              <w:jc w:val="left"/>
              <w:rPr>
                <w:rFonts w:ascii="宋体" w:hAnsi="宋体"/>
              </w:rPr>
            </w:pPr>
            <w:r>
              <w:rPr>
                <w:rFonts w:ascii="宋体" w:hAnsi="宋体" w:cs="宋体"/>
                <w:bCs/>
                <w:szCs w:val="21"/>
              </w:rPr>
              <w:t>4.</w:t>
            </w:r>
            <w:r>
              <w:rPr>
                <w:rFonts w:hint="eastAsia" w:ascii="宋体" w:hAnsi="宋体" w:cs="宋体"/>
                <w:bCs/>
                <w:szCs w:val="21"/>
              </w:rPr>
              <w:t>超过磋商截止时间送达的响应文件。</w:t>
            </w:r>
          </w:p>
        </w:tc>
      </w:tr>
      <w:tr w14:paraId="7712A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851" w:type="dxa"/>
            <w:vAlign w:val="center"/>
          </w:tcPr>
          <w:p w14:paraId="1E69E489">
            <w:pPr>
              <w:spacing w:before="24" w:beforeLines="10" w:line="340" w:lineRule="atLeast"/>
              <w:ind w:left="210" w:firstLine="0" w:firstLineChars="0"/>
              <w:rPr>
                <w:rFonts w:ascii="宋体" w:hAnsi="宋体"/>
                <w:kern w:val="0"/>
              </w:rPr>
            </w:pPr>
            <w:r>
              <w:rPr>
                <w:rFonts w:hint="eastAsia" w:ascii="宋体" w:hAnsi="宋体"/>
                <w:kern w:val="0"/>
              </w:rPr>
              <w:t>12</w:t>
            </w:r>
          </w:p>
        </w:tc>
        <w:tc>
          <w:tcPr>
            <w:tcW w:w="1525" w:type="dxa"/>
            <w:vAlign w:val="center"/>
          </w:tcPr>
          <w:p w14:paraId="4B85AAF0">
            <w:pPr>
              <w:spacing w:before="24" w:beforeLines="10"/>
              <w:ind w:firstLine="0" w:firstLineChars="0"/>
              <w:rPr>
                <w:rFonts w:ascii="宋体" w:hAnsi="宋体"/>
              </w:rPr>
            </w:pPr>
            <w:r>
              <w:rPr>
                <w:rFonts w:hint="eastAsia" w:ascii="宋体" w:hAnsi="宋体" w:cs="宋体"/>
                <w:szCs w:val="21"/>
              </w:rPr>
              <w:t>信用记录</w:t>
            </w:r>
          </w:p>
        </w:tc>
        <w:tc>
          <w:tcPr>
            <w:tcW w:w="6576" w:type="dxa"/>
            <w:vAlign w:val="center"/>
          </w:tcPr>
          <w:p w14:paraId="223F6B85">
            <w:pPr>
              <w:ind w:firstLine="420"/>
              <w:rPr>
                <w:rFonts w:ascii="宋体" w:hAnsi="宋体" w:cs="宋体"/>
                <w:szCs w:val="21"/>
              </w:rPr>
            </w:pPr>
            <w:r>
              <w:rPr>
                <w:rFonts w:hint="eastAsia" w:ascii="宋体" w:hAnsi="宋体" w:cs="宋体"/>
                <w:szCs w:val="21"/>
                <w:lang w:val="en-US" w:eastAsia="zh-CN"/>
              </w:rPr>
              <w:t>参照</w:t>
            </w:r>
            <w:r>
              <w:rPr>
                <w:rFonts w:hint="eastAsia" w:ascii="宋体" w:hAnsi="宋体" w:cs="宋体"/>
                <w:szCs w:val="21"/>
              </w:rPr>
              <w:t>财库〔2016〕125号《关于在政府采购活动中查询及使用信用记录有关问题的通知》要求，采购代理机构将对投标人信用记录进行查询并甄别。</w:t>
            </w:r>
          </w:p>
          <w:p w14:paraId="19277827">
            <w:pPr>
              <w:ind w:firstLine="420"/>
              <w:rPr>
                <w:rFonts w:ascii="宋体" w:hAnsi="宋体" w:cs="宋体"/>
                <w:szCs w:val="21"/>
              </w:rPr>
            </w:pPr>
            <w:r>
              <w:rPr>
                <w:rFonts w:ascii="宋体" w:hAnsi="宋体" w:cs="宋体"/>
                <w:szCs w:val="21"/>
              </w:rPr>
              <w:t>1.</w:t>
            </w:r>
            <w:r>
              <w:rPr>
                <w:rFonts w:hint="eastAsia" w:ascii="宋体" w:hAnsi="宋体" w:cs="宋体"/>
                <w:szCs w:val="21"/>
              </w:rPr>
              <w:t>信用信息查询的截止时点：投标截止日；</w:t>
            </w:r>
          </w:p>
          <w:p w14:paraId="19499393">
            <w:pPr>
              <w:ind w:firstLine="420"/>
              <w:rPr>
                <w:rFonts w:ascii="宋体" w:hAnsi="宋体" w:cs="宋体"/>
                <w:szCs w:val="21"/>
              </w:rPr>
            </w:pPr>
            <w:r>
              <w:rPr>
                <w:rFonts w:ascii="宋体" w:hAnsi="宋体" w:cs="宋体"/>
                <w:szCs w:val="21"/>
              </w:rPr>
              <w:t>2.</w:t>
            </w:r>
            <w:r>
              <w:rPr>
                <w:rFonts w:hint="eastAsia" w:ascii="宋体" w:hAnsi="宋体" w:cs="宋体"/>
                <w:szCs w:val="21"/>
              </w:rPr>
              <w:t>查询渠道：“信用中国”（www.creditchina.gov.cn）、“中国政府采购网”（www.ccgp.gov.cn）；</w:t>
            </w:r>
          </w:p>
          <w:p w14:paraId="3F6FB76A">
            <w:pPr>
              <w:ind w:firstLine="420"/>
              <w:rPr>
                <w:rFonts w:ascii="宋体" w:hAnsi="宋体" w:cs="宋体"/>
                <w:szCs w:val="21"/>
              </w:rPr>
            </w:pPr>
            <w:r>
              <w:rPr>
                <w:rFonts w:ascii="宋体" w:hAnsi="宋体" w:cs="宋体"/>
                <w:szCs w:val="21"/>
              </w:rPr>
              <w:t>3.</w:t>
            </w:r>
            <w:r>
              <w:rPr>
                <w:rFonts w:hint="eastAsia" w:ascii="宋体" w:hAnsi="宋体" w:cs="宋体"/>
                <w:szCs w:val="21"/>
              </w:rPr>
              <w:t>信用信息查询记录和证据留存具体方式：采购代理机构将查询网页打印并保存；</w:t>
            </w:r>
          </w:p>
          <w:p w14:paraId="7FFB7F92">
            <w:pPr>
              <w:ind w:firstLine="420"/>
              <w:rPr>
                <w:rFonts w:ascii="宋体" w:hAnsi="宋体" w:cs="宋体"/>
                <w:szCs w:val="21"/>
              </w:rPr>
            </w:pPr>
            <w:r>
              <w:rPr>
                <w:rFonts w:ascii="宋体" w:hAnsi="宋体" w:cs="宋体"/>
                <w:szCs w:val="21"/>
              </w:rPr>
              <w:t>4.</w:t>
            </w:r>
            <w:r>
              <w:rPr>
                <w:rFonts w:hint="eastAsia" w:ascii="宋体" w:hAnsi="宋体" w:cs="宋体"/>
                <w:szCs w:val="21"/>
              </w:rPr>
              <w:t>信用信息的使用规则：对列入失信被执行人、重大税收违法案件当事人名单、政府采购严重违法失信行为记录名单及其他不符合《中华人民共和国政府采购法》第二十二条规定条件的投标人，将拒绝其参与政府采购活动；</w:t>
            </w:r>
          </w:p>
          <w:p w14:paraId="48FF76E9">
            <w:pPr>
              <w:ind w:firstLine="420"/>
              <w:rPr>
                <w:rFonts w:ascii="宋体" w:hAnsi="宋体" w:cs="宋体"/>
                <w:szCs w:val="21"/>
              </w:rPr>
            </w:pPr>
            <w:r>
              <w:rPr>
                <w:rFonts w:ascii="宋体" w:hAnsi="宋体" w:cs="宋体"/>
                <w:szCs w:val="21"/>
              </w:rPr>
              <w:t>5.</w:t>
            </w:r>
            <w:r>
              <w:rPr>
                <w:rFonts w:hint="eastAsia" w:ascii="宋体" w:hAnsi="宋体" w:cs="宋体"/>
                <w:szCs w:val="21"/>
              </w:rPr>
              <w:t>行政处罚较大数额罚款标准认定：</w:t>
            </w:r>
            <w:r>
              <w:rPr>
                <w:rFonts w:hint="eastAsia" w:ascii="宋体" w:hAnsi="宋体" w:cs="宋体"/>
                <w:szCs w:val="21"/>
                <w:lang w:val="en-US" w:eastAsia="zh-CN"/>
              </w:rPr>
              <w:t>参照</w:t>
            </w:r>
            <w:r>
              <w:rPr>
                <w:rFonts w:hint="eastAsia" w:ascii="宋体" w:hAnsi="宋体" w:cs="宋体"/>
                <w:szCs w:val="21"/>
              </w:rPr>
              <w:t>《财政部关于《中华人民共和国政府采购法实施条例》第十九条第一款“较大数额罚款”具体适用问题的意见》（财库〔2022〕3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14:paraId="7317DD33">
            <w:pPr>
              <w:ind w:firstLine="420"/>
              <w:rPr>
                <w:rFonts w:hAnsi="宋体"/>
                <w:u w:val="thick"/>
              </w:rPr>
            </w:pPr>
            <w:r>
              <w:rPr>
                <w:rFonts w:ascii="宋体" w:hAnsi="宋体" w:cs="宋体"/>
                <w:szCs w:val="21"/>
              </w:rPr>
              <w:t>6.</w:t>
            </w:r>
            <w:r>
              <w:rPr>
                <w:rFonts w:hint="eastAsia" w:ascii="宋体" w:hAnsi="宋体" w:cs="宋体"/>
                <w:szCs w:val="21"/>
              </w:rPr>
              <w:t>若联合体成员存在不良信用记录的，视同联合体存在不良信用记录。</w:t>
            </w:r>
          </w:p>
        </w:tc>
      </w:tr>
      <w:tr w14:paraId="548AC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851" w:type="dxa"/>
            <w:vAlign w:val="center"/>
          </w:tcPr>
          <w:p w14:paraId="257E9107">
            <w:pPr>
              <w:spacing w:before="24" w:beforeLines="10" w:line="340" w:lineRule="atLeast"/>
              <w:ind w:left="210" w:firstLine="0" w:firstLineChars="0"/>
              <w:rPr>
                <w:rFonts w:hint="eastAsia" w:ascii="宋体" w:hAnsi="宋体" w:eastAsia="宋体"/>
                <w:kern w:val="0"/>
                <w:lang w:eastAsia="zh-CN"/>
              </w:rPr>
            </w:pPr>
            <w:r>
              <w:rPr>
                <w:rFonts w:hint="eastAsia" w:ascii="宋体" w:hAnsi="宋体"/>
                <w:kern w:val="0"/>
              </w:rPr>
              <w:t>1</w:t>
            </w:r>
            <w:r>
              <w:rPr>
                <w:rFonts w:hint="eastAsia" w:ascii="宋体" w:hAnsi="宋体"/>
                <w:kern w:val="0"/>
                <w:lang w:val="en-US" w:eastAsia="zh-CN"/>
              </w:rPr>
              <w:t>3</w:t>
            </w:r>
          </w:p>
        </w:tc>
        <w:tc>
          <w:tcPr>
            <w:tcW w:w="1525" w:type="dxa"/>
            <w:vAlign w:val="center"/>
          </w:tcPr>
          <w:p w14:paraId="73B91554">
            <w:pPr>
              <w:spacing w:before="24" w:beforeLines="10"/>
              <w:ind w:firstLine="0" w:firstLineChars="0"/>
              <w:jc w:val="left"/>
              <w:rPr>
                <w:rFonts w:ascii="宋体" w:hAnsi="宋体"/>
                <w:kern w:val="0"/>
              </w:rPr>
            </w:pPr>
            <w:r>
              <w:rPr>
                <w:rFonts w:hint="eastAsia" w:ascii="宋体" w:hAnsi="宋体" w:cs="宋体"/>
                <w:kern w:val="0"/>
                <w:szCs w:val="21"/>
              </w:rPr>
              <w:t>采购代理服务费</w:t>
            </w:r>
          </w:p>
        </w:tc>
        <w:tc>
          <w:tcPr>
            <w:tcW w:w="6576" w:type="dxa"/>
            <w:vAlign w:val="center"/>
          </w:tcPr>
          <w:p w14:paraId="6435435A">
            <w:pPr>
              <w:spacing w:before="24" w:beforeLines="10"/>
              <w:ind w:firstLine="0" w:firstLineChars="0"/>
              <w:jc w:val="left"/>
              <w:rPr>
                <w:rFonts w:ascii="宋体" w:hAnsi="宋体" w:cs="宋体"/>
                <w:kern w:val="0"/>
                <w:szCs w:val="21"/>
                <w:lang w:bidi="ar"/>
              </w:rPr>
            </w:pPr>
            <w:r>
              <w:rPr>
                <w:rFonts w:hint="eastAsia" w:ascii="宋体" w:hAnsi="宋体" w:cs="宋体"/>
                <w:kern w:val="0"/>
                <w:szCs w:val="21"/>
                <w:lang w:bidi="ar"/>
              </w:rPr>
              <w:t>本项目的采购代理服务费为：</w:t>
            </w:r>
          </w:p>
          <w:p w14:paraId="07D5E713">
            <w:pPr>
              <w:spacing w:before="24" w:beforeLines="10"/>
              <w:ind w:firstLine="0" w:firstLineChars="0"/>
              <w:jc w:val="left"/>
              <w:rPr>
                <w:rFonts w:ascii="宋体" w:hAnsi="宋体" w:cs="宋体"/>
                <w:kern w:val="0"/>
                <w:szCs w:val="21"/>
                <w:lang w:bidi="ar"/>
              </w:rPr>
            </w:pPr>
            <w:r>
              <w:rPr>
                <w:rFonts w:hint="eastAsia" w:ascii="宋体" w:hAnsi="宋体" w:cs="宋体"/>
                <w:kern w:val="0"/>
                <w:szCs w:val="21"/>
                <w:lang w:bidi="ar"/>
              </w:rPr>
              <w:t>（1）采购代理服务收费采用差额定率累进计费方式，以成交金额为计算基数。</w:t>
            </w:r>
          </w:p>
          <w:p w14:paraId="3D34EE5F">
            <w:pPr>
              <w:spacing w:before="24" w:beforeLines="10"/>
              <w:ind w:firstLine="0" w:firstLineChars="0"/>
              <w:jc w:val="left"/>
              <w:rPr>
                <w:rFonts w:ascii="宋体" w:hAnsi="宋体" w:cs="宋体"/>
                <w:kern w:val="0"/>
                <w:szCs w:val="21"/>
                <w:lang w:bidi="ar"/>
              </w:rPr>
            </w:pPr>
            <w:r>
              <w:rPr>
                <w:rFonts w:hint="eastAsia" w:ascii="宋体" w:hAnsi="宋体" w:cs="宋体"/>
                <w:kern w:val="0"/>
                <w:szCs w:val="21"/>
                <w:lang w:bidi="ar"/>
              </w:rPr>
              <w:t>（2）各区段具体收费标准如下：</w:t>
            </w:r>
          </w:p>
          <w:p w14:paraId="4096BA66">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成交金额              费率</w:t>
            </w:r>
          </w:p>
          <w:p w14:paraId="38BDFB04">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100万元以下          1.</w:t>
            </w:r>
            <w:r>
              <w:rPr>
                <w:rFonts w:ascii="宋体" w:hAnsi="宋体" w:cs="宋体"/>
                <w:kern w:val="0"/>
                <w:szCs w:val="21"/>
                <w:lang w:bidi="ar"/>
              </w:rPr>
              <w:t>2</w:t>
            </w:r>
            <w:r>
              <w:rPr>
                <w:rFonts w:hint="eastAsia" w:ascii="宋体" w:hAnsi="宋体" w:cs="宋体"/>
                <w:kern w:val="0"/>
                <w:szCs w:val="21"/>
                <w:lang w:bidi="ar"/>
              </w:rPr>
              <w:t>%</w:t>
            </w:r>
          </w:p>
          <w:p w14:paraId="4516C39D">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100-500万元          0.64%</w:t>
            </w:r>
          </w:p>
          <w:p w14:paraId="200B6E52">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备注：本项费用在报价表中不单列报价子项，由供应商自行在企业运营成本等或各单价中列支，不足</w:t>
            </w:r>
            <w:r>
              <w:rPr>
                <w:rFonts w:hint="eastAsia" w:ascii="宋体" w:hAnsi="宋体" w:cs="宋体"/>
                <w:kern w:val="0"/>
                <w:szCs w:val="21"/>
                <w:lang w:val="en-US" w:eastAsia="zh-CN" w:bidi="ar"/>
              </w:rPr>
              <w:t>3</w:t>
            </w:r>
            <w:r>
              <w:rPr>
                <w:rFonts w:hint="eastAsia" w:ascii="宋体" w:hAnsi="宋体" w:cs="宋体"/>
                <w:kern w:val="0"/>
                <w:szCs w:val="21"/>
                <w:lang w:bidi="ar"/>
              </w:rPr>
              <w:t>000元，按</w:t>
            </w:r>
            <w:r>
              <w:rPr>
                <w:rFonts w:hint="eastAsia" w:ascii="宋体" w:hAnsi="宋体" w:cs="宋体"/>
                <w:kern w:val="0"/>
                <w:szCs w:val="21"/>
                <w:lang w:val="en-US" w:eastAsia="zh-CN" w:bidi="ar"/>
              </w:rPr>
              <w:t>3</w:t>
            </w:r>
            <w:r>
              <w:rPr>
                <w:rFonts w:hint="eastAsia" w:ascii="宋体" w:hAnsi="宋体" w:cs="宋体"/>
                <w:kern w:val="0"/>
                <w:szCs w:val="21"/>
                <w:lang w:bidi="ar"/>
              </w:rPr>
              <w:t>000元收取。由成交人在领取成交通知书时一次性向采购代理机构付清。</w:t>
            </w:r>
          </w:p>
          <w:p w14:paraId="36464174">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收款账号：</w:t>
            </w:r>
          </w:p>
          <w:p w14:paraId="736BF54D">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收款单位（户名）：浙江信镧建设工程咨询有限公司</w:t>
            </w:r>
          </w:p>
          <w:p w14:paraId="1CEBA65D">
            <w:pPr>
              <w:spacing w:before="24" w:beforeLines="10"/>
              <w:ind w:firstLine="420"/>
              <w:jc w:val="left"/>
              <w:rPr>
                <w:rFonts w:ascii="宋体" w:hAnsi="宋体" w:cs="宋体"/>
                <w:kern w:val="0"/>
                <w:szCs w:val="21"/>
                <w:lang w:bidi="ar"/>
              </w:rPr>
            </w:pPr>
            <w:r>
              <w:rPr>
                <w:rFonts w:hint="eastAsia" w:ascii="宋体" w:hAnsi="宋体" w:cs="宋体"/>
                <w:kern w:val="0"/>
                <w:szCs w:val="21"/>
                <w:lang w:bidi="ar"/>
              </w:rPr>
              <w:t>开户银行：交通银行杭州华浙广场支行</w:t>
            </w:r>
          </w:p>
          <w:p w14:paraId="0BFC8469">
            <w:pPr>
              <w:spacing w:before="24" w:beforeLines="10"/>
              <w:ind w:firstLine="420"/>
              <w:jc w:val="left"/>
              <w:rPr>
                <w:rFonts w:ascii="宋体" w:hAnsi="宋体" w:cs="宋体"/>
                <w:szCs w:val="21"/>
              </w:rPr>
            </w:pPr>
            <w:r>
              <w:rPr>
                <w:rFonts w:hint="eastAsia" w:ascii="宋体" w:hAnsi="宋体" w:cs="宋体"/>
                <w:kern w:val="0"/>
                <w:szCs w:val="21"/>
                <w:lang w:bidi="ar"/>
              </w:rPr>
              <w:t>银行账号：331066090018170036304</w:t>
            </w:r>
          </w:p>
        </w:tc>
      </w:tr>
      <w:tr w14:paraId="6D912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851" w:type="dxa"/>
            <w:vAlign w:val="center"/>
          </w:tcPr>
          <w:p w14:paraId="513F47E7">
            <w:pPr>
              <w:spacing w:before="24" w:beforeLines="10" w:line="340" w:lineRule="atLeast"/>
              <w:ind w:left="210" w:firstLine="0" w:firstLineChars="0"/>
              <w:rPr>
                <w:rFonts w:hint="eastAsia" w:ascii="宋体" w:hAnsi="宋体" w:eastAsia="宋体"/>
                <w:kern w:val="0"/>
                <w:lang w:eastAsia="zh-CN"/>
              </w:rPr>
            </w:pPr>
            <w:r>
              <w:rPr>
                <w:rFonts w:hint="eastAsia" w:ascii="宋体" w:hAnsi="宋体"/>
                <w:kern w:val="0"/>
                <w:lang w:val="en-US" w:eastAsia="zh-CN"/>
              </w:rPr>
              <w:t>14</w:t>
            </w:r>
          </w:p>
        </w:tc>
        <w:tc>
          <w:tcPr>
            <w:tcW w:w="1525" w:type="dxa"/>
            <w:vAlign w:val="center"/>
          </w:tcPr>
          <w:p w14:paraId="67BCE0EE">
            <w:pPr>
              <w:spacing w:before="24" w:beforeLines="10"/>
              <w:ind w:firstLine="0" w:firstLineChars="0"/>
              <w:jc w:val="left"/>
              <w:rPr>
                <w:rFonts w:ascii="宋体" w:hAnsi="宋体"/>
                <w:kern w:val="0"/>
              </w:rPr>
            </w:pPr>
            <w:r>
              <w:rPr>
                <w:rFonts w:hint="eastAsia" w:ascii="宋体" w:hAnsi="宋体" w:cs="宋体"/>
                <w:szCs w:val="21"/>
              </w:rPr>
              <w:t>成交通知书</w:t>
            </w:r>
          </w:p>
        </w:tc>
        <w:tc>
          <w:tcPr>
            <w:tcW w:w="6576" w:type="dxa"/>
            <w:vAlign w:val="center"/>
          </w:tcPr>
          <w:p w14:paraId="5E46FECE">
            <w:pPr>
              <w:ind w:firstLine="420"/>
              <w:rPr>
                <w:rFonts w:ascii="宋体" w:hAnsi="宋体"/>
              </w:rPr>
            </w:pPr>
            <w:r>
              <w:rPr>
                <w:rFonts w:hint="eastAsia" w:ascii="宋体" w:hAnsi="宋体"/>
              </w:rPr>
              <w:t>成交结果公告在竞争性磋商公告的相同媒体发布，成交供应商在成交结果公告发布之后主动来我公司领取成交通知书，未成交供应商领取未成交通知书。</w:t>
            </w:r>
          </w:p>
        </w:tc>
      </w:tr>
      <w:tr w14:paraId="72C7D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7" w:hRule="atLeast"/>
          <w:jc w:val="center"/>
        </w:trPr>
        <w:tc>
          <w:tcPr>
            <w:tcW w:w="851" w:type="dxa"/>
            <w:vAlign w:val="center"/>
          </w:tcPr>
          <w:p w14:paraId="69B519DC">
            <w:pPr>
              <w:spacing w:before="24" w:beforeLines="10" w:line="340" w:lineRule="atLeast"/>
              <w:ind w:left="210" w:firstLine="0" w:firstLineChars="0"/>
              <w:rPr>
                <w:rFonts w:hint="eastAsia" w:ascii="宋体" w:hAnsi="宋体" w:eastAsia="宋体"/>
                <w:kern w:val="0"/>
                <w:lang w:eastAsia="zh-CN"/>
              </w:rPr>
            </w:pPr>
            <w:r>
              <w:rPr>
                <w:rFonts w:hint="eastAsia" w:ascii="宋体" w:hAnsi="宋体"/>
                <w:kern w:val="0"/>
              </w:rPr>
              <w:t>1</w:t>
            </w:r>
            <w:r>
              <w:rPr>
                <w:rFonts w:hint="eastAsia" w:ascii="宋体" w:hAnsi="宋体"/>
                <w:kern w:val="0"/>
                <w:lang w:val="en-US" w:eastAsia="zh-CN"/>
              </w:rPr>
              <w:t>5</w:t>
            </w:r>
          </w:p>
        </w:tc>
        <w:tc>
          <w:tcPr>
            <w:tcW w:w="1525" w:type="dxa"/>
            <w:vAlign w:val="center"/>
          </w:tcPr>
          <w:p w14:paraId="68E9D0E2">
            <w:pPr>
              <w:spacing w:before="24" w:beforeLines="10"/>
              <w:ind w:firstLine="0" w:firstLineChars="0"/>
              <w:jc w:val="left"/>
              <w:rPr>
                <w:rFonts w:ascii="宋体" w:hAnsi="宋体"/>
                <w:kern w:val="0"/>
              </w:rPr>
            </w:pPr>
            <w:r>
              <w:rPr>
                <w:rFonts w:hint="eastAsia" w:ascii="宋体" w:hAnsi="宋体" w:cs="宋体"/>
                <w:kern w:val="0"/>
                <w:szCs w:val="21"/>
              </w:rPr>
              <w:t>答疑与澄清</w:t>
            </w:r>
          </w:p>
        </w:tc>
        <w:tc>
          <w:tcPr>
            <w:tcW w:w="6576" w:type="dxa"/>
            <w:vAlign w:val="center"/>
          </w:tcPr>
          <w:p w14:paraId="133638E0">
            <w:pPr>
              <w:spacing w:before="24" w:beforeLines="10"/>
              <w:ind w:firstLine="420"/>
              <w:jc w:val="left"/>
              <w:rPr>
                <w:rFonts w:ascii="宋体" w:hAnsi="宋体"/>
              </w:rPr>
            </w:pPr>
            <w:r>
              <w:rPr>
                <w:rFonts w:hint="eastAsia" w:ascii="宋体" w:hAnsi="宋体" w:cs="宋体"/>
                <w:kern w:val="0"/>
                <w:szCs w:val="21"/>
              </w:rPr>
              <w:t>供应商如对采购文件有异议，应当于公告发布之日起至公告期限满第7个工作日内，以书面形式一次性向代理机构提出，逾期不予受理。</w:t>
            </w:r>
          </w:p>
        </w:tc>
      </w:tr>
      <w:tr w14:paraId="11078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851" w:type="dxa"/>
            <w:vAlign w:val="center"/>
          </w:tcPr>
          <w:p w14:paraId="779105EA">
            <w:pPr>
              <w:spacing w:before="24" w:beforeLines="10" w:line="340" w:lineRule="atLeast"/>
              <w:ind w:left="210" w:firstLine="0" w:firstLineChars="0"/>
              <w:rPr>
                <w:rFonts w:hint="eastAsia" w:ascii="宋体" w:hAnsi="宋体" w:eastAsia="宋体"/>
                <w:kern w:val="0"/>
                <w:lang w:eastAsia="zh-CN"/>
              </w:rPr>
            </w:pPr>
            <w:r>
              <w:rPr>
                <w:rFonts w:hint="eastAsia" w:ascii="宋体" w:hAnsi="宋体"/>
                <w:kern w:val="0"/>
              </w:rPr>
              <w:t>1</w:t>
            </w:r>
            <w:r>
              <w:rPr>
                <w:rFonts w:hint="eastAsia" w:ascii="宋体" w:hAnsi="宋体"/>
                <w:kern w:val="0"/>
                <w:lang w:val="en-US" w:eastAsia="zh-CN"/>
              </w:rPr>
              <w:t>6</w:t>
            </w:r>
          </w:p>
        </w:tc>
        <w:tc>
          <w:tcPr>
            <w:tcW w:w="1525" w:type="dxa"/>
            <w:vAlign w:val="center"/>
          </w:tcPr>
          <w:p w14:paraId="7F76798D">
            <w:pPr>
              <w:spacing w:before="24" w:beforeLines="10"/>
              <w:ind w:firstLine="0" w:firstLineChars="0"/>
              <w:rPr>
                <w:rFonts w:ascii="宋体" w:hAnsi="宋体"/>
                <w:kern w:val="0"/>
              </w:rPr>
            </w:pPr>
            <w:r>
              <w:rPr>
                <w:rFonts w:hint="eastAsia" w:ascii="宋体" w:hAnsi="宋体" w:cs="宋体"/>
                <w:kern w:val="0"/>
                <w:szCs w:val="21"/>
              </w:rPr>
              <w:t>质疑</w:t>
            </w:r>
          </w:p>
        </w:tc>
        <w:tc>
          <w:tcPr>
            <w:tcW w:w="6576" w:type="dxa"/>
            <w:vAlign w:val="center"/>
          </w:tcPr>
          <w:p w14:paraId="315D724D">
            <w:pPr>
              <w:widowControl/>
              <w:ind w:firstLine="420"/>
              <w:jc w:val="left"/>
              <w:rPr>
                <w:rFonts w:ascii="宋体" w:hAnsi="宋体" w:cs="宋体"/>
                <w:kern w:val="0"/>
                <w:szCs w:val="21"/>
              </w:rPr>
            </w:pPr>
            <w:r>
              <w:rPr>
                <w:rFonts w:hint="eastAsia" w:ascii="宋体" w:hAnsi="宋体" w:cs="宋体"/>
                <w:kern w:val="0"/>
                <w:szCs w:val="21"/>
                <w:lang w:val="en-US" w:eastAsia="zh-CN"/>
              </w:rPr>
              <w:t>参照</w:t>
            </w:r>
            <w:r>
              <w:rPr>
                <w:rFonts w:hint="eastAsia" w:ascii="宋体" w:hAnsi="宋体" w:cs="宋体"/>
                <w:kern w:val="0"/>
                <w:szCs w:val="21"/>
              </w:rPr>
              <w:t>《政府采购质疑和投诉办法》（财政部令第94号）的规定，投标人认为招标文件、采购过程和中标、成交结果使自己的权益受到损害的，可以在知道或者应知其权益受到损害之日起7个工作日内，以书面形式向采购人、采购代理机构提出质疑。</w:t>
            </w:r>
          </w:p>
          <w:p w14:paraId="5952AF80">
            <w:pPr>
              <w:widowControl/>
              <w:ind w:firstLine="0" w:firstLineChars="0"/>
              <w:jc w:val="left"/>
              <w:rPr>
                <w:rFonts w:ascii="宋体" w:hAnsi="宋体" w:cs="宋体"/>
                <w:b/>
                <w:szCs w:val="21"/>
              </w:rPr>
            </w:pPr>
            <w:r>
              <w:rPr>
                <w:rFonts w:hint="eastAsia" w:ascii="宋体" w:hAnsi="宋体" w:cs="宋体"/>
                <w:b/>
                <w:szCs w:val="21"/>
              </w:rPr>
              <w:t>投标人应当在法定质疑期内一次性提出针对同一采购程序环节的质疑。</w:t>
            </w:r>
          </w:p>
          <w:p w14:paraId="407291FA">
            <w:pPr>
              <w:widowControl/>
              <w:ind w:firstLine="0" w:firstLineChars="0"/>
              <w:jc w:val="left"/>
              <w:rPr>
                <w:rFonts w:ascii="宋体" w:hAnsi="宋体" w:cs="宋体"/>
                <w:kern w:val="0"/>
                <w:szCs w:val="21"/>
              </w:rPr>
            </w:pPr>
            <w:r>
              <w:rPr>
                <w:rFonts w:hint="eastAsia" w:ascii="宋体" w:hAnsi="宋体" w:cs="宋体"/>
                <w:kern w:val="0"/>
                <w:szCs w:val="21"/>
              </w:rPr>
              <w:t>质疑起算日期：</w:t>
            </w:r>
          </w:p>
          <w:p w14:paraId="4DC9E077">
            <w:pPr>
              <w:widowControl/>
              <w:ind w:firstLine="420"/>
              <w:jc w:val="left"/>
              <w:rPr>
                <w:rFonts w:ascii="宋体" w:hAnsi="宋体" w:cs="宋体"/>
                <w:kern w:val="0"/>
                <w:szCs w:val="21"/>
              </w:rPr>
            </w:pPr>
            <w:r>
              <w:rPr>
                <w:rFonts w:ascii="宋体" w:hAnsi="宋体" w:cs="宋体"/>
                <w:kern w:val="0"/>
                <w:szCs w:val="21"/>
              </w:rPr>
              <w:t>1.</w:t>
            </w:r>
            <w:r>
              <w:rPr>
                <w:rFonts w:hint="eastAsia" w:ascii="宋体" w:hAnsi="宋体" w:cs="宋体"/>
                <w:kern w:val="0"/>
                <w:szCs w:val="21"/>
              </w:rPr>
              <w:t>对采购公告信息（含投标人资格条件）提出质疑的，质疑期限自采购公告发布之日起计算。</w:t>
            </w:r>
          </w:p>
          <w:p w14:paraId="72EB8E73">
            <w:pPr>
              <w:widowControl/>
              <w:ind w:firstLine="420"/>
              <w:jc w:val="left"/>
              <w:rPr>
                <w:rFonts w:ascii="宋体" w:hAnsi="宋体" w:cs="宋体"/>
                <w:kern w:val="0"/>
                <w:szCs w:val="21"/>
              </w:rPr>
            </w:pPr>
            <w:r>
              <w:rPr>
                <w:rFonts w:ascii="宋体" w:hAnsi="宋体" w:cs="宋体"/>
                <w:kern w:val="0"/>
                <w:szCs w:val="21"/>
              </w:rPr>
              <w:t>2.</w:t>
            </w:r>
            <w:r>
              <w:rPr>
                <w:rFonts w:hint="eastAsia" w:ascii="宋体" w:hAnsi="宋体" w:cs="宋体"/>
                <w:kern w:val="0"/>
                <w:szCs w:val="21"/>
              </w:rPr>
              <w:t>对招标文件提出质疑的，质疑期限自投标人获得招标文件之日起计算。（发售截止日之后报名的投标人，质疑起算日期以发售截止日起计算）</w:t>
            </w:r>
          </w:p>
          <w:p w14:paraId="0273E527">
            <w:pPr>
              <w:widowControl/>
              <w:ind w:firstLine="420"/>
              <w:jc w:val="left"/>
              <w:rPr>
                <w:rFonts w:ascii="宋体" w:hAnsi="宋体" w:cs="宋体"/>
                <w:kern w:val="0"/>
                <w:szCs w:val="21"/>
              </w:rPr>
            </w:pPr>
            <w:r>
              <w:rPr>
                <w:rFonts w:ascii="宋体" w:hAnsi="宋体" w:cs="宋体"/>
                <w:kern w:val="0"/>
                <w:szCs w:val="21"/>
              </w:rPr>
              <w:t>3.</w:t>
            </w:r>
            <w:r>
              <w:rPr>
                <w:rFonts w:hint="eastAsia" w:ascii="宋体" w:hAnsi="宋体" w:cs="宋体"/>
                <w:kern w:val="0"/>
                <w:szCs w:val="21"/>
              </w:rPr>
              <w:t>对采购过程提出质疑的，为各采购程序环节结束之日。</w:t>
            </w:r>
          </w:p>
          <w:p w14:paraId="05FE96A2">
            <w:pPr>
              <w:widowControl/>
              <w:ind w:firstLine="420"/>
              <w:jc w:val="left"/>
              <w:rPr>
                <w:rFonts w:ascii="宋体" w:hAnsi="宋体" w:cs="宋体"/>
                <w:kern w:val="0"/>
                <w:szCs w:val="21"/>
              </w:rPr>
            </w:pPr>
            <w:r>
              <w:rPr>
                <w:rFonts w:ascii="宋体" w:hAnsi="宋体" w:cs="宋体"/>
                <w:kern w:val="0"/>
                <w:szCs w:val="21"/>
              </w:rPr>
              <w:t>4.</w:t>
            </w:r>
            <w:r>
              <w:rPr>
                <w:rFonts w:hint="eastAsia" w:ascii="宋体" w:hAnsi="宋体" w:cs="宋体"/>
                <w:kern w:val="0"/>
                <w:szCs w:val="21"/>
              </w:rPr>
              <w:t>对采购结果提出质疑的，质疑期限自采购结果公告（包括公示、预公告、结果变更公告等）之日起计算。否则，被质疑人可不予接受。</w:t>
            </w:r>
          </w:p>
          <w:p w14:paraId="3429A3E6">
            <w:pPr>
              <w:widowControl/>
              <w:ind w:firstLine="420"/>
              <w:jc w:val="left"/>
              <w:rPr>
                <w:rFonts w:ascii="宋体" w:hAnsi="宋体"/>
              </w:rPr>
            </w:pPr>
            <w:r>
              <w:rPr>
                <w:rFonts w:hint="eastAsia" w:ascii="宋体" w:hAnsi="宋体" w:cs="宋体"/>
                <w:kern w:val="0"/>
                <w:szCs w:val="21"/>
              </w:rPr>
              <w:t>质疑人可以采取直接递交、传真或邮寄方式提交质疑书（一式三份以上）。以其他方式提出的质疑，被质疑人将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tc>
      </w:tr>
      <w:tr w14:paraId="7D1B9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851" w:type="dxa"/>
            <w:vAlign w:val="center"/>
          </w:tcPr>
          <w:p w14:paraId="1807364D">
            <w:pPr>
              <w:spacing w:before="24" w:beforeLines="10" w:line="340" w:lineRule="atLeast"/>
              <w:ind w:left="210" w:firstLine="0" w:firstLineChars="0"/>
              <w:rPr>
                <w:rFonts w:hint="eastAsia" w:ascii="宋体" w:hAnsi="宋体" w:eastAsia="宋体"/>
                <w:kern w:val="0"/>
                <w:lang w:eastAsia="zh-CN"/>
              </w:rPr>
            </w:pPr>
            <w:r>
              <w:rPr>
                <w:rFonts w:hint="eastAsia" w:ascii="宋体" w:hAnsi="宋体"/>
                <w:kern w:val="0"/>
              </w:rPr>
              <w:t>1</w:t>
            </w:r>
            <w:r>
              <w:rPr>
                <w:rFonts w:hint="eastAsia" w:ascii="宋体" w:hAnsi="宋体"/>
                <w:kern w:val="0"/>
                <w:lang w:val="en-US" w:eastAsia="zh-CN"/>
              </w:rPr>
              <w:t>7</w:t>
            </w:r>
          </w:p>
        </w:tc>
        <w:tc>
          <w:tcPr>
            <w:tcW w:w="1525" w:type="dxa"/>
            <w:vAlign w:val="center"/>
          </w:tcPr>
          <w:p w14:paraId="1C855C54">
            <w:pPr>
              <w:widowControl/>
              <w:ind w:firstLine="0" w:firstLineChars="0"/>
              <w:rPr>
                <w:rFonts w:ascii="宋体" w:hAnsi="宋体"/>
                <w:kern w:val="0"/>
              </w:rPr>
            </w:pPr>
            <w:r>
              <w:rPr>
                <w:rFonts w:hint="eastAsia" w:ascii="宋体" w:hAnsi="宋体" w:cs="宋体"/>
                <w:kern w:val="0"/>
                <w:szCs w:val="21"/>
              </w:rPr>
              <w:t>投诉</w:t>
            </w:r>
          </w:p>
        </w:tc>
        <w:tc>
          <w:tcPr>
            <w:tcW w:w="6576" w:type="dxa"/>
            <w:vAlign w:val="center"/>
          </w:tcPr>
          <w:p w14:paraId="21B43CBB">
            <w:pPr>
              <w:adjustRightInd w:val="0"/>
              <w:snapToGrid w:val="0"/>
              <w:ind w:firstLine="420"/>
              <w:jc w:val="left"/>
              <w:rPr>
                <w:rFonts w:ascii="宋体" w:hAnsi="宋体"/>
              </w:rPr>
            </w:pPr>
            <w:r>
              <w:rPr>
                <w:rFonts w:hint="eastAsia" w:ascii="宋体" w:hAnsi="宋体" w:cs="宋体"/>
                <w:kern w:val="0"/>
                <w:szCs w:val="21"/>
                <w:lang w:val="en-US" w:eastAsia="zh-CN"/>
              </w:rPr>
              <w:t>参照</w:t>
            </w:r>
            <w:r>
              <w:rPr>
                <w:rFonts w:hint="eastAsia" w:ascii="宋体" w:hAnsi="宋体" w:cs="宋体"/>
                <w:kern w:val="0"/>
                <w:szCs w:val="21"/>
              </w:rPr>
              <w:t>《政府采购质疑和投诉办法》（财政部令第94号）的规定，质疑投标人对采购人、采购代理机构的答复不满意或者采购人、采购代理机构未在规定的时间内作出答复的，可以在答复期满后15个工作日内向采购监督管理部门投诉。</w:t>
            </w:r>
          </w:p>
        </w:tc>
      </w:tr>
      <w:tr w14:paraId="4849A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851" w:type="dxa"/>
            <w:vAlign w:val="center"/>
          </w:tcPr>
          <w:p w14:paraId="5EA7CBEF">
            <w:pPr>
              <w:spacing w:before="24" w:beforeLines="10" w:line="340" w:lineRule="atLeast"/>
              <w:ind w:left="210" w:firstLine="0" w:firstLineChars="0"/>
              <w:rPr>
                <w:rFonts w:hint="eastAsia" w:ascii="宋体" w:hAnsi="宋体" w:eastAsia="宋体"/>
                <w:kern w:val="0"/>
                <w:lang w:eastAsia="zh-CN"/>
              </w:rPr>
            </w:pPr>
            <w:r>
              <w:rPr>
                <w:rFonts w:hint="eastAsia" w:ascii="宋体" w:hAnsi="宋体"/>
                <w:kern w:val="0"/>
              </w:rPr>
              <w:t>1</w:t>
            </w:r>
            <w:r>
              <w:rPr>
                <w:rFonts w:hint="eastAsia" w:ascii="宋体" w:hAnsi="宋体"/>
                <w:kern w:val="0"/>
                <w:lang w:val="en-US" w:eastAsia="zh-CN"/>
              </w:rPr>
              <w:t>8</w:t>
            </w:r>
          </w:p>
        </w:tc>
        <w:tc>
          <w:tcPr>
            <w:tcW w:w="1525" w:type="dxa"/>
            <w:vAlign w:val="center"/>
          </w:tcPr>
          <w:p w14:paraId="6DB8733E">
            <w:pPr>
              <w:ind w:firstLine="0" w:firstLineChars="0"/>
              <w:rPr>
                <w:rFonts w:ascii="宋体" w:hAnsi="宋体"/>
              </w:rPr>
            </w:pPr>
            <w:r>
              <w:rPr>
                <w:rFonts w:hint="eastAsia" w:ascii="宋体" w:hAnsi="宋体"/>
              </w:rPr>
              <w:t>其他事项</w:t>
            </w:r>
          </w:p>
        </w:tc>
        <w:tc>
          <w:tcPr>
            <w:tcW w:w="6576" w:type="dxa"/>
            <w:vAlign w:val="center"/>
          </w:tcPr>
          <w:p w14:paraId="0DA13F4C">
            <w:pPr>
              <w:ind w:firstLine="420"/>
              <w:rPr>
                <w:rFonts w:ascii="宋体" w:hAnsi="宋体" w:cs="宋体"/>
                <w:kern w:val="0"/>
                <w:szCs w:val="21"/>
              </w:rPr>
            </w:pPr>
            <w:r>
              <w:rPr>
                <w:rFonts w:hint="eastAsia" w:ascii="宋体" w:hAnsi="宋体" w:cs="宋体"/>
                <w:kern w:val="0"/>
                <w:szCs w:val="21"/>
              </w:rPr>
              <w:t>为提高采购效率，节省采购成本，获取了磋商文件的供应商，若放弃参加投标的，请在开标前1天12:00之前以书面形式（电子扫描件、传真或书面送达，加盖单位公章，电子扫描件、传真件与原件具有同等效力）通知采购代理机构，以便代理机构决定是否申请抽取专家。</w:t>
            </w:r>
          </w:p>
        </w:tc>
      </w:tr>
      <w:tr w14:paraId="47ED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851" w:type="dxa"/>
            <w:vAlign w:val="center"/>
          </w:tcPr>
          <w:p w14:paraId="3C668659">
            <w:pPr>
              <w:spacing w:before="24" w:beforeLines="10" w:line="340" w:lineRule="atLeast"/>
              <w:ind w:left="210" w:firstLine="0" w:firstLineChars="0"/>
              <w:rPr>
                <w:rFonts w:hint="default" w:ascii="宋体" w:hAnsi="宋体" w:eastAsia="宋体"/>
                <w:kern w:val="0"/>
                <w:lang w:val="en-US" w:eastAsia="zh-CN"/>
              </w:rPr>
            </w:pPr>
            <w:r>
              <w:rPr>
                <w:rFonts w:hint="eastAsia" w:ascii="宋体" w:hAnsi="宋体"/>
                <w:kern w:val="0"/>
                <w:lang w:val="en-US" w:eastAsia="zh-CN"/>
              </w:rPr>
              <w:t>19</w:t>
            </w:r>
          </w:p>
        </w:tc>
        <w:tc>
          <w:tcPr>
            <w:tcW w:w="1525" w:type="dxa"/>
            <w:vAlign w:val="center"/>
          </w:tcPr>
          <w:p w14:paraId="73718C5D">
            <w:pPr>
              <w:ind w:firstLine="0" w:firstLineChars="0"/>
              <w:rPr>
                <w:rFonts w:ascii="宋体" w:hAnsi="宋体"/>
              </w:rPr>
            </w:pPr>
            <w:r>
              <w:rPr>
                <w:rFonts w:hint="eastAsia" w:ascii="宋体" w:hAnsi="宋体"/>
              </w:rPr>
              <w:t>解释顺序</w:t>
            </w:r>
          </w:p>
        </w:tc>
        <w:tc>
          <w:tcPr>
            <w:tcW w:w="6576" w:type="dxa"/>
            <w:vAlign w:val="center"/>
          </w:tcPr>
          <w:p w14:paraId="6F59148F">
            <w:pPr>
              <w:ind w:firstLine="420"/>
              <w:rPr>
                <w:rFonts w:ascii="宋体" w:hAnsi="宋体" w:cs="宋体"/>
                <w:kern w:val="0"/>
                <w:szCs w:val="21"/>
              </w:rPr>
            </w:pPr>
            <w:r>
              <w:rPr>
                <w:rFonts w:hint="eastAsia" w:ascii="宋体" w:hAnsi="宋体"/>
                <w:kern w:val="0"/>
              </w:rPr>
              <w:t>磋商文件内容与供应商须知前附表不符之处，以供应商须知前附表为准，浙江信镧建设工程咨询有限公司拥有最终解释权。</w:t>
            </w:r>
          </w:p>
        </w:tc>
      </w:tr>
    </w:tbl>
    <w:p w14:paraId="2E7830D6">
      <w:pPr>
        <w:pStyle w:val="3"/>
        <w:rPr>
          <w:rFonts w:ascii="宋体" w:hAnsi="宋体" w:cs="宋体"/>
          <w:szCs w:val="21"/>
        </w:rPr>
      </w:pPr>
      <w:bookmarkStart w:id="46" w:name="_Toc246996175"/>
      <w:bookmarkStart w:id="47" w:name="_Toc144974497"/>
      <w:bookmarkStart w:id="48" w:name="_Toc247085689"/>
      <w:bookmarkStart w:id="49" w:name="_Toc452457414"/>
      <w:bookmarkStart w:id="50" w:name="_Toc296602420"/>
      <w:bookmarkStart w:id="51" w:name="_Toc246996918"/>
      <w:bookmarkStart w:id="52" w:name="_Toc152042305"/>
      <w:bookmarkStart w:id="53" w:name="_Toc152045529"/>
      <w:bookmarkStart w:id="54" w:name="_Toc179632546"/>
      <w:r>
        <w:br w:type="page"/>
      </w:r>
      <w:bookmarkEnd w:id="46"/>
      <w:bookmarkEnd w:id="47"/>
      <w:bookmarkEnd w:id="48"/>
      <w:bookmarkEnd w:id="49"/>
      <w:bookmarkEnd w:id="50"/>
      <w:bookmarkEnd w:id="51"/>
      <w:bookmarkEnd w:id="52"/>
      <w:bookmarkEnd w:id="53"/>
      <w:bookmarkEnd w:id="54"/>
      <w:bookmarkStart w:id="55" w:name="_Toc10572"/>
      <w:bookmarkStart w:id="56" w:name="_Toc23483"/>
      <w:bookmarkStart w:id="57" w:name="_Toc31484"/>
      <w:bookmarkStart w:id="58" w:name="_Toc31787"/>
      <w:bookmarkStart w:id="59" w:name="_Toc495582096"/>
      <w:bookmarkStart w:id="60" w:name="_Toc6403"/>
      <w:bookmarkStart w:id="61" w:name="_Toc82338239"/>
      <w:bookmarkStart w:id="62" w:name="_Toc450840073"/>
      <w:bookmarkStart w:id="63" w:name="_Toc82873322"/>
      <w:bookmarkStart w:id="64" w:name="_Toc246996176"/>
      <w:bookmarkStart w:id="65" w:name="_Toc152042306"/>
      <w:bookmarkStart w:id="66" w:name="_Toc144974498"/>
      <w:bookmarkStart w:id="67" w:name="_Toc179632547"/>
      <w:bookmarkStart w:id="68" w:name="_Toc152045530"/>
      <w:bookmarkStart w:id="69" w:name="_Toc247085690"/>
      <w:bookmarkStart w:id="70" w:name="_Toc246996919"/>
      <w:bookmarkStart w:id="71" w:name="_Toc296602421"/>
      <w:r>
        <w:rPr>
          <w:rFonts w:hint="eastAsia" w:ascii="宋体" w:hAnsi="宋体" w:cs="宋体"/>
          <w:szCs w:val="21"/>
        </w:rPr>
        <w:t>1采购说明</w:t>
      </w:r>
      <w:bookmarkEnd w:id="55"/>
      <w:bookmarkEnd w:id="56"/>
      <w:bookmarkEnd w:id="57"/>
      <w:bookmarkEnd w:id="58"/>
    </w:p>
    <w:p w14:paraId="732C62F4">
      <w:pPr>
        <w:pStyle w:val="7"/>
        <w:ind w:firstLine="0" w:firstLineChars="0"/>
        <w:rPr>
          <w:rFonts w:ascii="宋体" w:hAnsi="宋体" w:cs="宋体"/>
          <w:szCs w:val="21"/>
        </w:rPr>
      </w:pPr>
      <w:r>
        <w:rPr>
          <w:rFonts w:hint="eastAsia" w:ascii="宋体" w:hAnsi="宋体" w:cs="宋体"/>
          <w:szCs w:val="21"/>
        </w:rPr>
        <w:t>1.1采购法律依据</w:t>
      </w:r>
    </w:p>
    <w:p w14:paraId="78C4BC9D">
      <w:pPr>
        <w:ind w:firstLine="420"/>
        <w:rPr>
          <w:rFonts w:ascii="宋体" w:hAnsi="宋体" w:cs="宋体"/>
          <w:bCs/>
          <w:szCs w:val="21"/>
        </w:rPr>
      </w:pPr>
      <w:r>
        <w:rPr>
          <w:rFonts w:hint="eastAsia" w:ascii="宋体" w:hAnsi="宋体" w:cs="宋体"/>
          <w:szCs w:val="21"/>
        </w:rPr>
        <w:t>本次采购工作参照《中华人民共和国政府采购法》、《中华人民共和国政府采购法实施条例》、《政府采购竞争性磋商采购方式管理暂行办法》（财库〔2</w:t>
      </w:r>
      <w:r>
        <w:rPr>
          <w:rFonts w:ascii="宋体" w:hAnsi="宋体" w:cs="宋体"/>
          <w:szCs w:val="21"/>
        </w:rPr>
        <w:t>014</w:t>
      </w:r>
      <w:r>
        <w:rPr>
          <w:rFonts w:hint="eastAsia" w:ascii="宋体" w:hAnsi="宋体" w:cs="宋体"/>
          <w:szCs w:val="21"/>
        </w:rPr>
        <w:t>〕</w:t>
      </w:r>
      <w:r>
        <w:rPr>
          <w:rFonts w:ascii="宋体" w:hAnsi="宋体" w:cs="宋体"/>
          <w:szCs w:val="21"/>
        </w:rPr>
        <w:t>214</w:t>
      </w:r>
      <w:r>
        <w:rPr>
          <w:rFonts w:hint="eastAsia" w:ascii="宋体" w:hAnsi="宋体" w:cs="宋体"/>
          <w:szCs w:val="21"/>
        </w:rPr>
        <w:t>号）等有关法律法规组织和实施。</w:t>
      </w:r>
    </w:p>
    <w:p w14:paraId="75DB017A">
      <w:pPr>
        <w:ind w:firstLine="422"/>
        <w:rPr>
          <w:rFonts w:ascii="宋体" w:hAnsi="宋体" w:cs="宋体"/>
          <w:b/>
          <w:bCs/>
          <w:szCs w:val="21"/>
        </w:rPr>
      </w:pPr>
      <w:r>
        <w:rPr>
          <w:rFonts w:hint="eastAsia" w:ascii="宋体" w:hAnsi="宋体" w:cs="宋体"/>
          <w:b/>
          <w:bCs/>
          <w:szCs w:val="21"/>
        </w:rPr>
        <w:t>定义</w:t>
      </w:r>
    </w:p>
    <w:p w14:paraId="589E151E">
      <w:pPr>
        <w:ind w:firstLine="420"/>
        <w:rPr>
          <w:rFonts w:ascii="宋体" w:hAnsi="宋体" w:cs="宋体"/>
          <w:szCs w:val="21"/>
        </w:rPr>
      </w:pPr>
      <w:r>
        <w:rPr>
          <w:rFonts w:hint="eastAsia" w:ascii="宋体" w:hAnsi="宋体" w:cs="宋体"/>
          <w:szCs w:val="21"/>
        </w:rPr>
        <w:t>（一）“采购代理机构”系指浙江信镧建设工程咨询有限公司。</w:t>
      </w:r>
    </w:p>
    <w:p w14:paraId="7B0B1B4A">
      <w:pPr>
        <w:ind w:firstLine="420"/>
        <w:rPr>
          <w:rFonts w:ascii="宋体" w:hAnsi="宋体" w:cs="宋体"/>
          <w:szCs w:val="21"/>
        </w:rPr>
      </w:pPr>
      <w:r>
        <w:rPr>
          <w:rFonts w:hint="eastAsia" w:ascii="宋体" w:hAnsi="宋体" w:cs="宋体"/>
          <w:szCs w:val="21"/>
        </w:rPr>
        <w:t>（二）“供应商”、系指</w:t>
      </w:r>
      <w:r>
        <w:rPr>
          <w:rFonts w:hint="eastAsia" w:ascii="宋体" w:hAnsi="宋体" w:cs="宋体"/>
          <w:kern w:val="0"/>
          <w:szCs w:val="21"/>
        </w:rPr>
        <w:t>向采购人提交响应文件的法人、其他组织或者自然人</w:t>
      </w:r>
      <w:r>
        <w:rPr>
          <w:rFonts w:hint="eastAsia" w:ascii="宋体" w:hAnsi="宋体" w:cs="宋体"/>
          <w:szCs w:val="21"/>
        </w:rPr>
        <w:t>。</w:t>
      </w:r>
    </w:p>
    <w:p w14:paraId="3BF80852">
      <w:pPr>
        <w:ind w:firstLine="420"/>
        <w:rPr>
          <w:rFonts w:ascii="宋体" w:hAnsi="宋体" w:cs="宋体"/>
          <w:szCs w:val="21"/>
        </w:rPr>
      </w:pPr>
      <w:r>
        <w:rPr>
          <w:rFonts w:hint="eastAsia" w:ascii="宋体" w:hAnsi="宋体" w:cs="宋体"/>
          <w:szCs w:val="21"/>
        </w:rPr>
        <w:t>（三）“货物”系指按磋商文件规定供应商须向采购人提供的一切材料、设备、机械、仪器仪表、工具及其它有关技术资料和文字材料。</w:t>
      </w:r>
    </w:p>
    <w:p w14:paraId="3B4D14D7">
      <w:pPr>
        <w:ind w:firstLine="420"/>
        <w:rPr>
          <w:rFonts w:ascii="宋体" w:hAnsi="宋体" w:cs="宋体"/>
          <w:szCs w:val="21"/>
        </w:rPr>
      </w:pPr>
      <w:r>
        <w:rPr>
          <w:rFonts w:hint="eastAsia" w:ascii="宋体" w:hAnsi="宋体" w:cs="宋体"/>
          <w:szCs w:val="21"/>
        </w:rPr>
        <w:t>（四）“服务”系指按磋商文件规定供应商须承担的劳务以及其他类似的义务。</w:t>
      </w:r>
    </w:p>
    <w:p w14:paraId="6EF4022E">
      <w:pPr>
        <w:ind w:firstLine="420"/>
        <w:rPr>
          <w:rFonts w:ascii="宋体" w:hAnsi="宋体" w:cs="宋体"/>
          <w:szCs w:val="21"/>
        </w:rPr>
      </w:pPr>
      <w:r>
        <w:rPr>
          <w:rFonts w:hint="eastAsia" w:ascii="宋体" w:hAnsi="宋体" w:cs="宋体"/>
          <w:szCs w:val="21"/>
        </w:rPr>
        <w:t>（五）“采购人”系指“见供应商须知前附表”。</w:t>
      </w:r>
    </w:p>
    <w:p w14:paraId="4B663039">
      <w:pPr>
        <w:ind w:firstLine="420"/>
        <w:rPr>
          <w:rFonts w:ascii="宋体" w:hAnsi="宋体" w:cs="宋体"/>
          <w:szCs w:val="21"/>
        </w:rPr>
      </w:pPr>
      <w:r>
        <w:rPr>
          <w:rFonts w:hint="eastAsia" w:ascii="宋体" w:hAnsi="宋体" w:cs="宋体"/>
          <w:szCs w:val="21"/>
        </w:rPr>
        <w:t>（六）“▲”指应当实质性响应的内容或条款，“★”为重要条款。</w:t>
      </w:r>
    </w:p>
    <w:p w14:paraId="00FAFE86">
      <w:pPr>
        <w:ind w:firstLine="420"/>
        <w:rPr>
          <w:rFonts w:ascii="宋体" w:hAnsi="宋体" w:cs="宋体"/>
          <w:szCs w:val="21"/>
        </w:rPr>
      </w:pPr>
      <w:r>
        <w:rPr>
          <w:rFonts w:hint="eastAsia" w:ascii="宋体" w:hAnsi="宋体" w:cs="宋体"/>
          <w:szCs w:val="21"/>
        </w:rPr>
        <w:t>（七）“废标”系指整个采购活动无效，当时的磋商、评审工作不得再继续，应予废标，即便确定了成交供应商，也无效。</w:t>
      </w:r>
    </w:p>
    <w:p w14:paraId="576A6B9C">
      <w:pPr>
        <w:ind w:firstLine="420"/>
        <w:rPr>
          <w:rFonts w:ascii="宋体" w:hAnsi="宋体" w:cs="宋体"/>
          <w:szCs w:val="21"/>
        </w:rPr>
      </w:pPr>
      <w:r>
        <w:rPr>
          <w:rFonts w:hint="eastAsia" w:ascii="宋体" w:hAnsi="宋体" w:cs="宋体"/>
          <w:szCs w:val="21"/>
        </w:rPr>
        <w:t>（八）“无效标”系指某一供应商的响应文件经磋商小组审核其资格不符合磋商文件要求的，或者其响应文件未实质性响应磋商文件的，作无效标处理。</w:t>
      </w:r>
    </w:p>
    <w:p w14:paraId="451D8D43">
      <w:pPr>
        <w:ind w:firstLine="420"/>
        <w:rPr>
          <w:rFonts w:ascii="宋体" w:hAnsi="宋体" w:cs="宋体"/>
          <w:szCs w:val="21"/>
        </w:rPr>
      </w:pPr>
      <w:bookmarkStart w:id="72" w:name="_Hlk8572213"/>
      <w:r>
        <w:rPr>
          <w:rFonts w:hint="eastAsia" w:ascii="宋体" w:hAnsi="宋体" w:cs="宋体"/>
          <w:szCs w:val="21"/>
        </w:rPr>
        <w:t>（九）“公章”指投标人的行政章，采购人、采购代理机构不接受加盖其他印鉴的响应文件（如合同章、投标专用章、有序号的章等印鉴）。</w:t>
      </w:r>
    </w:p>
    <w:bookmarkEnd w:id="72"/>
    <w:p w14:paraId="49686E7E">
      <w:pPr>
        <w:pStyle w:val="7"/>
        <w:ind w:firstLine="0" w:firstLineChars="0"/>
        <w:rPr>
          <w:rFonts w:ascii="宋体" w:hAnsi="宋体" w:cs="宋体"/>
          <w:szCs w:val="21"/>
        </w:rPr>
      </w:pPr>
      <w:r>
        <w:rPr>
          <w:rFonts w:hint="eastAsia" w:ascii="宋体" w:hAnsi="宋体" w:cs="宋体"/>
          <w:szCs w:val="21"/>
        </w:rPr>
        <w:t>1.2合格的供应商资格要求</w:t>
      </w:r>
    </w:p>
    <w:p w14:paraId="5E4F2CE9">
      <w:pPr>
        <w:ind w:firstLine="420"/>
        <w:rPr>
          <w:rFonts w:ascii="宋体" w:hAnsi="宋体" w:cs="宋体"/>
          <w:szCs w:val="21"/>
        </w:rPr>
      </w:pPr>
      <w:r>
        <w:rPr>
          <w:rFonts w:hint="eastAsia" w:ascii="宋体" w:hAnsi="宋体" w:cs="宋体"/>
          <w:szCs w:val="21"/>
        </w:rPr>
        <w:t>详见竞争性磋商公告</w:t>
      </w:r>
    </w:p>
    <w:p w14:paraId="4B60623D">
      <w:pPr>
        <w:pStyle w:val="7"/>
        <w:ind w:firstLine="0" w:firstLineChars="0"/>
        <w:rPr>
          <w:rFonts w:ascii="宋体" w:hAnsi="宋体" w:cs="宋体"/>
          <w:szCs w:val="21"/>
        </w:rPr>
      </w:pPr>
      <w:bookmarkStart w:id="73" w:name="_Hlk8239466"/>
      <w:r>
        <w:rPr>
          <w:rFonts w:hint="eastAsia" w:ascii="宋体" w:hAnsi="宋体" w:cs="宋体"/>
          <w:szCs w:val="21"/>
        </w:rPr>
        <w:t>1.3对供应商的限制及委托有关说明</w:t>
      </w:r>
    </w:p>
    <w:bookmarkEnd w:id="73"/>
    <w:p w14:paraId="3A8F7E6B">
      <w:pPr>
        <w:ind w:firstLine="420"/>
        <w:rPr>
          <w:rFonts w:ascii="宋体" w:hAnsi="宋体" w:cs="宋体"/>
          <w:szCs w:val="21"/>
        </w:rPr>
      </w:pPr>
      <w:r>
        <w:rPr>
          <w:rFonts w:hint="eastAsia" w:ascii="宋体" w:hAnsi="宋体" w:cs="宋体"/>
          <w:szCs w:val="21"/>
        </w:rPr>
        <w:t>1.3.1授权代表须携带有效身份证件。如授权代表不是法定代表人，须有法定代表人出具的授权委托书（响应文件正本用原件，副本用复印件，格式见附件）。</w:t>
      </w:r>
    </w:p>
    <w:p w14:paraId="7A6DEE27">
      <w:pPr>
        <w:ind w:firstLine="420"/>
        <w:rPr>
          <w:rFonts w:ascii="宋体" w:hAnsi="宋体" w:cs="宋体"/>
          <w:szCs w:val="21"/>
        </w:rPr>
      </w:pPr>
      <w:r>
        <w:rPr>
          <w:rFonts w:hint="eastAsia" w:ascii="宋体" w:hAnsi="宋体" w:cs="宋体"/>
          <w:szCs w:val="21"/>
        </w:rPr>
        <w:t>1.3.2供应商应仔细阅读磋商文件的所有内容，按照磋商文件的要求提交响应文件，并对所提供的全部资料的真实性承担法律责任。</w:t>
      </w:r>
    </w:p>
    <w:p w14:paraId="453192FD">
      <w:pPr>
        <w:ind w:firstLine="420"/>
        <w:rPr>
          <w:rFonts w:ascii="宋体" w:hAnsi="宋体"/>
        </w:rPr>
      </w:pPr>
      <w:r>
        <w:rPr>
          <w:rFonts w:hint="eastAsia" w:ascii="宋体" w:hAnsi="宋体" w:cs="宋体"/>
          <w:szCs w:val="21"/>
        </w:rPr>
        <w:t>1.3.3</w:t>
      </w:r>
      <w:r>
        <w:rPr>
          <w:rFonts w:hint="eastAsia" w:ascii="宋体" w:hAnsi="宋体"/>
        </w:rPr>
        <w:t>以联合体形式参加采购活动的，联合体各方不得再单独参加或者与其他供应商另外组成联合体参加同一合同项下的采购活动。（联合体投标适用）</w:t>
      </w:r>
    </w:p>
    <w:p w14:paraId="54477878">
      <w:pPr>
        <w:pStyle w:val="7"/>
        <w:ind w:firstLine="0" w:firstLineChars="0"/>
        <w:rPr>
          <w:rFonts w:ascii="宋体" w:hAnsi="宋体" w:cs="宋体"/>
          <w:szCs w:val="21"/>
        </w:rPr>
      </w:pPr>
      <w:r>
        <w:rPr>
          <w:rFonts w:hint="eastAsia" w:ascii="宋体" w:hAnsi="宋体" w:cs="宋体"/>
          <w:szCs w:val="21"/>
        </w:rPr>
        <w:t>1.4磋商费用</w:t>
      </w:r>
    </w:p>
    <w:p w14:paraId="7C70F41A">
      <w:pPr>
        <w:ind w:firstLine="420"/>
        <w:rPr>
          <w:rFonts w:ascii="宋体" w:hAnsi="宋体" w:cs="宋体"/>
          <w:szCs w:val="21"/>
        </w:rPr>
      </w:pPr>
      <w:r>
        <w:rPr>
          <w:rFonts w:hint="eastAsia" w:ascii="宋体" w:hAnsi="宋体" w:cs="宋体"/>
          <w:szCs w:val="21"/>
        </w:rPr>
        <w:t>不论投标结果如何，供应商均应自行承担所有与磋商有关的全部费用（磋商文件有其他相反规定除外）。</w:t>
      </w:r>
    </w:p>
    <w:p w14:paraId="5B66F554">
      <w:pPr>
        <w:pStyle w:val="3"/>
        <w:rPr>
          <w:rFonts w:ascii="宋体" w:hAnsi="宋体" w:cs="宋体"/>
          <w:szCs w:val="21"/>
        </w:rPr>
      </w:pPr>
      <w:bookmarkStart w:id="74" w:name="_Toc450840074"/>
      <w:bookmarkStart w:id="75" w:name="_Toc6227646"/>
      <w:bookmarkStart w:id="76" w:name="_Toc82338240"/>
      <w:bookmarkStart w:id="77" w:name="_Toc26265"/>
      <w:bookmarkStart w:id="78" w:name="_Toc82873323"/>
      <w:bookmarkStart w:id="79" w:name="_Toc14878"/>
      <w:bookmarkStart w:id="80" w:name="_Toc13121"/>
      <w:bookmarkStart w:id="81" w:name="_Toc8624"/>
      <w:r>
        <w:rPr>
          <w:rFonts w:hint="eastAsia" w:ascii="宋体" w:hAnsi="宋体" w:cs="宋体"/>
          <w:szCs w:val="21"/>
        </w:rPr>
        <w:t>2磋商文件</w:t>
      </w:r>
      <w:bookmarkEnd w:id="74"/>
      <w:bookmarkEnd w:id="75"/>
      <w:bookmarkEnd w:id="76"/>
      <w:bookmarkEnd w:id="77"/>
      <w:bookmarkEnd w:id="78"/>
      <w:bookmarkEnd w:id="79"/>
      <w:bookmarkEnd w:id="80"/>
      <w:bookmarkEnd w:id="81"/>
    </w:p>
    <w:p w14:paraId="3FD5AF99">
      <w:pPr>
        <w:pStyle w:val="4"/>
        <w:rPr>
          <w:rFonts w:ascii="宋体" w:hAnsi="宋体" w:cs="宋体"/>
          <w:szCs w:val="21"/>
        </w:rPr>
      </w:pPr>
      <w:r>
        <w:rPr>
          <w:rFonts w:hint="eastAsia" w:ascii="宋体" w:hAnsi="宋体" w:cs="宋体"/>
          <w:szCs w:val="21"/>
        </w:rPr>
        <w:t>2.1磋商文件的组成</w:t>
      </w:r>
    </w:p>
    <w:p w14:paraId="1AE0B620">
      <w:pPr>
        <w:ind w:firstLine="420"/>
        <w:rPr>
          <w:rFonts w:ascii="宋体" w:hAnsi="宋体" w:cs="宋体"/>
          <w:szCs w:val="21"/>
        </w:rPr>
      </w:pPr>
      <w:r>
        <w:rPr>
          <w:rFonts w:hint="eastAsia" w:ascii="宋体" w:hAnsi="宋体" w:cs="宋体"/>
          <w:szCs w:val="21"/>
        </w:rPr>
        <w:t>磋商文件由磋商文件目录所列内容及磋商补充文件（如有）等组成。</w:t>
      </w:r>
    </w:p>
    <w:p w14:paraId="18A8AD61">
      <w:pPr>
        <w:pStyle w:val="4"/>
        <w:rPr>
          <w:rFonts w:ascii="宋体" w:hAnsi="宋体" w:cs="宋体"/>
          <w:szCs w:val="21"/>
        </w:rPr>
      </w:pPr>
      <w:r>
        <w:rPr>
          <w:rFonts w:hint="eastAsia" w:ascii="宋体" w:hAnsi="宋体" w:cs="宋体"/>
          <w:szCs w:val="21"/>
        </w:rPr>
        <w:t>2.2磋商文件的澄清与修改</w:t>
      </w:r>
    </w:p>
    <w:p w14:paraId="43B435FE">
      <w:pPr>
        <w:ind w:firstLine="420"/>
        <w:rPr>
          <w:rFonts w:ascii="宋体" w:hAnsi="宋体" w:cs="宋体"/>
          <w:szCs w:val="21"/>
        </w:rPr>
      </w:pPr>
      <w:r>
        <w:rPr>
          <w:rFonts w:hint="eastAsia" w:ascii="宋体" w:hAnsi="宋体" w:cs="宋体"/>
          <w:szCs w:val="21"/>
        </w:rPr>
        <w:t>2.2.1供应商对磋商文件如有疑点要求澄清，需以书面形式（包括信函、传真）按供应商须知前附表中规定的时间（代理机构逾期不再受理疑点澄清）通知采购代理机构，采购代理机构将用书面形式对必要问题予以答复(任何口头答复均不作为投标依据)，逾期不再受理。</w:t>
      </w:r>
    </w:p>
    <w:p w14:paraId="6DDC4AA7">
      <w:pPr>
        <w:ind w:firstLine="420"/>
        <w:rPr>
          <w:rFonts w:ascii="宋体" w:hAnsi="宋体" w:cs="宋体"/>
          <w:szCs w:val="21"/>
        </w:rPr>
      </w:pPr>
      <w:r>
        <w:rPr>
          <w:rFonts w:hint="eastAsia" w:ascii="宋体" w:hAnsi="宋体" w:cs="宋体"/>
          <w:szCs w:val="21"/>
        </w:rPr>
        <w:t>2.2.2如有必要，采购代理机构和采购人对供应商所有要求澄清的问题都予以解答，澄清答复的文件为补充文件，作为磋商文件的组成部分，补充文件将以书面形式告知所有购买磋商文件的供应商，补充文件对供应商均有约束力。</w:t>
      </w:r>
    </w:p>
    <w:p w14:paraId="5C583C6A">
      <w:pPr>
        <w:ind w:firstLine="420"/>
        <w:rPr>
          <w:rFonts w:ascii="宋体" w:hAnsi="宋体" w:cs="宋体"/>
          <w:szCs w:val="21"/>
        </w:rPr>
      </w:pPr>
      <w:r>
        <w:rPr>
          <w:rFonts w:hint="eastAsia" w:ascii="宋体" w:hAnsi="宋体" w:cs="宋体"/>
          <w:szCs w:val="21"/>
        </w:rPr>
        <w:t>2.2.3在响应文件提交截止时间前，由于各种原因采购人可能以补充文件的形式修改完善磋商文件。</w:t>
      </w:r>
    </w:p>
    <w:p w14:paraId="3DD946D5">
      <w:pPr>
        <w:ind w:firstLine="420"/>
        <w:rPr>
          <w:rFonts w:ascii="宋体" w:hAnsi="宋体" w:cs="宋体"/>
          <w:szCs w:val="21"/>
        </w:rPr>
      </w:pPr>
      <w:r>
        <w:rPr>
          <w:rFonts w:hint="eastAsia" w:ascii="宋体" w:hAnsi="宋体" w:cs="宋体"/>
          <w:szCs w:val="21"/>
        </w:rPr>
        <w:t>2.2.4澄清或修改的内容可能影响响应文件编制的，采购人或者采购代理机构在响应文件提交截止时间至少</w:t>
      </w:r>
      <w:r>
        <w:rPr>
          <w:rFonts w:ascii="宋体" w:hAnsi="宋体" w:cs="宋体"/>
          <w:szCs w:val="21"/>
        </w:rPr>
        <w:t>5</w:t>
      </w:r>
      <w:r>
        <w:rPr>
          <w:rFonts w:hint="eastAsia" w:ascii="宋体" w:hAnsi="宋体" w:cs="宋体"/>
          <w:szCs w:val="21"/>
        </w:rPr>
        <w:t>日前，在财政部门指定的政府采购信息发布媒体上发布更正公告，并以书面形式通知所有获取磋商文件的潜在供应商；不足5日的，采购人或者采购代理机构将顺延提交响应文件的截止时间。</w:t>
      </w:r>
    </w:p>
    <w:p w14:paraId="60D73248">
      <w:pPr>
        <w:ind w:firstLine="420"/>
        <w:rPr>
          <w:rFonts w:ascii="宋体" w:hAnsi="宋体" w:cs="宋体"/>
          <w:szCs w:val="21"/>
        </w:rPr>
      </w:pPr>
      <w:r>
        <w:rPr>
          <w:rFonts w:hint="eastAsia" w:ascii="宋体" w:hAnsi="宋体" w:cs="宋体"/>
          <w:szCs w:val="21"/>
        </w:rPr>
        <w:t>2.2.5供应商在收到补充文件后，应在24小时内以书面形式向采购代理机构确认已收到该补充文件。逾期未确认视为已收到。</w:t>
      </w:r>
    </w:p>
    <w:p w14:paraId="5CCE1D83">
      <w:pPr>
        <w:ind w:firstLine="420"/>
        <w:rPr>
          <w:rFonts w:ascii="宋体" w:hAnsi="宋体" w:cs="宋体"/>
          <w:szCs w:val="21"/>
        </w:rPr>
      </w:pPr>
      <w:r>
        <w:rPr>
          <w:rFonts w:hint="eastAsia" w:ascii="宋体" w:hAnsi="宋体" w:cs="宋体"/>
          <w:szCs w:val="21"/>
        </w:rPr>
        <w:t>2.2.6当磋商文件与补充文件就同一内容的表述不一致时，以最后发出的书面文件为准。</w:t>
      </w:r>
    </w:p>
    <w:p w14:paraId="291D083D">
      <w:pPr>
        <w:ind w:firstLine="420"/>
        <w:rPr>
          <w:rFonts w:ascii="宋体" w:hAnsi="宋体" w:cs="宋体"/>
          <w:szCs w:val="21"/>
        </w:rPr>
      </w:pPr>
      <w:r>
        <w:rPr>
          <w:rFonts w:hint="eastAsia" w:ascii="宋体" w:hAnsi="宋体" w:cs="宋体"/>
          <w:szCs w:val="21"/>
        </w:rPr>
        <w:t>2.2.7任何口头答复均不属于磋商文件的组成部分。</w:t>
      </w:r>
    </w:p>
    <w:p w14:paraId="4BA929F1">
      <w:pPr>
        <w:pStyle w:val="3"/>
        <w:rPr>
          <w:rFonts w:ascii="宋体" w:hAnsi="宋体" w:cs="宋体"/>
          <w:szCs w:val="21"/>
        </w:rPr>
      </w:pPr>
      <w:bookmarkStart w:id="82" w:name="_Toc17209"/>
      <w:bookmarkStart w:id="83" w:name="_Toc6276"/>
      <w:bookmarkStart w:id="84" w:name="_Toc5284"/>
      <w:bookmarkStart w:id="85" w:name="_Toc82873324"/>
      <w:bookmarkStart w:id="86" w:name="_Toc450840075"/>
      <w:bookmarkStart w:id="87" w:name="_Toc82338241"/>
      <w:bookmarkStart w:id="88" w:name="_Toc30312"/>
      <w:bookmarkStart w:id="89" w:name="_Toc6227647"/>
      <w:r>
        <w:rPr>
          <w:rFonts w:hint="eastAsia" w:ascii="宋体" w:hAnsi="宋体" w:cs="宋体"/>
          <w:szCs w:val="21"/>
        </w:rPr>
        <w:t>3响应文件</w:t>
      </w:r>
      <w:bookmarkEnd w:id="82"/>
      <w:bookmarkEnd w:id="83"/>
      <w:bookmarkEnd w:id="84"/>
      <w:bookmarkEnd w:id="85"/>
      <w:bookmarkEnd w:id="86"/>
      <w:bookmarkEnd w:id="87"/>
      <w:bookmarkEnd w:id="88"/>
      <w:bookmarkEnd w:id="89"/>
    </w:p>
    <w:p w14:paraId="39DA7C90">
      <w:pPr>
        <w:pStyle w:val="4"/>
        <w:rPr>
          <w:rFonts w:ascii="宋体" w:hAnsi="宋体" w:cs="宋体"/>
          <w:szCs w:val="21"/>
        </w:rPr>
      </w:pPr>
      <w:bookmarkStart w:id="90" w:name="_Hlk8239818"/>
      <w:r>
        <w:rPr>
          <w:rFonts w:hint="eastAsia" w:ascii="宋体" w:hAnsi="宋体" w:cs="宋体"/>
          <w:szCs w:val="21"/>
        </w:rPr>
        <w:t>3.1响应文件的组成</w:t>
      </w:r>
    </w:p>
    <w:p w14:paraId="346E498A">
      <w:pPr>
        <w:ind w:firstLine="420"/>
        <w:rPr>
          <w:rFonts w:ascii="宋体" w:hAnsi="宋体" w:cs="宋体"/>
          <w:szCs w:val="21"/>
        </w:rPr>
      </w:pPr>
      <w:r>
        <w:rPr>
          <w:rFonts w:hint="eastAsia" w:ascii="宋体" w:hAnsi="宋体" w:cs="宋体"/>
          <w:szCs w:val="21"/>
        </w:rPr>
        <w:t>响应文件由资格证明文件、报价文件、商务技术文件三部分组成。响应文件的组成和格式见本磋商文件第五章。</w:t>
      </w:r>
    </w:p>
    <w:p w14:paraId="177568CF">
      <w:pPr>
        <w:pStyle w:val="4"/>
        <w:rPr>
          <w:rFonts w:ascii="宋体" w:hAnsi="宋体" w:cs="宋体"/>
          <w:szCs w:val="21"/>
        </w:rPr>
      </w:pPr>
      <w:r>
        <w:rPr>
          <w:rFonts w:hint="eastAsia" w:ascii="宋体" w:hAnsi="宋体" w:cs="宋体"/>
          <w:szCs w:val="21"/>
        </w:rPr>
        <w:t>3.2响应文件的编制</w:t>
      </w:r>
    </w:p>
    <w:p w14:paraId="1EA5CC56">
      <w:pPr>
        <w:ind w:firstLine="420"/>
        <w:rPr>
          <w:rFonts w:ascii="宋体" w:hAnsi="宋体" w:cs="宋体"/>
          <w:szCs w:val="21"/>
        </w:rPr>
      </w:pPr>
      <w:r>
        <w:rPr>
          <w:rFonts w:hint="eastAsia" w:ascii="宋体" w:hAnsi="宋体" w:cs="宋体"/>
          <w:szCs w:val="21"/>
        </w:rPr>
        <w:t>3.2.1供应商应仔细阅读磋商文件中的所有内容，按照磋商文件要求，详细编制响应文件，提供相关资格、商务资料和技术参数资料，对磋商文件中的各个项目给予实质性答复，并保证响应文件的正确性和真实性，</w:t>
      </w:r>
      <w:r>
        <w:rPr>
          <w:rFonts w:hint="eastAsia" w:ascii="宋体" w:hAnsi="宋体" w:cs="宋体"/>
          <w:bCs/>
          <w:szCs w:val="21"/>
        </w:rPr>
        <w:t>否则可能导致不利于对其响应的评定</w:t>
      </w:r>
      <w:r>
        <w:rPr>
          <w:rFonts w:hint="eastAsia" w:ascii="宋体" w:hAnsi="宋体" w:cs="宋体"/>
          <w:szCs w:val="21"/>
        </w:rPr>
        <w:t>。响应文件统一采用汉语言文字，计量单位应使用中华人民共和国法定计量单位（文件中另有规定的除外）。</w:t>
      </w:r>
    </w:p>
    <w:p w14:paraId="6E176D85">
      <w:pPr>
        <w:ind w:firstLine="420"/>
        <w:rPr>
          <w:rFonts w:ascii="宋体" w:hAnsi="宋体" w:cs="宋体"/>
          <w:szCs w:val="21"/>
        </w:rPr>
      </w:pPr>
      <w:r>
        <w:rPr>
          <w:rFonts w:hint="eastAsia" w:ascii="宋体" w:hAnsi="宋体" w:cs="宋体"/>
          <w:szCs w:val="21"/>
        </w:rPr>
        <w:t>3.2.2供应商应按照上述第3.</w:t>
      </w:r>
      <w:r>
        <w:rPr>
          <w:rFonts w:ascii="宋体" w:hAnsi="宋体" w:cs="宋体"/>
          <w:szCs w:val="21"/>
        </w:rPr>
        <w:t>2.1</w:t>
      </w:r>
      <w:r>
        <w:rPr>
          <w:rFonts w:hint="eastAsia" w:ascii="宋体" w:hAnsi="宋体" w:cs="宋体"/>
          <w:szCs w:val="21"/>
        </w:rPr>
        <w:t>条及供应商须知前附表中所提出的要求编写。</w:t>
      </w:r>
    </w:p>
    <w:p w14:paraId="3F1EB820">
      <w:pPr>
        <w:ind w:firstLine="420"/>
        <w:rPr>
          <w:rFonts w:ascii="宋体" w:hAnsi="宋体" w:cs="宋体"/>
          <w:szCs w:val="21"/>
        </w:rPr>
      </w:pPr>
      <w:r>
        <w:rPr>
          <w:rFonts w:hint="eastAsia" w:ascii="宋体" w:hAnsi="宋体" w:cs="宋体"/>
          <w:szCs w:val="21"/>
        </w:rPr>
        <w:t>3.2.3响应文件应当对磋商文件规定的实质性内容应当作出明确响应。</w:t>
      </w:r>
    </w:p>
    <w:p w14:paraId="7A996110">
      <w:pPr>
        <w:ind w:firstLine="420"/>
        <w:rPr>
          <w:rFonts w:ascii="宋体" w:hAnsi="宋体" w:cs="宋体"/>
          <w:szCs w:val="21"/>
        </w:rPr>
      </w:pPr>
      <w:r>
        <w:rPr>
          <w:rFonts w:hint="eastAsia" w:ascii="宋体" w:hAnsi="宋体" w:cs="宋体"/>
          <w:szCs w:val="21"/>
        </w:rPr>
        <w:t>3.2.4响应文件的正本需打印或用不退色的墨水填写，并注明“正本”字样。副本可以为正本的复印件，并注明“副本”字样。当副本和正本不一致时，以正本为准。</w:t>
      </w:r>
    </w:p>
    <w:p w14:paraId="008E92C4">
      <w:pPr>
        <w:ind w:firstLine="420"/>
        <w:rPr>
          <w:rFonts w:ascii="宋体" w:hAnsi="宋体" w:cs="宋体"/>
          <w:szCs w:val="21"/>
        </w:rPr>
      </w:pPr>
      <w:r>
        <w:rPr>
          <w:rFonts w:hint="eastAsia" w:ascii="宋体" w:hAnsi="宋体" w:cs="宋体"/>
          <w:szCs w:val="21"/>
        </w:rPr>
        <w:t>3.2.5响应文件由供应商的法定代表人或其委托代理人签字（或盖章）、盖单位公章。</w:t>
      </w:r>
    </w:p>
    <w:p w14:paraId="50EC7AEC">
      <w:pPr>
        <w:ind w:firstLine="420"/>
        <w:rPr>
          <w:rFonts w:ascii="宋体" w:hAnsi="宋体" w:cs="宋体"/>
          <w:szCs w:val="21"/>
        </w:rPr>
      </w:pPr>
      <w:r>
        <w:rPr>
          <w:rFonts w:hint="eastAsia" w:ascii="宋体" w:hAnsi="宋体" w:cs="宋体"/>
          <w:szCs w:val="21"/>
        </w:rPr>
        <w:t>3.2.6响应文件份数要求详见“供应商须知前附表”。</w:t>
      </w:r>
    </w:p>
    <w:p w14:paraId="166FF3D6">
      <w:pPr>
        <w:ind w:firstLine="420"/>
        <w:rPr>
          <w:rFonts w:ascii="宋体" w:hAnsi="宋体" w:cs="宋体"/>
        </w:rPr>
      </w:pPr>
      <w:r>
        <w:rPr>
          <w:rFonts w:hint="eastAsia" w:ascii="宋体" w:hAnsi="宋体" w:cs="宋体"/>
        </w:rPr>
        <w:t>3.2.7响应文件编制、签署、盖章、装订及密封要求详见“供应商须知前附表”。</w:t>
      </w:r>
    </w:p>
    <w:p w14:paraId="14767CCB">
      <w:pPr>
        <w:ind w:firstLine="420"/>
        <w:rPr>
          <w:rFonts w:ascii="宋体" w:hAnsi="宋体" w:cs="宋体"/>
          <w:szCs w:val="21"/>
        </w:rPr>
      </w:pPr>
      <w:r>
        <w:rPr>
          <w:rFonts w:hint="eastAsia" w:ascii="宋体" w:hAnsi="宋体" w:cs="宋体"/>
        </w:rPr>
        <w:t>3.2.8</w:t>
      </w:r>
      <w:r>
        <w:rPr>
          <w:rFonts w:hint="eastAsia" w:ascii="宋体" w:hAnsi="宋体" w:cs="宋体"/>
          <w:szCs w:val="21"/>
        </w:rPr>
        <w:t>响应文件不得涂改和增删，若有错漏必须修改，修改处必须加盖供应商公章或者法定代表人或授权委托人签名或盖章。</w:t>
      </w:r>
    </w:p>
    <w:p w14:paraId="135C41AE">
      <w:pPr>
        <w:ind w:firstLine="420"/>
        <w:rPr>
          <w:rFonts w:ascii="宋体" w:hAnsi="宋体" w:cs="宋体"/>
          <w:szCs w:val="21"/>
        </w:rPr>
      </w:pPr>
      <w:r>
        <w:rPr>
          <w:rFonts w:hint="eastAsia" w:ascii="宋体" w:hAnsi="宋体" w:cs="宋体"/>
          <w:szCs w:val="21"/>
        </w:rPr>
        <w:t>3.2.9响应文件因字迹潦草或表达不清楚所引起的后果由供应商负责。</w:t>
      </w:r>
    </w:p>
    <w:bookmarkEnd w:id="90"/>
    <w:p w14:paraId="65C78E5A">
      <w:pPr>
        <w:pStyle w:val="4"/>
        <w:rPr>
          <w:rFonts w:ascii="宋体" w:hAnsi="宋体" w:cs="宋体"/>
          <w:szCs w:val="21"/>
        </w:rPr>
      </w:pPr>
      <w:r>
        <w:rPr>
          <w:rFonts w:hint="eastAsia" w:ascii="宋体" w:hAnsi="宋体" w:cs="宋体"/>
          <w:szCs w:val="21"/>
        </w:rPr>
        <w:t>3.3报价要求</w:t>
      </w:r>
    </w:p>
    <w:p w14:paraId="0EBAE8B2">
      <w:pPr>
        <w:ind w:firstLine="420"/>
        <w:rPr>
          <w:rFonts w:ascii="宋体" w:hAnsi="宋体"/>
        </w:rPr>
      </w:pPr>
      <w:r>
        <w:rPr>
          <w:rFonts w:hint="eastAsia" w:ascii="宋体" w:hAnsi="宋体" w:cs="宋体"/>
          <w:szCs w:val="21"/>
        </w:rPr>
        <w:t>3.3.1磋商报价：</w:t>
      </w:r>
      <w:r>
        <w:rPr>
          <w:rFonts w:hint="eastAsia" w:ascii="宋体" w:hAnsi="宋体" w:cs="宋体"/>
        </w:rPr>
        <w:t>将人工费、材料费、机械费、管理费、税金、利润等完成所投标项规定的服务内容所产生的全部费用及采购代理服务费均包含在报价之中。</w:t>
      </w:r>
    </w:p>
    <w:p w14:paraId="2094274E">
      <w:pPr>
        <w:ind w:firstLine="420"/>
        <w:rPr>
          <w:rFonts w:ascii="宋体" w:hAnsi="宋体" w:cs="宋体"/>
          <w:bCs/>
          <w:szCs w:val="21"/>
        </w:rPr>
      </w:pPr>
      <w:r>
        <w:rPr>
          <w:rFonts w:hint="eastAsia" w:ascii="宋体" w:hAnsi="宋体" w:cs="宋体"/>
          <w:bCs/>
          <w:szCs w:val="21"/>
        </w:rPr>
        <w:t>3.3.</w:t>
      </w:r>
      <w:r>
        <w:rPr>
          <w:rFonts w:ascii="宋体" w:hAnsi="宋体" w:cs="宋体"/>
          <w:bCs/>
          <w:szCs w:val="21"/>
        </w:rPr>
        <w:t>2</w:t>
      </w:r>
      <w:r>
        <w:rPr>
          <w:rFonts w:hint="eastAsia" w:ascii="宋体" w:hAnsi="宋体" w:cs="宋体"/>
          <w:bCs/>
          <w:szCs w:val="21"/>
        </w:rPr>
        <w:t>供应商对所投标项的服务必须按采购数量全部进行报价。</w:t>
      </w:r>
    </w:p>
    <w:p w14:paraId="7DE2A300">
      <w:pPr>
        <w:ind w:firstLine="420"/>
        <w:rPr>
          <w:rFonts w:ascii="宋体" w:hAnsi="宋体" w:cs="宋体"/>
          <w:szCs w:val="21"/>
        </w:rPr>
      </w:pPr>
      <w:r>
        <w:rPr>
          <w:rFonts w:hint="eastAsia" w:ascii="宋体" w:hAnsi="宋体" w:cs="宋体"/>
          <w:bCs/>
          <w:szCs w:val="21"/>
        </w:rPr>
        <w:t>3.3.</w:t>
      </w:r>
      <w:r>
        <w:rPr>
          <w:rFonts w:ascii="宋体" w:hAnsi="宋体" w:cs="宋体"/>
          <w:bCs/>
          <w:szCs w:val="21"/>
        </w:rPr>
        <w:t>3</w:t>
      </w:r>
      <w:r>
        <w:rPr>
          <w:rFonts w:hint="eastAsia" w:ascii="宋体" w:hAnsi="宋体" w:cs="宋体"/>
          <w:bCs/>
          <w:szCs w:val="21"/>
        </w:rPr>
        <w:t>每一轮每标项只允许有一个报价，不接受有选择报价的响应文件。</w:t>
      </w:r>
    </w:p>
    <w:p w14:paraId="446A103C">
      <w:pPr>
        <w:ind w:firstLine="420"/>
        <w:rPr>
          <w:rFonts w:ascii="宋体" w:hAnsi="宋体" w:cs="宋体"/>
          <w:b/>
          <w:szCs w:val="21"/>
        </w:rPr>
      </w:pPr>
      <w:r>
        <w:rPr>
          <w:rFonts w:hint="eastAsia" w:ascii="宋体" w:hAnsi="宋体" w:cs="宋体"/>
          <w:szCs w:val="21"/>
        </w:rPr>
        <w:t>3.3.</w:t>
      </w:r>
      <w:r>
        <w:rPr>
          <w:rFonts w:ascii="宋体" w:hAnsi="宋体" w:cs="宋体"/>
          <w:szCs w:val="21"/>
        </w:rPr>
        <w:t>4</w:t>
      </w:r>
      <w:r>
        <w:rPr>
          <w:rFonts w:hint="eastAsia" w:ascii="宋体" w:hAnsi="宋体" w:cs="宋体"/>
          <w:bCs/>
          <w:szCs w:val="21"/>
        </w:rPr>
        <w:t>供应商的报价应按磋商文件要求的格式、顺序编制。</w:t>
      </w:r>
    </w:p>
    <w:p w14:paraId="5DEAEEB4">
      <w:pPr>
        <w:ind w:firstLine="420"/>
        <w:rPr>
          <w:rFonts w:ascii="宋体" w:hAnsi="宋体" w:cs="宋体"/>
          <w:szCs w:val="21"/>
        </w:rPr>
      </w:pPr>
      <w:r>
        <w:rPr>
          <w:rFonts w:hint="eastAsia" w:ascii="宋体" w:hAnsi="宋体" w:cs="宋体"/>
          <w:szCs w:val="21"/>
        </w:rPr>
        <w:t>3.3.</w:t>
      </w:r>
      <w:r>
        <w:rPr>
          <w:rFonts w:ascii="宋体" w:hAnsi="宋体" w:cs="宋体"/>
          <w:szCs w:val="21"/>
        </w:rPr>
        <w:t>5</w:t>
      </w:r>
      <w:r>
        <w:rPr>
          <w:rFonts w:hint="eastAsia" w:ascii="宋体" w:hAnsi="宋体" w:cs="宋体"/>
          <w:szCs w:val="21"/>
        </w:rPr>
        <w:t>报价明细表应按不同费用类别分类填写，详见响应文件附件格式。</w:t>
      </w:r>
    </w:p>
    <w:p w14:paraId="5CB47935">
      <w:pPr>
        <w:pStyle w:val="4"/>
        <w:rPr>
          <w:rFonts w:ascii="宋体" w:hAnsi="宋体" w:cs="宋体"/>
          <w:szCs w:val="21"/>
        </w:rPr>
      </w:pPr>
      <w:r>
        <w:rPr>
          <w:rFonts w:hint="eastAsia" w:ascii="宋体" w:hAnsi="宋体" w:cs="宋体"/>
          <w:szCs w:val="21"/>
        </w:rPr>
        <w:t>3.4磋商有效期</w:t>
      </w:r>
    </w:p>
    <w:p w14:paraId="46909DBB">
      <w:pPr>
        <w:ind w:firstLine="420"/>
        <w:rPr>
          <w:rFonts w:ascii="宋体" w:hAnsi="宋体" w:cs="宋体"/>
          <w:szCs w:val="21"/>
        </w:rPr>
      </w:pPr>
      <w:r>
        <w:rPr>
          <w:rFonts w:hint="eastAsia" w:ascii="宋体" w:hAnsi="宋体" w:cs="宋体"/>
          <w:szCs w:val="21"/>
        </w:rPr>
        <w:t>3.4.1磋商有效期见供应商须知前附表。磋商有效期内，响应文件应保持有效。</w:t>
      </w:r>
    </w:p>
    <w:p w14:paraId="22FF4E65">
      <w:pPr>
        <w:ind w:firstLine="420"/>
        <w:rPr>
          <w:rFonts w:ascii="宋体" w:hAnsi="宋体" w:cs="宋体"/>
          <w:szCs w:val="21"/>
        </w:rPr>
      </w:pPr>
      <w:r>
        <w:rPr>
          <w:rFonts w:hint="eastAsia" w:ascii="宋体" w:hAnsi="宋体" w:cs="宋体"/>
          <w:szCs w:val="21"/>
        </w:rPr>
        <w:t>3.4.2在特殊情况下，采购人可与供应商协商延长磋商有效期，这种要求和答复均应以书面形式进行。同意延长有效期的供应商不能修改响应文件。</w:t>
      </w:r>
    </w:p>
    <w:p w14:paraId="102C61FF">
      <w:pPr>
        <w:ind w:firstLine="420"/>
        <w:rPr>
          <w:rFonts w:ascii="宋体" w:hAnsi="宋体" w:cs="宋体"/>
          <w:szCs w:val="21"/>
        </w:rPr>
      </w:pPr>
      <w:r>
        <w:rPr>
          <w:rFonts w:hint="eastAsia" w:ascii="宋体" w:hAnsi="宋体" w:cs="宋体"/>
          <w:szCs w:val="21"/>
        </w:rPr>
        <w:t>3.4.3供应商可拒绝接受延期。</w:t>
      </w:r>
    </w:p>
    <w:p w14:paraId="7187DBF2">
      <w:pPr>
        <w:pStyle w:val="3"/>
        <w:rPr>
          <w:rFonts w:ascii="宋体" w:hAnsi="宋体" w:cs="宋体"/>
          <w:szCs w:val="21"/>
        </w:rPr>
      </w:pPr>
      <w:bookmarkStart w:id="91" w:name="_Toc16032"/>
      <w:bookmarkStart w:id="92" w:name="_Toc82338242"/>
      <w:bookmarkStart w:id="93" w:name="_Toc6227648"/>
      <w:bookmarkStart w:id="94" w:name="_Toc17003"/>
      <w:bookmarkStart w:id="95" w:name="_Toc4098"/>
      <w:bookmarkStart w:id="96" w:name="_Toc82873325"/>
      <w:bookmarkStart w:id="97" w:name="_Toc10663"/>
      <w:bookmarkStart w:id="98" w:name="_Toc450840076"/>
      <w:r>
        <w:rPr>
          <w:rFonts w:hint="eastAsia" w:ascii="宋体" w:hAnsi="宋体" w:cs="宋体"/>
          <w:szCs w:val="21"/>
        </w:rPr>
        <w:t>4响应文件的提交</w:t>
      </w:r>
      <w:bookmarkEnd w:id="91"/>
      <w:bookmarkEnd w:id="92"/>
      <w:bookmarkEnd w:id="93"/>
      <w:bookmarkEnd w:id="94"/>
      <w:bookmarkEnd w:id="95"/>
      <w:bookmarkEnd w:id="96"/>
      <w:bookmarkEnd w:id="97"/>
      <w:bookmarkEnd w:id="98"/>
    </w:p>
    <w:p w14:paraId="37F1F325">
      <w:pPr>
        <w:pStyle w:val="4"/>
        <w:rPr>
          <w:rFonts w:ascii="宋体" w:hAnsi="宋体" w:cs="宋体"/>
          <w:szCs w:val="21"/>
        </w:rPr>
      </w:pPr>
      <w:r>
        <w:rPr>
          <w:rFonts w:hint="eastAsia" w:ascii="宋体" w:hAnsi="宋体" w:cs="宋体"/>
          <w:szCs w:val="21"/>
        </w:rPr>
        <w:t>4.1响应文件的标记、装订及密封</w:t>
      </w:r>
    </w:p>
    <w:p w14:paraId="4042DD45">
      <w:pPr>
        <w:ind w:firstLine="420"/>
        <w:rPr>
          <w:rFonts w:ascii="宋体" w:hAnsi="宋体" w:cs="宋体"/>
          <w:szCs w:val="21"/>
        </w:rPr>
      </w:pPr>
      <w:r>
        <w:rPr>
          <w:rFonts w:hint="eastAsia" w:ascii="宋体" w:hAnsi="宋体" w:cs="宋体"/>
          <w:szCs w:val="21"/>
        </w:rPr>
        <w:t>4.1.1见供应商须知前附表</w:t>
      </w:r>
    </w:p>
    <w:p w14:paraId="0EBF39CF">
      <w:pPr>
        <w:ind w:firstLine="420"/>
        <w:rPr>
          <w:rFonts w:ascii="宋体" w:hAnsi="宋体" w:cs="宋体"/>
          <w:szCs w:val="21"/>
        </w:rPr>
      </w:pPr>
      <w:r>
        <w:rPr>
          <w:rFonts w:hint="eastAsia" w:ascii="宋体" w:hAnsi="宋体" w:cs="宋体"/>
          <w:szCs w:val="21"/>
        </w:rPr>
        <w:t>4.1.2如果供应商未按上述要求密封及加写标记，采购人对响应文件的误投和提前启封不负责任。</w:t>
      </w:r>
    </w:p>
    <w:p w14:paraId="378F7044">
      <w:pPr>
        <w:pStyle w:val="4"/>
        <w:rPr>
          <w:rFonts w:ascii="宋体" w:hAnsi="宋体" w:cs="宋体"/>
          <w:szCs w:val="21"/>
        </w:rPr>
      </w:pPr>
      <w:bookmarkStart w:id="99" w:name="_Hlk8240030"/>
      <w:r>
        <w:rPr>
          <w:rFonts w:hint="eastAsia" w:ascii="宋体" w:hAnsi="宋体" w:cs="宋体"/>
          <w:szCs w:val="21"/>
        </w:rPr>
        <w:t>4.2磋商文件提交截止时间及截止时间的变更</w:t>
      </w:r>
    </w:p>
    <w:p w14:paraId="315DE69B">
      <w:pPr>
        <w:ind w:firstLine="420"/>
        <w:rPr>
          <w:rFonts w:ascii="宋体" w:hAnsi="宋体"/>
          <w:bCs/>
        </w:rPr>
      </w:pPr>
      <w:r>
        <w:rPr>
          <w:rFonts w:hint="eastAsia" w:ascii="宋体" w:hAnsi="宋体"/>
          <w:bCs/>
        </w:rPr>
        <w:t>4.2.1响应文件必须在规定的提交截止时间前（见供应商须知前附表）送达指定的响应文件提交地点，逾期送达的，采购代理机构将拒收其响应文件。</w:t>
      </w:r>
    </w:p>
    <w:p w14:paraId="165CCBAB">
      <w:pPr>
        <w:ind w:firstLine="420"/>
        <w:rPr>
          <w:rFonts w:ascii="宋体" w:hAnsi="宋体" w:cs="宋体"/>
          <w:szCs w:val="21"/>
        </w:rPr>
      </w:pPr>
      <w:r>
        <w:rPr>
          <w:rFonts w:hint="eastAsia" w:ascii="宋体" w:hAnsi="宋体" w:cs="宋体"/>
          <w:szCs w:val="21"/>
        </w:rPr>
        <w:t>4.2.2采购人如因故推迟响应文件提交截止时间，将在截止时间前3天以书面形式通知所有供应商，同时在竞争性磋商公告同媒体公告。供应商在收到通知后，应在24小时内以书面形式向采购代理机构确认已收到该通知，逾期未确认视为已收到通知。在此情况下，采购人和供应商的权利和义务将受到新的截止时间的约束。</w:t>
      </w:r>
    </w:p>
    <w:bookmarkEnd w:id="99"/>
    <w:p w14:paraId="3FB74CC5">
      <w:pPr>
        <w:pStyle w:val="4"/>
        <w:rPr>
          <w:rFonts w:ascii="宋体" w:hAnsi="宋体" w:cs="宋体"/>
          <w:szCs w:val="21"/>
        </w:rPr>
      </w:pPr>
      <w:r>
        <w:rPr>
          <w:rFonts w:hint="eastAsia" w:ascii="宋体" w:hAnsi="宋体" w:cs="宋体"/>
          <w:szCs w:val="21"/>
        </w:rPr>
        <w:t>4.3响应文件的修改和撤回</w:t>
      </w:r>
    </w:p>
    <w:p w14:paraId="5ED3BB16">
      <w:pPr>
        <w:ind w:firstLine="420"/>
        <w:rPr>
          <w:rFonts w:ascii="宋体" w:hAnsi="宋体" w:cs="宋体"/>
          <w:szCs w:val="21"/>
        </w:rPr>
      </w:pPr>
      <w:r>
        <w:rPr>
          <w:rFonts w:hint="eastAsia" w:ascii="宋体" w:hAnsi="宋体" w:cs="宋体"/>
          <w:szCs w:val="21"/>
        </w:rPr>
        <w:t>4.3.1供应商递交响应文件以后，在规定的响应文件提交截止时间之前，可以书面形式对响应文件进行补充、修改，修改文件须加盖单位公章，并由法定代表人或授权委托人签字或盖章，在该截止时间以后，不得修改、补充响应文件。</w:t>
      </w:r>
    </w:p>
    <w:p w14:paraId="77A963E9">
      <w:pPr>
        <w:ind w:firstLine="420"/>
        <w:rPr>
          <w:rFonts w:ascii="宋体" w:hAnsi="宋体" w:cs="宋体"/>
          <w:szCs w:val="21"/>
        </w:rPr>
      </w:pPr>
      <w:r>
        <w:rPr>
          <w:rFonts w:hint="eastAsia" w:ascii="宋体" w:hAnsi="宋体" w:cs="宋体"/>
          <w:szCs w:val="21"/>
        </w:rPr>
        <w:t>4.3.2供应商的修改文件，应按本须知规定编制、密封、标志和递交（在密封物上标明修改字样），如果一份响应文件有几份函件时，应注明哪一份有效，否则所作修改视为无效。</w:t>
      </w:r>
    </w:p>
    <w:p w14:paraId="27A39A5F">
      <w:pPr>
        <w:ind w:firstLine="420"/>
        <w:rPr>
          <w:rFonts w:ascii="宋体" w:hAnsi="宋体" w:cs="宋体"/>
          <w:szCs w:val="21"/>
        </w:rPr>
      </w:pPr>
      <w:r>
        <w:rPr>
          <w:rFonts w:hint="eastAsia" w:ascii="宋体" w:hAnsi="宋体" w:cs="宋体"/>
          <w:szCs w:val="21"/>
        </w:rPr>
        <w:t>4.3.3修改文件必须密封，在密封袋上写明项目编号、采购项目名称、供应商名称、并注明“修改文件”字样。</w:t>
      </w:r>
    </w:p>
    <w:p w14:paraId="429D9F7F">
      <w:pPr>
        <w:ind w:firstLine="420"/>
        <w:rPr>
          <w:rFonts w:ascii="宋体" w:hAnsi="宋体" w:cs="宋体"/>
          <w:szCs w:val="21"/>
        </w:rPr>
      </w:pPr>
      <w:r>
        <w:rPr>
          <w:rFonts w:hint="eastAsia" w:ascii="宋体" w:hAnsi="宋体" w:cs="宋体"/>
          <w:szCs w:val="21"/>
        </w:rPr>
        <w:t>4.3.4</w:t>
      </w:r>
      <w:bookmarkStart w:id="100" w:name="_Hlk8240140"/>
      <w:r>
        <w:rPr>
          <w:rFonts w:hint="eastAsia" w:ascii="宋体" w:hAnsi="宋体" w:cs="宋体"/>
          <w:szCs w:val="21"/>
        </w:rPr>
        <w:t>响应文件提交截止时间之前，</w:t>
      </w:r>
      <w:bookmarkEnd w:id="100"/>
      <w:r>
        <w:rPr>
          <w:rFonts w:hint="eastAsia" w:ascii="宋体" w:hAnsi="宋体" w:cs="宋体"/>
          <w:szCs w:val="21"/>
        </w:rPr>
        <w:t>供应商以传真形式通知采购人撤回响应文件的，必须随后补充有法定代表人或法定代表人授权委托人签署的正式文件。</w:t>
      </w:r>
    </w:p>
    <w:p w14:paraId="7D3BD183">
      <w:pPr>
        <w:pStyle w:val="4"/>
        <w:rPr>
          <w:rFonts w:ascii="宋体" w:hAnsi="宋体" w:cs="宋体"/>
          <w:szCs w:val="21"/>
        </w:rPr>
      </w:pPr>
      <w:r>
        <w:rPr>
          <w:rFonts w:hint="eastAsia" w:ascii="宋体" w:hAnsi="宋体" w:cs="宋体"/>
          <w:szCs w:val="21"/>
        </w:rPr>
        <w:t>4.4响应文件的澄清与修正</w:t>
      </w:r>
    </w:p>
    <w:p w14:paraId="72D5AAD1">
      <w:pPr>
        <w:ind w:firstLine="420"/>
        <w:rPr>
          <w:rFonts w:ascii="宋体" w:hAnsi="宋体" w:cs="宋体"/>
          <w:szCs w:val="21"/>
        </w:rPr>
      </w:pPr>
      <w:r>
        <w:rPr>
          <w:rFonts w:hint="eastAsia" w:ascii="宋体" w:hAnsi="宋体" w:cs="宋体"/>
          <w:szCs w:val="21"/>
        </w:rPr>
        <w:t>4.4.1对于响应文件中含义不明确、同类问题表述不一致或者有明显文字和计算错误的内容，磋商小组应当以书面形式要求供应商作出必要的澄清、说明或者补正。供应商的澄清、说明或者补正应当采用书面形式，并加盖公章，或者由法定代表人或其授权的代表签字。供应商的澄清、说明或者补正不得超出响应文件的范围或者改变响应文件的实质性内容。</w:t>
      </w:r>
    </w:p>
    <w:p w14:paraId="21EE9F7B">
      <w:pPr>
        <w:ind w:firstLine="420"/>
        <w:rPr>
          <w:rFonts w:ascii="宋体" w:hAnsi="宋体" w:cs="宋体"/>
          <w:szCs w:val="21"/>
        </w:rPr>
      </w:pPr>
      <w:r>
        <w:rPr>
          <w:rFonts w:hint="eastAsia" w:ascii="宋体" w:hAnsi="宋体" w:cs="宋体"/>
          <w:szCs w:val="21"/>
        </w:rPr>
        <w:t>4.4.2响应文件报价出现前后不一致的，除磋商文件另有规定外，按照下列规定修正：</w:t>
      </w:r>
    </w:p>
    <w:p w14:paraId="031C9601">
      <w:pPr>
        <w:ind w:firstLine="420"/>
        <w:rPr>
          <w:rFonts w:ascii="宋体" w:hAnsi="宋体" w:cs="宋体"/>
          <w:szCs w:val="21"/>
        </w:rPr>
      </w:pPr>
      <w:r>
        <w:rPr>
          <w:rFonts w:hint="eastAsia" w:ascii="宋体" w:hAnsi="宋体" w:cs="宋体"/>
          <w:szCs w:val="21"/>
        </w:rPr>
        <w:t>（一）响应文件中初次报价表内容与响应文件中相应内容不一致的，以初次报价表为准；</w:t>
      </w:r>
    </w:p>
    <w:p w14:paraId="608C6948">
      <w:pPr>
        <w:ind w:firstLine="420"/>
        <w:rPr>
          <w:rFonts w:ascii="宋体" w:hAnsi="宋体" w:cs="宋体"/>
          <w:szCs w:val="21"/>
        </w:rPr>
      </w:pPr>
      <w:r>
        <w:rPr>
          <w:rFonts w:hint="eastAsia" w:ascii="宋体" w:hAnsi="宋体" w:cs="宋体"/>
          <w:szCs w:val="21"/>
        </w:rPr>
        <w:t>（二）大写金额和小写金额不一致的，以大写金额为准；</w:t>
      </w:r>
    </w:p>
    <w:p w14:paraId="2F6E7E72">
      <w:pPr>
        <w:ind w:firstLine="420"/>
        <w:rPr>
          <w:rFonts w:ascii="宋体" w:hAnsi="宋体" w:cs="宋体"/>
          <w:szCs w:val="21"/>
        </w:rPr>
      </w:pPr>
      <w:r>
        <w:rPr>
          <w:rFonts w:hint="eastAsia" w:ascii="宋体" w:hAnsi="宋体" w:cs="宋体"/>
          <w:szCs w:val="21"/>
        </w:rPr>
        <w:t>（三）单价金额小数点或者百分比有明显错位的，以开标一览表的总价为准，并修改单价；</w:t>
      </w:r>
    </w:p>
    <w:p w14:paraId="46F2817B">
      <w:pPr>
        <w:ind w:firstLine="420"/>
        <w:rPr>
          <w:rFonts w:ascii="宋体" w:hAnsi="宋体" w:cs="宋体"/>
          <w:szCs w:val="21"/>
        </w:rPr>
      </w:pPr>
      <w:r>
        <w:rPr>
          <w:rFonts w:hint="eastAsia" w:ascii="宋体" w:hAnsi="宋体" w:cs="宋体"/>
          <w:szCs w:val="21"/>
        </w:rPr>
        <w:t>（四）总价金额与按单价汇总金额不一致的，以单价金额计算结果为准。</w:t>
      </w:r>
    </w:p>
    <w:p w14:paraId="7BE57ECC">
      <w:pPr>
        <w:ind w:firstLine="420"/>
        <w:rPr>
          <w:rFonts w:ascii="宋体" w:hAnsi="宋体" w:cs="宋体"/>
          <w:szCs w:val="21"/>
        </w:rPr>
      </w:pPr>
      <w:r>
        <w:rPr>
          <w:rFonts w:hint="eastAsia" w:ascii="宋体" w:hAnsi="宋体" w:cs="宋体"/>
          <w:szCs w:val="21"/>
        </w:rPr>
        <w:t>同时出现两种以上不一致的，按照前款规定的顺序修正。由供应商采用书面形式修正报价，并加盖公章，或者由法定代表人或其授权的代表签字确认。经供应商确认后产生约束力，供应商不确认的，其响应无效。</w:t>
      </w:r>
    </w:p>
    <w:p w14:paraId="651597EF">
      <w:pPr>
        <w:pStyle w:val="3"/>
        <w:rPr>
          <w:rFonts w:ascii="宋体" w:hAnsi="宋体" w:cs="宋体"/>
          <w:szCs w:val="21"/>
        </w:rPr>
      </w:pPr>
      <w:bookmarkStart w:id="101" w:name="_Toc82338243"/>
      <w:bookmarkStart w:id="102" w:name="_Toc82873326"/>
      <w:bookmarkStart w:id="103" w:name="_Toc2078365"/>
      <w:bookmarkStart w:id="104" w:name="_Toc482006357"/>
      <w:bookmarkStart w:id="105" w:name="_Toc6227649"/>
      <w:bookmarkStart w:id="106" w:name="_Toc450840077"/>
      <w:bookmarkStart w:id="107" w:name="_Toc1550"/>
      <w:bookmarkStart w:id="108" w:name="_Toc7976"/>
      <w:bookmarkStart w:id="109" w:name="_Toc23112"/>
      <w:bookmarkStart w:id="110" w:name="_Toc2438"/>
      <w:r>
        <w:rPr>
          <w:rFonts w:hint="eastAsia" w:ascii="宋体" w:hAnsi="宋体" w:cs="宋体"/>
          <w:szCs w:val="21"/>
        </w:rPr>
        <w:t>5磋商</w:t>
      </w:r>
      <w:bookmarkEnd w:id="101"/>
      <w:bookmarkEnd w:id="102"/>
      <w:r>
        <w:rPr>
          <w:rFonts w:hint="eastAsia" w:ascii="宋体" w:hAnsi="宋体" w:cs="宋体"/>
          <w:szCs w:val="21"/>
        </w:rPr>
        <w:t>及</w:t>
      </w:r>
      <w:bookmarkEnd w:id="103"/>
      <w:bookmarkEnd w:id="104"/>
      <w:bookmarkEnd w:id="105"/>
      <w:bookmarkEnd w:id="106"/>
      <w:r>
        <w:rPr>
          <w:rFonts w:hint="eastAsia" w:ascii="宋体" w:hAnsi="宋体" w:cs="宋体"/>
          <w:szCs w:val="21"/>
        </w:rPr>
        <w:t>定标</w:t>
      </w:r>
      <w:bookmarkEnd w:id="107"/>
      <w:bookmarkEnd w:id="108"/>
      <w:bookmarkEnd w:id="109"/>
      <w:bookmarkEnd w:id="110"/>
    </w:p>
    <w:p w14:paraId="3633F0C0">
      <w:pPr>
        <w:pStyle w:val="4"/>
        <w:rPr>
          <w:rFonts w:ascii="宋体" w:hAnsi="宋体" w:cs="宋体"/>
          <w:szCs w:val="21"/>
        </w:rPr>
      </w:pPr>
      <w:r>
        <w:rPr>
          <w:rFonts w:hint="eastAsia" w:ascii="宋体" w:hAnsi="宋体" w:cs="宋体"/>
          <w:szCs w:val="21"/>
        </w:rPr>
        <w:t>5.1磋商规程</w:t>
      </w:r>
    </w:p>
    <w:p w14:paraId="7E00DE7B">
      <w:pPr>
        <w:ind w:firstLine="420"/>
        <w:rPr>
          <w:rFonts w:ascii="宋体" w:hAnsi="宋体" w:cs="宋体"/>
          <w:color w:val="000000"/>
          <w:szCs w:val="21"/>
        </w:rPr>
      </w:pPr>
      <w:bookmarkStart w:id="111" w:name="_Hlk8240294"/>
      <w:r>
        <w:rPr>
          <w:rFonts w:hint="eastAsia" w:ascii="宋体" w:hAnsi="宋体" w:cs="宋体"/>
          <w:color w:val="000000"/>
          <w:szCs w:val="21"/>
        </w:rPr>
        <w:t>5.1.1 采购人按磋商文件规定的时间、地点进行磋商。</w:t>
      </w:r>
    </w:p>
    <w:p w14:paraId="3C674162">
      <w:pPr>
        <w:ind w:firstLine="420"/>
        <w:rPr>
          <w:rFonts w:ascii="宋体" w:hAnsi="宋体" w:cs="宋体"/>
          <w:color w:val="000000"/>
          <w:szCs w:val="21"/>
        </w:rPr>
      </w:pPr>
      <w:r>
        <w:rPr>
          <w:rFonts w:hint="eastAsia" w:ascii="宋体" w:hAnsi="宋体" w:cs="宋体"/>
          <w:color w:val="000000"/>
          <w:szCs w:val="21"/>
        </w:rPr>
        <w:t>5.1.2磋商小组对响应文件进行审阅并与供应商进行磋商，评标小组可能要求投标人对其投标文件中的内容进行澄清、说明以及报价，澄清、说明以及报价通知将通过指定邮箱向投标人在供应商报名登记表填写的邮箱号发送，并要求投标人在规定时间内作出回复。投标人逾期未回复的视为不响应，若在规定的时间内未提供报价，则前一轮报价将被认定为最终报价。</w:t>
      </w:r>
    </w:p>
    <w:p w14:paraId="75C7435A">
      <w:pPr>
        <w:ind w:firstLine="420"/>
        <w:rPr>
          <w:rFonts w:ascii="宋体" w:hAnsi="宋体" w:cs="宋体"/>
          <w:color w:val="000000"/>
          <w:szCs w:val="21"/>
        </w:rPr>
      </w:pPr>
      <w:r>
        <w:rPr>
          <w:rFonts w:hint="eastAsia" w:ascii="宋体" w:hAnsi="宋体" w:cs="宋体"/>
          <w:color w:val="000000"/>
          <w:szCs w:val="21"/>
        </w:rPr>
        <w:t>5.1.3 采购代理机构对磋商过程进行记录，以存档备查。</w:t>
      </w:r>
    </w:p>
    <w:p w14:paraId="4F06C7EC">
      <w:pPr>
        <w:ind w:firstLine="420"/>
        <w:rPr>
          <w:rFonts w:ascii="宋体" w:hAnsi="宋体"/>
        </w:rPr>
      </w:pPr>
      <w:r>
        <w:rPr>
          <w:rFonts w:hint="eastAsia" w:ascii="宋体" w:hAnsi="宋体" w:cs="宋体"/>
          <w:color w:val="000000"/>
        </w:rPr>
        <w:t>已提交响应文件的供应商在提交最终报价之前，可以根据磋商情况退出磋商。</w:t>
      </w:r>
    </w:p>
    <w:bookmarkEnd w:id="111"/>
    <w:p w14:paraId="03D05FB3">
      <w:pPr>
        <w:pStyle w:val="4"/>
        <w:rPr>
          <w:rFonts w:ascii="宋体" w:hAnsi="宋体" w:cs="宋体"/>
          <w:szCs w:val="21"/>
        </w:rPr>
      </w:pPr>
      <w:r>
        <w:rPr>
          <w:rFonts w:hint="eastAsia" w:ascii="宋体" w:hAnsi="宋体" w:cs="宋体"/>
          <w:szCs w:val="21"/>
        </w:rPr>
        <w:t>5.</w:t>
      </w:r>
      <w:r>
        <w:rPr>
          <w:rFonts w:ascii="宋体" w:hAnsi="宋体" w:cs="宋体"/>
          <w:szCs w:val="21"/>
        </w:rPr>
        <w:t>2</w:t>
      </w:r>
      <w:r>
        <w:rPr>
          <w:rFonts w:hint="eastAsia" w:ascii="宋体" w:hAnsi="宋体" w:cs="宋体"/>
          <w:szCs w:val="21"/>
        </w:rPr>
        <w:t>磋商的原则和纪律</w:t>
      </w:r>
    </w:p>
    <w:p w14:paraId="48AC97AA">
      <w:pPr>
        <w:ind w:firstLine="420"/>
        <w:rPr>
          <w:rFonts w:ascii="宋体" w:hAnsi="宋体" w:cs="宋体"/>
          <w:szCs w:val="21"/>
        </w:rPr>
      </w:pPr>
      <w:r>
        <w:rPr>
          <w:rFonts w:hint="eastAsia" w:ascii="宋体" w:hAnsi="宋体" w:cs="宋体"/>
          <w:szCs w:val="21"/>
        </w:rPr>
        <w:t>5.2.1磋商原则</w:t>
      </w:r>
    </w:p>
    <w:p w14:paraId="232733A3">
      <w:pPr>
        <w:ind w:firstLine="420"/>
        <w:rPr>
          <w:rFonts w:ascii="宋体" w:hAnsi="宋体" w:cs="宋体"/>
          <w:szCs w:val="21"/>
        </w:rPr>
      </w:pPr>
      <w:r>
        <w:rPr>
          <w:rFonts w:hint="eastAsia" w:ascii="宋体" w:hAnsi="宋体" w:cs="宋体"/>
          <w:szCs w:val="21"/>
        </w:rPr>
        <w:t>磋商小组必须公平、公正、客观、独立、审慎地按照磋商文件的规定、依法依规依程序进行评审，不受任何倾向性和引导性言行的影响；不得向外界透露任何与评审磋商有关的内容；任何单位和个人不得非法干扰、影响磋商小组的评审工作；磋商小组及有关工作人员不得私下与供应商接触。</w:t>
      </w:r>
    </w:p>
    <w:p w14:paraId="544CE48C">
      <w:pPr>
        <w:ind w:firstLine="420"/>
        <w:rPr>
          <w:rFonts w:ascii="宋体" w:hAnsi="宋体" w:cs="宋体"/>
          <w:szCs w:val="21"/>
        </w:rPr>
      </w:pPr>
      <w:r>
        <w:rPr>
          <w:rFonts w:hint="eastAsia" w:ascii="宋体" w:hAnsi="宋体" w:cs="宋体"/>
          <w:szCs w:val="21"/>
        </w:rPr>
        <w:t>5.2.2磋商组织</w:t>
      </w:r>
    </w:p>
    <w:p w14:paraId="26BC728D">
      <w:pPr>
        <w:ind w:firstLine="420"/>
        <w:rPr>
          <w:rFonts w:ascii="宋体" w:hAnsi="宋体" w:cs="宋体"/>
          <w:szCs w:val="21"/>
        </w:rPr>
      </w:pPr>
      <w:r>
        <w:rPr>
          <w:rFonts w:hint="eastAsia" w:ascii="宋体" w:hAnsi="宋体" w:cs="宋体"/>
          <w:szCs w:val="21"/>
        </w:rPr>
        <w:t>5.2.2.1磋商工作由采购人或采购代理机构组建的磋商小组负责。磋商小组由采购人代表和评审专家组成，成员人数应当为</w:t>
      </w:r>
      <w:r>
        <w:rPr>
          <w:rFonts w:ascii="宋体" w:hAnsi="宋体" w:cs="宋体"/>
          <w:szCs w:val="21"/>
        </w:rPr>
        <w:t>3</w:t>
      </w:r>
      <w:r>
        <w:rPr>
          <w:rFonts w:hint="eastAsia" w:ascii="宋体" w:hAnsi="宋体" w:cs="宋体"/>
          <w:szCs w:val="21"/>
        </w:rPr>
        <w:t>人及以上单数，其中评审专家不得少于成员总数的三分之二。</w:t>
      </w:r>
    </w:p>
    <w:p w14:paraId="0D3BCC01">
      <w:pPr>
        <w:ind w:firstLine="420"/>
        <w:rPr>
          <w:rFonts w:ascii="宋体" w:hAnsi="宋体" w:cs="宋体"/>
          <w:szCs w:val="21"/>
        </w:rPr>
      </w:pPr>
      <w:r>
        <w:rPr>
          <w:rFonts w:hint="eastAsia" w:ascii="宋体" w:hAnsi="宋体" w:cs="宋体"/>
          <w:szCs w:val="21"/>
        </w:rPr>
        <w:t>5.2.2.2磋商小组在成员之中（除采购人代表）可推荐一名组长，主持评审磋商工作，集各成员意见，使整个评审磋商工作有序有效地进行。</w:t>
      </w:r>
    </w:p>
    <w:p w14:paraId="728DF8F8">
      <w:pPr>
        <w:ind w:firstLine="420"/>
        <w:rPr>
          <w:rFonts w:ascii="宋体" w:hAnsi="宋体" w:cs="宋体"/>
          <w:szCs w:val="21"/>
        </w:rPr>
      </w:pPr>
      <w:r>
        <w:rPr>
          <w:rFonts w:hint="eastAsia" w:ascii="宋体" w:hAnsi="宋体" w:cs="宋体"/>
          <w:szCs w:val="21"/>
        </w:rPr>
        <w:t>5.2.3磋商纪律</w:t>
      </w:r>
    </w:p>
    <w:p w14:paraId="21DFEB25">
      <w:pPr>
        <w:ind w:firstLine="420"/>
        <w:rPr>
          <w:rFonts w:ascii="宋体" w:hAnsi="宋体" w:cs="宋体"/>
          <w:szCs w:val="21"/>
        </w:rPr>
      </w:pPr>
      <w:r>
        <w:rPr>
          <w:rFonts w:hint="eastAsia" w:ascii="宋体" w:hAnsi="宋体" w:cs="宋体"/>
          <w:szCs w:val="21"/>
        </w:rPr>
        <w:t>5.2.3.1磋商过程由监督人全过程监督，整个磋商过程应严格保密，磋商小组成员及工作人员应严格遵守纪律，不得泄露任何评审磋商信息。</w:t>
      </w:r>
    </w:p>
    <w:p w14:paraId="27940478">
      <w:pPr>
        <w:ind w:firstLine="415" w:firstLineChars="198"/>
        <w:rPr>
          <w:rFonts w:ascii="宋体" w:hAnsi="宋体"/>
          <w:szCs w:val="21"/>
        </w:rPr>
      </w:pPr>
      <w:r>
        <w:rPr>
          <w:rFonts w:hint="eastAsia" w:ascii="宋体" w:hAnsi="宋体" w:cs="宋体"/>
          <w:szCs w:val="21"/>
        </w:rPr>
        <w:t>5.2.3.2磋商小组应遵循公平、公正、科学、择优的原则，</w:t>
      </w:r>
      <w:r>
        <w:rPr>
          <w:rFonts w:hint="eastAsia" w:ascii="宋体" w:hAnsi="宋体"/>
          <w:szCs w:val="21"/>
        </w:rPr>
        <w:t>按照磋商文件及其评审办法规定的方法、评审因素、标准和程序，</w:t>
      </w:r>
      <w:r>
        <w:rPr>
          <w:rFonts w:hint="eastAsia" w:ascii="宋体" w:hAnsi="宋体" w:cs="宋体"/>
          <w:szCs w:val="21"/>
        </w:rPr>
        <w:t>对各响应文件的有效性、合规性、符合性、完整性和响应程度进行审查、比较和评估，确定是否对磋商文件作出实质性响应。如属于实质性负偏离或符合无效响应情形的，应当询问供应商代表，并允许供应商代表进行陈述申辩、但不允许其对实质性偏离条款进行补充、修正和撤回。</w:t>
      </w:r>
      <w:r>
        <w:rPr>
          <w:rFonts w:hint="eastAsia" w:ascii="宋体" w:hAnsi="宋体"/>
          <w:szCs w:val="21"/>
        </w:rPr>
        <w:t>磋商文件及其评审办法没有规定的方法、评审因素、标准和程序，不得作为评审磋商依据。</w:t>
      </w:r>
    </w:p>
    <w:p w14:paraId="5DF9B3F5">
      <w:pPr>
        <w:ind w:firstLine="420"/>
        <w:rPr>
          <w:rFonts w:ascii="宋体" w:hAnsi="宋体" w:cs="宋体"/>
          <w:szCs w:val="21"/>
        </w:rPr>
      </w:pPr>
      <w:r>
        <w:rPr>
          <w:rFonts w:hint="eastAsia" w:ascii="宋体" w:hAnsi="宋体" w:cs="宋体"/>
          <w:szCs w:val="21"/>
        </w:rPr>
        <w:t>5.</w:t>
      </w:r>
      <w:r>
        <w:rPr>
          <w:rFonts w:ascii="宋体" w:hAnsi="宋体" w:cs="宋体"/>
          <w:szCs w:val="21"/>
        </w:rPr>
        <w:t>2</w:t>
      </w:r>
      <w:r>
        <w:rPr>
          <w:rFonts w:hint="eastAsia" w:ascii="宋体" w:hAnsi="宋体" w:cs="宋体"/>
          <w:szCs w:val="21"/>
        </w:rPr>
        <w:t>.</w:t>
      </w:r>
      <w:r>
        <w:rPr>
          <w:rFonts w:ascii="宋体" w:hAnsi="宋体" w:cs="宋体"/>
          <w:szCs w:val="21"/>
        </w:rPr>
        <w:t>3</w:t>
      </w:r>
      <w:r>
        <w:rPr>
          <w:rFonts w:hint="eastAsia" w:ascii="宋体" w:hAnsi="宋体" w:cs="宋体"/>
          <w:szCs w:val="21"/>
        </w:rPr>
        <w:t>.</w:t>
      </w:r>
      <w:r>
        <w:rPr>
          <w:rFonts w:ascii="宋体" w:hAnsi="宋体" w:cs="宋体"/>
          <w:szCs w:val="21"/>
        </w:rPr>
        <w:t>3</w:t>
      </w:r>
      <w:r>
        <w:rPr>
          <w:rFonts w:hint="eastAsia" w:ascii="宋体" w:hAnsi="宋体" w:cs="宋体"/>
          <w:szCs w:val="21"/>
        </w:rPr>
        <w:t>对响应文件的判定，只依据响应文件本身，以及磋商过程中磋商小组允许重新提交的响应文件，不依靠除此之外的其他外来证明材料。</w:t>
      </w:r>
    </w:p>
    <w:p w14:paraId="7CDCE790">
      <w:pPr>
        <w:pStyle w:val="4"/>
        <w:rPr>
          <w:rFonts w:ascii="宋体" w:hAnsi="宋体" w:cs="宋体"/>
          <w:szCs w:val="21"/>
        </w:rPr>
      </w:pPr>
      <w:r>
        <w:rPr>
          <w:rFonts w:hint="eastAsia" w:ascii="宋体" w:hAnsi="宋体" w:cs="宋体"/>
          <w:szCs w:val="21"/>
        </w:rPr>
        <w:t>5.</w:t>
      </w:r>
      <w:r>
        <w:rPr>
          <w:rFonts w:ascii="宋体" w:hAnsi="宋体" w:cs="宋体"/>
          <w:szCs w:val="21"/>
        </w:rPr>
        <w:t>3</w:t>
      </w:r>
      <w:r>
        <w:rPr>
          <w:rFonts w:hint="eastAsia" w:ascii="宋体" w:hAnsi="宋体" w:cs="宋体"/>
          <w:szCs w:val="21"/>
        </w:rPr>
        <w:t>评审报告</w:t>
      </w:r>
    </w:p>
    <w:p w14:paraId="73D84AC9">
      <w:pPr>
        <w:ind w:firstLine="420"/>
        <w:rPr>
          <w:rFonts w:ascii="宋体" w:hAnsi="宋体" w:cs="宋体"/>
          <w:szCs w:val="21"/>
        </w:rPr>
      </w:pPr>
      <w:r>
        <w:rPr>
          <w:rFonts w:hint="eastAsia" w:ascii="宋体" w:hAnsi="宋体" w:cs="宋体"/>
          <w:szCs w:val="21"/>
        </w:rPr>
        <w:t>磋商结束后，磋商小组应当向采购人提交评审报告。</w:t>
      </w:r>
    </w:p>
    <w:p w14:paraId="0A29EBAF">
      <w:pPr>
        <w:pStyle w:val="4"/>
        <w:rPr>
          <w:rFonts w:ascii="宋体" w:hAnsi="宋体" w:cs="宋体"/>
          <w:szCs w:val="21"/>
        </w:rPr>
      </w:pPr>
      <w:r>
        <w:rPr>
          <w:rFonts w:hint="eastAsia" w:ascii="宋体" w:hAnsi="宋体" w:cs="宋体"/>
          <w:szCs w:val="21"/>
        </w:rPr>
        <w:t>5.</w:t>
      </w:r>
      <w:r>
        <w:rPr>
          <w:rFonts w:ascii="宋体" w:hAnsi="宋体" w:cs="宋体"/>
          <w:szCs w:val="21"/>
        </w:rPr>
        <w:t>4</w:t>
      </w:r>
      <w:r>
        <w:rPr>
          <w:rFonts w:hint="eastAsia" w:ascii="宋体" w:hAnsi="宋体" w:cs="宋体"/>
          <w:szCs w:val="21"/>
        </w:rPr>
        <w:t>磋商过程的监控</w:t>
      </w:r>
    </w:p>
    <w:p w14:paraId="2D98F592">
      <w:pPr>
        <w:ind w:firstLine="420"/>
        <w:rPr>
          <w:rFonts w:ascii="宋体" w:hAnsi="宋体" w:cs="宋体"/>
          <w:szCs w:val="21"/>
        </w:rPr>
      </w:pPr>
      <w:r>
        <w:rPr>
          <w:rFonts w:hint="eastAsia" w:ascii="宋体" w:hAnsi="宋体" w:cs="宋体"/>
          <w:szCs w:val="21"/>
        </w:rPr>
        <w:t>磋商过程实行全程录音录像。</w:t>
      </w:r>
    </w:p>
    <w:p w14:paraId="64D1DA84">
      <w:pPr>
        <w:pStyle w:val="4"/>
        <w:rPr>
          <w:rFonts w:ascii="宋体" w:hAnsi="宋体" w:cs="宋体"/>
          <w:szCs w:val="21"/>
        </w:rPr>
      </w:pPr>
      <w:r>
        <w:rPr>
          <w:rFonts w:hint="eastAsia" w:ascii="宋体" w:hAnsi="宋体" w:cs="宋体"/>
          <w:szCs w:val="21"/>
        </w:rPr>
        <w:t>5.</w:t>
      </w:r>
      <w:r>
        <w:rPr>
          <w:rFonts w:ascii="宋体" w:hAnsi="宋体" w:cs="宋体"/>
          <w:szCs w:val="21"/>
        </w:rPr>
        <w:t>5</w:t>
      </w:r>
      <w:r>
        <w:rPr>
          <w:rFonts w:hint="eastAsia" w:ascii="宋体" w:hAnsi="宋体" w:cs="宋体"/>
          <w:szCs w:val="21"/>
        </w:rPr>
        <w:t>磋商过程保密</w:t>
      </w:r>
    </w:p>
    <w:p w14:paraId="67BE9FD7">
      <w:pPr>
        <w:ind w:firstLine="420"/>
        <w:rPr>
          <w:rFonts w:ascii="宋体" w:hAnsi="宋体" w:cs="宋体"/>
          <w:szCs w:val="21"/>
        </w:rPr>
      </w:pPr>
      <w:r>
        <w:rPr>
          <w:rFonts w:hint="eastAsia" w:ascii="宋体" w:hAnsi="宋体" w:cs="宋体"/>
          <w:szCs w:val="21"/>
        </w:rPr>
        <w:t>5.</w:t>
      </w:r>
      <w:r>
        <w:rPr>
          <w:rFonts w:ascii="宋体" w:hAnsi="宋体" w:cs="宋体"/>
          <w:szCs w:val="21"/>
        </w:rPr>
        <w:t>5</w:t>
      </w:r>
      <w:r>
        <w:rPr>
          <w:rFonts w:hint="eastAsia" w:ascii="宋体" w:hAnsi="宋体" w:cs="宋体"/>
          <w:szCs w:val="21"/>
        </w:rPr>
        <w:t>.1评审过程中凡是与响应文件评审和比较、与供应商一对一磋商、成交候选供应商推荐等有关的情况，以及涉及国家秘密和商业秘密等信息，磋商小组成员、采购人和采购代理机构工作人员、相关监督人员等与评审有关的人员应当予以保密。</w:t>
      </w:r>
    </w:p>
    <w:p w14:paraId="69BBF712">
      <w:pPr>
        <w:ind w:firstLine="420"/>
        <w:rPr>
          <w:rFonts w:ascii="宋体" w:hAnsi="宋体" w:cs="宋体"/>
          <w:szCs w:val="21"/>
        </w:rPr>
      </w:pPr>
      <w:r>
        <w:rPr>
          <w:rFonts w:hint="eastAsia" w:ascii="宋体" w:hAnsi="宋体" w:cs="宋体"/>
          <w:szCs w:val="21"/>
        </w:rPr>
        <w:t>5.</w:t>
      </w:r>
      <w:r>
        <w:rPr>
          <w:rFonts w:ascii="宋体" w:hAnsi="宋体" w:cs="宋体"/>
          <w:szCs w:val="21"/>
        </w:rPr>
        <w:t>5</w:t>
      </w:r>
      <w:r>
        <w:rPr>
          <w:rFonts w:hint="eastAsia" w:ascii="宋体" w:hAnsi="宋体" w:cs="宋体"/>
          <w:szCs w:val="21"/>
        </w:rPr>
        <w:t>.2在磋商期间，供应商企图影响采购人、采购代理机构、磋商小组及其成员的任何违法违规活动，将导致响应被拒绝，并承担相应的法律责任。</w:t>
      </w:r>
    </w:p>
    <w:p w14:paraId="34BA6411">
      <w:pPr>
        <w:pStyle w:val="4"/>
        <w:rPr>
          <w:rFonts w:ascii="宋体" w:hAnsi="宋体" w:cs="宋体"/>
          <w:szCs w:val="21"/>
        </w:rPr>
      </w:pPr>
      <w:r>
        <w:rPr>
          <w:rFonts w:hint="eastAsia" w:ascii="宋体" w:hAnsi="宋体" w:cs="宋体"/>
          <w:szCs w:val="21"/>
        </w:rPr>
        <w:t>5.</w:t>
      </w:r>
      <w:r>
        <w:rPr>
          <w:rFonts w:ascii="宋体" w:hAnsi="宋体" w:cs="宋体"/>
          <w:szCs w:val="21"/>
        </w:rPr>
        <w:t>6</w:t>
      </w:r>
      <w:r>
        <w:rPr>
          <w:rFonts w:hint="eastAsia" w:ascii="宋体" w:hAnsi="宋体" w:cs="宋体"/>
          <w:szCs w:val="21"/>
        </w:rPr>
        <w:t>成交条件</w:t>
      </w:r>
    </w:p>
    <w:p w14:paraId="768C705B">
      <w:pPr>
        <w:ind w:firstLine="420"/>
        <w:rPr>
          <w:rFonts w:ascii="宋体" w:hAnsi="宋体" w:cs="宋体"/>
          <w:szCs w:val="21"/>
        </w:rPr>
      </w:pPr>
      <w:r>
        <w:rPr>
          <w:rFonts w:hint="eastAsia" w:ascii="宋体" w:hAnsi="宋体" w:cs="宋体"/>
          <w:szCs w:val="21"/>
        </w:rPr>
        <w:t>5.</w:t>
      </w:r>
      <w:r>
        <w:rPr>
          <w:rFonts w:ascii="宋体" w:hAnsi="宋体" w:cs="宋体"/>
          <w:szCs w:val="21"/>
        </w:rPr>
        <w:t>6</w:t>
      </w:r>
      <w:r>
        <w:rPr>
          <w:rFonts w:hint="eastAsia" w:ascii="宋体" w:hAnsi="宋体" w:cs="宋体"/>
          <w:szCs w:val="21"/>
        </w:rPr>
        <w:t>.1通过资格审查的。</w:t>
      </w:r>
    </w:p>
    <w:p w14:paraId="365703FE">
      <w:pPr>
        <w:ind w:firstLine="420"/>
        <w:rPr>
          <w:rFonts w:ascii="宋体" w:hAnsi="宋体" w:cs="宋体"/>
          <w:szCs w:val="21"/>
        </w:rPr>
      </w:pPr>
      <w:r>
        <w:rPr>
          <w:rFonts w:hint="eastAsia" w:ascii="宋体" w:hAnsi="宋体" w:cs="宋体"/>
          <w:szCs w:val="21"/>
        </w:rPr>
        <w:t>5.</w:t>
      </w:r>
      <w:r>
        <w:rPr>
          <w:rFonts w:ascii="宋体" w:hAnsi="宋体" w:cs="宋体"/>
          <w:szCs w:val="21"/>
        </w:rPr>
        <w:t>6</w:t>
      </w:r>
      <w:r>
        <w:rPr>
          <w:rFonts w:hint="eastAsia" w:ascii="宋体" w:hAnsi="宋体" w:cs="宋体"/>
          <w:szCs w:val="21"/>
        </w:rPr>
        <w:t>.2响应文件完全符合磋商文件中的实质性要求。</w:t>
      </w:r>
    </w:p>
    <w:p w14:paraId="73B7BFEB">
      <w:pPr>
        <w:ind w:firstLine="420"/>
        <w:rPr>
          <w:rFonts w:ascii="宋体" w:hAnsi="宋体" w:cs="宋体"/>
          <w:szCs w:val="21"/>
        </w:rPr>
      </w:pPr>
      <w:r>
        <w:rPr>
          <w:rFonts w:hint="eastAsia" w:ascii="宋体" w:hAnsi="宋体" w:cs="宋体"/>
          <w:szCs w:val="21"/>
        </w:rPr>
        <w:t>5.</w:t>
      </w:r>
      <w:r>
        <w:rPr>
          <w:rFonts w:ascii="宋体" w:hAnsi="宋体" w:cs="宋体"/>
          <w:szCs w:val="21"/>
        </w:rPr>
        <w:t>6</w:t>
      </w:r>
      <w:r>
        <w:rPr>
          <w:rFonts w:hint="eastAsia" w:ascii="宋体" w:hAnsi="宋体" w:cs="宋体"/>
          <w:szCs w:val="21"/>
        </w:rPr>
        <w:t>.3有良好的合同执行能力和售后服务承诺。</w:t>
      </w:r>
    </w:p>
    <w:p w14:paraId="14380F11">
      <w:pPr>
        <w:ind w:firstLine="420"/>
        <w:rPr>
          <w:rFonts w:ascii="宋体" w:hAnsi="宋体" w:cs="宋体"/>
          <w:szCs w:val="21"/>
        </w:rPr>
      </w:pPr>
      <w:r>
        <w:rPr>
          <w:rFonts w:hint="eastAsia" w:ascii="宋体" w:hAnsi="宋体" w:cs="宋体"/>
          <w:bCs/>
          <w:szCs w:val="21"/>
        </w:rPr>
        <w:t>5.</w:t>
      </w:r>
      <w:r>
        <w:rPr>
          <w:rFonts w:ascii="宋体" w:hAnsi="宋体" w:cs="宋体"/>
          <w:bCs/>
          <w:szCs w:val="21"/>
        </w:rPr>
        <w:t>6</w:t>
      </w:r>
      <w:r>
        <w:rPr>
          <w:rFonts w:hint="eastAsia" w:ascii="宋体" w:hAnsi="宋体" w:cs="宋体"/>
          <w:bCs/>
          <w:szCs w:val="21"/>
        </w:rPr>
        <w:t>.4采购人将把成交通知书授予经磋商小组评审综合评分第一的成交候选人</w:t>
      </w:r>
      <w:r>
        <w:rPr>
          <w:rFonts w:hint="eastAsia" w:ascii="宋体" w:hAnsi="宋体" w:cs="宋体"/>
          <w:szCs w:val="21"/>
        </w:rPr>
        <w:t>，</w:t>
      </w:r>
      <w:r>
        <w:rPr>
          <w:rFonts w:hint="eastAsia" w:ascii="宋体" w:hAnsi="宋体" w:cs="宋体"/>
          <w:bCs/>
          <w:szCs w:val="21"/>
        </w:rPr>
        <w:t>最低报价并不是成交的保证。</w:t>
      </w:r>
    </w:p>
    <w:p w14:paraId="1EAA4A4F">
      <w:pPr>
        <w:pStyle w:val="4"/>
        <w:rPr>
          <w:rFonts w:ascii="宋体" w:hAnsi="宋体" w:cs="宋体"/>
          <w:szCs w:val="21"/>
        </w:rPr>
      </w:pPr>
      <w:r>
        <w:rPr>
          <w:rFonts w:hint="eastAsia" w:ascii="宋体" w:hAnsi="宋体" w:cs="宋体"/>
          <w:szCs w:val="21"/>
        </w:rPr>
        <w:t>5.</w:t>
      </w:r>
      <w:r>
        <w:rPr>
          <w:rFonts w:ascii="宋体" w:hAnsi="宋体" w:cs="宋体"/>
          <w:szCs w:val="21"/>
        </w:rPr>
        <w:t>7</w:t>
      </w:r>
      <w:r>
        <w:rPr>
          <w:rFonts w:hint="eastAsia" w:ascii="宋体" w:hAnsi="宋体" w:cs="宋体"/>
          <w:szCs w:val="21"/>
        </w:rPr>
        <w:t>定标办法</w:t>
      </w:r>
    </w:p>
    <w:p w14:paraId="7D7160B2">
      <w:pPr>
        <w:ind w:firstLine="420"/>
        <w:rPr>
          <w:rFonts w:ascii="宋体" w:hAnsi="宋体" w:cs="宋体"/>
          <w:szCs w:val="21"/>
        </w:rPr>
      </w:pPr>
      <w:r>
        <w:rPr>
          <w:rFonts w:hint="eastAsia" w:ascii="宋体" w:hAnsi="宋体" w:cs="宋体"/>
          <w:szCs w:val="21"/>
        </w:rPr>
        <w:t>5.7.1定标由采购人自行或委派代表现场负责或委托磋商小组确定，原则上应确定通过资格审查、符合性审查且综合得分排名第一的成交候选人为成交供应商。但按照相关政策法规规定，如出现下列情况之一的，采购人可以确定排名第二的候选人为成交供应商：</w:t>
      </w:r>
    </w:p>
    <w:p w14:paraId="05792C22">
      <w:pPr>
        <w:ind w:firstLine="420"/>
        <w:rPr>
          <w:rFonts w:ascii="宋体" w:hAnsi="宋体" w:cs="宋体"/>
          <w:szCs w:val="21"/>
        </w:rPr>
      </w:pPr>
      <w:r>
        <w:rPr>
          <w:rFonts w:hint="eastAsia" w:ascii="宋体" w:hAnsi="宋体" w:cs="宋体"/>
          <w:szCs w:val="21"/>
        </w:rPr>
        <w:t>（1）对采购过程、中标或者成交结果提出的质疑，合格供应商符合法定数量时，可以从合格的中标或者成交候选人中另行确定中标、成交供应商的，应当依法另行确定中标、成交供应商；否则应当重新开展采购活动。</w:t>
      </w:r>
    </w:p>
    <w:p w14:paraId="62274121">
      <w:pPr>
        <w:ind w:firstLine="420"/>
        <w:rPr>
          <w:rFonts w:ascii="宋体" w:hAnsi="宋体" w:cs="宋体"/>
          <w:szCs w:val="21"/>
        </w:rPr>
      </w:pPr>
      <w:r>
        <w:rPr>
          <w:rFonts w:hint="eastAsia" w:ascii="宋体" w:hAnsi="宋体" w:cs="宋体"/>
          <w:szCs w:val="21"/>
        </w:rPr>
        <w:t>5.7.2采购人在确定第二成交候选人为成交供应商的，应当在确定前向</w:t>
      </w:r>
      <w:r>
        <w:rPr>
          <w:rFonts w:hint="eastAsia" w:ascii="宋体" w:hAnsi="宋体" w:cs="宋体"/>
          <w:szCs w:val="21"/>
          <w:lang w:val="en-US" w:eastAsia="zh-CN"/>
        </w:rPr>
        <w:t>同级监管</w:t>
      </w:r>
      <w:r>
        <w:rPr>
          <w:rFonts w:hint="eastAsia" w:ascii="宋体" w:hAnsi="宋体" w:cs="宋体"/>
          <w:szCs w:val="21"/>
        </w:rPr>
        <w:t>部门报告说明。</w:t>
      </w:r>
    </w:p>
    <w:p w14:paraId="1C31D737">
      <w:pPr>
        <w:ind w:firstLine="420"/>
        <w:rPr>
          <w:rFonts w:ascii="宋体" w:hAnsi="宋体" w:cs="宋体"/>
          <w:szCs w:val="21"/>
        </w:rPr>
      </w:pPr>
      <w:r>
        <w:rPr>
          <w:rFonts w:hint="eastAsia" w:ascii="宋体" w:hAnsi="宋体" w:cs="宋体"/>
          <w:szCs w:val="21"/>
        </w:rPr>
        <w:t>5.7.</w:t>
      </w:r>
      <w:r>
        <w:rPr>
          <w:rFonts w:ascii="宋体" w:hAnsi="宋体" w:cs="宋体"/>
          <w:szCs w:val="21"/>
        </w:rPr>
        <w:t>3</w:t>
      </w:r>
      <w:r>
        <w:rPr>
          <w:rFonts w:hint="eastAsia" w:ascii="宋体" w:hAnsi="宋体" w:cs="宋体"/>
          <w:szCs w:val="21"/>
        </w:rPr>
        <w:t>不得通过对样品进行检测、对供应商进行考察等方式改变评审结果。</w:t>
      </w:r>
    </w:p>
    <w:p w14:paraId="5E035788">
      <w:pPr>
        <w:pStyle w:val="4"/>
        <w:rPr>
          <w:rFonts w:ascii="宋体" w:hAnsi="宋体" w:cs="宋体"/>
          <w:szCs w:val="21"/>
        </w:rPr>
      </w:pPr>
      <w:r>
        <w:rPr>
          <w:rFonts w:hint="eastAsia" w:ascii="宋体" w:hAnsi="宋体" w:cs="宋体"/>
          <w:szCs w:val="21"/>
        </w:rPr>
        <w:t>5.</w:t>
      </w:r>
      <w:r>
        <w:rPr>
          <w:rFonts w:ascii="宋体" w:hAnsi="宋体" w:cs="宋体"/>
          <w:szCs w:val="21"/>
        </w:rPr>
        <w:t>8</w:t>
      </w:r>
      <w:r>
        <w:rPr>
          <w:rFonts w:hint="eastAsia" w:ascii="宋体" w:hAnsi="宋体" w:cs="宋体"/>
          <w:szCs w:val="21"/>
        </w:rPr>
        <w:t>未成交解释</w:t>
      </w:r>
    </w:p>
    <w:p w14:paraId="544C034F">
      <w:pPr>
        <w:ind w:firstLine="420"/>
        <w:rPr>
          <w:rFonts w:ascii="宋体" w:hAnsi="宋体" w:cs="宋体"/>
          <w:szCs w:val="21"/>
        </w:rPr>
      </w:pPr>
      <w:r>
        <w:rPr>
          <w:rFonts w:hint="eastAsia" w:ascii="宋体" w:hAnsi="宋体" w:cs="宋体"/>
          <w:szCs w:val="21"/>
        </w:rPr>
        <w:t>采购人、采购代理机构及磋商小组对未成交的供应商不作落标原因解释。</w:t>
      </w:r>
    </w:p>
    <w:p w14:paraId="72762D85">
      <w:pPr>
        <w:pStyle w:val="4"/>
        <w:rPr>
          <w:rFonts w:ascii="宋体" w:hAnsi="宋体" w:cs="宋体"/>
          <w:szCs w:val="21"/>
        </w:rPr>
      </w:pPr>
      <w:r>
        <w:rPr>
          <w:rFonts w:hint="eastAsia" w:ascii="宋体" w:hAnsi="宋体" w:cs="宋体"/>
          <w:szCs w:val="21"/>
        </w:rPr>
        <w:t>5.</w:t>
      </w:r>
      <w:r>
        <w:rPr>
          <w:rFonts w:ascii="宋体" w:hAnsi="宋体" w:cs="宋体"/>
          <w:szCs w:val="21"/>
        </w:rPr>
        <w:t>9</w:t>
      </w:r>
      <w:r>
        <w:rPr>
          <w:rFonts w:hint="eastAsia" w:ascii="宋体" w:hAnsi="宋体" w:cs="宋体"/>
          <w:szCs w:val="21"/>
        </w:rPr>
        <w:t>成交公告</w:t>
      </w:r>
    </w:p>
    <w:p w14:paraId="07A72F46">
      <w:pPr>
        <w:ind w:firstLine="420"/>
        <w:rPr>
          <w:rFonts w:ascii="宋体" w:hAnsi="宋体" w:cs="宋体"/>
          <w:szCs w:val="21"/>
        </w:rPr>
      </w:pPr>
      <w:r>
        <w:rPr>
          <w:rFonts w:hint="eastAsia" w:ascii="宋体" w:hAnsi="宋体" w:cs="宋体"/>
          <w:szCs w:val="21"/>
        </w:rPr>
        <w:t>5.12.1</w:t>
      </w:r>
      <w:r>
        <w:rPr>
          <w:rFonts w:hint="eastAsia" w:ascii="宋体" w:hAnsi="宋体"/>
          <w:szCs w:val="21"/>
        </w:rPr>
        <w:t>定标后</w:t>
      </w:r>
      <w:r>
        <w:rPr>
          <w:rFonts w:hint="eastAsia" w:ascii="宋体" w:hAnsi="宋体" w:cs="宋体"/>
          <w:szCs w:val="21"/>
        </w:rPr>
        <w:t>，浙江政府采购网公布成交结果，同日，由采购代理机构发出成交通知书。</w:t>
      </w:r>
    </w:p>
    <w:p w14:paraId="7E2A0FF3">
      <w:pPr>
        <w:ind w:firstLine="420"/>
        <w:rPr>
          <w:rFonts w:ascii="宋体" w:hAnsi="宋体" w:cs="宋体"/>
          <w:szCs w:val="21"/>
        </w:rPr>
      </w:pPr>
      <w:r>
        <w:rPr>
          <w:rFonts w:hint="eastAsia" w:ascii="宋体" w:hAnsi="宋体" w:cs="宋体"/>
          <w:szCs w:val="21"/>
        </w:rPr>
        <w:t>5.12.2公告期限为1个工作日。</w:t>
      </w:r>
    </w:p>
    <w:p w14:paraId="6206F55E">
      <w:pPr>
        <w:pStyle w:val="4"/>
        <w:rPr>
          <w:rFonts w:ascii="宋体" w:hAnsi="宋体" w:cs="宋体"/>
          <w:szCs w:val="21"/>
        </w:rPr>
      </w:pPr>
      <w:r>
        <w:rPr>
          <w:rFonts w:hint="eastAsia" w:ascii="宋体" w:hAnsi="宋体" w:cs="宋体"/>
          <w:szCs w:val="21"/>
        </w:rPr>
        <w:t>5.1</w:t>
      </w:r>
      <w:r>
        <w:rPr>
          <w:rFonts w:ascii="宋体" w:hAnsi="宋体" w:cs="宋体"/>
          <w:szCs w:val="21"/>
        </w:rPr>
        <w:t>0</w:t>
      </w:r>
      <w:r>
        <w:rPr>
          <w:rFonts w:hint="eastAsia" w:ascii="宋体" w:hAnsi="宋体" w:cs="宋体"/>
          <w:szCs w:val="21"/>
        </w:rPr>
        <w:t>签订合同</w:t>
      </w:r>
    </w:p>
    <w:p w14:paraId="09EBDD99">
      <w:pPr>
        <w:ind w:firstLine="420"/>
        <w:rPr>
          <w:rFonts w:ascii="宋体" w:hAnsi="宋体" w:cs="宋体"/>
          <w:bCs/>
          <w:szCs w:val="21"/>
        </w:rPr>
      </w:pPr>
      <w:r>
        <w:rPr>
          <w:rFonts w:hint="eastAsia" w:ascii="宋体" w:hAnsi="宋体" w:cs="宋体"/>
          <w:szCs w:val="21"/>
        </w:rPr>
        <w:t>5.10.1成交供应商应在接到成交通知书后按成交通知书规定的时间内（不超过30日）与采购人签订合同</w:t>
      </w:r>
      <w:r>
        <w:rPr>
          <w:rFonts w:hint="eastAsia" w:ascii="宋体" w:hAnsi="宋体" w:cs="宋体"/>
          <w:bCs/>
          <w:szCs w:val="21"/>
        </w:rPr>
        <w:t>。</w:t>
      </w:r>
    </w:p>
    <w:p w14:paraId="3DAC4A5D">
      <w:pPr>
        <w:ind w:firstLine="420"/>
        <w:rPr>
          <w:rFonts w:ascii="宋体" w:hAnsi="宋体" w:cs="宋体"/>
          <w:szCs w:val="21"/>
        </w:rPr>
      </w:pPr>
      <w:r>
        <w:rPr>
          <w:rFonts w:hint="eastAsia" w:ascii="宋体" w:hAnsi="宋体" w:cs="宋体"/>
          <w:szCs w:val="21"/>
        </w:rPr>
        <w:t>5.10.2磋商文件、成交供应商的响应文件及响应修改文件、评审磋商过程中有关澄清文件、询标纪要和成交通知书均作为合同组成部分。</w:t>
      </w:r>
    </w:p>
    <w:p w14:paraId="2564F59C">
      <w:pPr>
        <w:ind w:firstLine="420"/>
        <w:rPr>
          <w:rFonts w:ascii="宋体" w:hAnsi="宋体" w:cs="宋体"/>
          <w:szCs w:val="21"/>
        </w:rPr>
      </w:pPr>
      <w:r>
        <w:rPr>
          <w:rFonts w:hint="eastAsia" w:ascii="宋体" w:hAnsi="宋体" w:cs="宋体"/>
          <w:szCs w:val="21"/>
        </w:rPr>
        <w:t>5.10.3拒签合同的责任：除不可抗力等因素外，成交供应商无正当理由拒不与采购人签订采购合同的，应当承担相应的法律责任。</w:t>
      </w:r>
    </w:p>
    <w:p w14:paraId="1BCA0DB6">
      <w:pPr>
        <w:pStyle w:val="4"/>
        <w:rPr>
          <w:rFonts w:ascii="宋体" w:hAnsi="宋体" w:cs="宋体"/>
          <w:szCs w:val="21"/>
        </w:rPr>
      </w:pPr>
      <w:r>
        <w:rPr>
          <w:rFonts w:hint="eastAsia" w:ascii="宋体" w:hAnsi="宋体" w:cs="宋体"/>
          <w:szCs w:val="21"/>
        </w:rPr>
        <w:t>5.1</w:t>
      </w:r>
      <w:r>
        <w:rPr>
          <w:rFonts w:ascii="宋体" w:hAnsi="宋体" w:cs="宋体"/>
          <w:szCs w:val="21"/>
        </w:rPr>
        <w:t>1</w:t>
      </w:r>
      <w:r>
        <w:rPr>
          <w:rFonts w:hint="eastAsia" w:ascii="宋体" w:hAnsi="宋体" w:cs="宋体"/>
          <w:szCs w:val="21"/>
        </w:rPr>
        <w:t>关于要求制造商授权的说明</w:t>
      </w:r>
    </w:p>
    <w:p w14:paraId="0700CCFB">
      <w:pPr>
        <w:pStyle w:val="44"/>
        <w:spacing w:after="0" w:line="360" w:lineRule="auto"/>
        <w:ind w:firstLineChars="200"/>
        <w:rPr>
          <w:rFonts w:ascii="宋体" w:hAnsi="宋体" w:eastAsia="宋体"/>
        </w:rPr>
      </w:pPr>
      <w:r>
        <w:rPr>
          <w:rFonts w:hint="eastAsia" w:ascii="宋体" w:hAnsi="宋体" w:eastAsia="宋体" w:cs="宋体"/>
          <w:szCs w:val="21"/>
        </w:rPr>
        <w:t>磋商文件要求供应商提供制造商授权的，建议供应商在提交响应文件时一并提供。也可在成交结果公告后向采购人提供。如制造商无故不予授权，在成交供应商作出保证产品质量和售后服务的承诺后，可以不需该授权文件将合同授予该供应商，但对此应在合同的验收、结算和违约责任中补充增加相应的制约性条款。</w:t>
      </w:r>
    </w:p>
    <w:p w14:paraId="264DBED9">
      <w:pPr>
        <w:pStyle w:val="3"/>
        <w:rPr>
          <w:rFonts w:ascii="宋体" w:hAnsi="宋体" w:cs="宋体"/>
          <w:szCs w:val="21"/>
        </w:rPr>
      </w:pPr>
      <w:bookmarkStart w:id="112" w:name="_Toc29073"/>
      <w:bookmarkStart w:id="113" w:name="_Toc439316483"/>
      <w:bookmarkStart w:id="114" w:name="_Toc26587"/>
      <w:bookmarkStart w:id="115" w:name="_Toc450840078"/>
      <w:bookmarkStart w:id="116" w:name="_Toc24247"/>
      <w:bookmarkStart w:id="117" w:name="_Toc2078366"/>
      <w:bookmarkStart w:id="118" w:name="_Toc6227650"/>
      <w:bookmarkStart w:id="119" w:name="_Toc18373"/>
      <w:bookmarkStart w:id="120" w:name="_Toc444084291"/>
      <w:r>
        <w:rPr>
          <w:rFonts w:hint="eastAsia" w:ascii="宋体" w:hAnsi="宋体" w:cs="宋体"/>
          <w:szCs w:val="21"/>
        </w:rPr>
        <w:t>6其他</w:t>
      </w:r>
      <w:bookmarkEnd w:id="112"/>
      <w:bookmarkEnd w:id="113"/>
      <w:bookmarkEnd w:id="114"/>
      <w:bookmarkEnd w:id="115"/>
      <w:bookmarkEnd w:id="116"/>
      <w:bookmarkEnd w:id="117"/>
      <w:bookmarkEnd w:id="118"/>
      <w:bookmarkEnd w:id="119"/>
      <w:bookmarkEnd w:id="120"/>
    </w:p>
    <w:p w14:paraId="66F5BD60">
      <w:pPr>
        <w:pStyle w:val="4"/>
        <w:rPr>
          <w:rFonts w:ascii="宋体" w:hAnsi="宋体" w:cs="宋体"/>
          <w:szCs w:val="21"/>
        </w:rPr>
      </w:pPr>
      <w:r>
        <w:rPr>
          <w:rFonts w:hint="eastAsia" w:ascii="宋体" w:hAnsi="宋体" w:cs="宋体"/>
          <w:szCs w:val="21"/>
        </w:rPr>
        <w:t>6.1合同履约考核</w:t>
      </w:r>
    </w:p>
    <w:p w14:paraId="1FD59748">
      <w:pPr>
        <w:ind w:firstLine="420"/>
        <w:rPr>
          <w:rFonts w:ascii="宋体" w:hAnsi="宋体" w:cs="宋体"/>
          <w:szCs w:val="21"/>
        </w:rPr>
      </w:pPr>
      <w:r>
        <w:rPr>
          <w:rFonts w:hint="eastAsia" w:ascii="宋体" w:hAnsi="宋体" w:cs="宋体"/>
          <w:szCs w:val="21"/>
        </w:rPr>
        <w:t>采购人自行或委托第三方对成交供应商进行履行合同考核和验收，发现弄虚作假，偷工减料，以次充好，降低配置、达不到国家、行业有关标准、磋商文件相关实质性规定及响应文件有关承诺的，一经查实，将提请采购人不退还履约保证金，终止合同，并上报监管部门依法处理，给予网上通报，禁止其在1至3年内参与本单位采购活动，给采购人造成损失的，成交供应商须承担相应的法律责任。</w:t>
      </w:r>
    </w:p>
    <w:p w14:paraId="758AEA8E">
      <w:pPr>
        <w:pStyle w:val="4"/>
        <w:rPr>
          <w:rFonts w:ascii="宋体" w:hAnsi="宋体" w:cs="宋体"/>
          <w:szCs w:val="21"/>
        </w:rPr>
      </w:pPr>
      <w:r>
        <w:rPr>
          <w:rFonts w:hint="eastAsia" w:ascii="宋体" w:hAnsi="宋体" w:cs="宋体"/>
          <w:szCs w:val="21"/>
        </w:rPr>
        <w:t>6.2质疑</w:t>
      </w:r>
    </w:p>
    <w:p w14:paraId="6A923FB5">
      <w:pPr>
        <w:ind w:firstLine="420"/>
        <w:rPr>
          <w:rFonts w:ascii="宋体" w:hAnsi="宋体" w:cs="宋体"/>
          <w:szCs w:val="21"/>
        </w:rPr>
      </w:pPr>
      <w:r>
        <w:rPr>
          <w:rFonts w:hint="eastAsia" w:ascii="宋体" w:hAnsi="宋体" w:cs="宋体"/>
          <w:szCs w:val="21"/>
        </w:rPr>
        <w:t>6.2.1</w:t>
      </w:r>
      <w:r>
        <w:rPr>
          <w:rFonts w:hint="eastAsia" w:ascii="宋体" w:hAnsi="宋体" w:cs="宋体"/>
          <w:szCs w:val="21"/>
          <w:lang w:val="en-US" w:eastAsia="zh-CN"/>
        </w:rPr>
        <w:t>参照</w:t>
      </w:r>
      <w:r>
        <w:rPr>
          <w:rFonts w:hint="eastAsia" w:ascii="宋体" w:hAnsi="宋体" w:cs="宋体"/>
          <w:kern w:val="0"/>
          <w:szCs w:val="21"/>
        </w:rPr>
        <w:t>《政府采购质疑和投诉办法》（财政部令第94号）的规定，</w:t>
      </w:r>
      <w:r>
        <w:rPr>
          <w:rFonts w:hint="eastAsia" w:ascii="宋体" w:hAnsi="宋体" w:cs="宋体"/>
          <w:szCs w:val="21"/>
        </w:rPr>
        <w:t>供应商认为磋商文件、采购过程和中标、成交结果使自己的权益受到损害的，可以在知道或者应知其权益受到损害之日起7个工作日内，以书面形式向采购代理机构提出质疑，供应商应当在法定质疑期内一次性提出针对同一采购程序环节的质疑。上述供应商应知其权益受到损害之日，是指：</w:t>
      </w:r>
    </w:p>
    <w:p w14:paraId="3F0345A1">
      <w:pPr>
        <w:ind w:firstLine="420"/>
        <w:rPr>
          <w:rFonts w:ascii="宋体" w:hAnsi="宋体" w:cs="宋体"/>
          <w:szCs w:val="21"/>
        </w:rPr>
      </w:pPr>
      <w:r>
        <w:rPr>
          <w:rFonts w:hint="eastAsia" w:ascii="宋体" w:hAnsi="宋体" w:cs="宋体"/>
          <w:szCs w:val="21"/>
        </w:rPr>
        <w:t>（1）对可以质疑的磋商文件提出质疑的，为收到磋商文件之日或者磋商文件公告期限届满之日；</w:t>
      </w:r>
    </w:p>
    <w:p w14:paraId="510F86A7">
      <w:pPr>
        <w:ind w:firstLine="420"/>
        <w:rPr>
          <w:rFonts w:ascii="宋体" w:hAnsi="宋体" w:cs="宋体"/>
          <w:szCs w:val="21"/>
        </w:rPr>
      </w:pPr>
      <w:r>
        <w:rPr>
          <w:rFonts w:hint="eastAsia" w:ascii="宋体" w:hAnsi="宋体" w:cs="宋体"/>
          <w:szCs w:val="21"/>
        </w:rPr>
        <w:t>（2）对采购过程提出质疑的，为各采购程序环节结束之日；</w:t>
      </w:r>
    </w:p>
    <w:p w14:paraId="4D30C96F">
      <w:pPr>
        <w:ind w:firstLine="420"/>
        <w:rPr>
          <w:rFonts w:ascii="宋体" w:hAnsi="宋体" w:cs="宋体"/>
          <w:szCs w:val="21"/>
        </w:rPr>
      </w:pPr>
      <w:r>
        <w:rPr>
          <w:rFonts w:hint="eastAsia" w:ascii="宋体" w:hAnsi="宋体" w:cs="宋体"/>
          <w:szCs w:val="21"/>
        </w:rPr>
        <w:t>（3）对中标或者成交结果提出质疑的，为中标或者成交结果公告期限届满之日。</w:t>
      </w:r>
    </w:p>
    <w:p w14:paraId="7327CEBD">
      <w:pPr>
        <w:ind w:firstLine="420"/>
        <w:rPr>
          <w:rFonts w:ascii="宋体" w:hAnsi="宋体" w:cs="宋体"/>
          <w:szCs w:val="21"/>
        </w:rPr>
      </w:pPr>
      <w:r>
        <w:rPr>
          <w:rFonts w:hint="eastAsia" w:ascii="宋体" w:hAnsi="宋体" w:cs="宋体"/>
          <w:szCs w:val="21"/>
        </w:rPr>
        <w:t>6.2.2提出质疑的供应商（以下简称质疑供应商）应当是参与所质疑项目采购活动的供应商。</w:t>
      </w:r>
    </w:p>
    <w:p w14:paraId="596CE4E0">
      <w:pPr>
        <w:ind w:firstLine="420"/>
        <w:rPr>
          <w:rFonts w:ascii="宋体" w:hAnsi="宋体" w:cs="宋体"/>
          <w:szCs w:val="21"/>
        </w:rPr>
      </w:pPr>
      <w:r>
        <w:rPr>
          <w:rFonts w:hint="eastAsia" w:ascii="宋体" w:hAnsi="宋体" w:cs="宋体"/>
          <w:szCs w:val="21"/>
        </w:rPr>
        <w:t>6.2.3供应商为自然人的，应当由本人签字；供应商为法人或者其他组织的，应当由法定代表人、主要负责人，或者其授权代表签字或者盖章，并加盖公章。</w:t>
      </w:r>
    </w:p>
    <w:p w14:paraId="49AC5CDD">
      <w:pPr>
        <w:ind w:firstLine="420"/>
        <w:rPr>
          <w:rFonts w:ascii="宋体" w:hAnsi="宋体" w:cs="宋体"/>
          <w:szCs w:val="21"/>
        </w:rPr>
      </w:pPr>
      <w:r>
        <w:rPr>
          <w:rFonts w:hint="eastAsia" w:ascii="宋体" w:hAnsi="宋体" w:cs="宋体"/>
          <w:szCs w:val="21"/>
        </w:rPr>
        <w:t>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代理人提出质疑和投诉，应当提交供应商签署的授权委托书。</w:t>
      </w:r>
    </w:p>
    <w:p w14:paraId="67E0577A">
      <w:pPr>
        <w:ind w:firstLine="420"/>
        <w:rPr>
          <w:rFonts w:ascii="宋体" w:hAnsi="宋体" w:cs="宋体"/>
          <w:szCs w:val="21"/>
        </w:rPr>
      </w:pPr>
      <w:r>
        <w:rPr>
          <w:rFonts w:hint="eastAsia" w:ascii="宋体" w:hAnsi="宋体" w:cs="宋体"/>
          <w:szCs w:val="21"/>
        </w:rPr>
        <w:t>以联合体形式参加采购活动的，其投诉应当由组成联合体的所有供应商共同提出。</w:t>
      </w:r>
    </w:p>
    <w:p w14:paraId="39C7DA81">
      <w:pPr>
        <w:ind w:firstLine="420"/>
        <w:rPr>
          <w:rFonts w:ascii="宋体" w:hAnsi="宋体" w:cs="宋体"/>
          <w:szCs w:val="21"/>
        </w:rPr>
      </w:pPr>
      <w:r>
        <w:rPr>
          <w:rFonts w:hint="eastAsia" w:ascii="宋体" w:hAnsi="宋体" w:cs="宋体"/>
          <w:szCs w:val="21"/>
        </w:rPr>
        <w:t>6.2.4供应商提交的质疑书需一式三份，质疑书至少应包括下列主要内容：</w:t>
      </w:r>
    </w:p>
    <w:p w14:paraId="011736DA">
      <w:pPr>
        <w:ind w:firstLine="420"/>
        <w:rPr>
          <w:rFonts w:ascii="宋体" w:hAnsi="宋体" w:cs="宋体"/>
          <w:szCs w:val="21"/>
        </w:rPr>
      </w:pPr>
      <w:r>
        <w:rPr>
          <w:rFonts w:hint="eastAsia" w:ascii="宋体" w:hAnsi="宋体" w:cs="宋体"/>
          <w:szCs w:val="21"/>
        </w:rPr>
        <w:t>（一）供应商的姓名或者名称、地址、邮编、联系人及联系电话；</w:t>
      </w:r>
    </w:p>
    <w:p w14:paraId="0A09C04A">
      <w:pPr>
        <w:ind w:firstLine="420"/>
        <w:rPr>
          <w:rFonts w:ascii="宋体" w:hAnsi="宋体" w:cs="宋体"/>
          <w:szCs w:val="21"/>
        </w:rPr>
      </w:pPr>
      <w:r>
        <w:rPr>
          <w:rFonts w:hint="eastAsia" w:ascii="宋体" w:hAnsi="宋体" w:cs="宋体"/>
          <w:szCs w:val="21"/>
        </w:rPr>
        <w:t>（二）质疑项目的名称、编号；</w:t>
      </w:r>
    </w:p>
    <w:p w14:paraId="13B03D2F">
      <w:pPr>
        <w:ind w:firstLine="420"/>
        <w:rPr>
          <w:rFonts w:ascii="宋体" w:hAnsi="宋体" w:cs="宋体"/>
          <w:szCs w:val="21"/>
        </w:rPr>
      </w:pPr>
      <w:r>
        <w:rPr>
          <w:rFonts w:hint="eastAsia" w:ascii="宋体" w:hAnsi="宋体" w:cs="宋体"/>
          <w:szCs w:val="21"/>
        </w:rPr>
        <w:t>（三）具体、明确的质疑事项和与质疑事项相关的请求；</w:t>
      </w:r>
    </w:p>
    <w:p w14:paraId="6DC473B0">
      <w:pPr>
        <w:ind w:firstLine="420"/>
        <w:rPr>
          <w:rFonts w:ascii="宋体" w:hAnsi="宋体" w:cs="宋体"/>
          <w:szCs w:val="21"/>
        </w:rPr>
      </w:pPr>
      <w:r>
        <w:rPr>
          <w:rFonts w:hint="eastAsia" w:ascii="宋体" w:hAnsi="宋体" w:cs="宋体"/>
          <w:szCs w:val="21"/>
        </w:rPr>
        <w:t>（四）事实依据；</w:t>
      </w:r>
    </w:p>
    <w:p w14:paraId="3DB686DA">
      <w:pPr>
        <w:ind w:firstLine="420"/>
        <w:rPr>
          <w:rFonts w:ascii="宋体" w:hAnsi="宋体" w:cs="宋体"/>
          <w:szCs w:val="21"/>
        </w:rPr>
      </w:pPr>
      <w:r>
        <w:rPr>
          <w:rFonts w:hint="eastAsia" w:ascii="宋体" w:hAnsi="宋体" w:cs="宋体"/>
          <w:szCs w:val="21"/>
        </w:rPr>
        <w:t>（五）必要的法律依据；</w:t>
      </w:r>
    </w:p>
    <w:p w14:paraId="16F0A5FA">
      <w:pPr>
        <w:ind w:firstLine="420"/>
        <w:rPr>
          <w:rFonts w:ascii="宋体" w:hAnsi="宋体" w:cs="宋体"/>
          <w:szCs w:val="21"/>
        </w:rPr>
      </w:pPr>
      <w:r>
        <w:rPr>
          <w:rFonts w:hint="eastAsia" w:ascii="宋体" w:hAnsi="宋体" w:cs="宋体"/>
          <w:szCs w:val="21"/>
        </w:rPr>
        <w:t>（六）提出质疑的日期。</w:t>
      </w:r>
    </w:p>
    <w:p w14:paraId="72BF70EB">
      <w:pPr>
        <w:ind w:firstLine="420"/>
        <w:rPr>
          <w:rFonts w:ascii="宋体" w:hAnsi="宋体" w:cs="宋体"/>
          <w:szCs w:val="21"/>
          <w:shd w:val="clear" w:color="auto" w:fill="FFFFFF"/>
        </w:rPr>
      </w:pPr>
      <w:r>
        <w:rPr>
          <w:rFonts w:hint="eastAsia" w:ascii="宋体" w:hAnsi="宋体" w:cs="宋体"/>
          <w:szCs w:val="21"/>
        </w:rPr>
        <w:t>6.2.5</w:t>
      </w:r>
      <w:r>
        <w:rPr>
          <w:rFonts w:hint="eastAsia" w:ascii="宋体" w:hAnsi="宋体" w:cs="宋体"/>
          <w:szCs w:val="21"/>
          <w:shd w:val="clear" w:color="auto" w:fill="FFFFFF"/>
        </w:rPr>
        <w:t>采购人、采购代理机构不得拒收质疑供应商在法定质疑期内发出的质疑函，应当在收到质疑函后7个工作日内作出答复，质疑答复的内容不得涉及商业秘密，并以书面形式通知被质疑供应商和其他有关供应商。</w:t>
      </w:r>
    </w:p>
    <w:p w14:paraId="36E182AD">
      <w:pPr>
        <w:pStyle w:val="4"/>
        <w:rPr>
          <w:rFonts w:ascii="宋体" w:hAnsi="宋体" w:cs="宋体"/>
          <w:szCs w:val="21"/>
        </w:rPr>
      </w:pPr>
      <w:r>
        <w:rPr>
          <w:rFonts w:hint="eastAsia" w:ascii="宋体" w:hAnsi="宋体" w:cs="宋体"/>
          <w:szCs w:val="21"/>
        </w:rPr>
        <w:t>6.3投诉</w:t>
      </w:r>
    </w:p>
    <w:p w14:paraId="62281CF7">
      <w:pPr>
        <w:ind w:firstLine="420"/>
        <w:rPr>
          <w:rFonts w:ascii="宋体" w:hAnsi="宋体" w:cs="宋体"/>
          <w:szCs w:val="21"/>
          <w:shd w:val="clear" w:color="auto" w:fill="FFFFFF"/>
        </w:rPr>
      </w:pPr>
      <w:r>
        <w:rPr>
          <w:rFonts w:hint="eastAsia" w:ascii="宋体" w:hAnsi="宋体" w:cs="宋体"/>
          <w:szCs w:val="21"/>
          <w:shd w:val="clear" w:color="auto" w:fill="FFFFFF"/>
        </w:rPr>
        <w:t>6.3.1质疑供应商对采购人、采购代理机构的答复不满意，或者采购人、采购代理机构未在规定时间内作出答复的，可以在答复期满后15个工作日内向《政府采购质疑和投诉办法》（</w:t>
      </w:r>
      <w:r>
        <w:rPr>
          <w:rFonts w:hint="eastAsia" w:ascii="宋体" w:hAnsi="宋体" w:cs="宋体"/>
          <w:kern w:val="0"/>
          <w:szCs w:val="21"/>
        </w:rPr>
        <w:t>财政部令第94号</w:t>
      </w:r>
      <w:r>
        <w:rPr>
          <w:rFonts w:hint="eastAsia" w:ascii="宋体" w:hAnsi="宋体" w:cs="宋体"/>
          <w:szCs w:val="21"/>
          <w:shd w:val="clear" w:color="auto" w:fill="FFFFFF"/>
        </w:rPr>
        <w:t>）第六条规定的</w:t>
      </w:r>
      <w:r>
        <w:rPr>
          <w:rFonts w:hint="eastAsia" w:ascii="宋体" w:hAnsi="宋体" w:cs="宋体"/>
          <w:szCs w:val="21"/>
          <w:lang w:val="en-US" w:eastAsia="zh-CN"/>
        </w:rPr>
        <w:t>同级监管</w:t>
      </w:r>
      <w:r>
        <w:rPr>
          <w:rFonts w:hint="eastAsia" w:ascii="宋体" w:hAnsi="宋体" w:cs="宋体"/>
          <w:szCs w:val="21"/>
          <w:shd w:val="clear" w:color="auto" w:fill="FFFFFF"/>
        </w:rPr>
        <w:t>部门提起投诉。</w:t>
      </w:r>
    </w:p>
    <w:p w14:paraId="480616DB">
      <w:pPr>
        <w:ind w:firstLine="420"/>
        <w:rPr>
          <w:rFonts w:ascii="宋体" w:hAnsi="宋体" w:cs="宋体"/>
          <w:szCs w:val="21"/>
          <w:shd w:val="clear" w:color="auto" w:fill="FFFFFF"/>
        </w:rPr>
      </w:pPr>
      <w:r>
        <w:rPr>
          <w:rFonts w:hint="eastAsia" w:ascii="宋体" w:hAnsi="宋体" w:cs="宋体"/>
          <w:szCs w:val="21"/>
          <w:shd w:val="clear" w:color="auto" w:fill="FFFFFF"/>
        </w:rPr>
        <w:t>6.3.2供应商投诉的事项不得超出已质疑事项的范围，但基于质疑答复内容提出的投诉事项除外。</w:t>
      </w:r>
    </w:p>
    <w:p w14:paraId="0ED10070">
      <w:pPr>
        <w:ind w:firstLine="420"/>
        <w:rPr>
          <w:rFonts w:ascii="宋体" w:hAnsi="宋体" w:cs="宋体"/>
          <w:szCs w:val="21"/>
          <w:shd w:val="clear" w:color="auto" w:fill="FFFFFF"/>
        </w:rPr>
      </w:pPr>
      <w:r>
        <w:rPr>
          <w:rFonts w:hint="eastAsia" w:ascii="宋体" w:hAnsi="宋体" w:cs="宋体"/>
          <w:szCs w:val="21"/>
          <w:shd w:val="clear" w:color="auto" w:fill="FFFFFF"/>
        </w:rPr>
        <w:t>6.3.3投诉人提起投诉应当符合下列条件：</w:t>
      </w:r>
    </w:p>
    <w:p w14:paraId="3375DC17">
      <w:pPr>
        <w:ind w:firstLine="420"/>
        <w:rPr>
          <w:rFonts w:ascii="宋体" w:hAnsi="宋体" w:cs="宋体"/>
          <w:szCs w:val="21"/>
          <w:shd w:val="clear" w:color="auto" w:fill="FFFFFF"/>
        </w:rPr>
      </w:pPr>
      <w:r>
        <w:rPr>
          <w:rFonts w:hint="eastAsia" w:ascii="宋体" w:hAnsi="宋体" w:cs="宋体"/>
          <w:szCs w:val="21"/>
          <w:shd w:val="clear" w:color="auto" w:fill="FFFFFF"/>
        </w:rPr>
        <w:t>（一）提起投诉前已依法进行质疑；</w:t>
      </w:r>
    </w:p>
    <w:p w14:paraId="08B9916A">
      <w:pPr>
        <w:ind w:firstLine="420"/>
        <w:rPr>
          <w:rFonts w:ascii="宋体" w:hAnsi="宋体" w:cs="宋体"/>
          <w:szCs w:val="21"/>
          <w:shd w:val="clear" w:color="auto" w:fill="FFFFFF"/>
        </w:rPr>
      </w:pPr>
      <w:r>
        <w:rPr>
          <w:rFonts w:hint="eastAsia" w:ascii="宋体" w:hAnsi="宋体" w:cs="宋体"/>
          <w:szCs w:val="21"/>
          <w:shd w:val="clear" w:color="auto" w:fill="FFFFFF"/>
        </w:rPr>
        <w:t>（二）投诉书内容符合本办法的规定；</w:t>
      </w:r>
    </w:p>
    <w:p w14:paraId="6DD58801">
      <w:pPr>
        <w:ind w:firstLine="420"/>
        <w:rPr>
          <w:rFonts w:ascii="宋体" w:hAnsi="宋体" w:cs="宋体"/>
          <w:szCs w:val="21"/>
          <w:shd w:val="clear" w:color="auto" w:fill="FFFFFF"/>
        </w:rPr>
      </w:pPr>
      <w:r>
        <w:rPr>
          <w:rFonts w:hint="eastAsia" w:ascii="宋体" w:hAnsi="宋体" w:cs="宋体"/>
          <w:szCs w:val="21"/>
          <w:shd w:val="clear" w:color="auto" w:fill="FFFFFF"/>
        </w:rPr>
        <w:t>（三）在投诉有效期限内提起投诉；</w:t>
      </w:r>
    </w:p>
    <w:p w14:paraId="58B3143D">
      <w:pPr>
        <w:ind w:firstLine="420"/>
        <w:rPr>
          <w:rFonts w:ascii="宋体" w:hAnsi="宋体" w:cs="宋体"/>
          <w:szCs w:val="21"/>
          <w:shd w:val="clear" w:color="auto" w:fill="FFFFFF"/>
        </w:rPr>
      </w:pPr>
      <w:r>
        <w:rPr>
          <w:rFonts w:hint="eastAsia" w:ascii="宋体" w:hAnsi="宋体" w:cs="宋体"/>
          <w:szCs w:val="21"/>
          <w:shd w:val="clear" w:color="auto" w:fill="FFFFFF"/>
        </w:rPr>
        <w:t>（四）同一投诉事项未经财政部门投诉处理；</w:t>
      </w:r>
    </w:p>
    <w:p w14:paraId="5DCC12D8">
      <w:pPr>
        <w:ind w:firstLine="420"/>
        <w:rPr>
          <w:rFonts w:ascii="宋体" w:hAnsi="宋体" w:cs="宋体"/>
          <w:szCs w:val="21"/>
          <w:shd w:val="clear" w:color="auto" w:fill="FFFFFF"/>
        </w:rPr>
      </w:pPr>
      <w:r>
        <w:rPr>
          <w:rFonts w:hint="eastAsia" w:ascii="宋体" w:hAnsi="宋体" w:cs="宋体"/>
          <w:szCs w:val="21"/>
          <w:shd w:val="clear" w:color="auto" w:fill="FFFFFF"/>
        </w:rPr>
        <w:t>（五）财政部规定的其他条件。</w:t>
      </w:r>
    </w:p>
    <w:p w14:paraId="4388A78F">
      <w:pPr>
        <w:ind w:firstLine="422"/>
        <w:rPr>
          <w:rFonts w:ascii="宋体" w:hAnsi="宋体" w:cs="宋体"/>
          <w:b/>
          <w:szCs w:val="21"/>
          <w:shd w:val="clear" w:color="auto" w:fill="FFFFFF"/>
        </w:rPr>
      </w:pPr>
      <w:r>
        <w:rPr>
          <w:rFonts w:hint="eastAsia" w:ascii="宋体" w:hAnsi="宋体" w:cs="宋体"/>
          <w:b/>
          <w:szCs w:val="21"/>
          <w:shd w:val="clear" w:color="auto" w:fill="FFFFFF"/>
        </w:rPr>
        <w:t>6.3.4投诉人在全国范围12个月内三次以上投诉查无实据的，由财政部门列入不良行为记录名单。</w:t>
      </w:r>
    </w:p>
    <w:p w14:paraId="1F9910C6">
      <w:pPr>
        <w:ind w:firstLine="420"/>
        <w:rPr>
          <w:rFonts w:ascii="宋体" w:hAnsi="宋体" w:cs="宋体"/>
          <w:szCs w:val="21"/>
          <w:shd w:val="clear" w:color="auto" w:fill="FFFFFF"/>
        </w:rPr>
      </w:pPr>
      <w:r>
        <w:rPr>
          <w:rFonts w:hint="eastAsia" w:ascii="宋体" w:hAnsi="宋体" w:cs="宋体"/>
          <w:szCs w:val="21"/>
          <w:shd w:val="clear" w:color="auto" w:fill="FFFFFF"/>
        </w:rPr>
        <w:t>6.3.5投诉人有下列行为之一的，属于虚假、恶意投诉，由</w:t>
      </w:r>
      <w:r>
        <w:rPr>
          <w:rFonts w:hint="eastAsia" w:ascii="宋体" w:hAnsi="宋体" w:cs="宋体"/>
          <w:szCs w:val="21"/>
          <w:lang w:val="en-US" w:eastAsia="zh-CN"/>
        </w:rPr>
        <w:t>同级监管</w:t>
      </w:r>
      <w:r>
        <w:rPr>
          <w:rFonts w:hint="eastAsia" w:ascii="宋体" w:hAnsi="宋体" w:cs="宋体"/>
          <w:szCs w:val="21"/>
          <w:shd w:val="clear" w:color="auto" w:fill="FFFFFF"/>
        </w:rPr>
        <w:t>部门列入不良行为记录名单，禁止其1至3年内参加本单位采购活动：</w:t>
      </w:r>
    </w:p>
    <w:p w14:paraId="5C1134AA">
      <w:pPr>
        <w:ind w:firstLine="420"/>
        <w:rPr>
          <w:rFonts w:ascii="宋体" w:hAnsi="宋体" w:cs="宋体"/>
          <w:szCs w:val="21"/>
          <w:shd w:val="clear" w:color="auto" w:fill="FFFFFF"/>
        </w:rPr>
      </w:pPr>
      <w:r>
        <w:rPr>
          <w:rFonts w:hint="eastAsia" w:ascii="宋体" w:hAnsi="宋体" w:cs="宋体"/>
          <w:szCs w:val="21"/>
          <w:shd w:val="clear" w:color="auto" w:fill="FFFFFF"/>
        </w:rPr>
        <w:t>（一）捏造事实；</w:t>
      </w:r>
    </w:p>
    <w:p w14:paraId="008E4113">
      <w:pPr>
        <w:ind w:firstLine="420"/>
        <w:rPr>
          <w:rFonts w:ascii="宋体" w:hAnsi="宋体" w:cs="宋体"/>
          <w:szCs w:val="21"/>
          <w:shd w:val="clear" w:color="auto" w:fill="FFFFFF"/>
        </w:rPr>
      </w:pPr>
      <w:r>
        <w:rPr>
          <w:rFonts w:hint="eastAsia" w:ascii="宋体" w:hAnsi="宋体" w:cs="宋体"/>
          <w:szCs w:val="21"/>
          <w:shd w:val="clear" w:color="auto" w:fill="FFFFFF"/>
        </w:rPr>
        <w:t>（二）提供虚假材料；</w:t>
      </w:r>
    </w:p>
    <w:p w14:paraId="5506EC9C">
      <w:pPr>
        <w:ind w:firstLine="420"/>
        <w:rPr>
          <w:rFonts w:ascii="宋体" w:hAnsi="宋体" w:cs="宋体"/>
          <w:szCs w:val="21"/>
          <w:shd w:val="clear" w:color="auto" w:fill="FFFFFF"/>
        </w:rPr>
      </w:pPr>
      <w:r>
        <w:rPr>
          <w:rFonts w:hint="eastAsia" w:ascii="宋体" w:hAnsi="宋体" w:cs="宋体"/>
          <w:szCs w:val="21"/>
          <w:shd w:val="clear" w:color="auto" w:fill="FFFFFF"/>
        </w:rPr>
        <w:t>（三）以非法手段取得证明材料。证据来源的合法性存在明显疑问，投诉人无法证明其取得方式合法的，视为以非法手段取得证明材料。</w:t>
      </w:r>
    </w:p>
    <w:p w14:paraId="726C97BC">
      <w:pPr>
        <w:ind w:firstLine="420"/>
        <w:rPr>
          <w:rFonts w:ascii="宋体" w:hAnsi="宋体" w:cs="宋体"/>
          <w:szCs w:val="21"/>
          <w:shd w:val="clear" w:color="auto" w:fill="FFFFFF"/>
        </w:rPr>
        <w:sectPr>
          <w:footerReference r:id="rId15" w:type="default"/>
          <w:pgSz w:w="11907" w:h="16840"/>
          <w:pgMar w:top="1247" w:right="1304" w:bottom="1020" w:left="1304" w:header="720" w:footer="720" w:gutter="0"/>
          <w:cols w:space="720" w:num="1"/>
          <w:docGrid w:linePitch="286" w:charSpace="0"/>
        </w:sectPr>
      </w:pPr>
    </w:p>
    <w:bookmarkEnd w:id="59"/>
    <w:bookmarkEnd w:id="60"/>
    <w:bookmarkEnd w:id="61"/>
    <w:bookmarkEnd w:id="62"/>
    <w:bookmarkEnd w:id="63"/>
    <w:p w14:paraId="269C3D4B">
      <w:pPr>
        <w:pStyle w:val="2"/>
        <w:ind w:firstLine="482"/>
      </w:pPr>
      <w:bookmarkStart w:id="121" w:name="_Toc82338234"/>
      <w:bookmarkStart w:id="122" w:name="_Toc82873317"/>
      <w:bookmarkStart w:id="123" w:name="_Toc17273"/>
      <w:bookmarkStart w:id="124" w:name="_Toc450840083"/>
      <w:bookmarkStart w:id="125" w:name="_Toc26357"/>
      <w:bookmarkStart w:id="126" w:name="_Toc13801"/>
      <w:r>
        <w:rPr>
          <w:rFonts w:hint="eastAsia"/>
        </w:rPr>
        <w:t>第二章 采购项目技术规范</w:t>
      </w:r>
      <w:r>
        <w:t>和</w:t>
      </w:r>
      <w:r>
        <w:rPr>
          <w:rFonts w:hint="eastAsia"/>
        </w:rPr>
        <w:t>要求</w:t>
      </w:r>
      <w:bookmarkEnd w:id="121"/>
      <w:bookmarkEnd w:id="122"/>
      <w:bookmarkEnd w:id="123"/>
      <w:bookmarkEnd w:id="124"/>
      <w:bookmarkEnd w:id="125"/>
      <w:bookmarkEnd w:id="126"/>
    </w:p>
    <w:p w14:paraId="16318450">
      <w:pPr>
        <w:spacing w:before="120" w:beforeLines="50" w:after="120" w:afterLines="50" w:line="240" w:lineRule="auto"/>
        <w:ind w:firstLine="0" w:firstLineChars="0"/>
        <w:rPr>
          <w:rFonts w:ascii="宋体" w:hAnsi="宋体" w:cs="宋体"/>
          <w:b/>
          <w:bCs/>
          <w:sz w:val="21"/>
          <w:szCs w:val="21"/>
          <w:highlight w:val="none"/>
        </w:rPr>
      </w:pPr>
      <w:bookmarkStart w:id="127" w:name="_Toc450840086"/>
      <w:r>
        <w:rPr>
          <w:rFonts w:hint="eastAsia" w:ascii="宋体" w:hAnsi="宋体" w:cs="宋体"/>
          <w:b/>
          <w:bCs/>
          <w:sz w:val="21"/>
          <w:szCs w:val="21"/>
          <w:highlight w:val="none"/>
        </w:rPr>
        <w:t>一、项目概况：</w:t>
      </w:r>
    </w:p>
    <w:p w14:paraId="127DD0A5">
      <w:pPr>
        <w:spacing w:line="360" w:lineRule="auto"/>
        <w:ind w:firstLine="0" w:firstLineChars="0"/>
        <w:rPr>
          <w:rFonts w:hint="eastAsia" w:ascii="宋体" w:hAnsi="宋体" w:eastAsia="宋体" w:cs="宋体"/>
          <w:sz w:val="21"/>
          <w:szCs w:val="21"/>
          <w:highlight w:val="none"/>
          <w:lang w:eastAsia="zh-CN"/>
        </w:rPr>
      </w:pPr>
      <w:r>
        <w:rPr>
          <w:rFonts w:hint="eastAsia" w:ascii="宋体" w:hAnsi="宋体" w:cs="宋体"/>
          <w:sz w:val="21"/>
          <w:szCs w:val="21"/>
          <w:highlight w:val="none"/>
        </w:rPr>
        <w:t>赛事名称：</w:t>
      </w:r>
      <w:r>
        <w:rPr>
          <w:rFonts w:hint="eastAsia" w:ascii="宋体" w:hAnsi="宋体" w:cs="宋体"/>
          <w:sz w:val="21"/>
          <w:szCs w:val="21"/>
          <w:highlight w:val="none"/>
          <w:lang w:eastAsia="zh-CN"/>
        </w:rPr>
        <w:t>ZSSL浙江省第十届中小学生游泳联赛杭州市级比赛</w:t>
      </w:r>
    </w:p>
    <w:p w14:paraId="4E095279">
      <w:pPr>
        <w:spacing w:line="360" w:lineRule="auto"/>
        <w:ind w:firstLine="0" w:firstLineChars="0"/>
        <w:rPr>
          <w:rFonts w:ascii="宋体" w:hAnsi="宋体" w:cs="宋体"/>
          <w:color w:val="auto"/>
          <w:sz w:val="21"/>
          <w:szCs w:val="21"/>
          <w:highlight w:val="none"/>
        </w:rPr>
      </w:pPr>
      <w:r>
        <w:rPr>
          <w:rFonts w:hint="eastAsia" w:ascii="宋体" w:hAnsi="宋体" w:cs="宋体"/>
          <w:color w:val="auto"/>
          <w:sz w:val="21"/>
          <w:szCs w:val="21"/>
          <w:highlight w:val="none"/>
        </w:rPr>
        <w:t>主办单位：杭州市教育局</w:t>
      </w:r>
    </w:p>
    <w:p w14:paraId="4B4966CD">
      <w:pPr>
        <w:spacing w:line="360" w:lineRule="auto"/>
        <w:ind w:firstLine="0" w:firstLineChars="0"/>
        <w:rPr>
          <w:rFonts w:ascii="宋体" w:hAnsi="宋体" w:cs="宋体"/>
          <w:color w:val="auto"/>
          <w:sz w:val="21"/>
          <w:szCs w:val="21"/>
          <w:highlight w:val="none"/>
        </w:rPr>
      </w:pPr>
      <w:r>
        <w:rPr>
          <w:rFonts w:hint="eastAsia" w:ascii="宋体" w:hAnsi="宋体" w:cs="宋体"/>
          <w:color w:val="auto"/>
          <w:sz w:val="21"/>
          <w:szCs w:val="21"/>
          <w:highlight w:val="none"/>
        </w:rPr>
        <w:t>承办单位：浙江省杭州高级中学</w:t>
      </w:r>
    </w:p>
    <w:p w14:paraId="1E88B20D">
      <w:pPr>
        <w:spacing w:line="360" w:lineRule="auto"/>
        <w:ind w:firstLine="0" w:firstLineChars="0"/>
        <w:rPr>
          <w:rFonts w:ascii="宋体" w:hAnsi="宋体" w:cs="宋体"/>
          <w:color w:val="auto"/>
          <w:sz w:val="21"/>
          <w:szCs w:val="21"/>
          <w:highlight w:val="none"/>
        </w:rPr>
      </w:pPr>
      <w:r>
        <w:rPr>
          <w:rFonts w:hint="eastAsia" w:ascii="宋体" w:hAnsi="宋体" w:cs="宋体"/>
          <w:color w:val="auto"/>
          <w:sz w:val="21"/>
          <w:szCs w:val="21"/>
          <w:highlight w:val="none"/>
        </w:rPr>
        <w:t>比赛日程：202</w:t>
      </w:r>
      <w:r>
        <w:rPr>
          <w:rFonts w:hint="eastAsia" w:ascii="宋体" w:hAnsi="宋体" w:cs="宋体"/>
          <w:color w:val="auto"/>
          <w:sz w:val="21"/>
          <w:szCs w:val="21"/>
          <w:highlight w:val="none"/>
          <w:lang w:val="en-US" w:eastAsia="zh-CN"/>
        </w:rPr>
        <w:t>5</w:t>
      </w:r>
      <w:r>
        <w:rPr>
          <w:rFonts w:hint="eastAsia" w:ascii="宋体" w:hAnsi="宋体" w:cs="宋体"/>
          <w:color w:val="auto"/>
          <w:sz w:val="21"/>
          <w:szCs w:val="21"/>
          <w:highlight w:val="none"/>
        </w:rPr>
        <w:t>年4月23日至25日</w:t>
      </w:r>
    </w:p>
    <w:p w14:paraId="72411B6D">
      <w:pPr>
        <w:spacing w:before="120" w:beforeLines="50" w:after="120" w:afterLines="50" w:line="240" w:lineRule="auto"/>
        <w:ind w:firstLine="0" w:firstLineChars="0"/>
        <w:rPr>
          <w:rFonts w:ascii="宋体" w:hAnsi="宋体" w:cs="宋体"/>
          <w:b/>
          <w:bCs/>
          <w:color w:val="auto"/>
          <w:sz w:val="21"/>
          <w:szCs w:val="21"/>
          <w:highlight w:val="none"/>
        </w:rPr>
      </w:pPr>
      <w:r>
        <w:rPr>
          <w:rFonts w:hint="eastAsia" w:ascii="宋体" w:hAnsi="宋体" w:cs="宋体"/>
          <w:b/>
          <w:bCs/>
          <w:color w:val="auto"/>
          <w:sz w:val="21"/>
          <w:szCs w:val="21"/>
          <w:highlight w:val="none"/>
        </w:rPr>
        <w:t>二、赛事情况：</w:t>
      </w:r>
    </w:p>
    <w:tbl>
      <w:tblPr>
        <w:tblStyle w:val="46"/>
        <w:tblW w:w="8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466"/>
        <w:gridCol w:w="526"/>
        <w:gridCol w:w="486"/>
        <w:gridCol w:w="522"/>
        <w:gridCol w:w="450"/>
        <w:gridCol w:w="486"/>
        <w:gridCol w:w="486"/>
        <w:gridCol w:w="464"/>
        <w:gridCol w:w="508"/>
        <w:gridCol w:w="486"/>
        <w:gridCol w:w="446"/>
        <w:gridCol w:w="540"/>
        <w:gridCol w:w="540"/>
        <w:gridCol w:w="540"/>
        <w:gridCol w:w="540"/>
      </w:tblGrid>
      <w:tr w14:paraId="11949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12" w:hRule="atLeast"/>
          <w:jc w:val="center"/>
        </w:trPr>
        <w:tc>
          <w:tcPr>
            <w:tcW w:w="614" w:type="dxa"/>
            <w:tcBorders>
              <w:top w:val="single" w:color="auto" w:sz="4" w:space="0"/>
              <w:left w:val="single" w:color="auto" w:sz="4" w:space="0"/>
              <w:bottom w:val="single" w:color="auto" w:sz="4" w:space="0"/>
              <w:right w:val="single" w:color="auto" w:sz="4" w:space="0"/>
              <w:tl2br w:val="single" w:color="auto" w:sz="4" w:space="0"/>
            </w:tcBorders>
            <w:noWrap w:val="0"/>
            <w:vAlign w:val="center"/>
          </w:tcPr>
          <w:p w14:paraId="18E89EE3">
            <w:pPr>
              <w:snapToGrid w:val="0"/>
              <w:spacing w:line="360" w:lineRule="auto"/>
              <w:ind w:firstLine="0" w:firstLineChars="0"/>
              <w:jc w:val="center"/>
              <w:rPr>
                <w:rFonts w:hint="eastAsia" w:ascii="宋体" w:hAnsi="宋体" w:cs="宋体"/>
                <w:color w:val="auto"/>
                <w:szCs w:val="21"/>
                <w:highlight w:val="none"/>
              </w:rPr>
            </w:pPr>
          </w:p>
        </w:tc>
        <w:tc>
          <w:tcPr>
            <w:tcW w:w="466" w:type="dxa"/>
            <w:tcBorders>
              <w:top w:val="single" w:color="auto" w:sz="4" w:space="0"/>
              <w:left w:val="single" w:color="auto" w:sz="4" w:space="0"/>
              <w:bottom w:val="single" w:color="auto" w:sz="4" w:space="0"/>
              <w:right w:val="single" w:color="auto" w:sz="4" w:space="0"/>
            </w:tcBorders>
            <w:noWrap w:val="0"/>
            <w:vAlign w:val="center"/>
          </w:tcPr>
          <w:p w14:paraId="25457072">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50米自由泳</w:t>
            </w:r>
          </w:p>
        </w:tc>
        <w:tc>
          <w:tcPr>
            <w:tcW w:w="526" w:type="dxa"/>
            <w:tcBorders>
              <w:top w:val="single" w:color="auto" w:sz="4" w:space="0"/>
              <w:left w:val="single" w:color="auto" w:sz="4" w:space="0"/>
              <w:bottom w:val="single" w:color="auto" w:sz="4" w:space="0"/>
              <w:right w:val="single" w:color="auto" w:sz="4" w:space="0"/>
            </w:tcBorders>
            <w:noWrap w:val="0"/>
            <w:vAlign w:val="center"/>
          </w:tcPr>
          <w:p w14:paraId="49C499F0">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100米自由泳</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7873EAA5">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200米自由泳</w:t>
            </w:r>
          </w:p>
        </w:tc>
        <w:tc>
          <w:tcPr>
            <w:tcW w:w="522" w:type="dxa"/>
            <w:tcBorders>
              <w:top w:val="single" w:color="auto" w:sz="4" w:space="0"/>
              <w:left w:val="single" w:color="auto" w:sz="4" w:space="0"/>
              <w:bottom w:val="single" w:color="auto" w:sz="4" w:space="0"/>
              <w:right w:val="single" w:color="auto" w:sz="4" w:space="0"/>
            </w:tcBorders>
            <w:noWrap w:val="0"/>
            <w:vAlign w:val="center"/>
          </w:tcPr>
          <w:p w14:paraId="520D8373">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400米自由泳</w:t>
            </w:r>
          </w:p>
        </w:tc>
        <w:tc>
          <w:tcPr>
            <w:tcW w:w="450" w:type="dxa"/>
            <w:tcBorders>
              <w:top w:val="single" w:color="auto" w:sz="4" w:space="0"/>
              <w:left w:val="single" w:color="auto" w:sz="4" w:space="0"/>
              <w:bottom w:val="single" w:color="auto" w:sz="4" w:space="0"/>
              <w:right w:val="single" w:color="auto" w:sz="4" w:space="0"/>
            </w:tcBorders>
            <w:noWrap w:val="0"/>
            <w:vAlign w:val="center"/>
          </w:tcPr>
          <w:p w14:paraId="294762CE">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50米蛙泳</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2BB24545">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100米蛙泳</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5125534F">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200米蛙泳</w:t>
            </w:r>
          </w:p>
        </w:tc>
        <w:tc>
          <w:tcPr>
            <w:tcW w:w="464" w:type="dxa"/>
            <w:tcBorders>
              <w:top w:val="single" w:color="auto" w:sz="4" w:space="0"/>
              <w:left w:val="single" w:color="auto" w:sz="4" w:space="0"/>
              <w:bottom w:val="single" w:color="auto" w:sz="4" w:space="0"/>
              <w:right w:val="single" w:color="auto" w:sz="4" w:space="0"/>
            </w:tcBorders>
            <w:noWrap w:val="0"/>
            <w:vAlign w:val="center"/>
          </w:tcPr>
          <w:p w14:paraId="18EBBE3E">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50米仰泳</w:t>
            </w:r>
          </w:p>
        </w:tc>
        <w:tc>
          <w:tcPr>
            <w:tcW w:w="508" w:type="dxa"/>
            <w:tcBorders>
              <w:top w:val="single" w:color="auto" w:sz="4" w:space="0"/>
              <w:left w:val="single" w:color="auto" w:sz="4" w:space="0"/>
              <w:bottom w:val="single" w:color="auto" w:sz="4" w:space="0"/>
              <w:right w:val="single" w:color="auto" w:sz="4" w:space="0"/>
            </w:tcBorders>
            <w:noWrap w:val="0"/>
            <w:vAlign w:val="center"/>
          </w:tcPr>
          <w:p w14:paraId="00BB5F53">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100米仰泳</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6AFD96E7">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200米仰泳</w:t>
            </w:r>
          </w:p>
        </w:tc>
        <w:tc>
          <w:tcPr>
            <w:tcW w:w="446" w:type="dxa"/>
            <w:tcBorders>
              <w:top w:val="single" w:color="auto" w:sz="4" w:space="0"/>
              <w:left w:val="single" w:color="auto" w:sz="4" w:space="0"/>
              <w:bottom w:val="single" w:color="auto" w:sz="4" w:space="0"/>
              <w:right w:val="single" w:color="auto" w:sz="4" w:space="0"/>
            </w:tcBorders>
            <w:noWrap w:val="0"/>
            <w:vAlign w:val="center"/>
          </w:tcPr>
          <w:p w14:paraId="462A31E5">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50米蝶泳</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5D2E2C97">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100米蝶泳</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2E240CFD">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200米蝶泳</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45109BA8">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200米个人混合泳</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4AE522E0">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4×100米自由泳接力</w:t>
            </w:r>
          </w:p>
        </w:tc>
      </w:tr>
      <w:tr w14:paraId="7632A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4" w:type="dxa"/>
            <w:tcBorders>
              <w:top w:val="single" w:color="auto" w:sz="4" w:space="0"/>
              <w:left w:val="single" w:color="auto" w:sz="4" w:space="0"/>
              <w:bottom w:val="single" w:color="auto" w:sz="4" w:space="0"/>
              <w:right w:val="single" w:color="auto" w:sz="4" w:space="0"/>
            </w:tcBorders>
            <w:noWrap w:val="0"/>
            <w:vAlign w:val="center"/>
          </w:tcPr>
          <w:p w14:paraId="5536D8DE">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高中男子</w:t>
            </w:r>
          </w:p>
        </w:tc>
        <w:tc>
          <w:tcPr>
            <w:tcW w:w="466" w:type="dxa"/>
            <w:tcBorders>
              <w:top w:val="single" w:color="auto" w:sz="4" w:space="0"/>
              <w:left w:val="single" w:color="auto" w:sz="4" w:space="0"/>
              <w:bottom w:val="single" w:color="auto" w:sz="4" w:space="0"/>
              <w:right w:val="single" w:color="auto" w:sz="4" w:space="0"/>
            </w:tcBorders>
            <w:noWrap w:val="0"/>
            <w:vAlign w:val="center"/>
          </w:tcPr>
          <w:p w14:paraId="25DF1AA6">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6" w:type="dxa"/>
            <w:tcBorders>
              <w:top w:val="single" w:color="auto" w:sz="4" w:space="0"/>
              <w:left w:val="single" w:color="auto" w:sz="4" w:space="0"/>
              <w:bottom w:val="single" w:color="auto" w:sz="4" w:space="0"/>
              <w:right w:val="single" w:color="auto" w:sz="4" w:space="0"/>
            </w:tcBorders>
            <w:noWrap w:val="0"/>
            <w:vAlign w:val="center"/>
          </w:tcPr>
          <w:p w14:paraId="31F2AEF2">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48A9DDDF">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2" w:type="dxa"/>
            <w:tcBorders>
              <w:top w:val="single" w:color="auto" w:sz="4" w:space="0"/>
              <w:left w:val="single" w:color="auto" w:sz="4" w:space="0"/>
              <w:bottom w:val="single" w:color="auto" w:sz="4" w:space="0"/>
              <w:right w:val="single" w:color="auto" w:sz="4" w:space="0"/>
            </w:tcBorders>
            <w:noWrap w:val="0"/>
            <w:vAlign w:val="center"/>
          </w:tcPr>
          <w:p w14:paraId="19B46840">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50" w:type="dxa"/>
            <w:tcBorders>
              <w:top w:val="single" w:color="auto" w:sz="4" w:space="0"/>
              <w:left w:val="single" w:color="auto" w:sz="4" w:space="0"/>
              <w:bottom w:val="single" w:color="auto" w:sz="4" w:space="0"/>
              <w:right w:val="single" w:color="auto" w:sz="4" w:space="0"/>
            </w:tcBorders>
            <w:noWrap w:val="0"/>
            <w:vAlign w:val="center"/>
          </w:tcPr>
          <w:p w14:paraId="4BA58219">
            <w:pPr>
              <w:snapToGrid w:val="0"/>
              <w:spacing w:line="360" w:lineRule="auto"/>
              <w:ind w:firstLine="0" w:firstLineChars="0"/>
              <w:jc w:val="center"/>
              <w:rPr>
                <w:rFonts w:hint="eastAsia" w:ascii="宋体" w:hAnsi="宋体" w:cs="宋体"/>
                <w:color w:val="auto"/>
                <w:szCs w:val="21"/>
                <w:highlight w:val="none"/>
              </w:rPr>
            </w:pPr>
          </w:p>
        </w:tc>
        <w:tc>
          <w:tcPr>
            <w:tcW w:w="486" w:type="dxa"/>
            <w:tcBorders>
              <w:top w:val="single" w:color="auto" w:sz="4" w:space="0"/>
              <w:left w:val="single" w:color="auto" w:sz="4" w:space="0"/>
              <w:bottom w:val="single" w:color="auto" w:sz="4" w:space="0"/>
              <w:right w:val="single" w:color="auto" w:sz="4" w:space="0"/>
            </w:tcBorders>
            <w:noWrap w:val="0"/>
            <w:vAlign w:val="center"/>
          </w:tcPr>
          <w:p w14:paraId="7592710E">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6E79531F">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64" w:type="dxa"/>
            <w:tcBorders>
              <w:top w:val="single" w:color="auto" w:sz="4" w:space="0"/>
              <w:left w:val="single" w:color="auto" w:sz="4" w:space="0"/>
              <w:bottom w:val="single" w:color="auto" w:sz="4" w:space="0"/>
              <w:right w:val="single" w:color="auto" w:sz="4" w:space="0"/>
            </w:tcBorders>
            <w:noWrap w:val="0"/>
            <w:vAlign w:val="center"/>
          </w:tcPr>
          <w:p w14:paraId="420A113D">
            <w:pPr>
              <w:snapToGrid w:val="0"/>
              <w:spacing w:line="360" w:lineRule="auto"/>
              <w:ind w:firstLine="0" w:firstLineChars="0"/>
              <w:jc w:val="center"/>
              <w:rPr>
                <w:rFonts w:hint="eastAsia" w:ascii="宋体" w:hAnsi="宋体" w:cs="宋体"/>
                <w:color w:val="auto"/>
                <w:szCs w:val="21"/>
                <w:highlight w:val="none"/>
              </w:rPr>
            </w:pPr>
          </w:p>
        </w:tc>
        <w:tc>
          <w:tcPr>
            <w:tcW w:w="508" w:type="dxa"/>
            <w:tcBorders>
              <w:top w:val="single" w:color="auto" w:sz="4" w:space="0"/>
              <w:left w:val="single" w:color="auto" w:sz="4" w:space="0"/>
              <w:bottom w:val="single" w:color="auto" w:sz="4" w:space="0"/>
              <w:right w:val="single" w:color="auto" w:sz="4" w:space="0"/>
            </w:tcBorders>
            <w:noWrap w:val="0"/>
            <w:vAlign w:val="center"/>
          </w:tcPr>
          <w:p w14:paraId="56BAC1EA">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34F9FE29">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46" w:type="dxa"/>
            <w:tcBorders>
              <w:top w:val="single" w:color="auto" w:sz="4" w:space="0"/>
              <w:left w:val="single" w:color="auto" w:sz="4" w:space="0"/>
              <w:bottom w:val="single" w:color="auto" w:sz="4" w:space="0"/>
              <w:right w:val="single" w:color="auto" w:sz="4" w:space="0"/>
            </w:tcBorders>
            <w:noWrap w:val="0"/>
            <w:vAlign w:val="center"/>
          </w:tcPr>
          <w:p w14:paraId="33916C69">
            <w:pPr>
              <w:snapToGrid w:val="0"/>
              <w:spacing w:line="360" w:lineRule="auto"/>
              <w:ind w:firstLine="0" w:firstLineChars="0"/>
              <w:jc w:val="center"/>
              <w:rPr>
                <w:rFonts w:hint="eastAsia" w:ascii="宋体" w:hAnsi="宋体" w:cs="宋体"/>
                <w:color w:val="auto"/>
                <w:szCs w:val="21"/>
                <w:highlight w:val="none"/>
              </w:rPr>
            </w:pPr>
          </w:p>
        </w:tc>
        <w:tc>
          <w:tcPr>
            <w:tcW w:w="540" w:type="dxa"/>
            <w:tcBorders>
              <w:top w:val="single" w:color="auto" w:sz="4" w:space="0"/>
              <w:left w:val="single" w:color="auto" w:sz="4" w:space="0"/>
              <w:bottom w:val="single" w:color="auto" w:sz="4" w:space="0"/>
              <w:right w:val="single" w:color="auto" w:sz="4" w:space="0"/>
            </w:tcBorders>
            <w:noWrap w:val="0"/>
            <w:vAlign w:val="center"/>
          </w:tcPr>
          <w:p w14:paraId="22842828">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35ACC78E">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17FE5187">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0B734C4E">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r>
      <w:tr w14:paraId="5CFDA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1" w:hRule="atLeast"/>
          <w:jc w:val="center"/>
        </w:trPr>
        <w:tc>
          <w:tcPr>
            <w:tcW w:w="614" w:type="dxa"/>
            <w:tcBorders>
              <w:top w:val="single" w:color="auto" w:sz="4" w:space="0"/>
              <w:left w:val="single" w:color="auto" w:sz="4" w:space="0"/>
              <w:bottom w:val="single" w:color="auto" w:sz="4" w:space="0"/>
              <w:right w:val="single" w:color="auto" w:sz="4" w:space="0"/>
            </w:tcBorders>
            <w:noWrap w:val="0"/>
            <w:vAlign w:val="center"/>
          </w:tcPr>
          <w:p w14:paraId="6FD5B4EF">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高中女子</w:t>
            </w:r>
          </w:p>
        </w:tc>
        <w:tc>
          <w:tcPr>
            <w:tcW w:w="466" w:type="dxa"/>
            <w:tcBorders>
              <w:top w:val="single" w:color="auto" w:sz="4" w:space="0"/>
              <w:left w:val="single" w:color="auto" w:sz="4" w:space="0"/>
              <w:bottom w:val="single" w:color="auto" w:sz="4" w:space="0"/>
              <w:right w:val="single" w:color="auto" w:sz="4" w:space="0"/>
            </w:tcBorders>
            <w:noWrap w:val="0"/>
            <w:vAlign w:val="center"/>
          </w:tcPr>
          <w:p w14:paraId="122C23D0">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6" w:type="dxa"/>
            <w:tcBorders>
              <w:top w:val="single" w:color="auto" w:sz="4" w:space="0"/>
              <w:left w:val="single" w:color="auto" w:sz="4" w:space="0"/>
              <w:bottom w:val="single" w:color="auto" w:sz="4" w:space="0"/>
              <w:right w:val="single" w:color="auto" w:sz="4" w:space="0"/>
            </w:tcBorders>
            <w:noWrap w:val="0"/>
            <w:vAlign w:val="center"/>
          </w:tcPr>
          <w:p w14:paraId="50F70A88">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7FA6CD32">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2" w:type="dxa"/>
            <w:tcBorders>
              <w:top w:val="single" w:color="auto" w:sz="4" w:space="0"/>
              <w:left w:val="single" w:color="auto" w:sz="4" w:space="0"/>
              <w:bottom w:val="single" w:color="auto" w:sz="4" w:space="0"/>
              <w:right w:val="single" w:color="auto" w:sz="4" w:space="0"/>
            </w:tcBorders>
            <w:noWrap w:val="0"/>
            <w:vAlign w:val="center"/>
          </w:tcPr>
          <w:p w14:paraId="5971B4E0">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50" w:type="dxa"/>
            <w:tcBorders>
              <w:top w:val="single" w:color="auto" w:sz="4" w:space="0"/>
              <w:left w:val="single" w:color="auto" w:sz="4" w:space="0"/>
              <w:bottom w:val="single" w:color="auto" w:sz="4" w:space="0"/>
              <w:right w:val="single" w:color="auto" w:sz="4" w:space="0"/>
            </w:tcBorders>
            <w:noWrap w:val="0"/>
            <w:vAlign w:val="center"/>
          </w:tcPr>
          <w:p w14:paraId="60454199">
            <w:pPr>
              <w:snapToGrid w:val="0"/>
              <w:spacing w:line="360" w:lineRule="auto"/>
              <w:ind w:firstLine="0" w:firstLineChars="0"/>
              <w:jc w:val="center"/>
              <w:rPr>
                <w:rFonts w:hint="eastAsia" w:ascii="宋体" w:hAnsi="宋体" w:cs="宋体"/>
                <w:color w:val="auto"/>
                <w:szCs w:val="21"/>
                <w:highlight w:val="none"/>
              </w:rPr>
            </w:pPr>
          </w:p>
        </w:tc>
        <w:tc>
          <w:tcPr>
            <w:tcW w:w="486" w:type="dxa"/>
            <w:tcBorders>
              <w:top w:val="single" w:color="auto" w:sz="4" w:space="0"/>
              <w:left w:val="single" w:color="auto" w:sz="4" w:space="0"/>
              <w:bottom w:val="single" w:color="auto" w:sz="4" w:space="0"/>
              <w:right w:val="single" w:color="auto" w:sz="4" w:space="0"/>
            </w:tcBorders>
            <w:noWrap w:val="0"/>
            <w:vAlign w:val="center"/>
          </w:tcPr>
          <w:p w14:paraId="22E58EF5">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216B1469">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64" w:type="dxa"/>
            <w:tcBorders>
              <w:top w:val="single" w:color="auto" w:sz="4" w:space="0"/>
              <w:left w:val="single" w:color="auto" w:sz="4" w:space="0"/>
              <w:bottom w:val="single" w:color="auto" w:sz="4" w:space="0"/>
              <w:right w:val="single" w:color="auto" w:sz="4" w:space="0"/>
            </w:tcBorders>
            <w:noWrap w:val="0"/>
            <w:vAlign w:val="center"/>
          </w:tcPr>
          <w:p w14:paraId="46D9DF07">
            <w:pPr>
              <w:snapToGrid w:val="0"/>
              <w:spacing w:line="360" w:lineRule="auto"/>
              <w:ind w:firstLine="0" w:firstLineChars="0"/>
              <w:jc w:val="center"/>
              <w:rPr>
                <w:rFonts w:hint="eastAsia" w:ascii="宋体" w:hAnsi="宋体" w:cs="宋体"/>
                <w:color w:val="auto"/>
                <w:szCs w:val="21"/>
                <w:highlight w:val="none"/>
              </w:rPr>
            </w:pPr>
          </w:p>
        </w:tc>
        <w:tc>
          <w:tcPr>
            <w:tcW w:w="508" w:type="dxa"/>
            <w:tcBorders>
              <w:top w:val="single" w:color="auto" w:sz="4" w:space="0"/>
              <w:left w:val="single" w:color="auto" w:sz="4" w:space="0"/>
              <w:bottom w:val="single" w:color="auto" w:sz="4" w:space="0"/>
              <w:right w:val="single" w:color="auto" w:sz="4" w:space="0"/>
            </w:tcBorders>
            <w:noWrap w:val="0"/>
            <w:vAlign w:val="center"/>
          </w:tcPr>
          <w:p w14:paraId="30B390E5">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38BBCA76">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46" w:type="dxa"/>
            <w:tcBorders>
              <w:top w:val="single" w:color="auto" w:sz="4" w:space="0"/>
              <w:left w:val="single" w:color="auto" w:sz="4" w:space="0"/>
              <w:bottom w:val="single" w:color="auto" w:sz="4" w:space="0"/>
              <w:right w:val="single" w:color="auto" w:sz="4" w:space="0"/>
            </w:tcBorders>
            <w:noWrap w:val="0"/>
            <w:vAlign w:val="center"/>
          </w:tcPr>
          <w:p w14:paraId="07983209">
            <w:pPr>
              <w:snapToGrid w:val="0"/>
              <w:spacing w:line="360" w:lineRule="auto"/>
              <w:ind w:firstLine="0" w:firstLineChars="0"/>
              <w:jc w:val="center"/>
              <w:rPr>
                <w:rFonts w:hint="eastAsia" w:ascii="宋体" w:hAnsi="宋体" w:cs="宋体"/>
                <w:color w:val="auto"/>
                <w:szCs w:val="21"/>
                <w:highlight w:val="none"/>
              </w:rPr>
            </w:pPr>
          </w:p>
        </w:tc>
        <w:tc>
          <w:tcPr>
            <w:tcW w:w="540" w:type="dxa"/>
            <w:tcBorders>
              <w:top w:val="single" w:color="auto" w:sz="4" w:space="0"/>
              <w:left w:val="single" w:color="auto" w:sz="4" w:space="0"/>
              <w:bottom w:val="single" w:color="auto" w:sz="4" w:space="0"/>
              <w:right w:val="single" w:color="auto" w:sz="4" w:space="0"/>
            </w:tcBorders>
            <w:noWrap w:val="0"/>
            <w:vAlign w:val="center"/>
          </w:tcPr>
          <w:p w14:paraId="41776B7F">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54DE3671">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611B61FA">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16C2AC7C">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r>
      <w:tr w14:paraId="2859C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614" w:type="dxa"/>
            <w:tcBorders>
              <w:top w:val="single" w:color="auto" w:sz="4" w:space="0"/>
              <w:left w:val="single" w:color="auto" w:sz="4" w:space="0"/>
              <w:bottom w:val="single" w:color="auto" w:sz="4" w:space="0"/>
              <w:right w:val="single" w:color="auto" w:sz="4" w:space="0"/>
            </w:tcBorders>
            <w:noWrap w:val="0"/>
            <w:vAlign w:val="center"/>
          </w:tcPr>
          <w:p w14:paraId="0997F1FA">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初中男子</w:t>
            </w:r>
          </w:p>
        </w:tc>
        <w:tc>
          <w:tcPr>
            <w:tcW w:w="466" w:type="dxa"/>
            <w:tcBorders>
              <w:top w:val="single" w:color="auto" w:sz="4" w:space="0"/>
              <w:left w:val="single" w:color="auto" w:sz="4" w:space="0"/>
              <w:bottom w:val="single" w:color="auto" w:sz="4" w:space="0"/>
              <w:right w:val="single" w:color="auto" w:sz="4" w:space="0"/>
            </w:tcBorders>
            <w:noWrap w:val="0"/>
            <w:vAlign w:val="center"/>
          </w:tcPr>
          <w:p w14:paraId="5EB295A5">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6" w:type="dxa"/>
            <w:tcBorders>
              <w:top w:val="single" w:color="auto" w:sz="4" w:space="0"/>
              <w:left w:val="single" w:color="auto" w:sz="4" w:space="0"/>
              <w:bottom w:val="single" w:color="auto" w:sz="4" w:space="0"/>
              <w:right w:val="single" w:color="auto" w:sz="4" w:space="0"/>
            </w:tcBorders>
            <w:noWrap w:val="0"/>
            <w:vAlign w:val="center"/>
          </w:tcPr>
          <w:p w14:paraId="59D374DF">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05217949">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2" w:type="dxa"/>
            <w:tcBorders>
              <w:top w:val="single" w:color="auto" w:sz="4" w:space="0"/>
              <w:left w:val="single" w:color="auto" w:sz="4" w:space="0"/>
              <w:bottom w:val="single" w:color="auto" w:sz="4" w:space="0"/>
              <w:right w:val="single" w:color="auto" w:sz="4" w:space="0"/>
            </w:tcBorders>
            <w:noWrap w:val="0"/>
            <w:vAlign w:val="center"/>
          </w:tcPr>
          <w:p w14:paraId="164FF8CD">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50" w:type="dxa"/>
            <w:tcBorders>
              <w:top w:val="single" w:color="auto" w:sz="4" w:space="0"/>
              <w:left w:val="single" w:color="auto" w:sz="4" w:space="0"/>
              <w:bottom w:val="single" w:color="auto" w:sz="4" w:space="0"/>
              <w:right w:val="single" w:color="auto" w:sz="4" w:space="0"/>
            </w:tcBorders>
            <w:noWrap w:val="0"/>
            <w:vAlign w:val="center"/>
          </w:tcPr>
          <w:p w14:paraId="5E8919D3">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6C7D5A2E">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5F1F12F5">
            <w:pPr>
              <w:snapToGrid w:val="0"/>
              <w:spacing w:line="360" w:lineRule="auto"/>
              <w:ind w:firstLine="0" w:firstLineChars="0"/>
              <w:jc w:val="center"/>
              <w:rPr>
                <w:rFonts w:hint="eastAsia" w:ascii="宋体" w:hAnsi="宋体" w:cs="宋体"/>
                <w:color w:val="auto"/>
                <w:szCs w:val="21"/>
                <w:highlight w:val="none"/>
              </w:rPr>
            </w:pPr>
          </w:p>
        </w:tc>
        <w:tc>
          <w:tcPr>
            <w:tcW w:w="464" w:type="dxa"/>
            <w:tcBorders>
              <w:top w:val="single" w:color="auto" w:sz="4" w:space="0"/>
              <w:left w:val="single" w:color="auto" w:sz="4" w:space="0"/>
              <w:bottom w:val="single" w:color="auto" w:sz="4" w:space="0"/>
              <w:right w:val="single" w:color="auto" w:sz="4" w:space="0"/>
            </w:tcBorders>
            <w:noWrap w:val="0"/>
            <w:vAlign w:val="center"/>
          </w:tcPr>
          <w:p w14:paraId="7500FE09">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08" w:type="dxa"/>
            <w:tcBorders>
              <w:top w:val="single" w:color="auto" w:sz="4" w:space="0"/>
              <w:left w:val="single" w:color="auto" w:sz="4" w:space="0"/>
              <w:bottom w:val="single" w:color="auto" w:sz="4" w:space="0"/>
              <w:right w:val="single" w:color="auto" w:sz="4" w:space="0"/>
            </w:tcBorders>
            <w:noWrap w:val="0"/>
            <w:vAlign w:val="center"/>
          </w:tcPr>
          <w:p w14:paraId="36BF0805">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7CEF5FC1">
            <w:pPr>
              <w:snapToGrid w:val="0"/>
              <w:spacing w:line="360" w:lineRule="auto"/>
              <w:ind w:firstLine="0" w:firstLineChars="0"/>
              <w:jc w:val="center"/>
              <w:rPr>
                <w:rFonts w:hint="eastAsia" w:ascii="宋体" w:hAnsi="宋体" w:cs="宋体"/>
                <w:color w:val="auto"/>
                <w:szCs w:val="21"/>
                <w:highlight w:val="none"/>
              </w:rPr>
            </w:pPr>
          </w:p>
        </w:tc>
        <w:tc>
          <w:tcPr>
            <w:tcW w:w="446" w:type="dxa"/>
            <w:tcBorders>
              <w:top w:val="single" w:color="auto" w:sz="4" w:space="0"/>
              <w:left w:val="single" w:color="auto" w:sz="4" w:space="0"/>
              <w:bottom w:val="single" w:color="auto" w:sz="4" w:space="0"/>
              <w:right w:val="single" w:color="auto" w:sz="4" w:space="0"/>
            </w:tcBorders>
            <w:noWrap w:val="0"/>
            <w:vAlign w:val="center"/>
          </w:tcPr>
          <w:p w14:paraId="47EEE89F">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1646D3E4">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7462DF11">
            <w:pPr>
              <w:snapToGrid w:val="0"/>
              <w:spacing w:line="360" w:lineRule="auto"/>
              <w:ind w:firstLine="0" w:firstLineChars="0"/>
              <w:jc w:val="center"/>
              <w:rPr>
                <w:rFonts w:hint="eastAsia" w:ascii="宋体" w:hAnsi="宋体" w:cs="宋体"/>
                <w:color w:val="auto"/>
                <w:szCs w:val="21"/>
                <w:highlight w:val="none"/>
              </w:rPr>
            </w:pPr>
          </w:p>
        </w:tc>
        <w:tc>
          <w:tcPr>
            <w:tcW w:w="540" w:type="dxa"/>
            <w:tcBorders>
              <w:top w:val="single" w:color="auto" w:sz="4" w:space="0"/>
              <w:left w:val="single" w:color="auto" w:sz="4" w:space="0"/>
              <w:bottom w:val="single" w:color="auto" w:sz="4" w:space="0"/>
              <w:right w:val="single" w:color="auto" w:sz="4" w:space="0"/>
            </w:tcBorders>
            <w:noWrap w:val="0"/>
            <w:vAlign w:val="center"/>
          </w:tcPr>
          <w:p w14:paraId="72679496">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721052BD">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r>
      <w:tr w14:paraId="04DFF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4" w:type="dxa"/>
            <w:tcBorders>
              <w:top w:val="single" w:color="auto" w:sz="4" w:space="0"/>
              <w:left w:val="single" w:color="auto" w:sz="4" w:space="0"/>
              <w:bottom w:val="single" w:color="auto" w:sz="4" w:space="0"/>
              <w:right w:val="single" w:color="auto" w:sz="4" w:space="0"/>
            </w:tcBorders>
            <w:noWrap w:val="0"/>
            <w:vAlign w:val="center"/>
          </w:tcPr>
          <w:p w14:paraId="5961472C">
            <w:pPr>
              <w:snapToGrid w:val="0"/>
              <w:spacing w:line="360" w:lineRule="auto"/>
              <w:ind w:firstLine="0" w:firstLineChars="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初中女子</w:t>
            </w:r>
          </w:p>
        </w:tc>
        <w:tc>
          <w:tcPr>
            <w:tcW w:w="466" w:type="dxa"/>
            <w:tcBorders>
              <w:top w:val="single" w:color="auto" w:sz="4" w:space="0"/>
              <w:left w:val="single" w:color="auto" w:sz="4" w:space="0"/>
              <w:bottom w:val="single" w:color="auto" w:sz="4" w:space="0"/>
              <w:right w:val="single" w:color="auto" w:sz="4" w:space="0"/>
            </w:tcBorders>
            <w:noWrap w:val="0"/>
            <w:vAlign w:val="center"/>
          </w:tcPr>
          <w:p w14:paraId="7ADCB386">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6" w:type="dxa"/>
            <w:tcBorders>
              <w:top w:val="single" w:color="auto" w:sz="4" w:space="0"/>
              <w:left w:val="single" w:color="auto" w:sz="4" w:space="0"/>
              <w:bottom w:val="single" w:color="auto" w:sz="4" w:space="0"/>
              <w:right w:val="single" w:color="auto" w:sz="4" w:space="0"/>
            </w:tcBorders>
            <w:noWrap w:val="0"/>
            <w:vAlign w:val="center"/>
          </w:tcPr>
          <w:p w14:paraId="172BD69E">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0635DF2E">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22" w:type="dxa"/>
            <w:tcBorders>
              <w:top w:val="single" w:color="auto" w:sz="4" w:space="0"/>
              <w:left w:val="single" w:color="auto" w:sz="4" w:space="0"/>
              <w:bottom w:val="single" w:color="auto" w:sz="4" w:space="0"/>
              <w:right w:val="single" w:color="auto" w:sz="4" w:space="0"/>
            </w:tcBorders>
            <w:noWrap w:val="0"/>
            <w:vAlign w:val="center"/>
          </w:tcPr>
          <w:p w14:paraId="0914C229">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50" w:type="dxa"/>
            <w:tcBorders>
              <w:top w:val="single" w:color="auto" w:sz="4" w:space="0"/>
              <w:left w:val="single" w:color="auto" w:sz="4" w:space="0"/>
              <w:bottom w:val="single" w:color="auto" w:sz="4" w:space="0"/>
              <w:right w:val="single" w:color="auto" w:sz="4" w:space="0"/>
            </w:tcBorders>
            <w:noWrap w:val="0"/>
            <w:vAlign w:val="center"/>
          </w:tcPr>
          <w:p w14:paraId="5319C3F9">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17B57B57">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061025A4">
            <w:pPr>
              <w:snapToGrid w:val="0"/>
              <w:spacing w:line="360" w:lineRule="auto"/>
              <w:ind w:firstLine="0" w:firstLineChars="0"/>
              <w:jc w:val="center"/>
              <w:rPr>
                <w:rFonts w:hint="eastAsia" w:ascii="宋体" w:hAnsi="宋体" w:cs="宋体"/>
                <w:color w:val="auto"/>
                <w:szCs w:val="21"/>
                <w:highlight w:val="none"/>
              </w:rPr>
            </w:pPr>
          </w:p>
        </w:tc>
        <w:tc>
          <w:tcPr>
            <w:tcW w:w="464" w:type="dxa"/>
            <w:tcBorders>
              <w:top w:val="single" w:color="auto" w:sz="4" w:space="0"/>
              <w:left w:val="single" w:color="auto" w:sz="4" w:space="0"/>
              <w:bottom w:val="single" w:color="auto" w:sz="4" w:space="0"/>
              <w:right w:val="single" w:color="auto" w:sz="4" w:space="0"/>
            </w:tcBorders>
            <w:noWrap w:val="0"/>
            <w:vAlign w:val="center"/>
          </w:tcPr>
          <w:p w14:paraId="15AA7732">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08" w:type="dxa"/>
            <w:tcBorders>
              <w:top w:val="single" w:color="auto" w:sz="4" w:space="0"/>
              <w:left w:val="single" w:color="auto" w:sz="4" w:space="0"/>
              <w:bottom w:val="single" w:color="auto" w:sz="4" w:space="0"/>
              <w:right w:val="single" w:color="auto" w:sz="4" w:space="0"/>
            </w:tcBorders>
            <w:noWrap w:val="0"/>
            <w:vAlign w:val="center"/>
          </w:tcPr>
          <w:p w14:paraId="3D59A3A5">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486" w:type="dxa"/>
            <w:tcBorders>
              <w:top w:val="single" w:color="auto" w:sz="4" w:space="0"/>
              <w:left w:val="single" w:color="auto" w:sz="4" w:space="0"/>
              <w:bottom w:val="single" w:color="auto" w:sz="4" w:space="0"/>
              <w:right w:val="single" w:color="auto" w:sz="4" w:space="0"/>
            </w:tcBorders>
            <w:noWrap w:val="0"/>
            <w:vAlign w:val="center"/>
          </w:tcPr>
          <w:p w14:paraId="3E548E43">
            <w:pPr>
              <w:snapToGrid w:val="0"/>
              <w:spacing w:line="360" w:lineRule="auto"/>
              <w:ind w:firstLine="0" w:firstLineChars="0"/>
              <w:jc w:val="center"/>
              <w:rPr>
                <w:rFonts w:hint="eastAsia" w:ascii="宋体" w:hAnsi="宋体" w:cs="宋体"/>
                <w:color w:val="auto"/>
                <w:szCs w:val="21"/>
                <w:highlight w:val="none"/>
              </w:rPr>
            </w:pPr>
          </w:p>
        </w:tc>
        <w:tc>
          <w:tcPr>
            <w:tcW w:w="446" w:type="dxa"/>
            <w:tcBorders>
              <w:top w:val="single" w:color="auto" w:sz="4" w:space="0"/>
              <w:left w:val="single" w:color="auto" w:sz="4" w:space="0"/>
              <w:bottom w:val="single" w:color="auto" w:sz="4" w:space="0"/>
              <w:right w:val="single" w:color="auto" w:sz="4" w:space="0"/>
            </w:tcBorders>
            <w:noWrap w:val="0"/>
            <w:vAlign w:val="center"/>
          </w:tcPr>
          <w:p w14:paraId="293E0941">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1A886B56">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00936181">
            <w:pPr>
              <w:snapToGrid w:val="0"/>
              <w:spacing w:line="360" w:lineRule="auto"/>
              <w:ind w:firstLine="0" w:firstLineChars="0"/>
              <w:jc w:val="center"/>
              <w:rPr>
                <w:rFonts w:hint="eastAsia" w:ascii="宋体" w:hAnsi="宋体" w:cs="宋体"/>
                <w:color w:val="auto"/>
                <w:szCs w:val="21"/>
                <w:highlight w:val="none"/>
              </w:rPr>
            </w:pPr>
          </w:p>
        </w:tc>
        <w:tc>
          <w:tcPr>
            <w:tcW w:w="540" w:type="dxa"/>
            <w:tcBorders>
              <w:top w:val="single" w:color="auto" w:sz="4" w:space="0"/>
              <w:left w:val="single" w:color="auto" w:sz="4" w:space="0"/>
              <w:bottom w:val="single" w:color="auto" w:sz="4" w:space="0"/>
              <w:right w:val="single" w:color="auto" w:sz="4" w:space="0"/>
            </w:tcBorders>
            <w:noWrap w:val="0"/>
            <w:vAlign w:val="center"/>
          </w:tcPr>
          <w:p w14:paraId="494171FD">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c>
          <w:tcPr>
            <w:tcW w:w="540" w:type="dxa"/>
            <w:tcBorders>
              <w:top w:val="single" w:color="auto" w:sz="4" w:space="0"/>
              <w:left w:val="single" w:color="auto" w:sz="4" w:space="0"/>
              <w:bottom w:val="single" w:color="auto" w:sz="4" w:space="0"/>
              <w:right w:val="single" w:color="auto" w:sz="4" w:space="0"/>
            </w:tcBorders>
            <w:noWrap w:val="0"/>
            <w:vAlign w:val="center"/>
          </w:tcPr>
          <w:p w14:paraId="3069F2DA">
            <w:pPr>
              <w:snapToGrid w:val="0"/>
              <w:spacing w:line="360" w:lineRule="auto"/>
              <w:ind w:firstLine="0" w:firstLineChars="0"/>
              <w:jc w:val="center"/>
              <w:rPr>
                <w:rFonts w:hint="eastAsia" w:ascii="宋体" w:hAnsi="宋体" w:cs="宋体"/>
                <w:color w:val="auto"/>
                <w:szCs w:val="21"/>
                <w:highlight w:val="none"/>
              </w:rPr>
            </w:pPr>
            <w:r>
              <w:rPr>
                <w:rFonts w:hint="eastAsia" w:ascii="宋体" w:hAnsi="宋体" w:cs="宋体"/>
                <w:color w:val="auto"/>
                <w:szCs w:val="21"/>
                <w:highlight w:val="none"/>
              </w:rPr>
              <w:t>★</w:t>
            </w:r>
          </w:p>
        </w:tc>
      </w:tr>
    </w:tbl>
    <w:p w14:paraId="0B9BD3F0">
      <w:pPr>
        <w:spacing w:before="120" w:beforeLines="50" w:after="120" w:afterLines="50" w:line="360" w:lineRule="auto"/>
        <w:ind w:firstLine="0" w:firstLineChars="0"/>
        <w:rPr>
          <w:rFonts w:ascii="宋体" w:hAnsi="宋体" w:cs="宋体"/>
          <w:b/>
          <w:bCs/>
          <w:sz w:val="21"/>
          <w:szCs w:val="21"/>
          <w:highlight w:val="none"/>
        </w:rPr>
      </w:pPr>
      <w:r>
        <w:rPr>
          <w:rFonts w:hint="eastAsia" w:ascii="宋体" w:hAnsi="宋体" w:cs="宋体"/>
          <w:b/>
          <w:bCs/>
          <w:sz w:val="21"/>
          <w:szCs w:val="21"/>
          <w:highlight w:val="none"/>
        </w:rPr>
        <w:t>三、赛事要求：</w:t>
      </w:r>
    </w:p>
    <w:tbl>
      <w:tblPr>
        <w:tblStyle w:val="46"/>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10"/>
        <w:gridCol w:w="2410"/>
        <w:gridCol w:w="1536"/>
        <w:gridCol w:w="1125"/>
        <w:gridCol w:w="1369"/>
        <w:gridCol w:w="1594"/>
        <w:gridCol w:w="881"/>
      </w:tblGrid>
      <w:tr w14:paraId="3AD81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atLeast"/>
          <w:jc w:val="center"/>
        </w:trPr>
        <w:tc>
          <w:tcPr>
            <w:tcW w:w="710" w:type="dxa"/>
            <w:tcBorders>
              <w:top w:val="single" w:color="000000" w:sz="4" w:space="0"/>
              <w:left w:val="single" w:color="000000" w:sz="4" w:space="0"/>
              <w:bottom w:val="single" w:color="000000" w:sz="4" w:space="0"/>
              <w:right w:val="single" w:color="000000" w:sz="4" w:space="0"/>
            </w:tcBorders>
            <w:noWrap w:val="0"/>
            <w:vAlign w:val="center"/>
          </w:tcPr>
          <w:p w14:paraId="0170DAA5">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序号</w:t>
            </w:r>
          </w:p>
        </w:tc>
        <w:tc>
          <w:tcPr>
            <w:tcW w:w="2410" w:type="dxa"/>
            <w:tcBorders>
              <w:top w:val="single" w:color="000000" w:sz="4" w:space="0"/>
              <w:left w:val="single" w:color="000000" w:sz="4" w:space="0"/>
              <w:bottom w:val="single" w:color="000000" w:sz="4" w:space="0"/>
              <w:right w:val="single" w:color="000000" w:sz="4" w:space="0"/>
            </w:tcBorders>
            <w:noWrap w:val="0"/>
            <w:vAlign w:val="center"/>
          </w:tcPr>
          <w:p w14:paraId="6A2C919C">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赛事名称</w:t>
            </w:r>
          </w:p>
        </w:tc>
        <w:tc>
          <w:tcPr>
            <w:tcW w:w="1536" w:type="dxa"/>
            <w:tcBorders>
              <w:top w:val="single" w:color="000000" w:sz="4" w:space="0"/>
              <w:left w:val="single" w:color="000000" w:sz="4" w:space="0"/>
              <w:bottom w:val="single" w:color="000000" w:sz="4" w:space="0"/>
              <w:right w:val="single" w:color="000000" w:sz="4" w:space="0"/>
            </w:tcBorders>
            <w:noWrap w:val="0"/>
            <w:vAlign w:val="center"/>
          </w:tcPr>
          <w:p w14:paraId="4435632B">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比赛时间</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14:paraId="50DDE07A">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裁判员</w:t>
            </w:r>
          </w:p>
        </w:tc>
        <w:tc>
          <w:tcPr>
            <w:tcW w:w="1369" w:type="dxa"/>
            <w:tcBorders>
              <w:top w:val="single" w:color="000000" w:sz="4" w:space="0"/>
              <w:left w:val="single" w:color="000000" w:sz="4" w:space="0"/>
              <w:bottom w:val="single" w:color="000000" w:sz="4" w:space="0"/>
              <w:right w:val="single" w:color="000000" w:sz="4" w:space="0"/>
            </w:tcBorders>
            <w:noWrap w:val="0"/>
            <w:vAlign w:val="center"/>
          </w:tcPr>
          <w:p w14:paraId="3722BD8A">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工作人员</w:t>
            </w:r>
          </w:p>
        </w:tc>
        <w:tc>
          <w:tcPr>
            <w:tcW w:w="1594" w:type="dxa"/>
            <w:tcBorders>
              <w:top w:val="single" w:color="000000" w:sz="4" w:space="0"/>
              <w:left w:val="single" w:color="000000" w:sz="4" w:space="0"/>
              <w:bottom w:val="single" w:color="000000" w:sz="4" w:space="0"/>
              <w:right w:val="single" w:color="000000" w:sz="4" w:space="0"/>
            </w:tcBorders>
            <w:noWrap w:val="0"/>
            <w:vAlign w:val="center"/>
          </w:tcPr>
          <w:p w14:paraId="163CFCAF">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运动员人数</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09621F3B">
            <w:pPr>
              <w:ind w:firstLine="0" w:firstLineChars="0"/>
              <w:jc w:val="center"/>
              <w:rPr>
                <w:rFonts w:ascii="宋体" w:hAnsi="宋体" w:cs="宋体"/>
                <w:b/>
                <w:sz w:val="21"/>
                <w:szCs w:val="21"/>
                <w:highlight w:val="none"/>
              </w:rPr>
            </w:pPr>
            <w:r>
              <w:rPr>
                <w:rFonts w:hint="eastAsia" w:ascii="宋体" w:hAnsi="宋体" w:cs="宋体"/>
                <w:b/>
                <w:sz w:val="21"/>
                <w:szCs w:val="21"/>
                <w:highlight w:val="none"/>
              </w:rPr>
              <w:t>天数</w:t>
            </w:r>
          </w:p>
        </w:tc>
      </w:tr>
      <w:tr w14:paraId="02BC9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34" w:hRule="atLeast"/>
          <w:jc w:val="center"/>
        </w:trPr>
        <w:tc>
          <w:tcPr>
            <w:tcW w:w="710" w:type="dxa"/>
            <w:tcBorders>
              <w:top w:val="single" w:color="000000" w:sz="4" w:space="0"/>
              <w:left w:val="single" w:color="000000" w:sz="4" w:space="0"/>
              <w:bottom w:val="single" w:color="000000" w:sz="4" w:space="0"/>
              <w:right w:val="single" w:color="000000" w:sz="4" w:space="0"/>
            </w:tcBorders>
            <w:noWrap w:val="0"/>
            <w:vAlign w:val="center"/>
          </w:tcPr>
          <w:p w14:paraId="74FD9688">
            <w:pPr>
              <w:ind w:firstLine="0" w:firstLineChars="0"/>
              <w:jc w:val="center"/>
              <w:rPr>
                <w:rFonts w:ascii="宋体" w:hAnsi="宋体" w:cs="宋体"/>
                <w:sz w:val="21"/>
                <w:szCs w:val="21"/>
                <w:highlight w:val="none"/>
              </w:rPr>
            </w:pPr>
            <w:r>
              <w:rPr>
                <w:rFonts w:hint="eastAsia" w:ascii="宋体" w:hAnsi="宋体" w:cs="宋体"/>
                <w:sz w:val="21"/>
                <w:szCs w:val="21"/>
                <w:highlight w:val="none"/>
              </w:rPr>
              <w:t>1</w:t>
            </w:r>
          </w:p>
        </w:tc>
        <w:tc>
          <w:tcPr>
            <w:tcW w:w="2410" w:type="dxa"/>
            <w:tcBorders>
              <w:top w:val="single" w:color="000000" w:sz="4" w:space="0"/>
              <w:left w:val="single" w:color="000000" w:sz="4" w:space="0"/>
              <w:bottom w:val="single" w:color="000000" w:sz="4" w:space="0"/>
              <w:right w:val="single" w:color="000000" w:sz="4" w:space="0"/>
            </w:tcBorders>
            <w:noWrap w:val="0"/>
            <w:vAlign w:val="center"/>
          </w:tcPr>
          <w:p w14:paraId="3F81596E">
            <w:pPr>
              <w:ind w:firstLine="0" w:firstLineChars="0"/>
              <w:jc w:val="center"/>
              <w:rPr>
                <w:rFonts w:hint="eastAsia" w:ascii="宋体" w:hAnsi="宋体" w:eastAsia="宋体" w:cs="宋体"/>
                <w:sz w:val="21"/>
                <w:szCs w:val="21"/>
                <w:highlight w:val="none"/>
                <w:lang w:eastAsia="zh-CN"/>
              </w:rPr>
            </w:pPr>
            <w:r>
              <w:rPr>
                <w:rFonts w:hint="eastAsia" w:ascii="宋体" w:hAnsi="宋体" w:cs="宋体"/>
                <w:sz w:val="21"/>
                <w:szCs w:val="21"/>
                <w:highlight w:val="none"/>
                <w:lang w:eastAsia="zh-CN"/>
              </w:rPr>
              <w:t>ZSSL浙江省第十届中小学生游泳联赛杭州市级比赛</w:t>
            </w:r>
          </w:p>
        </w:tc>
        <w:tc>
          <w:tcPr>
            <w:tcW w:w="1536" w:type="dxa"/>
            <w:tcBorders>
              <w:top w:val="single" w:color="000000" w:sz="4" w:space="0"/>
              <w:left w:val="single" w:color="000000" w:sz="4" w:space="0"/>
              <w:bottom w:val="single" w:color="000000" w:sz="4" w:space="0"/>
              <w:right w:val="single" w:color="000000" w:sz="4" w:space="0"/>
            </w:tcBorders>
            <w:noWrap w:val="0"/>
            <w:vAlign w:val="center"/>
          </w:tcPr>
          <w:p w14:paraId="5E3CA1CF">
            <w:pPr>
              <w:ind w:firstLine="0" w:firstLineChars="0"/>
              <w:jc w:val="center"/>
              <w:rPr>
                <w:rFonts w:ascii="宋体" w:hAnsi="宋体" w:cs="宋体"/>
                <w:bCs/>
                <w:sz w:val="21"/>
                <w:szCs w:val="21"/>
                <w:highlight w:val="none"/>
              </w:rPr>
            </w:pPr>
            <w:r>
              <w:rPr>
                <w:rFonts w:hint="eastAsia" w:ascii="宋体" w:hAnsi="宋体" w:cs="宋体"/>
                <w:sz w:val="21"/>
                <w:szCs w:val="21"/>
                <w:highlight w:val="none"/>
              </w:rPr>
              <w:t>20</w:t>
            </w:r>
            <w:r>
              <w:rPr>
                <w:rFonts w:hint="eastAsia" w:ascii="宋体" w:hAnsi="宋体" w:cs="宋体"/>
                <w:sz w:val="21"/>
                <w:szCs w:val="21"/>
                <w:highlight w:val="none"/>
                <w:lang w:val="en-US" w:eastAsia="zh-CN"/>
              </w:rPr>
              <w:t>25</w:t>
            </w:r>
            <w:r>
              <w:rPr>
                <w:rFonts w:hint="eastAsia" w:ascii="宋体" w:hAnsi="宋体" w:cs="宋体"/>
                <w:sz w:val="21"/>
                <w:szCs w:val="21"/>
                <w:highlight w:val="none"/>
              </w:rPr>
              <w:t>年</w:t>
            </w:r>
            <w:r>
              <w:rPr>
                <w:rFonts w:hint="eastAsia" w:ascii="宋体" w:hAnsi="宋体" w:cs="宋体"/>
                <w:sz w:val="21"/>
                <w:szCs w:val="21"/>
                <w:highlight w:val="none"/>
                <w:lang w:val="en-US" w:eastAsia="zh-CN"/>
              </w:rPr>
              <w:t>4</w:t>
            </w:r>
            <w:r>
              <w:rPr>
                <w:rFonts w:hint="eastAsia" w:ascii="宋体" w:hAnsi="宋体" w:cs="宋体"/>
                <w:sz w:val="21"/>
                <w:szCs w:val="21"/>
                <w:highlight w:val="none"/>
              </w:rPr>
              <w:t>月</w:t>
            </w:r>
          </w:p>
        </w:tc>
        <w:tc>
          <w:tcPr>
            <w:tcW w:w="1125" w:type="dxa"/>
            <w:tcBorders>
              <w:top w:val="single" w:color="000000" w:sz="4" w:space="0"/>
              <w:left w:val="single" w:color="000000" w:sz="4" w:space="0"/>
              <w:bottom w:val="single" w:color="000000" w:sz="4" w:space="0"/>
              <w:right w:val="single" w:color="000000" w:sz="4" w:space="0"/>
            </w:tcBorders>
            <w:noWrap w:val="0"/>
            <w:vAlign w:val="center"/>
          </w:tcPr>
          <w:p w14:paraId="485E79B2">
            <w:pPr>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30</w:t>
            </w:r>
            <w:r>
              <w:rPr>
                <w:rFonts w:hint="eastAsia" w:ascii="宋体" w:hAnsi="宋体" w:cs="宋体"/>
                <w:sz w:val="21"/>
                <w:szCs w:val="21"/>
                <w:highlight w:val="none"/>
                <w:lang w:val="en-US" w:eastAsia="zh-CN"/>
              </w:rPr>
              <w:t>人</w:t>
            </w:r>
          </w:p>
        </w:tc>
        <w:tc>
          <w:tcPr>
            <w:tcW w:w="1369" w:type="dxa"/>
            <w:tcBorders>
              <w:top w:val="single" w:color="000000" w:sz="4" w:space="0"/>
              <w:left w:val="single" w:color="000000" w:sz="4" w:space="0"/>
              <w:bottom w:val="single" w:color="000000" w:sz="4" w:space="0"/>
              <w:right w:val="single" w:color="000000" w:sz="4" w:space="0"/>
            </w:tcBorders>
            <w:noWrap w:val="0"/>
            <w:vAlign w:val="center"/>
          </w:tcPr>
          <w:p w14:paraId="77BA509B">
            <w:pPr>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至少50人</w:t>
            </w:r>
          </w:p>
        </w:tc>
        <w:tc>
          <w:tcPr>
            <w:tcW w:w="1594" w:type="dxa"/>
            <w:tcBorders>
              <w:top w:val="single" w:color="000000" w:sz="4" w:space="0"/>
              <w:left w:val="single" w:color="000000" w:sz="4" w:space="0"/>
              <w:bottom w:val="single" w:color="000000" w:sz="4" w:space="0"/>
              <w:right w:val="single" w:color="000000" w:sz="4" w:space="0"/>
            </w:tcBorders>
            <w:noWrap w:val="0"/>
            <w:vAlign w:val="center"/>
          </w:tcPr>
          <w:p w14:paraId="567E8276">
            <w:pPr>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rPr>
              <w:t>150</w:t>
            </w:r>
            <w:r>
              <w:rPr>
                <w:rFonts w:hint="eastAsia"/>
                <w:highlight w:val="none"/>
                <w:lang w:val="en-US" w:eastAsia="zh-CN"/>
              </w:rPr>
              <w:t>人</w:t>
            </w:r>
          </w:p>
        </w:tc>
        <w:tc>
          <w:tcPr>
            <w:tcW w:w="881" w:type="dxa"/>
            <w:tcBorders>
              <w:top w:val="single" w:color="000000" w:sz="4" w:space="0"/>
              <w:left w:val="single" w:color="000000" w:sz="4" w:space="0"/>
              <w:bottom w:val="single" w:color="000000" w:sz="4" w:space="0"/>
              <w:right w:val="single" w:color="000000" w:sz="4" w:space="0"/>
            </w:tcBorders>
            <w:noWrap w:val="0"/>
            <w:vAlign w:val="center"/>
          </w:tcPr>
          <w:p w14:paraId="1D06427D">
            <w:pPr>
              <w:ind w:firstLine="0" w:firstLineChars="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3天</w:t>
            </w:r>
          </w:p>
        </w:tc>
      </w:tr>
    </w:tbl>
    <w:p w14:paraId="747F06C2">
      <w:pPr>
        <w:spacing w:line="360" w:lineRule="auto"/>
        <w:ind w:firstLine="0" w:firstLineChars="0"/>
        <w:rPr>
          <w:rFonts w:ascii="宋体" w:hAnsi="宋体" w:cs="宋体"/>
          <w:szCs w:val="21"/>
          <w:highlight w:val="none"/>
        </w:rPr>
      </w:pPr>
      <w:r>
        <w:rPr>
          <w:rFonts w:hint="eastAsia" w:ascii="宋体" w:hAnsi="宋体" w:cs="宋体"/>
          <w:szCs w:val="21"/>
          <w:highlight w:val="none"/>
        </w:rPr>
        <w:t>注：比赛进行前，人数或有变动。</w:t>
      </w:r>
    </w:p>
    <w:p w14:paraId="7E3811EC">
      <w:pPr>
        <w:spacing w:before="120" w:beforeLines="50" w:after="120" w:afterLines="50" w:line="360" w:lineRule="auto"/>
        <w:ind w:firstLine="0" w:firstLineChars="0"/>
        <w:rPr>
          <w:rFonts w:ascii="宋体" w:hAnsi="宋体" w:cs="宋体"/>
          <w:b/>
          <w:bCs/>
          <w:sz w:val="21"/>
          <w:szCs w:val="21"/>
          <w:highlight w:val="none"/>
        </w:rPr>
      </w:pPr>
      <w:r>
        <w:rPr>
          <w:rFonts w:hint="eastAsia" w:ascii="宋体" w:hAnsi="宋体" w:cs="宋体"/>
          <w:b/>
          <w:bCs/>
          <w:sz w:val="21"/>
          <w:szCs w:val="21"/>
          <w:highlight w:val="none"/>
        </w:rPr>
        <w:t>▲四、承办方服务需求：</w:t>
      </w:r>
    </w:p>
    <w:p w14:paraId="0DFA976A">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1、落实好比赛期间的总体计划方案即：赛事运行方案、后勤保障方案、安保方案。</w:t>
      </w:r>
    </w:p>
    <w:p w14:paraId="620A5147">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2、落实好活动现场的宣传氛围布置工作，根据活动线路安排，开幕现场布置主背景板一块，规格大小与场地适合。如活动终点与开幕式现场不在同一地点，则在终点处再布置副背景板一块。活动现场宣传横幅不少于2条。负责开幕式现场所需音响设备等。</w:t>
      </w:r>
    </w:p>
    <w:p w14:paraId="67BEF727">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3、人员配备：裁判员、工作人员必需满足赛事需求（含裁判长和编排长）；</w:t>
      </w:r>
    </w:p>
    <w:p w14:paraId="05018E81">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4、赛事物料供应：秩序册、工作证、奖牌、证书、比赛器材、队牌、比赛用表等赛事物料供应要满足赛事需求；</w:t>
      </w:r>
    </w:p>
    <w:p w14:paraId="4E928CD9">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5、向每位参与活动的人员（不包括运动员）提供至少每天4瓶550毫升装饮用水。</w:t>
      </w:r>
    </w:p>
    <w:p w14:paraId="73DC1DC6">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6、比赛裁判员和工作人员人数不得低于主办方比赛要求，做到现场安全有序。</w:t>
      </w:r>
    </w:p>
    <w:p w14:paraId="0AE3523F">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7、参赛裁判员、工作人员、安保人员劳务费标准不低于每人每天400元，</w:t>
      </w:r>
    </w:p>
    <w:p w14:paraId="22C0A309">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8、供应商须提供赛事安全应急联动预案（公安、交警、医院）、提供赛事期间保险，保额不低于</w:t>
      </w:r>
      <w:r>
        <w:rPr>
          <w:rFonts w:hint="eastAsia" w:ascii="宋体" w:hAnsi="宋体" w:cs="宋体"/>
          <w:sz w:val="21"/>
          <w:szCs w:val="21"/>
          <w:highlight w:val="none"/>
          <w:lang w:val="en-US" w:eastAsia="zh-CN"/>
        </w:rPr>
        <w:t>2</w:t>
      </w:r>
      <w:r>
        <w:rPr>
          <w:rFonts w:hint="eastAsia" w:ascii="宋体" w:hAnsi="宋体" w:cs="宋体"/>
          <w:sz w:val="21"/>
          <w:szCs w:val="21"/>
          <w:highlight w:val="none"/>
        </w:rPr>
        <w:t>00万元。</w:t>
      </w:r>
    </w:p>
    <w:p w14:paraId="3DA2ABC6">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9、中标后，供应商须在7个工作日内提供相关专业人员的资料，如未提供，采购单位有权终止合同。</w:t>
      </w:r>
    </w:p>
    <w:p w14:paraId="3593729A">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10、在赛事期间牵涉到所有的安全事故及安全责任全部由供应商负责。供应商若有违反赛事相关规定，采购人可以对赛事进行甩项并将追究供应商的经济赔偿责任和法律责任。</w:t>
      </w:r>
    </w:p>
    <w:p w14:paraId="008C0C26">
      <w:pPr>
        <w:spacing w:line="360" w:lineRule="auto"/>
        <w:ind w:firstLine="0" w:firstLineChars="0"/>
        <w:rPr>
          <w:rFonts w:hint="eastAsia" w:ascii="宋体" w:hAnsi="宋体" w:cs="宋体"/>
          <w:sz w:val="21"/>
          <w:szCs w:val="21"/>
          <w:highlight w:val="none"/>
        </w:rPr>
      </w:pPr>
      <w:r>
        <w:rPr>
          <w:rFonts w:hint="eastAsia" w:ascii="宋体" w:hAnsi="宋体" w:cs="宋体"/>
          <w:sz w:val="21"/>
          <w:szCs w:val="21"/>
          <w:highlight w:val="none"/>
        </w:rPr>
        <w:t>11、比赛所需的其他合理费用。</w:t>
      </w:r>
    </w:p>
    <w:p w14:paraId="56F2DFFC">
      <w:pPr>
        <w:spacing w:line="360" w:lineRule="auto"/>
        <w:ind w:firstLine="0" w:firstLineChars="0"/>
        <w:rPr>
          <w:rFonts w:ascii="宋体" w:hAnsi="宋体" w:cs="宋体"/>
          <w:sz w:val="21"/>
          <w:szCs w:val="21"/>
          <w:highlight w:val="none"/>
        </w:rPr>
      </w:pPr>
      <w:r>
        <w:rPr>
          <w:rFonts w:hint="eastAsia" w:ascii="宋体" w:hAnsi="宋体" w:cs="宋体"/>
          <w:sz w:val="21"/>
          <w:szCs w:val="21"/>
          <w:highlight w:val="none"/>
        </w:rPr>
        <w:t>12、比赛场地：杭州高级中学钱江校区游泳馆（杭州市上城区之江东路1958号）。</w:t>
      </w:r>
      <w:r>
        <w:rPr>
          <w:rFonts w:ascii="宋体" w:hAnsi="宋体" w:cs="宋体"/>
          <w:sz w:val="21"/>
          <w:szCs w:val="21"/>
          <w:highlight w:val="none"/>
        </w:rPr>
        <w:t xml:space="preserve"> </w:t>
      </w:r>
    </w:p>
    <w:p w14:paraId="16D86E22">
      <w:pPr>
        <w:spacing w:line="360" w:lineRule="auto"/>
        <w:ind w:firstLine="0" w:firstLineChars="0"/>
        <w:rPr>
          <w:rFonts w:hint="eastAsia" w:ascii="宋体" w:hAnsi="宋体" w:eastAsia="宋体" w:cs="宋体"/>
          <w:color w:val="000000" w:themeColor="text1"/>
          <w:sz w:val="21"/>
          <w:szCs w:val="21"/>
          <w:highlight w:val="none"/>
          <w14:textFill>
            <w14:solidFill>
              <w14:schemeClr w14:val="tx1"/>
            </w14:solidFill>
          </w14:textFill>
        </w:rPr>
      </w:pPr>
    </w:p>
    <w:p w14:paraId="1CF7A37B">
      <w:pPr>
        <w:pStyle w:val="2"/>
        <w:ind w:firstLine="482"/>
        <w:rPr>
          <w:rFonts w:hint="eastAsia"/>
          <w:highlight w:val="none"/>
        </w:rPr>
        <w:sectPr>
          <w:pgSz w:w="11906" w:h="16838"/>
          <w:pgMar w:top="1440" w:right="1800" w:bottom="1440" w:left="1800" w:header="851" w:footer="992" w:gutter="0"/>
          <w:cols w:space="720" w:num="1"/>
          <w:docGrid w:type="lines" w:linePitch="312" w:charSpace="0"/>
        </w:sectPr>
      </w:pPr>
      <w:bookmarkStart w:id="128" w:name="_Toc24879"/>
      <w:bookmarkStart w:id="129" w:name="_Toc23057"/>
      <w:bookmarkStart w:id="130" w:name="_Toc11450"/>
    </w:p>
    <w:p w14:paraId="4D903D7F">
      <w:pPr>
        <w:pStyle w:val="2"/>
        <w:ind w:firstLine="482"/>
        <w:rPr>
          <w:highlight w:val="none"/>
        </w:rPr>
      </w:pPr>
      <w:r>
        <w:rPr>
          <w:rFonts w:hint="eastAsia"/>
          <w:highlight w:val="none"/>
        </w:rPr>
        <w:t>第三章 采购项目商务</w:t>
      </w:r>
      <w:bookmarkEnd w:id="127"/>
      <w:r>
        <w:rPr>
          <w:rFonts w:hint="eastAsia"/>
          <w:highlight w:val="none"/>
        </w:rPr>
        <w:t>要求</w:t>
      </w:r>
      <w:bookmarkEnd w:id="128"/>
      <w:bookmarkEnd w:id="129"/>
      <w:bookmarkEnd w:id="130"/>
    </w:p>
    <w:p w14:paraId="0CDB197A">
      <w:pPr>
        <w:spacing w:line="360" w:lineRule="auto"/>
        <w:ind w:firstLine="0" w:firstLineChars="0"/>
        <w:rPr>
          <w:rFonts w:ascii="宋体" w:hAnsi="宋体" w:cs="宋体"/>
          <w:szCs w:val="21"/>
          <w:highlight w:val="none"/>
        </w:rPr>
      </w:pPr>
      <w:bookmarkStart w:id="131" w:name="_Toc26139"/>
      <w:r>
        <w:rPr>
          <w:rFonts w:hint="eastAsia" w:ascii="宋体" w:hAnsi="宋体" w:cs="宋体"/>
          <w:szCs w:val="21"/>
          <w:highlight w:val="none"/>
        </w:rPr>
        <w:t>一、服务期</w:t>
      </w:r>
    </w:p>
    <w:p w14:paraId="68C16C39">
      <w:pPr>
        <w:pStyle w:val="12"/>
        <w:spacing w:line="360" w:lineRule="auto"/>
        <w:ind w:firstLine="420" w:firstLineChars="200"/>
        <w:rPr>
          <w:rFonts w:hint="eastAsia" w:ascii="宋体" w:hAnsi="Times New Roman" w:cs="Times New Roman"/>
          <w:szCs w:val="24"/>
          <w:highlight w:val="none"/>
        </w:rPr>
      </w:pPr>
      <w:r>
        <w:rPr>
          <w:rFonts w:hint="eastAsia" w:ascii="宋体" w:hAnsi="Times New Roman" w:cs="Times New Roman"/>
          <w:sz w:val="21"/>
          <w:szCs w:val="24"/>
          <w:highlight w:val="none"/>
        </w:rPr>
        <w:t>合同签订起至比赛圆满结束</w:t>
      </w:r>
    </w:p>
    <w:p w14:paraId="304B20BB">
      <w:pPr>
        <w:spacing w:line="360" w:lineRule="auto"/>
        <w:ind w:firstLine="0" w:firstLineChars="0"/>
        <w:rPr>
          <w:rFonts w:ascii="宋体" w:hAnsi="宋体" w:cs="宋体"/>
          <w:szCs w:val="21"/>
          <w:highlight w:val="none"/>
        </w:rPr>
      </w:pPr>
      <w:r>
        <w:rPr>
          <w:rFonts w:hint="eastAsia"/>
          <w:highlight w:val="none"/>
        </w:rPr>
        <w:t>二、</w:t>
      </w:r>
      <w:r>
        <w:rPr>
          <w:rFonts w:hint="eastAsia" w:ascii="宋体" w:hAnsi="宋体" w:cs="宋体"/>
          <w:szCs w:val="21"/>
          <w:highlight w:val="none"/>
        </w:rPr>
        <w:t>付款方式</w:t>
      </w:r>
    </w:p>
    <w:p w14:paraId="7FD7BE21">
      <w:pPr>
        <w:pStyle w:val="12"/>
        <w:spacing w:line="360" w:lineRule="auto"/>
        <w:ind w:firstLine="420" w:firstLineChars="200"/>
        <w:rPr>
          <w:highlight w:val="none"/>
        </w:rPr>
      </w:pPr>
      <w:r>
        <w:rPr>
          <w:rFonts w:hint="eastAsia" w:ascii="宋体" w:hAnsi="Times New Roman" w:cs="Times New Roman"/>
          <w:sz w:val="21"/>
          <w:szCs w:val="24"/>
          <w:highlight w:val="none"/>
        </w:rPr>
        <w:t>自合同签订生效日起的一周内支付合同总价的80%，20%余款在比赛结束并</w:t>
      </w:r>
      <w:r>
        <w:rPr>
          <w:rFonts w:hint="eastAsia" w:ascii="宋体" w:cs="Times New Roman"/>
          <w:sz w:val="21"/>
          <w:szCs w:val="24"/>
          <w:highlight w:val="none"/>
          <w:lang w:val="en-US" w:eastAsia="zh-CN"/>
        </w:rPr>
        <w:t>验收合格</w:t>
      </w:r>
      <w:r>
        <w:rPr>
          <w:rFonts w:hint="eastAsia" w:ascii="宋体" w:hAnsi="Times New Roman" w:cs="Times New Roman"/>
          <w:sz w:val="21"/>
          <w:szCs w:val="24"/>
          <w:highlight w:val="none"/>
        </w:rPr>
        <w:t>后7日内一次性付清。</w:t>
      </w:r>
    </w:p>
    <w:p w14:paraId="329C7737">
      <w:pPr>
        <w:spacing w:line="360" w:lineRule="auto"/>
        <w:ind w:firstLine="0" w:firstLineChars="0"/>
        <w:jc w:val="left"/>
        <w:rPr>
          <w:rFonts w:ascii="宋体" w:hAnsi="宋体" w:cs="宋体"/>
          <w:szCs w:val="21"/>
          <w:highlight w:val="none"/>
        </w:rPr>
      </w:pPr>
      <w:r>
        <w:rPr>
          <w:rFonts w:hint="eastAsia" w:ascii="宋体" w:hAnsi="宋体" w:cs="宋体"/>
          <w:szCs w:val="21"/>
          <w:highlight w:val="none"/>
        </w:rPr>
        <w:t>三、履约保证金</w:t>
      </w:r>
    </w:p>
    <w:p w14:paraId="6222D9F9">
      <w:pPr>
        <w:spacing w:line="360" w:lineRule="auto"/>
        <w:ind w:firstLine="420"/>
        <w:rPr>
          <w:rFonts w:ascii="宋体"/>
          <w:highlight w:val="none"/>
        </w:rPr>
      </w:pPr>
      <w:r>
        <w:rPr>
          <w:rFonts w:hint="eastAsia" w:ascii="宋体"/>
          <w:highlight w:val="none"/>
        </w:rPr>
        <w:t>无</w:t>
      </w:r>
    </w:p>
    <w:p w14:paraId="6B59709D">
      <w:pPr>
        <w:numPr>
          <w:ilvl w:val="0"/>
          <w:numId w:val="4"/>
        </w:numPr>
        <w:spacing w:line="360" w:lineRule="auto"/>
        <w:ind w:firstLine="0" w:firstLineChars="0"/>
        <w:rPr>
          <w:rFonts w:ascii="宋体"/>
          <w:highlight w:val="none"/>
        </w:rPr>
      </w:pPr>
      <w:r>
        <w:rPr>
          <w:rFonts w:hint="eastAsia" w:ascii="宋体"/>
          <w:highlight w:val="none"/>
        </w:rPr>
        <w:t>验收要求</w:t>
      </w:r>
    </w:p>
    <w:p w14:paraId="6AB9365F">
      <w:pPr>
        <w:spacing w:line="360" w:lineRule="auto"/>
        <w:ind w:firstLine="420"/>
        <w:rPr>
          <w:rFonts w:hint="eastAsia" w:ascii="宋体" w:hAnsi="宋体"/>
          <w:bCs/>
          <w:szCs w:val="21"/>
          <w:highlight w:val="none"/>
        </w:rPr>
      </w:pPr>
      <w:r>
        <w:rPr>
          <w:rFonts w:hint="eastAsia" w:ascii="宋体" w:hAnsi="宋体"/>
          <w:bCs/>
          <w:szCs w:val="21"/>
          <w:highlight w:val="none"/>
        </w:rPr>
        <w:t>由甲方根据项目情况组织验收工作。</w:t>
      </w:r>
      <w:bookmarkStart w:id="132" w:name="_Toc869"/>
      <w:bookmarkStart w:id="133" w:name="_Toc330"/>
    </w:p>
    <w:p w14:paraId="45F2D8C1">
      <w:pPr>
        <w:spacing w:line="360" w:lineRule="auto"/>
        <w:rPr>
          <w:rFonts w:hint="eastAsia"/>
          <w:highlight w:val="none"/>
        </w:rPr>
      </w:pPr>
      <w:r>
        <w:rPr>
          <w:rFonts w:hint="eastAsia"/>
          <w:highlight w:val="none"/>
        </w:rPr>
        <w:t>（1）合同乙方应保质保量按时按约完成项目合同规定的各项工作，并于完成时按要求递交相关成果及佐证材料等。</w:t>
      </w:r>
    </w:p>
    <w:p w14:paraId="43FD4092">
      <w:pPr>
        <w:spacing w:line="360" w:lineRule="auto"/>
        <w:rPr>
          <w:rFonts w:hint="eastAsia"/>
          <w:highlight w:val="none"/>
        </w:rPr>
      </w:pPr>
      <w:r>
        <w:rPr>
          <w:rFonts w:hint="eastAsia"/>
          <w:highlight w:val="none"/>
        </w:rPr>
        <w:t>（2）完成项目内容后，合同乙方应及时向合同甲方发出书面验收申请，合同甲方在收到合同乙方书面验收申请后，组织实施验收和履约评价。</w:t>
      </w:r>
    </w:p>
    <w:p w14:paraId="528D9E90">
      <w:pPr>
        <w:spacing w:line="360" w:lineRule="auto"/>
        <w:rPr>
          <w:rFonts w:hint="eastAsia"/>
          <w:highlight w:val="none"/>
        </w:rPr>
      </w:pPr>
      <w:r>
        <w:rPr>
          <w:rFonts w:hint="eastAsia"/>
          <w:highlight w:val="none"/>
        </w:rPr>
        <w:t>（3）合同甲方将对合同乙方的项目质量进行客观评估。验收小组完成验收后出具验收（评审）意见。</w:t>
      </w:r>
    </w:p>
    <w:p w14:paraId="076A637C">
      <w:pPr>
        <w:spacing w:line="360" w:lineRule="auto"/>
        <w:rPr>
          <w:rFonts w:hint="eastAsia"/>
          <w:highlight w:val="none"/>
        </w:rPr>
      </w:pPr>
      <w:r>
        <w:rPr>
          <w:rFonts w:hint="eastAsia"/>
          <w:highlight w:val="none"/>
        </w:rPr>
        <w:t>（4）对验收通过的项目，合同甲方将按照合同如期支付合同款。</w:t>
      </w:r>
    </w:p>
    <w:p w14:paraId="00FE78DB">
      <w:pPr>
        <w:spacing w:line="360" w:lineRule="auto"/>
        <w:rPr>
          <w:rFonts w:hint="eastAsia"/>
          <w:highlight w:val="none"/>
        </w:rPr>
      </w:pPr>
      <w:r>
        <w:rPr>
          <w:rFonts w:hint="eastAsia"/>
          <w:highlight w:val="none"/>
        </w:rPr>
        <w:t>（5）对验收未通过的项目，将按合同约定要求供应商限期整改。对无法整改或整改后仍未达到合同要求的项目，将按验收不通过处理。</w:t>
      </w:r>
    </w:p>
    <w:p w14:paraId="48D4E641">
      <w:pPr>
        <w:spacing w:line="360" w:lineRule="auto"/>
        <w:rPr>
          <w:highlight w:val="none"/>
        </w:rPr>
        <w:sectPr>
          <w:pgSz w:w="11906" w:h="16838"/>
          <w:pgMar w:top="1440" w:right="1800" w:bottom="1440" w:left="1800" w:header="851" w:footer="992" w:gutter="0"/>
          <w:cols w:space="720" w:num="1"/>
          <w:docGrid w:type="lines" w:linePitch="312" w:charSpace="0"/>
        </w:sectPr>
      </w:pPr>
      <w:r>
        <w:rPr>
          <w:rFonts w:hint="eastAsia"/>
          <w:highlight w:val="none"/>
        </w:rPr>
        <w:t>（6）验收组织、验收方式、验收程序按</w:t>
      </w:r>
      <w:r>
        <w:rPr>
          <w:rFonts w:hint="eastAsia"/>
          <w:highlight w:val="none"/>
          <w:lang w:val="en-US" w:eastAsia="zh-CN"/>
        </w:rPr>
        <w:t>相关</w:t>
      </w:r>
      <w:r>
        <w:rPr>
          <w:rFonts w:hint="eastAsia"/>
          <w:highlight w:val="none"/>
        </w:rPr>
        <w:t>规定执行。</w:t>
      </w:r>
    </w:p>
    <w:p w14:paraId="2E80AA4B">
      <w:pPr>
        <w:pStyle w:val="2"/>
        <w:ind w:firstLine="482"/>
      </w:pPr>
      <w:r>
        <w:rPr>
          <w:rFonts w:hint="eastAsia"/>
        </w:rPr>
        <w:t>第四章 合同格式</w:t>
      </w:r>
      <w:bookmarkEnd w:id="131"/>
      <w:bookmarkEnd w:id="132"/>
      <w:bookmarkEnd w:id="133"/>
    </w:p>
    <w:p w14:paraId="3C0642CB">
      <w:pPr>
        <w:ind w:firstLine="420"/>
        <w:jc w:val="center"/>
        <w:rPr>
          <w:rFonts w:ascii="宋体" w:hAnsi="宋体" w:cs="宋体"/>
          <w:szCs w:val="21"/>
        </w:rPr>
      </w:pPr>
      <w:bookmarkStart w:id="134" w:name="_Toc450840088"/>
      <w:r>
        <w:rPr>
          <w:rFonts w:hint="eastAsia" w:ascii="宋体" w:hAnsi="宋体" w:cs="宋体"/>
          <w:szCs w:val="21"/>
        </w:rPr>
        <w:t>（参考格式，以最终签订版本为准）</w:t>
      </w:r>
    </w:p>
    <w:p w14:paraId="3F159364">
      <w:pPr>
        <w:ind w:firstLine="420"/>
        <w:rPr>
          <w:rFonts w:ascii="宋体" w:hAnsi="宋体" w:cs="宋体"/>
          <w:szCs w:val="21"/>
        </w:rPr>
      </w:pPr>
    </w:p>
    <w:p w14:paraId="1EE43471">
      <w:pPr>
        <w:spacing w:line="360" w:lineRule="auto"/>
        <w:rPr>
          <w:rFonts w:asciiTheme="minorEastAsia" w:hAnsiTheme="minorEastAsia" w:eastAsiaTheme="minorEastAsia"/>
          <w:sz w:val="21"/>
          <w:szCs w:val="21"/>
          <w:u w:val="single"/>
        </w:rPr>
      </w:pPr>
      <w:r>
        <w:rPr>
          <w:rFonts w:hint="eastAsia" w:asciiTheme="minorEastAsia" w:hAnsiTheme="minorEastAsia" w:eastAsiaTheme="minorEastAsia"/>
          <w:sz w:val="21"/>
          <w:szCs w:val="21"/>
        </w:rPr>
        <w:t>合同编号：</w:t>
      </w:r>
      <w:r>
        <w:rPr>
          <w:rFonts w:hint="eastAsia" w:asciiTheme="minorEastAsia" w:hAnsiTheme="minorEastAsia" w:eastAsiaTheme="minorEastAsia"/>
          <w:sz w:val="21"/>
          <w:szCs w:val="21"/>
          <w:u w:val="single"/>
        </w:rPr>
        <w:t xml:space="preserve">           </w:t>
      </w:r>
    </w:p>
    <w:p w14:paraId="174C6DBB">
      <w:pPr>
        <w:spacing w:line="360" w:lineRule="auto"/>
        <w:rPr>
          <w:rFonts w:asciiTheme="minorEastAsia" w:hAnsiTheme="minorEastAsia" w:eastAsiaTheme="minorEastAsia"/>
          <w:sz w:val="21"/>
          <w:szCs w:val="21"/>
          <w:u w:val="single"/>
        </w:rPr>
      </w:pPr>
    </w:p>
    <w:p w14:paraId="5114C289">
      <w:pPr>
        <w:pStyle w:val="169"/>
        <w:ind w:leftChars="0" w:firstLine="1433" w:firstLineChars="682"/>
        <w:jc w:val="left"/>
        <w:rPr>
          <w:rFonts w:cs="仿宋_GB2312" w:asciiTheme="minorEastAsia" w:hAnsiTheme="minorEastAsia" w:eastAsiaTheme="minorEastAsia"/>
          <w:b/>
          <w:sz w:val="21"/>
          <w:szCs w:val="21"/>
        </w:rPr>
      </w:pPr>
      <w:r>
        <w:rPr>
          <w:rFonts w:hint="eastAsia" w:cs="仿宋_GB2312" w:asciiTheme="minorEastAsia" w:hAnsiTheme="minorEastAsia" w:eastAsiaTheme="minorEastAsia"/>
          <w:b/>
          <w:sz w:val="21"/>
          <w:szCs w:val="21"/>
        </w:rPr>
        <w:t>采购合同书</w:t>
      </w:r>
    </w:p>
    <w:p w14:paraId="1FEEF4F3">
      <w:pPr>
        <w:pStyle w:val="169"/>
        <w:rPr>
          <w:rFonts w:asciiTheme="minorEastAsia" w:hAnsiTheme="minorEastAsia" w:eastAsiaTheme="minorEastAsia"/>
          <w:sz w:val="21"/>
          <w:szCs w:val="21"/>
        </w:rPr>
      </w:pPr>
    </w:p>
    <w:p w14:paraId="0A87FFC2">
      <w:pPr>
        <w:pStyle w:val="169"/>
        <w:rPr>
          <w:rFonts w:asciiTheme="minorEastAsia" w:hAnsiTheme="minorEastAsia" w:eastAsiaTheme="minorEastAsia"/>
          <w:sz w:val="21"/>
          <w:szCs w:val="21"/>
        </w:rPr>
      </w:pPr>
    </w:p>
    <w:p w14:paraId="1936A0CE">
      <w:pPr>
        <w:spacing w:before="120" w:line="360" w:lineRule="auto"/>
        <w:ind w:left="96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项目名称：</w:t>
      </w:r>
      <w:r>
        <w:rPr>
          <w:rFonts w:hint="eastAsia" w:asciiTheme="minorEastAsia" w:hAnsiTheme="minorEastAsia" w:eastAsiaTheme="minorEastAsia"/>
          <w:sz w:val="21"/>
          <w:szCs w:val="21"/>
          <w:u w:val="single"/>
        </w:rPr>
        <w:t xml:space="preserve">                                   </w:t>
      </w:r>
    </w:p>
    <w:p w14:paraId="12E2BD3A">
      <w:pPr>
        <w:pStyle w:val="178"/>
        <w:spacing w:before="120"/>
        <w:rPr>
          <w:rFonts w:asciiTheme="minorEastAsia" w:hAnsiTheme="minorEastAsia" w:eastAsiaTheme="minorEastAsia"/>
          <w:sz w:val="21"/>
          <w:szCs w:val="21"/>
        </w:rPr>
      </w:pPr>
    </w:p>
    <w:p w14:paraId="108C2311">
      <w:pPr>
        <w:spacing w:before="120" w:line="360" w:lineRule="auto"/>
        <w:ind w:left="96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甲方：</w:t>
      </w:r>
      <w:r>
        <w:rPr>
          <w:rFonts w:hint="eastAsia" w:asciiTheme="minorEastAsia" w:hAnsiTheme="minorEastAsia" w:eastAsiaTheme="minorEastAsia"/>
          <w:sz w:val="21"/>
          <w:szCs w:val="21"/>
          <w:u w:val="single"/>
        </w:rPr>
        <w:t xml:space="preserve">                                       </w:t>
      </w:r>
    </w:p>
    <w:p w14:paraId="0CE5D2D2">
      <w:pPr>
        <w:spacing w:before="120" w:line="360" w:lineRule="auto"/>
        <w:rPr>
          <w:rFonts w:asciiTheme="minorEastAsia" w:hAnsiTheme="minorEastAsia" w:eastAsiaTheme="minorEastAsia"/>
          <w:sz w:val="21"/>
          <w:szCs w:val="21"/>
        </w:rPr>
      </w:pPr>
    </w:p>
    <w:p w14:paraId="64CE5E12">
      <w:pPr>
        <w:spacing w:before="120" w:line="360" w:lineRule="auto"/>
        <w:ind w:left="96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乙方：</w:t>
      </w:r>
      <w:r>
        <w:rPr>
          <w:rFonts w:hint="eastAsia" w:asciiTheme="minorEastAsia" w:hAnsiTheme="minorEastAsia" w:eastAsiaTheme="minorEastAsia"/>
          <w:sz w:val="21"/>
          <w:szCs w:val="21"/>
          <w:u w:val="single"/>
        </w:rPr>
        <w:t xml:space="preserve">                                       </w:t>
      </w:r>
    </w:p>
    <w:p w14:paraId="453C752F">
      <w:pPr>
        <w:spacing w:before="120" w:line="360" w:lineRule="auto"/>
        <w:rPr>
          <w:rFonts w:asciiTheme="minorEastAsia" w:hAnsiTheme="minorEastAsia" w:eastAsiaTheme="minorEastAsia"/>
          <w:sz w:val="21"/>
          <w:szCs w:val="21"/>
        </w:rPr>
      </w:pPr>
    </w:p>
    <w:p w14:paraId="413550C7">
      <w:pPr>
        <w:spacing w:before="120" w:line="360" w:lineRule="auto"/>
        <w:ind w:firstLine="1260" w:firstLineChars="60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签订地：</w:t>
      </w:r>
      <w:r>
        <w:rPr>
          <w:rFonts w:hint="eastAsia" w:asciiTheme="minorEastAsia" w:hAnsiTheme="minorEastAsia" w:eastAsiaTheme="minorEastAsia"/>
          <w:sz w:val="21"/>
          <w:szCs w:val="21"/>
          <w:u w:val="single"/>
        </w:rPr>
        <w:t xml:space="preserve">                                     </w:t>
      </w:r>
    </w:p>
    <w:p w14:paraId="047B99A4">
      <w:pPr>
        <w:spacing w:before="120" w:line="360" w:lineRule="auto"/>
        <w:rPr>
          <w:rFonts w:asciiTheme="minorEastAsia" w:hAnsiTheme="minorEastAsia" w:eastAsiaTheme="minorEastAsia"/>
          <w:sz w:val="21"/>
          <w:szCs w:val="21"/>
        </w:rPr>
      </w:pPr>
    </w:p>
    <w:p w14:paraId="70C8946A">
      <w:pPr>
        <w:spacing w:before="120" w:line="360" w:lineRule="auto"/>
        <w:ind w:firstLine="1260" w:firstLineChars="600"/>
        <w:rPr>
          <w:rFonts w:asciiTheme="minorEastAsia" w:hAnsiTheme="minorEastAsia" w:eastAsiaTheme="minorEastAsia"/>
          <w:sz w:val="21"/>
          <w:szCs w:val="21"/>
          <w:u w:val="single"/>
        </w:rPr>
      </w:pPr>
      <w:r>
        <w:rPr>
          <w:rFonts w:hint="eastAsia" w:asciiTheme="minorEastAsia" w:hAnsiTheme="minorEastAsia" w:eastAsiaTheme="minorEastAsia"/>
          <w:sz w:val="21"/>
          <w:szCs w:val="21"/>
        </w:rPr>
        <w:t>签订日期：</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年</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月</w:t>
      </w:r>
      <w:r>
        <w:rPr>
          <w:rFonts w:hint="eastAsia" w:asciiTheme="minorEastAsia" w:hAnsiTheme="minorEastAsia" w:eastAsiaTheme="minorEastAsia"/>
          <w:sz w:val="21"/>
          <w:szCs w:val="21"/>
          <w:u w:val="single"/>
        </w:rPr>
        <w:t xml:space="preserve">       </w:t>
      </w:r>
      <w:r>
        <w:rPr>
          <w:rFonts w:hint="eastAsia" w:asciiTheme="minorEastAsia" w:hAnsiTheme="minorEastAsia" w:eastAsiaTheme="minorEastAsia"/>
          <w:sz w:val="21"/>
          <w:szCs w:val="21"/>
        </w:rPr>
        <w:t>日</w:t>
      </w:r>
    </w:p>
    <w:p w14:paraId="5CA4CC23">
      <w:pPr>
        <w:widowControl/>
        <w:adjustRightInd/>
        <w:jc w:val="left"/>
        <w:rPr>
          <w:rFonts w:cs="仿宋_GB2312" w:asciiTheme="minorEastAsia" w:hAnsiTheme="minorEastAsia" w:eastAsiaTheme="minorEastAsia"/>
          <w:b/>
          <w:sz w:val="21"/>
          <w:szCs w:val="21"/>
        </w:rPr>
      </w:pPr>
      <w:r>
        <w:rPr>
          <w:rFonts w:hint="eastAsia" w:cs="仿宋_GB2312" w:asciiTheme="minorEastAsia" w:hAnsiTheme="minorEastAsia" w:eastAsiaTheme="minorEastAsia"/>
          <w:b/>
          <w:sz w:val="21"/>
          <w:szCs w:val="21"/>
        </w:rPr>
        <w:br w:type="page"/>
      </w:r>
    </w:p>
    <w:p w14:paraId="14498162">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年</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月</w:t>
      </w:r>
      <w:r>
        <w:rPr>
          <w:rFonts w:hint="eastAsia" w:ascii="宋体" w:hAnsi="宋体" w:eastAsia="宋体" w:cs="宋体"/>
          <w:sz w:val="21"/>
          <w:szCs w:val="21"/>
          <w:u w:val="single"/>
          <w:lang w:val="zh-CN"/>
        </w:rPr>
        <w:t xml:space="preserve">    </w:t>
      </w:r>
      <w:r>
        <w:rPr>
          <w:rFonts w:hint="eastAsia" w:ascii="宋体" w:hAnsi="宋体" w:eastAsia="宋体" w:cs="宋体"/>
          <w:sz w:val="21"/>
          <w:szCs w:val="21"/>
          <w:lang w:val="zh-CN"/>
        </w:rPr>
        <w:t>日</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color w:val="auto"/>
          <w:sz w:val="21"/>
          <w:szCs w:val="21"/>
          <w:u w:val="single"/>
        </w:rPr>
        <w:t xml:space="preserve">  （采购人）   </w:t>
      </w:r>
      <w:r>
        <w:rPr>
          <w:rFonts w:hint="eastAsia" w:ascii="宋体" w:hAnsi="宋体" w:eastAsia="宋体" w:cs="宋体"/>
          <w:color w:val="auto"/>
          <w:sz w:val="21"/>
          <w:szCs w:val="21"/>
        </w:rPr>
        <w:t>以</w:t>
      </w:r>
      <w:r>
        <w:rPr>
          <w:rFonts w:hint="eastAsia" w:ascii="宋体" w:hAnsi="宋体" w:eastAsia="宋体" w:cs="宋体"/>
          <w:color w:val="auto"/>
          <w:sz w:val="21"/>
          <w:szCs w:val="21"/>
          <w:u w:val="single"/>
        </w:rPr>
        <w:t xml:space="preserve">   （采购方式）  </w:t>
      </w:r>
      <w:r>
        <w:rPr>
          <w:rFonts w:hint="eastAsia" w:ascii="宋体" w:hAnsi="宋体" w:eastAsia="宋体" w:cs="宋体"/>
          <w:color w:val="auto"/>
          <w:sz w:val="21"/>
          <w:szCs w:val="21"/>
        </w:rPr>
        <w:t>对</w:t>
      </w:r>
      <w:r>
        <w:rPr>
          <w:rFonts w:hint="eastAsia" w:ascii="宋体" w:hAnsi="宋体" w:eastAsia="宋体" w:cs="宋体"/>
          <w:color w:val="auto"/>
          <w:sz w:val="21"/>
          <w:szCs w:val="21"/>
          <w:u w:val="single"/>
        </w:rPr>
        <w:t xml:space="preserve">  （项目名称）    </w:t>
      </w:r>
      <w:r>
        <w:rPr>
          <w:rFonts w:hint="eastAsia" w:ascii="宋体" w:hAnsi="宋体" w:eastAsia="宋体" w:cs="宋体"/>
          <w:color w:val="auto"/>
          <w:sz w:val="21"/>
          <w:szCs w:val="21"/>
        </w:rPr>
        <w:t>项目进行了采购。经</w:t>
      </w:r>
      <w:r>
        <w:rPr>
          <w:rFonts w:hint="eastAsia" w:ascii="宋体" w:hAnsi="宋体" w:eastAsia="宋体" w:cs="宋体"/>
          <w:color w:val="auto"/>
          <w:sz w:val="21"/>
          <w:szCs w:val="21"/>
          <w:u w:val="single"/>
        </w:rPr>
        <w:t xml:space="preserve">   （相关评定主体名称）   </w:t>
      </w:r>
      <w:r>
        <w:rPr>
          <w:rFonts w:hint="eastAsia" w:ascii="宋体" w:hAnsi="宋体" w:eastAsia="宋体" w:cs="宋体"/>
          <w:color w:val="auto"/>
          <w:sz w:val="21"/>
          <w:szCs w:val="21"/>
        </w:rPr>
        <w:t>评定，</w:t>
      </w:r>
      <w:r>
        <w:rPr>
          <w:rFonts w:hint="eastAsia" w:ascii="宋体" w:hAnsi="宋体" w:eastAsia="宋体" w:cs="宋体"/>
          <w:color w:val="auto"/>
          <w:sz w:val="21"/>
          <w:szCs w:val="21"/>
          <w:u w:val="single"/>
        </w:rPr>
        <w:t xml:space="preserve">   （中标或者成交供应商名称） </w:t>
      </w:r>
      <w:r>
        <w:rPr>
          <w:rFonts w:hint="eastAsia" w:ascii="宋体" w:hAnsi="宋体" w:eastAsia="宋体" w:cs="宋体"/>
          <w:color w:val="auto"/>
          <w:sz w:val="21"/>
          <w:szCs w:val="21"/>
        </w:rPr>
        <w:t>为该项目中标或者成交供应商。现于中标或者成交通知书发出之日起10个工作日内，按照采购文件确定的事项签订本合同。</w:t>
      </w:r>
    </w:p>
    <w:p w14:paraId="5E1FC539">
      <w:pPr>
        <w:spacing w:line="560" w:lineRule="exact"/>
        <w:ind w:firstLine="420" w:firstLineChars="200"/>
        <w:rPr>
          <w:rFonts w:hint="eastAsia" w:ascii="宋体" w:hAnsi="宋体" w:eastAsia="宋体" w:cs="宋体"/>
          <w:sz w:val="21"/>
          <w:szCs w:val="21"/>
        </w:rPr>
      </w:pPr>
      <w:r>
        <w:rPr>
          <w:rFonts w:hint="eastAsia" w:ascii="宋体" w:hAnsi="宋体" w:cs="宋体"/>
          <w:szCs w:val="21"/>
          <w:lang w:val="en-US" w:eastAsia="zh-CN"/>
        </w:rPr>
        <w:t>参照</w:t>
      </w:r>
      <w:r>
        <w:rPr>
          <w:rFonts w:hint="eastAsia" w:ascii="宋体" w:hAnsi="宋体" w:eastAsia="宋体" w:cs="宋体"/>
          <w:color w:val="auto"/>
          <w:sz w:val="21"/>
          <w:szCs w:val="21"/>
          <w:lang w:val="zh-CN"/>
        </w:rPr>
        <w:t>《中华人民共和国民法典》《中华人民共和国政府采购法》等相关法律法规之规定，按照平等、自愿、公平和诚实信用的原则，经</w:t>
      </w:r>
      <w:r>
        <w:rPr>
          <w:rFonts w:hint="eastAsia" w:ascii="宋体" w:hAnsi="宋体" w:eastAsia="宋体" w:cs="宋体"/>
          <w:color w:val="auto"/>
          <w:sz w:val="21"/>
          <w:szCs w:val="21"/>
          <w:u w:val="single"/>
        </w:rPr>
        <w:t xml:space="preserve">   （采购人）   </w:t>
      </w:r>
      <w:r>
        <w:rPr>
          <w:rFonts w:hint="eastAsia" w:ascii="宋体" w:hAnsi="宋体" w:eastAsia="宋体" w:cs="宋体"/>
          <w:color w:val="auto"/>
          <w:sz w:val="21"/>
          <w:szCs w:val="21"/>
          <w:lang w:val="zh-CN"/>
        </w:rPr>
        <w:t>(</w:t>
      </w:r>
      <w:r>
        <w:rPr>
          <w:rFonts w:hint="eastAsia" w:ascii="宋体" w:hAnsi="宋体" w:eastAsia="宋体" w:cs="宋体"/>
          <w:sz w:val="21"/>
          <w:szCs w:val="21"/>
          <w:lang w:val="zh-CN"/>
        </w:rPr>
        <w:t>以下简称：甲方)和</w:t>
      </w:r>
      <w:r>
        <w:rPr>
          <w:rFonts w:hint="eastAsia" w:ascii="宋体" w:hAnsi="宋体" w:eastAsia="宋体" w:cs="宋体"/>
          <w:sz w:val="21"/>
          <w:szCs w:val="21"/>
          <w:u w:val="single"/>
        </w:rPr>
        <w:t xml:space="preserve">   （中或者成交标供应商名称）   </w:t>
      </w:r>
      <w:r>
        <w:rPr>
          <w:rFonts w:hint="eastAsia" w:ascii="宋体" w:hAnsi="宋体" w:eastAsia="宋体" w:cs="宋体"/>
          <w:sz w:val="21"/>
          <w:szCs w:val="21"/>
          <w:lang w:val="zh-CN"/>
        </w:rPr>
        <w:t>(以下简称：乙方)协商一致，约定以下合同</w:t>
      </w:r>
      <w:r>
        <w:rPr>
          <w:rFonts w:hint="eastAsia" w:ascii="宋体" w:hAnsi="宋体" w:eastAsia="宋体" w:cs="宋体"/>
          <w:sz w:val="21"/>
          <w:szCs w:val="21"/>
        </w:rPr>
        <w:t>条款，以兹共同遵守、全面履行。</w:t>
      </w:r>
    </w:p>
    <w:p w14:paraId="228DC7DA">
      <w:pPr>
        <w:spacing w:line="560" w:lineRule="exact"/>
        <w:ind w:firstLine="422" w:firstLineChars="200"/>
        <w:outlineLvl w:val="0"/>
        <w:rPr>
          <w:rFonts w:hint="eastAsia" w:ascii="宋体" w:hAnsi="宋体" w:eastAsia="宋体" w:cs="宋体"/>
          <w:sz w:val="21"/>
          <w:szCs w:val="21"/>
        </w:rPr>
      </w:pPr>
      <w:bookmarkStart w:id="135" w:name="_Toc22967"/>
      <w:bookmarkStart w:id="136" w:name="_Toc19273"/>
      <w:bookmarkStart w:id="137" w:name="_Toc20421"/>
      <w:bookmarkStart w:id="138" w:name="_Toc15367"/>
      <w:bookmarkStart w:id="139" w:name="_Toc28855"/>
      <w:r>
        <w:rPr>
          <w:rFonts w:hint="eastAsia" w:ascii="宋体" w:hAnsi="宋体" w:eastAsia="宋体" w:cs="宋体"/>
          <w:b/>
          <w:sz w:val="21"/>
          <w:szCs w:val="21"/>
        </w:rPr>
        <w:t>1.1 合同组成部分</w:t>
      </w:r>
      <w:bookmarkEnd w:id="135"/>
      <w:bookmarkEnd w:id="136"/>
      <w:bookmarkEnd w:id="137"/>
      <w:bookmarkEnd w:id="138"/>
      <w:bookmarkEnd w:id="139"/>
    </w:p>
    <w:p w14:paraId="01AF9C57">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23FC2C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1.1.1 本合同及其补充合同、变更协议；</w:t>
      </w:r>
    </w:p>
    <w:p w14:paraId="228D0344">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1.1.2 中标或者成交通知书；</w:t>
      </w:r>
    </w:p>
    <w:p w14:paraId="083CA643">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1.1.3 投标或者响应文件（含澄清或者说明文件）；</w:t>
      </w:r>
    </w:p>
    <w:p w14:paraId="645CEF8D">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1.1.4 采购文件（含澄清或者修改文件）；</w:t>
      </w:r>
    </w:p>
    <w:p w14:paraId="20071B7A">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1.1.5 其他相关采购文件。</w:t>
      </w:r>
    </w:p>
    <w:p w14:paraId="724DF2D9">
      <w:pPr>
        <w:spacing w:line="560" w:lineRule="exact"/>
        <w:ind w:firstLine="422" w:firstLineChars="200"/>
        <w:outlineLvl w:val="0"/>
        <w:rPr>
          <w:rFonts w:hint="eastAsia" w:ascii="宋体" w:hAnsi="宋体" w:eastAsia="宋体" w:cs="宋体"/>
          <w:b/>
          <w:sz w:val="21"/>
          <w:szCs w:val="21"/>
        </w:rPr>
      </w:pPr>
      <w:bookmarkStart w:id="140" w:name="_Toc6773"/>
      <w:bookmarkStart w:id="141" w:name="_Toc22185"/>
      <w:bookmarkStart w:id="142" w:name="_Toc6311"/>
      <w:bookmarkStart w:id="143" w:name="_Toc18585"/>
      <w:bookmarkStart w:id="144" w:name="_Toc2918"/>
      <w:r>
        <w:rPr>
          <w:rFonts w:hint="eastAsia" w:ascii="宋体" w:hAnsi="宋体" w:eastAsia="宋体" w:cs="宋体"/>
          <w:b/>
          <w:sz w:val="21"/>
          <w:szCs w:val="21"/>
        </w:rPr>
        <w:t>1.2 标的</w:t>
      </w:r>
      <w:bookmarkEnd w:id="140"/>
      <w:bookmarkEnd w:id="141"/>
      <w:bookmarkEnd w:id="142"/>
      <w:bookmarkEnd w:id="143"/>
      <w:bookmarkEnd w:id="144"/>
    </w:p>
    <w:p w14:paraId="72133DEE">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1.2.1 服务内容：</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787A5262">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1.2.2 服务标准：</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42A2FF54">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1.2.3 技术保障：</w:t>
      </w:r>
      <w:r>
        <w:rPr>
          <w:rFonts w:hint="eastAsia" w:ascii="宋体" w:hAnsi="宋体" w:eastAsia="宋体" w:cs="宋体"/>
          <w:sz w:val="21"/>
          <w:szCs w:val="21"/>
          <w:u w:val="single"/>
        </w:rPr>
        <w:t>　　　　　　　　　                      　      ；</w:t>
      </w:r>
    </w:p>
    <w:p w14:paraId="794EB2BC">
      <w:pPr>
        <w:spacing w:line="560" w:lineRule="exact"/>
        <w:ind w:firstLine="420" w:firstLineChars="200"/>
        <w:jc w:val="left"/>
        <w:rPr>
          <w:rFonts w:hint="eastAsia" w:ascii="宋体" w:hAnsi="宋体" w:eastAsia="宋体" w:cs="宋体"/>
          <w:sz w:val="21"/>
          <w:szCs w:val="21"/>
        </w:rPr>
      </w:pPr>
      <w:r>
        <w:rPr>
          <w:rFonts w:hint="eastAsia" w:ascii="宋体" w:hAnsi="宋体" w:eastAsia="宋体" w:cs="宋体"/>
          <w:sz w:val="21"/>
          <w:szCs w:val="21"/>
        </w:rPr>
        <w:t>1.2.4 服务人员组成：</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29E5898E">
      <w:pPr>
        <w:pStyle w:val="179"/>
        <w:spacing w:before="0" w:beforeAutospacing="0" w:after="0" w:afterAutospacing="0" w:line="360" w:lineRule="auto"/>
        <w:ind w:firstLine="480"/>
        <w:rPr>
          <w:rFonts w:hint="eastAsia" w:ascii="宋体" w:hAnsi="宋体" w:eastAsia="宋体" w:cs="宋体"/>
          <w:sz w:val="21"/>
          <w:szCs w:val="21"/>
        </w:rPr>
      </w:pPr>
      <w:r>
        <w:rPr>
          <w:rFonts w:hint="eastAsia" w:ascii="宋体" w:hAnsi="宋体" w:eastAsia="宋体" w:cs="宋体"/>
          <w:sz w:val="21"/>
          <w:szCs w:val="21"/>
        </w:rPr>
        <w:t>1.2.5合同</w:t>
      </w:r>
      <w:r>
        <w:rPr>
          <w:rFonts w:hint="eastAsia" w:ascii="宋体" w:hAnsi="宋体" w:eastAsia="宋体" w:cs="宋体"/>
          <w:sz w:val="21"/>
          <w:szCs w:val="21"/>
          <w:u w:val="single"/>
        </w:rPr>
        <w:t xml:space="preserve">     </w:t>
      </w:r>
      <w:r>
        <w:rPr>
          <w:rFonts w:hint="eastAsia" w:ascii="宋体" w:hAnsi="宋体" w:eastAsia="宋体" w:cs="宋体"/>
          <w:sz w:val="21"/>
          <w:szCs w:val="21"/>
        </w:rPr>
        <w:t>（是/否）涉及货物。若涉及货物的，则：</w:t>
      </w:r>
    </w:p>
    <w:p w14:paraId="7FD49B81">
      <w:pPr>
        <w:spacing w:line="560" w:lineRule="exact"/>
        <w:ind w:firstLine="420" w:firstLineChars="200"/>
        <w:rPr>
          <w:rFonts w:hint="eastAsia" w:ascii="宋体" w:hAnsi="宋体" w:eastAsia="宋体" w:cs="宋体"/>
          <w:sz w:val="21"/>
          <w:szCs w:val="21"/>
          <w:u w:val="single"/>
        </w:rPr>
      </w:pPr>
      <w:bookmarkStart w:id="145" w:name="_Toc13918"/>
      <w:bookmarkStart w:id="146" w:name="_Toc5635"/>
      <w:bookmarkStart w:id="147" w:name="_Toc21124"/>
      <w:bookmarkStart w:id="148" w:name="_Toc4929"/>
      <w:bookmarkStart w:id="149" w:name="_Toc1386"/>
      <w:r>
        <w:rPr>
          <w:rFonts w:hint="eastAsia" w:ascii="宋体" w:hAnsi="宋体" w:eastAsia="宋体" w:cs="宋体"/>
          <w:sz w:val="21"/>
          <w:szCs w:val="21"/>
        </w:rPr>
        <w:t>1.2.5.1 货物名称、品牌、规格型号、花色：</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3F6AF663">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1.2.5.2 货物数量：</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4017C5FB">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1.2.5.3 货物质量：</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2494F765">
      <w:pPr>
        <w:spacing w:line="560" w:lineRule="exact"/>
        <w:ind w:firstLine="422" w:firstLineChars="200"/>
        <w:outlineLvl w:val="0"/>
        <w:rPr>
          <w:rFonts w:hint="eastAsia" w:ascii="宋体" w:hAnsi="宋体" w:eastAsia="宋体" w:cs="宋体"/>
          <w:b/>
          <w:sz w:val="21"/>
          <w:szCs w:val="21"/>
        </w:rPr>
      </w:pPr>
      <w:r>
        <w:rPr>
          <w:rFonts w:hint="eastAsia" w:ascii="宋体" w:hAnsi="宋体" w:eastAsia="宋体" w:cs="宋体"/>
          <w:b/>
          <w:sz w:val="21"/>
          <w:szCs w:val="21"/>
        </w:rPr>
        <w:t>1.3 价款</w:t>
      </w:r>
      <w:bookmarkEnd w:id="145"/>
      <w:bookmarkEnd w:id="146"/>
      <w:bookmarkEnd w:id="147"/>
      <w:bookmarkEnd w:id="148"/>
      <w:bookmarkEnd w:id="149"/>
    </w:p>
    <w:p w14:paraId="690A642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本项目采用以下第</w:t>
      </w:r>
      <w:r>
        <w:rPr>
          <w:rFonts w:hint="eastAsia" w:ascii="宋体" w:hAnsi="宋体" w:eastAsia="宋体" w:cs="宋体"/>
          <w:sz w:val="21"/>
          <w:szCs w:val="21"/>
          <w:u w:val="single"/>
        </w:rPr>
        <w:t xml:space="preserve">     </w:t>
      </w:r>
      <w:r>
        <w:rPr>
          <w:rFonts w:hint="eastAsia" w:ascii="宋体" w:hAnsi="宋体" w:eastAsia="宋体" w:cs="宋体"/>
          <w:sz w:val="21"/>
          <w:szCs w:val="21"/>
        </w:rPr>
        <w:t>条款规定的计价方式计价。</w:t>
      </w:r>
    </w:p>
    <w:p w14:paraId="315E5037">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1.3.1总价合同，本合同总价（含税）为：￥</w:t>
      </w:r>
      <w:r>
        <w:rPr>
          <w:rFonts w:hint="eastAsia" w:ascii="宋体" w:hAnsi="宋体" w:eastAsia="宋体" w:cs="宋体"/>
          <w:sz w:val="21"/>
          <w:szCs w:val="21"/>
          <w:u w:val="single"/>
        </w:rPr>
        <w:t xml:space="preserve">           </w:t>
      </w:r>
      <w:r>
        <w:rPr>
          <w:rFonts w:hint="eastAsia" w:ascii="宋体" w:hAnsi="宋体" w:eastAsia="宋体" w:cs="宋体"/>
          <w:sz w:val="21"/>
          <w:szCs w:val="21"/>
        </w:rPr>
        <w:t>元（大写：</w:t>
      </w:r>
      <w:r>
        <w:rPr>
          <w:rFonts w:hint="eastAsia" w:ascii="宋体" w:hAnsi="宋体" w:eastAsia="宋体" w:cs="宋体"/>
          <w:sz w:val="21"/>
          <w:szCs w:val="21"/>
          <w:u w:val="single"/>
        </w:rPr>
        <w:t xml:space="preserve">                 </w:t>
      </w:r>
      <w:r>
        <w:rPr>
          <w:rFonts w:hint="eastAsia" w:ascii="宋体" w:hAnsi="宋体" w:eastAsia="宋体" w:cs="宋体"/>
          <w:sz w:val="21"/>
          <w:szCs w:val="21"/>
        </w:rPr>
        <w:t>元人民币）。</w:t>
      </w:r>
    </w:p>
    <w:p w14:paraId="799526AA">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分项价格：</w:t>
      </w: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C025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2C6E514">
            <w:pPr>
              <w:pStyle w:val="180"/>
              <w:spacing w:line="5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序号</w:t>
            </w:r>
          </w:p>
        </w:tc>
        <w:tc>
          <w:tcPr>
            <w:tcW w:w="3402" w:type="dxa"/>
            <w:vAlign w:val="center"/>
          </w:tcPr>
          <w:p w14:paraId="57A2C401">
            <w:pPr>
              <w:pStyle w:val="180"/>
              <w:spacing w:line="5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分项名称</w:t>
            </w:r>
          </w:p>
        </w:tc>
        <w:tc>
          <w:tcPr>
            <w:tcW w:w="2552" w:type="dxa"/>
            <w:vAlign w:val="center"/>
          </w:tcPr>
          <w:p w14:paraId="32FEBDD0">
            <w:pPr>
              <w:pStyle w:val="180"/>
              <w:spacing w:line="5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分项价格</w:t>
            </w:r>
          </w:p>
        </w:tc>
      </w:tr>
      <w:tr w14:paraId="3F9C9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1B24F2">
            <w:pPr>
              <w:pStyle w:val="180"/>
              <w:spacing w:line="560" w:lineRule="exact"/>
              <w:ind w:firstLine="0" w:firstLineChars="0"/>
              <w:jc w:val="center"/>
              <w:rPr>
                <w:rFonts w:hint="eastAsia" w:ascii="宋体" w:hAnsi="宋体" w:eastAsia="宋体" w:cs="宋体"/>
                <w:sz w:val="21"/>
                <w:szCs w:val="21"/>
              </w:rPr>
            </w:pPr>
          </w:p>
        </w:tc>
        <w:tc>
          <w:tcPr>
            <w:tcW w:w="3402" w:type="dxa"/>
            <w:vAlign w:val="center"/>
          </w:tcPr>
          <w:p w14:paraId="3E68F9CC">
            <w:pPr>
              <w:pStyle w:val="180"/>
              <w:spacing w:line="560" w:lineRule="exact"/>
              <w:ind w:firstLine="0" w:firstLineChars="0"/>
              <w:jc w:val="center"/>
              <w:rPr>
                <w:rFonts w:hint="eastAsia" w:ascii="宋体" w:hAnsi="宋体" w:eastAsia="宋体" w:cs="宋体"/>
                <w:sz w:val="21"/>
                <w:szCs w:val="21"/>
              </w:rPr>
            </w:pPr>
          </w:p>
        </w:tc>
        <w:tc>
          <w:tcPr>
            <w:tcW w:w="2552" w:type="dxa"/>
            <w:vAlign w:val="center"/>
          </w:tcPr>
          <w:p w14:paraId="6ACFD154">
            <w:pPr>
              <w:pStyle w:val="180"/>
              <w:spacing w:line="560" w:lineRule="exact"/>
              <w:ind w:firstLine="0" w:firstLineChars="0"/>
              <w:jc w:val="center"/>
              <w:rPr>
                <w:rFonts w:hint="eastAsia" w:ascii="宋体" w:hAnsi="宋体" w:eastAsia="宋体" w:cs="宋体"/>
                <w:sz w:val="21"/>
                <w:szCs w:val="21"/>
              </w:rPr>
            </w:pPr>
          </w:p>
        </w:tc>
      </w:tr>
      <w:tr w14:paraId="2A7F1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E0B8DE0">
            <w:pPr>
              <w:pStyle w:val="180"/>
              <w:spacing w:line="560" w:lineRule="exact"/>
              <w:ind w:firstLine="0" w:firstLineChars="0"/>
              <w:jc w:val="center"/>
              <w:rPr>
                <w:rFonts w:hint="eastAsia" w:ascii="宋体" w:hAnsi="宋体" w:eastAsia="宋体" w:cs="宋体"/>
                <w:sz w:val="21"/>
                <w:szCs w:val="21"/>
              </w:rPr>
            </w:pPr>
          </w:p>
        </w:tc>
        <w:tc>
          <w:tcPr>
            <w:tcW w:w="3402" w:type="dxa"/>
            <w:vAlign w:val="center"/>
          </w:tcPr>
          <w:p w14:paraId="44F59AC8">
            <w:pPr>
              <w:pStyle w:val="180"/>
              <w:spacing w:line="560" w:lineRule="exact"/>
              <w:ind w:firstLine="0" w:firstLineChars="0"/>
              <w:jc w:val="center"/>
              <w:rPr>
                <w:rFonts w:hint="eastAsia" w:ascii="宋体" w:hAnsi="宋体" w:eastAsia="宋体" w:cs="宋体"/>
                <w:sz w:val="21"/>
                <w:szCs w:val="21"/>
              </w:rPr>
            </w:pPr>
          </w:p>
        </w:tc>
        <w:tc>
          <w:tcPr>
            <w:tcW w:w="2552" w:type="dxa"/>
            <w:vAlign w:val="center"/>
          </w:tcPr>
          <w:p w14:paraId="2EF7691F">
            <w:pPr>
              <w:pStyle w:val="180"/>
              <w:spacing w:line="560" w:lineRule="exact"/>
              <w:ind w:firstLine="0" w:firstLineChars="0"/>
              <w:jc w:val="center"/>
              <w:rPr>
                <w:rFonts w:hint="eastAsia" w:ascii="宋体" w:hAnsi="宋体" w:eastAsia="宋体" w:cs="宋体"/>
                <w:sz w:val="21"/>
                <w:szCs w:val="21"/>
              </w:rPr>
            </w:pPr>
          </w:p>
        </w:tc>
      </w:tr>
      <w:tr w14:paraId="08BF5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575BC9C">
            <w:pPr>
              <w:pStyle w:val="180"/>
              <w:spacing w:line="560" w:lineRule="exact"/>
              <w:ind w:firstLine="0" w:firstLineChars="0"/>
              <w:jc w:val="center"/>
              <w:rPr>
                <w:rFonts w:hint="eastAsia" w:ascii="宋体" w:hAnsi="宋体" w:eastAsia="宋体" w:cs="宋体"/>
                <w:sz w:val="21"/>
                <w:szCs w:val="21"/>
              </w:rPr>
            </w:pPr>
          </w:p>
        </w:tc>
        <w:tc>
          <w:tcPr>
            <w:tcW w:w="3402" w:type="dxa"/>
            <w:vAlign w:val="center"/>
          </w:tcPr>
          <w:p w14:paraId="07A9D2C8">
            <w:pPr>
              <w:pStyle w:val="180"/>
              <w:spacing w:line="560" w:lineRule="exact"/>
              <w:ind w:firstLine="0" w:firstLineChars="0"/>
              <w:jc w:val="center"/>
              <w:rPr>
                <w:rFonts w:hint="eastAsia" w:ascii="宋体" w:hAnsi="宋体" w:eastAsia="宋体" w:cs="宋体"/>
                <w:sz w:val="21"/>
                <w:szCs w:val="21"/>
              </w:rPr>
            </w:pPr>
          </w:p>
        </w:tc>
        <w:tc>
          <w:tcPr>
            <w:tcW w:w="2552" w:type="dxa"/>
            <w:vAlign w:val="center"/>
          </w:tcPr>
          <w:p w14:paraId="70FA06F1">
            <w:pPr>
              <w:pStyle w:val="180"/>
              <w:spacing w:line="560" w:lineRule="exact"/>
              <w:ind w:firstLine="0" w:firstLineChars="0"/>
              <w:jc w:val="center"/>
              <w:rPr>
                <w:rFonts w:hint="eastAsia" w:ascii="宋体" w:hAnsi="宋体" w:eastAsia="宋体" w:cs="宋体"/>
                <w:sz w:val="21"/>
                <w:szCs w:val="21"/>
              </w:rPr>
            </w:pPr>
          </w:p>
        </w:tc>
      </w:tr>
      <w:tr w14:paraId="650CA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67BEE7">
            <w:pPr>
              <w:pStyle w:val="180"/>
              <w:spacing w:line="560" w:lineRule="exact"/>
              <w:ind w:firstLine="0" w:firstLineChars="0"/>
              <w:jc w:val="center"/>
              <w:rPr>
                <w:rFonts w:hint="eastAsia" w:ascii="宋体" w:hAnsi="宋体" w:eastAsia="宋体" w:cs="宋体"/>
                <w:sz w:val="21"/>
                <w:szCs w:val="21"/>
              </w:rPr>
            </w:pPr>
          </w:p>
        </w:tc>
        <w:tc>
          <w:tcPr>
            <w:tcW w:w="3402" w:type="dxa"/>
            <w:vAlign w:val="center"/>
          </w:tcPr>
          <w:p w14:paraId="4491BF3B">
            <w:pPr>
              <w:pStyle w:val="180"/>
              <w:spacing w:line="560" w:lineRule="exact"/>
              <w:ind w:firstLine="0" w:firstLineChars="0"/>
              <w:jc w:val="center"/>
              <w:rPr>
                <w:rFonts w:hint="eastAsia" w:ascii="宋体" w:hAnsi="宋体" w:eastAsia="宋体" w:cs="宋体"/>
                <w:sz w:val="21"/>
                <w:szCs w:val="21"/>
              </w:rPr>
            </w:pPr>
          </w:p>
        </w:tc>
        <w:tc>
          <w:tcPr>
            <w:tcW w:w="2552" w:type="dxa"/>
            <w:vAlign w:val="center"/>
          </w:tcPr>
          <w:p w14:paraId="535383AA">
            <w:pPr>
              <w:pStyle w:val="180"/>
              <w:spacing w:line="560" w:lineRule="exact"/>
              <w:ind w:firstLine="0" w:firstLineChars="0"/>
              <w:jc w:val="center"/>
              <w:rPr>
                <w:rFonts w:hint="eastAsia" w:ascii="宋体" w:hAnsi="宋体" w:eastAsia="宋体" w:cs="宋体"/>
                <w:sz w:val="21"/>
                <w:szCs w:val="21"/>
              </w:rPr>
            </w:pPr>
          </w:p>
        </w:tc>
      </w:tr>
      <w:tr w14:paraId="490D5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7A5DF0E">
            <w:pPr>
              <w:pStyle w:val="180"/>
              <w:spacing w:line="5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总价</w:t>
            </w:r>
          </w:p>
        </w:tc>
        <w:tc>
          <w:tcPr>
            <w:tcW w:w="2552" w:type="dxa"/>
            <w:vAlign w:val="center"/>
          </w:tcPr>
          <w:p w14:paraId="281BA5CC">
            <w:pPr>
              <w:pStyle w:val="180"/>
              <w:spacing w:line="560" w:lineRule="exact"/>
              <w:ind w:firstLine="0" w:firstLineChars="0"/>
              <w:jc w:val="center"/>
              <w:rPr>
                <w:rFonts w:hint="eastAsia" w:ascii="宋体" w:hAnsi="宋体" w:eastAsia="宋体" w:cs="宋体"/>
                <w:sz w:val="21"/>
                <w:szCs w:val="21"/>
              </w:rPr>
            </w:pPr>
          </w:p>
        </w:tc>
      </w:tr>
    </w:tbl>
    <w:p w14:paraId="2395A169">
      <w:pPr>
        <w:spacing w:line="560" w:lineRule="exact"/>
        <w:ind w:firstLine="420" w:firstLineChars="200"/>
        <w:rPr>
          <w:rFonts w:hint="eastAsia" w:ascii="宋体" w:hAnsi="宋体" w:eastAsia="宋体" w:cs="宋体"/>
          <w:sz w:val="21"/>
          <w:szCs w:val="21"/>
        </w:rPr>
      </w:pPr>
      <w:bookmarkStart w:id="150" w:name="_Toc30158"/>
      <w:bookmarkStart w:id="151" w:name="_Toc30506"/>
      <w:bookmarkStart w:id="152" w:name="_Toc3654"/>
      <w:bookmarkStart w:id="153" w:name="_Toc14993"/>
      <w:bookmarkStart w:id="154" w:name="_Toc26916"/>
      <w:r>
        <w:rPr>
          <w:rFonts w:hint="eastAsia" w:ascii="宋体" w:hAnsi="宋体" w:eastAsia="宋体" w:cs="宋体"/>
          <w:bCs/>
          <w:sz w:val="21"/>
          <w:szCs w:val="21"/>
        </w:rPr>
        <w:t>1.3.2单价合同，本合同单价（含税）标准为：</w:t>
      </w:r>
      <w:r>
        <w:rPr>
          <w:rFonts w:hint="eastAsia" w:ascii="宋体" w:hAnsi="宋体" w:eastAsia="宋体" w:cs="宋体"/>
          <w:bCs/>
          <w:sz w:val="21"/>
          <w:szCs w:val="21"/>
          <w:u w:val="single"/>
        </w:rPr>
        <w:t xml:space="preserve">                   </w:t>
      </w:r>
      <w:r>
        <w:rPr>
          <w:rFonts w:hint="eastAsia" w:ascii="宋体" w:hAnsi="宋体" w:eastAsia="宋体" w:cs="宋体"/>
          <w:sz w:val="21"/>
          <w:szCs w:val="21"/>
        </w:rPr>
        <w:t>。服务工作量的计量方式为：</w:t>
      </w:r>
      <w:r>
        <w:rPr>
          <w:rFonts w:hint="eastAsia" w:ascii="宋体" w:hAnsi="宋体" w:eastAsia="宋体" w:cs="宋体"/>
          <w:bCs/>
          <w:sz w:val="21"/>
          <w:szCs w:val="21"/>
          <w:u w:val="single"/>
        </w:rPr>
        <w:t xml:space="preserve">       </w:t>
      </w:r>
      <w:r>
        <w:rPr>
          <w:rFonts w:hint="eastAsia" w:ascii="宋体" w:hAnsi="宋体" w:eastAsia="宋体" w:cs="宋体"/>
          <w:b/>
          <w:i/>
          <w:sz w:val="21"/>
          <w:szCs w:val="21"/>
          <w:u w:val="single"/>
        </w:rPr>
        <w:t>合同专用条款</w:t>
      </w:r>
      <w:r>
        <w:rPr>
          <w:rFonts w:hint="eastAsia" w:ascii="宋体" w:hAnsi="宋体" w:eastAsia="宋体" w:cs="宋体"/>
          <w:bCs/>
          <w:sz w:val="21"/>
          <w:szCs w:val="21"/>
          <w:u w:val="single"/>
        </w:rPr>
        <w:t xml:space="preserve">     </w:t>
      </w:r>
      <w:r>
        <w:rPr>
          <w:rFonts w:hint="eastAsia" w:ascii="宋体" w:hAnsi="宋体" w:eastAsia="宋体" w:cs="宋体"/>
          <w:sz w:val="21"/>
          <w:szCs w:val="21"/>
        </w:rPr>
        <w:t>。单价合同，在合同履行期间内，根据实际完成的工作量据实结算，但结算总价上限不得超过预算金额或者双方确定的金额￥</w:t>
      </w:r>
      <w:r>
        <w:rPr>
          <w:rFonts w:hint="eastAsia" w:ascii="宋体" w:hAnsi="宋体" w:eastAsia="宋体" w:cs="宋体"/>
          <w:sz w:val="21"/>
          <w:szCs w:val="21"/>
          <w:u w:val="single"/>
        </w:rPr>
        <w:t xml:space="preserve">           </w:t>
      </w:r>
      <w:r>
        <w:rPr>
          <w:rFonts w:hint="eastAsia" w:ascii="宋体" w:hAnsi="宋体" w:eastAsia="宋体" w:cs="宋体"/>
          <w:sz w:val="21"/>
          <w:szCs w:val="21"/>
        </w:rPr>
        <w:t>元（大写：</w:t>
      </w:r>
      <w:r>
        <w:rPr>
          <w:rFonts w:hint="eastAsia" w:ascii="宋体" w:hAnsi="宋体" w:eastAsia="宋体" w:cs="宋体"/>
          <w:sz w:val="21"/>
          <w:szCs w:val="21"/>
          <w:u w:val="single"/>
        </w:rPr>
        <w:t xml:space="preserve">                 </w:t>
      </w:r>
      <w:r>
        <w:rPr>
          <w:rFonts w:hint="eastAsia" w:ascii="宋体" w:hAnsi="宋体" w:eastAsia="宋体" w:cs="宋体"/>
          <w:sz w:val="21"/>
          <w:szCs w:val="21"/>
        </w:rPr>
        <w:t>元人民币）。</w:t>
      </w:r>
    </w:p>
    <w:p w14:paraId="015536DE">
      <w:pPr>
        <w:pStyle w:val="3"/>
        <w:rPr>
          <w:rFonts w:hint="eastAsia" w:ascii="宋体" w:hAnsi="宋体" w:eastAsia="宋体" w:cs="宋体"/>
          <w:szCs w:val="21"/>
          <w:lang w:val="en-US"/>
        </w:rPr>
      </w:pPr>
      <w:r>
        <w:rPr>
          <w:rFonts w:hint="eastAsia" w:ascii="宋体" w:hAnsi="宋体" w:eastAsia="宋体" w:cs="宋体"/>
          <w:sz w:val="21"/>
          <w:szCs w:val="21"/>
          <w:lang w:val="en-US"/>
        </w:rPr>
        <w:t xml:space="preserve">    </w:t>
      </w:r>
      <w:r>
        <w:rPr>
          <w:rFonts w:hint="eastAsia" w:ascii="宋体" w:hAnsi="宋体" w:eastAsia="宋体" w:cs="宋体"/>
          <w:b w:val="0"/>
          <w:bCs w:val="0"/>
          <w:sz w:val="21"/>
          <w:szCs w:val="21"/>
          <w:lang w:val="en-US"/>
        </w:rPr>
        <w:t>1.3.3其他计价方式：</w:t>
      </w:r>
      <w:r>
        <w:rPr>
          <w:rFonts w:hint="eastAsia" w:ascii="宋体" w:hAnsi="宋体" w:eastAsia="宋体" w:cs="宋体"/>
          <w:b w:val="0"/>
          <w:bCs w:val="0"/>
          <w:sz w:val="21"/>
          <w:szCs w:val="21"/>
          <w:u w:val="single"/>
          <w:lang w:val="en-US"/>
        </w:rPr>
        <w:t xml:space="preserve">                   </w:t>
      </w:r>
      <w:r>
        <w:rPr>
          <w:rFonts w:hint="eastAsia" w:ascii="宋体" w:hAnsi="宋体" w:eastAsia="宋体" w:cs="宋体"/>
          <w:b w:val="0"/>
          <w:bCs w:val="0"/>
          <w:sz w:val="21"/>
          <w:szCs w:val="21"/>
        </w:rPr>
        <w:t>。</w:t>
      </w:r>
    </w:p>
    <w:bookmarkEnd w:id="150"/>
    <w:bookmarkEnd w:id="151"/>
    <w:bookmarkEnd w:id="152"/>
    <w:bookmarkEnd w:id="153"/>
    <w:bookmarkEnd w:id="154"/>
    <w:p w14:paraId="2499D46E">
      <w:pPr>
        <w:pStyle w:val="179"/>
        <w:spacing w:before="0" w:beforeAutospacing="0" w:after="0" w:afterAutospacing="0" w:line="360" w:lineRule="auto"/>
        <w:ind w:firstLine="480"/>
        <w:rPr>
          <w:rFonts w:hint="eastAsia" w:ascii="宋体" w:hAnsi="宋体" w:eastAsia="宋体" w:cs="宋体"/>
          <w:b/>
          <w:sz w:val="21"/>
          <w:szCs w:val="21"/>
        </w:rPr>
      </w:pPr>
      <w:bookmarkStart w:id="155" w:name="_Toc1814"/>
      <w:bookmarkStart w:id="156" w:name="_Toc10340"/>
      <w:bookmarkStart w:id="157" w:name="_Toc22618"/>
      <w:bookmarkStart w:id="158" w:name="_Toc8772"/>
      <w:bookmarkStart w:id="159" w:name="_Toc3625"/>
      <w:bookmarkStart w:id="160" w:name="_Toc11108"/>
      <w:bookmarkStart w:id="161" w:name="_Toc4760"/>
      <w:bookmarkStart w:id="162" w:name="_Toc31421"/>
      <w:r>
        <w:rPr>
          <w:rFonts w:hint="eastAsia" w:ascii="宋体" w:hAnsi="宋体" w:eastAsia="宋体" w:cs="宋体"/>
          <w:b/>
          <w:sz w:val="21"/>
          <w:szCs w:val="21"/>
        </w:rPr>
        <w:t>1.4履约保证金</w:t>
      </w:r>
    </w:p>
    <w:p w14:paraId="1EFCF9D9">
      <w:pPr>
        <w:pStyle w:val="179"/>
        <w:spacing w:before="0" w:beforeAutospacing="0" w:after="0" w:afterAutospacing="0" w:line="360" w:lineRule="auto"/>
        <w:ind w:firstLine="480"/>
        <w:rPr>
          <w:rFonts w:hint="eastAsia" w:ascii="宋体" w:hAnsi="宋体" w:eastAsia="宋体" w:cs="宋体"/>
          <w:sz w:val="21"/>
          <w:szCs w:val="21"/>
        </w:rPr>
      </w:pPr>
      <w:r>
        <w:rPr>
          <w:rFonts w:hint="eastAsia" w:ascii="宋体" w:hAnsi="宋体" w:eastAsia="宋体" w:cs="宋体"/>
          <w:sz w:val="21"/>
          <w:szCs w:val="21"/>
        </w:rPr>
        <w:t>乙方</w:t>
      </w:r>
      <w:r>
        <w:rPr>
          <w:rFonts w:hint="eastAsia" w:ascii="宋体" w:hAnsi="宋体" w:eastAsia="宋体" w:cs="宋体"/>
          <w:sz w:val="21"/>
          <w:szCs w:val="21"/>
          <w:u w:val="single"/>
        </w:rPr>
        <w:t xml:space="preserve">     </w:t>
      </w:r>
      <w:r>
        <w:rPr>
          <w:rFonts w:hint="eastAsia" w:ascii="宋体" w:hAnsi="宋体" w:eastAsia="宋体" w:cs="宋体"/>
          <w:sz w:val="21"/>
          <w:szCs w:val="21"/>
        </w:rPr>
        <w:t>（是/否）需要支付履约保证金。若需要支付履约保证金的，则：</w:t>
      </w:r>
    </w:p>
    <w:p w14:paraId="1E4D323C">
      <w:pPr>
        <w:spacing w:line="560" w:lineRule="exact"/>
        <w:ind w:firstLine="420" w:firstLineChars="200"/>
        <w:outlineLvl w:val="0"/>
        <w:rPr>
          <w:rFonts w:hint="eastAsia" w:ascii="宋体" w:hAnsi="宋体" w:eastAsia="宋体" w:cs="宋体"/>
          <w:kern w:val="0"/>
          <w:sz w:val="21"/>
          <w:szCs w:val="21"/>
        </w:rPr>
      </w:pPr>
      <w:r>
        <w:rPr>
          <w:rFonts w:hint="eastAsia" w:ascii="宋体" w:hAnsi="宋体" w:eastAsia="宋体" w:cs="宋体"/>
          <w:kern w:val="0"/>
          <w:sz w:val="21"/>
          <w:szCs w:val="21"/>
        </w:rPr>
        <w:t>1.4.1履约保证金的比例为合同金额的</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w:t>
      </w:r>
    </w:p>
    <w:p w14:paraId="747110DB">
      <w:pPr>
        <w:spacing w:line="560" w:lineRule="exact"/>
        <w:ind w:firstLine="420" w:firstLineChars="200"/>
        <w:outlineLvl w:val="0"/>
        <w:rPr>
          <w:rFonts w:hint="eastAsia" w:ascii="宋体" w:hAnsi="宋体" w:eastAsia="宋体" w:cs="宋体"/>
          <w:kern w:val="0"/>
          <w:sz w:val="21"/>
          <w:szCs w:val="21"/>
        </w:rPr>
      </w:pPr>
      <w:r>
        <w:rPr>
          <w:rFonts w:hint="eastAsia" w:ascii="宋体" w:hAnsi="宋体" w:eastAsia="宋体" w:cs="宋体"/>
          <w:kern w:val="0"/>
          <w:sz w:val="21"/>
          <w:szCs w:val="21"/>
        </w:rPr>
        <w:t>1.4.2履约保证金支付方式详见</w:t>
      </w:r>
      <w:r>
        <w:rPr>
          <w:rFonts w:hint="eastAsia" w:ascii="宋体" w:hAnsi="宋体" w:eastAsia="宋体" w:cs="宋体"/>
          <w:kern w:val="0"/>
          <w:sz w:val="21"/>
          <w:szCs w:val="21"/>
          <w:u w:val="single"/>
        </w:rPr>
        <w:t xml:space="preserve">    </w:t>
      </w:r>
      <w:r>
        <w:rPr>
          <w:rFonts w:hint="eastAsia" w:ascii="宋体" w:hAnsi="宋体" w:eastAsia="宋体" w:cs="宋体"/>
          <w:b/>
          <w:i/>
          <w:sz w:val="21"/>
          <w:szCs w:val="21"/>
          <w:u w:val="single"/>
        </w:rPr>
        <w:t>合同专用条款</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w:t>
      </w:r>
    </w:p>
    <w:p w14:paraId="1A4A4E92">
      <w:pPr>
        <w:pStyle w:val="3"/>
        <w:tabs>
          <w:tab w:val="left" w:pos="0"/>
        </w:tabs>
        <w:spacing w:line="560" w:lineRule="exact"/>
        <w:ind w:left="0" w:firstLine="420" w:firstLineChars="200"/>
        <w:rPr>
          <w:rFonts w:hint="eastAsia" w:ascii="宋体" w:hAnsi="宋体" w:eastAsia="宋体" w:cs="宋体"/>
          <w:szCs w:val="21"/>
          <w:lang w:val="en-US"/>
        </w:rPr>
      </w:pPr>
      <w:r>
        <w:rPr>
          <w:rFonts w:hint="eastAsia" w:ascii="宋体" w:hAnsi="宋体" w:eastAsia="宋体" w:cs="宋体"/>
          <w:b w:val="0"/>
          <w:bCs w:val="0"/>
          <w:kern w:val="0"/>
          <w:sz w:val="21"/>
          <w:szCs w:val="21"/>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7BCB0E2">
      <w:pPr>
        <w:spacing w:line="560" w:lineRule="exact"/>
        <w:ind w:firstLine="420" w:firstLineChars="200"/>
        <w:outlineLvl w:val="0"/>
        <w:rPr>
          <w:rFonts w:hint="eastAsia" w:ascii="宋体" w:hAnsi="宋体" w:eastAsia="宋体" w:cs="宋体"/>
          <w:kern w:val="0"/>
          <w:sz w:val="21"/>
          <w:szCs w:val="21"/>
        </w:rPr>
      </w:pPr>
      <w:r>
        <w:rPr>
          <w:rFonts w:hint="eastAsia" w:ascii="宋体" w:hAnsi="宋体" w:eastAsia="宋体" w:cs="宋体"/>
          <w:kern w:val="0"/>
          <w:sz w:val="21"/>
          <w:szCs w:val="21"/>
        </w:rPr>
        <w:t>1.4.4甲方在项目验收结束后及时退还履约保证金。甲方在项目通过验收之日起</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个工作日内将履约保证金无息退还乙方，逾期退还的，乙方可要求甲方支付违约金，违约金按每迟延退还一日的应退还而未退还金额的</w:t>
      </w:r>
      <w:r>
        <w:rPr>
          <w:rFonts w:hint="eastAsia" w:ascii="宋体" w:hAnsi="宋体" w:eastAsia="宋体" w:cs="宋体"/>
          <w:kern w:val="0"/>
          <w:sz w:val="21"/>
          <w:szCs w:val="21"/>
          <w:u w:val="single"/>
        </w:rPr>
        <w:t xml:space="preserve">  0.05（可根据情况修改）  </w:t>
      </w:r>
      <w:r>
        <w:rPr>
          <w:rFonts w:hint="eastAsia" w:ascii="宋体" w:hAnsi="宋体" w:eastAsia="宋体" w:cs="宋体"/>
          <w:kern w:val="0"/>
          <w:sz w:val="21"/>
          <w:szCs w:val="21"/>
        </w:rPr>
        <w:t>%计算，最高限额为本合同履约保证金的</w:t>
      </w:r>
      <w:r>
        <w:rPr>
          <w:rFonts w:hint="eastAsia" w:ascii="宋体" w:hAnsi="宋体" w:eastAsia="宋体" w:cs="宋体"/>
          <w:kern w:val="0"/>
          <w:sz w:val="21"/>
          <w:szCs w:val="21"/>
          <w:u w:val="single"/>
        </w:rPr>
        <w:t xml:space="preserve">  20  </w:t>
      </w:r>
      <w:r>
        <w:rPr>
          <w:rFonts w:hint="eastAsia" w:ascii="宋体" w:hAnsi="宋体" w:eastAsia="宋体" w:cs="宋体"/>
          <w:kern w:val="0"/>
          <w:sz w:val="21"/>
          <w:szCs w:val="21"/>
        </w:rPr>
        <w:t xml:space="preserve"> %。</w:t>
      </w:r>
    </w:p>
    <w:p w14:paraId="03673993">
      <w:pPr>
        <w:spacing w:line="560" w:lineRule="exact"/>
        <w:ind w:firstLine="422" w:firstLineChars="200"/>
        <w:outlineLvl w:val="0"/>
        <w:rPr>
          <w:rFonts w:hint="eastAsia" w:ascii="宋体" w:hAnsi="宋体" w:eastAsia="宋体" w:cs="宋体"/>
          <w:b/>
          <w:sz w:val="21"/>
          <w:szCs w:val="21"/>
        </w:rPr>
      </w:pPr>
      <w:r>
        <w:rPr>
          <w:rFonts w:hint="eastAsia" w:ascii="宋体" w:hAnsi="宋体" w:eastAsia="宋体" w:cs="宋体"/>
          <w:b/>
          <w:sz w:val="21"/>
          <w:szCs w:val="21"/>
        </w:rPr>
        <w:t>1.5</w:t>
      </w:r>
      <w:bookmarkEnd w:id="155"/>
      <w:bookmarkEnd w:id="156"/>
      <w:bookmarkEnd w:id="157"/>
      <w:r>
        <w:rPr>
          <w:rFonts w:hint="eastAsia" w:ascii="宋体" w:hAnsi="宋体" w:eastAsia="宋体" w:cs="宋体"/>
          <w:b/>
          <w:sz w:val="21"/>
          <w:szCs w:val="21"/>
        </w:rPr>
        <w:t>预付款</w:t>
      </w:r>
    </w:p>
    <w:p w14:paraId="49EEF54A">
      <w:pPr>
        <w:pStyle w:val="179"/>
        <w:spacing w:before="0" w:beforeAutospacing="0" w:after="0" w:afterAutospacing="0" w:line="360" w:lineRule="auto"/>
        <w:ind w:firstLine="480"/>
        <w:rPr>
          <w:rFonts w:hint="eastAsia" w:ascii="宋体" w:hAnsi="宋体" w:eastAsia="宋体" w:cs="宋体"/>
          <w:sz w:val="21"/>
          <w:szCs w:val="21"/>
        </w:rPr>
      </w:pPr>
      <w:r>
        <w:rPr>
          <w:rFonts w:hint="eastAsia" w:ascii="宋体" w:hAnsi="宋体" w:eastAsia="宋体" w:cs="宋体"/>
          <w:sz w:val="21"/>
          <w:szCs w:val="21"/>
        </w:rPr>
        <w:t>甲方</w:t>
      </w:r>
      <w:r>
        <w:rPr>
          <w:rFonts w:hint="eastAsia" w:ascii="宋体" w:hAnsi="宋体" w:eastAsia="宋体" w:cs="宋体"/>
          <w:sz w:val="21"/>
          <w:szCs w:val="21"/>
          <w:u w:val="single"/>
        </w:rPr>
        <w:t xml:space="preserve">     </w:t>
      </w:r>
      <w:r>
        <w:rPr>
          <w:rFonts w:hint="eastAsia" w:ascii="宋体" w:hAnsi="宋体" w:eastAsia="宋体" w:cs="宋体"/>
          <w:sz w:val="21"/>
          <w:szCs w:val="21"/>
        </w:rPr>
        <w:t>（是/否）需要支付预付款。若需要支付预付款的，则：</w:t>
      </w:r>
    </w:p>
    <w:p w14:paraId="69B4D4C2">
      <w:pPr>
        <w:spacing w:line="560" w:lineRule="exact"/>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1.5.1预付款比例、支付方式、时间详见</w:t>
      </w:r>
      <w:r>
        <w:rPr>
          <w:rFonts w:hint="eastAsia" w:ascii="宋体" w:hAnsi="宋体" w:eastAsia="宋体" w:cs="宋体"/>
          <w:kern w:val="0"/>
          <w:sz w:val="21"/>
          <w:szCs w:val="21"/>
          <w:u w:val="single"/>
        </w:rPr>
        <w:t xml:space="preserve">    </w:t>
      </w:r>
      <w:r>
        <w:rPr>
          <w:rFonts w:hint="eastAsia" w:ascii="宋体" w:hAnsi="宋体" w:eastAsia="宋体" w:cs="宋体"/>
          <w:b/>
          <w:i/>
          <w:sz w:val="21"/>
          <w:szCs w:val="21"/>
          <w:u w:val="single"/>
        </w:rPr>
        <w:t>合同专用条款</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w:t>
      </w:r>
    </w:p>
    <w:p w14:paraId="2140EDB6">
      <w:pPr>
        <w:pStyle w:val="179"/>
        <w:spacing w:before="0" w:beforeAutospacing="0" w:after="0" w:afterAutospacing="0" w:line="360" w:lineRule="auto"/>
        <w:ind w:firstLine="480"/>
        <w:rPr>
          <w:rFonts w:hint="eastAsia" w:ascii="宋体" w:hAnsi="宋体" w:eastAsia="宋体" w:cs="宋体"/>
          <w:sz w:val="21"/>
          <w:szCs w:val="21"/>
        </w:rPr>
      </w:pPr>
      <w:r>
        <w:rPr>
          <w:rFonts w:hint="eastAsia" w:ascii="宋体" w:hAnsi="宋体" w:eastAsia="宋体" w:cs="宋体"/>
          <w:sz w:val="21"/>
          <w:szCs w:val="21"/>
        </w:rPr>
        <w:t>1.5.2预付款的扣回方式详见</w:t>
      </w:r>
      <w:r>
        <w:rPr>
          <w:rFonts w:hint="eastAsia" w:ascii="宋体" w:hAnsi="宋体" w:eastAsia="宋体" w:cs="宋体"/>
          <w:sz w:val="21"/>
          <w:szCs w:val="21"/>
          <w:u w:val="single"/>
        </w:rPr>
        <w:t xml:space="preserve">    </w:t>
      </w:r>
      <w:r>
        <w:rPr>
          <w:rFonts w:hint="eastAsia" w:ascii="宋体" w:hAnsi="宋体" w:eastAsia="宋体" w:cs="宋体"/>
          <w:b/>
          <w:i/>
          <w:sz w:val="21"/>
          <w:szCs w:val="21"/>
          <w:u w:val="single"/>
        </w:rPr>
        <w:t>合同专用条款</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4A6A3E37">
      <w:pPr>
        <w:pStyle w:val="179"/>
        <w:spacing w:before="0" w:beforeAutospacing="0" w:after="0" w:afterAutospacing="0" w:line="360" w:lineRule="auto"/>
        <w:ind w:firstLine="480"/>
        <w:rPr>
          <w:rFonts w:hint="eastAsia" w:ascii="宋体" w:hAnsi="宋体" w:eastAsia="宋体" w:cs="宋体"/>
          <w:sz w:val="21"/>
          <w:szCs w:val="21"/>
          <w:u w:val="single"/>
        </w:rPr>
      </w:pPr>
      <w:r>
        <w:rPr>
          <w:rFonts w:hint="eastAsia" w:ascii="宋体" w:hAnsi="宋体" w:eastAsia="宋体" w:cs="宋体"/>
          <w:sz w:val="21"/>
          <w:szCs w:val="21"/>
        </w:rPr>
        <w:t>1.5.3预付款的担保措施详见</w:t>
      </w:r>
      <w:r>
        <w:rPr>
          <w:rFonts w:hint="eastAsia" w:ascii="宋体" w:hAnsi="宋体" w:eastAsia="宋体" w:cs="宋体"/>
          <w:sz w:val="21"/>
          <w:szCs w:val="21"/>
          <w:u w:val="single"/>
        </w:rPr>
        <w:t xml:space="preserve">    </w:t>
      </w:r>
      <w:r>
        <w:rPr>
          <w:rFonts w:hint="eastAsia" w:ascii="宋体" w:hAnsi="宋体" w:eastAsia="宋体" w:cs="宋体"/>
          <w:b/>
          <w:i/>
          <w:sz w:val="21"/>
          <w:szCs w:val="21"/>
          <w:u w:val="single"/>
        </w:rPr>
        <w:t>合同专用条款</w:t>
      </w:r>
      <w:r>
        <w:rPr>
          <w:rFonts w:hint="eastAsia" w:ascii="宋体" w:hAnsi="宋体" w:eastAsia="宋体" w:cs="宋体"/>
          <w:sz w:val="21"/>
          <w:szCs w:val="21"/>
          <w:u w:val="single"/>
        </w:rPr>
        <w:t xml:space="preserve">          </w:t>
      </w:r>
      <w:r>
        <w:rPr>
          <w:rFonts w:hint="eastAsia" w:ascii="宋体" w:hAnsi="宋体" w:eastAsia="宋体" w:cs="宋体"/>
          <w:sz w:val="21"/>
          <w:szCs w:val="21"/>
        </w:rPr>
        <w:t>。</w:t>
      </w:r>
    </w:p>
    <w:p w14:paraId="2D479B51">
      <w:pPr>
        <w:pStyle w:val="179"/>
        <w:spacing w:before="0" w:beforeAutospacing="0" w:after="0" w:afterAutospacing="0" w:line="360" w:lineRule="auto"/>
        <w:ind w:firstLine="480"/>
        <w:rPr>
          <w:rFonts w:hint="eastAsia" w:ascii="宋体" w:hAnsi="宋体" w:eastAsia="宋体" w:cs="宋体"/>
          <w:b/>
          <w:bCs/>
          <w:sz w:val="21"/>
          <w:szCs w:val="21"/>
        </w:rPr>
      </w:pPr>
      <w:r>
        <w:rPr>
          <w:rFonts w:hint="eastAsia" w:ascii="宋体" w:hAnsi="宋体" w:eastAsia="宋体" w:cs="宋体"/>
          <w:b/>
          <w:bCs/>
          <w:sz w:val="21"/>
          <w:szCs w:val="21"/>
        </w:rPr>
        <w:t>1.6资金支付</w:t>
      </w:r>
    </w:p>
    <w:p w14:paraId="54E030A7">
      <w:pPr>
        <w:pStyle w:val="179"/>
        <w:spacing w:before="0" w:beforeAutospacing="0" w:after="0" w:afterAutospacing="0" w:line="360" w:lineRule="auto"/>
        <w:ind w:firstLine="480"/>
        <w:rPr>
          <w:rFonts w:hint="eastAsia" w:ascii="宋体" w:hAnsi="宋体" w:eastAsia="宋体" w:cs="宋体"/>
          <w:sz w:val="21"/>
          <w:szCs w:val="21"/>
        </w:rPr>
      </w:pPr>
      <w:r>
        <w:rPr>
          <w:rFonts w:hint="eastAsia" w:ascii="宋体" w:hAnsi="宋体" w:eastAsia="宋体" w:cs="宋体"/>
          <w:sz w:val="21"/>
          <w:szCs w:val="21"/>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99B4AD0">
      <w:pPr>
        <w:spacing w:line="560" w:lineRule="exact"/>
        <w:ind w:firstLine="420" w:firstLineChars="200"/>
        <w:outlineLvl w:val="0"/>
        <w:rPr>
          <w:rFonts w:hint="eastAsia" w:ascii="宋体" w:hAnsi="宋体" w:eastAsia="宋体" w:cs="宋体"/>
          <w:sz w:val="21"/>
          <w:szCs w:val="21"/>
        </w:rPr>
      </w:pPr>
      <w:r>
        <w:rPr>
          <w:rFonts w:hint="eastAsia" w:ascii="宋体" w:hAnsi="宋体" w:eastAsia="宋体" w:cs="宋体"/>
          <w:sz w:val="21"/>
          <w:szCs w:val="21"/>
        </w:rPr>
        <w:t>1.6.2资金支付的方式、时间和条件详见</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27CD6546">
      <w:pPr>
        <w:spacing w:line="560" w:lineRule="exact"/>
        <w:ind w:firstLine="422" w:firstLineChars="200"/>
        <w:outlineLvl w:val="0"/>
        <w:rPr>
          <w:rFonts w:hint="eastAsia" w:ascii="宋体" w:hAnsi="宋体" w:eastAsia="宋体" w:cs="宋体"/>
          <w:b/>
          <w:sz w:val="21"/>
          <w:szCs w:val="21"/>
        </w:rPr>
      </w:pPr>
      <w:r>
        <w:rPr>
          <w:rFonts w:hint="eastAsia" w:ascii="宋体" w:hAnsi="宋体" w:eastAsia="宋体" w:cs="宋体"/>
          <w:b/>
          <w:sz w:val="21"/>
          <w:szCs w:val="21"/>
        </w:rPr>
        <w:t>1.7 履行期限、地点和方式</w:t>
      </w:r>
      <w:bookmarkEnd w:id="158"/>
      <w:bookmarkEnd w:id="159"/>
      <w:bookmarkEnd w:id="160"/>
      <w:bookmarkEnd w:id="161"/>
      <w:bookmarkEnd w:id="162"/>
    </w:p>
    <w:p w14:paraId="0602C083">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1.7.1 服务交付（实施）的时间（期限）：</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3FA37F0E">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1.7.2 服务交付（实施）的地点（地域范围）：</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5E37579E">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1.7.3 服务交付（实施）的方式：</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6E6FB142">
      <w:pPr>
        <w:spacing w:line="560" w:lineRule="exact"/>
        <w:ind w:firstLine="420" w:firstLineChars="200"/>
        <w:outlineLvl w:val="0"/>
        <w:rPr>
          <w:rFonts w:hint="eastAsia" w:ascii="宋体" w:hAnsi="宋体" w:eastAsia="宋体" w:cs="宋体"/>
          <w:bCs/>
          <w:sz w:val="21"/>
          <w:szCs w:val="21"/>
        </w:rPr>
      </w:pPr>
      <w:bookmarkStart w:id="163" w:name="_Toc5698"/>
      <w:bookmarkStart w:id="164" w:name="_Toc8586"/>
      <w:bookmarkStart w:id="165" w:name="_Toc3079"/>
      <w:bookmarkStart w:id="166" w:name="_Toc2375"/>
      <w:bookmarkStart w:id="167" w:name="_Toc24662"/>
      <w:r>
        <w:rPr>
          <w:rFonts w:hint="eastAsia" w:ascii="宋体" w:hAnsi="宋体" w:eastAsia="宋体" w:cs="宋体"/>
          <w:bCs/>
          <w:sz w:val="21"/>
          <w:szCs w:val="21"/>
        </w:rPr>
        <w:t>1.7.4若服务涉及货物的，则货物的：</w:t>
      </w:r>
    </w:p>
    <w:p w14:paraId="465952AB">
      <w:pPr>
        <w:spacing w:line="56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1.7.4.1 交付期限：详见</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53E2C5DF">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1.7.4.2 交付地点：</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6D3F15C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1.7.4.3 交付方式：</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02A43CC7">
      <w:pPr>
        <w:spacing w:line="560" w:lineRule="exact"/>
        <w:ind w:firstLine="422" w:firstLineChars="200"/>
        <w:outlineLvl w:val="0"/>
        <w:rPr>
          <w:rFonts w:hint="eastAsia" w:ascii="宋体" w:hAnsi="宋体" w:eastAsia="宋体" w:cs="宋体"/>
          <w:sz w:val="21"/>
          <w:szCs w:val="21"/>
          <w:u w:val="single"/>
        </w:rPr>
      </w:pPr>
      <w:r>
        <w:rPr>
          <w:rFonts w:hint="eastAsia" w:ascii="宋体" w:hAnsi="宋体" w:eastAsia="宋体" w:cs="宋体"/>
          <w:b/>
          <w:sz w:val="21"/>
          <w:szCs w:val="21"/>
        </w:rPr>
        <w:t>1.8违约责任</w:t>
      </w:r>
      <w:bookmarkEnd w:id="163"/>
      <w:bookmarkEnd w:id="164"/>
      <w:bookmarkEnd w:id="165"/>
      <w:bookmarkEnd w:id="166"/>
      <w:bookmarkEnd w:id="167"/>
    </w:p>
    <w:p w14:paraId="71F79CB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sz w:val="21"/>
          <w:szCs w:val="21"/>
          <w:u w:val="single"/>
        </w:rPr>
        <w:t xml:space="preserve">0.05 </w:t>
      </w:r>
      <w:r>
        <w:rPr>
          <w:rFonts w:hint="eastAsia" w:ascii="宋体" w:hAnsi="宋体" w:eastAsia="宋体" w:cs="宋体"/>
          <w:sz w:val="21"/>
          <w:szCs w:val="21"/>
        </w:rPr>
        <w:t>%计算，最高限额为本合同总价的</w:t>
      </w:r>
      <w:r>
        <w:rPr>
          <w:rFonts w:hint="eastAsia" w:ascii="宋体" w:hAnsi="宋体" w:eastAsia="宋体" w:cs="宋体"/>
          <w:sz w:val="21"/>
          <w:szCs w:val="21"/>
          <w:u w:val="single"/>
        </w:rPr>
        <w:t xml:space="preserve">  20   </w:t>
      </w:r>
      <w:r>
        <w:rPr>
          <w:rFonts w:hint="eastAsia" w:ascii="宋体" w:hAnsi="宋体" w:eastAsia="宋体" w:cs="宋体"/>
          <w:sz w:val="21"/>
          <w:szCs w:val="21"/>
        </w:rPr>
        <w:t>%；迟延履行的违约金计算数额达到前述最高限额之日起，甲方有权在要求乙方支付违约金的同时，书面通知乙方解除本合同；</w:t>
      </w:r>
    </w:p>
    <w:p w14:paraId="5C94D1E9">
      <w:pPr>
        <w:pStyle w:val="3"/>
        <w:ind w:left="0" w:firstLine="420" w:firstLineChars="200"/>
        <w:rPr>
          <w:rFonts w:hint="eastAsia" w:ascii="宋体" w:hAnsi="宋体" w:eastAsia="宋体" w:cs="宋体"/>
          <w:b w:val="0"/>
          <w:bCs w:val="0"/>
          <w:sz w:val="21"/>
          <w:szCs w:val="21"/>
          <w:lang w:val="en-US"/>
        </w:rPr>
      </w:pPr>
      <w:r>
        <w:rPr>
          <w:rFonts w:hint="eastAsia" w:ascii="宋体" w:hAnsi="宋体" w:eastAsia="宋体" w:cs="宋体"/>
          <w:b w:val="0"/>
          <w:bCs w:val="0"/>
          <w:sz w:val="21"/>
          <w:szCs w:val="21"/>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1"/>
          <w:szCs w:val="21"/>
          <w:u w:val="single"/>
          <w:lang w:val="en-US"/>
        </w:rPr>
        <w:t xml:space="preserve">  0.05（可根据情况修改）   </w:t>
      </w:r>
      <w:r>
        <w:rPr>
          <w:rFonts w:hint="eastAsia" w:ascii="宋体" w:hAnsi="宋体" w:eastAsia="宋体" w:cs="宋体"/>
          <w:b w:val="0"/>
          <w:bCs w:val="0"/>
          <w:sz w:val="21"/>
          <w:szCs w:val="21"/>
          <w:lang w:val="en-US"/>
        </w:rPr>
        <w:t>%计算，最高限额为本合同总价的</w:t>
      </w:r>
      <w:r>
        <w:rPr>
          <w:rFonts w:hint="eastAsia" w:ascii="宋体" w:hAnsi="宋体" w:eastAsia="宋体" w:cs="宋体"/>
          <w:b w:val="0"/>
          <w:bCs w:val="0"/>
          <w:sz w:val="21"/>
          <w:szCs w:val="21"/>
          <w:u w:val="single"/>
          <w:lang w:val="en-US"/>
        </w:rPr>
        <w:t xml:space="preserve">  20  </w:t>
      </w:r>
      <w:r>
        <w:rPr>
          <w:rFonts w:hint="eastAsia" w:ascii="宋体" w:hAnsi="宋体" w:eastAsia="宋体" w:cs="宋体"/>
          <w:b w:val="0"/>
          <w:bCs w:val="0"/>
          <w:sz w:val="21"/>
          <w:szCs w:val="21"/>
          <w:lang w:val="en-US"/>
        </w:rPr>
        <w:t>%；迟延交付货物的违约金计算数额达到前述最高限额之日起，甲方有权在要求乙方支付违约金的同时，书面通知乙方解除本合同；</w:t>
      </w:r>
    </w:p>
    <w:p w14:paraId="4060F6A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1.8.3除不可抗力外，如果甲方没有按照本合同约定的付款方式付款，那么乙方可要求甲方支付违约金，违约金按每迟延付款一日的应付而未付款的</w:t>
      </w:r>
      <w:r>
        <w:rPr>
          <w:rFonts w:hint="eastAsia" w:ascii="宋体" w:hAnsi="宋体" w:eastAsia="宋体" w:cs="宋体"/>
          <w:sz w:val="21"/>
          <w:szCs w:val="21"/>
          <w:u w:val="single"/>
        </w:rPr>
        <w:t xml:space="preserve">   0.05   </w:t>
      </w:r>
      <w:r>
        <w:rPr>
          <w:rFonts w:hint="eastAsia" w:ascii="宋体" w:hAnsi="宋体" w:eastAsia="宋体" w:cs="宋体"/>
          <w:sz w:val="21"/>
          <w:szCs w:val="21"/>
        </w:rPr>
        <w:t>%计算，最高限额为本合同总价的</w:t>
      </w:r>
      <w:r>
        <w:rPr>
          <w:rFonts w:hint="eastAsia" w:ascii="宋体" w:hAnsi="宋体" w:eastAsia="宋体" w:cs="宋体"/>
          <w:sz w:val="21"/>
          <w:szCs w:val="21"/>
          <w:u w:val="single"/>
        </w:rPr>
        <w:t xml:space="preserve">   20</w:t>
      </w:r>
      <w:r>
        <w:rPr>
          <w:rFonts w:hint="eastAsia" w:ascii="宋体" w:hAnsi="宋体" w:eastAsia="宋体" w:cs="宋体"/>
          <w:kern w:val="0"/>
          <w:sz w:val="21"/>
          <w:szCs w:val="21"/>
          <w:u w:val="single"/>
        </w:rPr>
        <w:t>（可根据情况修改）</w:t>
      </w:r>
      <w:r>
        <w:rPr>
          <w:rFonts w:hint="eastAsia" w:ascii="宋体" w:hAnsi="宋体" w:eastAsia="宋体" w:cs="宋体"/>
          <w:sz w:val="21"/>
          <w:szCs w:val="21"/>
          <w:u w:val="single"/>
        </w:rPr>
        <w:t xml:space="preserve">   </w:t>
      </w:r>
      <w:r>
        <w:rPr>
          <w:rFonts w:hint="eastAsia" w:ascii="宋体" w:hAnsi="宋体" w:eastAsia="宋体" w:cs="宋体"/>
          <w:sz w:val="21"/>
          <w:szCs w:val="21"/>
        </w:rPr>
        <w:t>%；迟延付款的违约金计算数额达到前述最高限额之日起，乙方有权在要求甲方支付违约金的同时，书面通知甲方解除本合同；</w:t>
      </w:r>
    </w:p>
    <w:p w14:paraId="007047DA">
      <w:pPr>
        <w:spacing w:line="560" w:lineRule="exact"/>
        <w:ind w:firstLine="420" w:firstLineChars="200"/>
        <w:rPr>
          <w:rFonts w:hint="eastAsia" w:ascii="宋体" w:hAnsi="宋体" w:eastAsia="宋体" w:cs="宋体"/>
          <w:sz w:val="21"/>
          <w:szCs w:val="21"/>
        </w:rPr>
      </w:pPr>
      <w:bookmarkStart w:id="168" w:name="_Toc32454"/>
      <w:bookmarkStart w:id="169" w:name="_Toc9497"/>
      <w:bookmarkStart w:id="170" w:name="_Toc18683"/>
      <w:bookmarkStart w:id="171" w:name="_Toc30329"/>
      <w:bookmarkStart w:id="172" w:name="_Toc26807"/>
      <w:r>
        <w:rPr>
          <w:rFonts w:hint="eastAsia" w:ascii="宋体" w:hAnsi="宋体" w:eastAsia="宋体" w:cs="宋体"/>
          <w:sz w:val="21"/>
          <w:szCs w:val="21"/>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676E73A">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BFBD39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1.8.6如果出现政府采购监督管理部门在处理投诉事项期间，书面通知甲方暂停采购活动的情形，或者询问或质疑事项可能影响中标或者成交结果的，导致甲方中止履行合同的情形，均不视为甲方违约。</w:t>
      </w:r>
    </w:p>
    <w:p w14:paraId="53DCC271">
      <w:pPr>
        <w:spacing w:line="560" w:lineRule="exact"/>
        <w:ind w:right="-420" w:rightChars="-200" w:firstLine="420" w:firstLineChars="200"/>
        <w:rPr>
          <w:rFonts w:hint="eastAsia" w:ascii="宋体" w:hAnsi="宋体" w:eastAsia="宋体" w:cs="宋体"/>
          <w:szCs w:val="21"/>
        </w:rPr>
      </w:pPr>
      <w:r>
        <w:rPr>
          <w:rFonts w:hint="eastAsia" w:ascii="宋体" w:hAnsi="宋体" w:eastAsia="宋体" w:cs="宋体"/>
          <w:sz w:val="21"/>
          <w:szCs w:val="21"/>
        </w:rPr>
        <w:t>1.8.7违约责任</w:t>
      </w:r>
      <w:r>
        <w:rPr>
          <w:rFonts w:hint="eastAsia" w:ascii="宋体" w:hAnsi="宋体" w:eastAsia="宋体" w:cs="宋体"/>
          <w:b/>
          <w:i/>
          <w:sz w:val="21"/>
          <w:szCs w:val="21"/>
          <w:u w:val="single"/>
        </w:rPr>
        <w:t>合同专用条款</w:t>
      </w:r>
      <w:r>
        <w:rPr>
          <w:rFonts w:hint="eastAsia" w:ascii="宋体" w:hAnsi="宋体" w:eastAsia="宋体" w:cs="宋体"/>
          <w:sz w:val="21"/>
          <w:szCs w:val="21"/>
        </w:rPr>
        <w:t>另有约定的，从其约定。</w:t>
      </w:r>
    </w:p>
    <w:bookmarkEnd w:id="168"/>
    <w:bookmarkEnd w:id="169"/>
    <w:bookmarkEnd w:id="170"/>
    <w:bookmarkEnd w:id="171"/>
    <w:bookmarkEnd w:id="172"/>
    <w:p w14:paraId="2EE14D55">
      <w:pPr>
        <w:spacing w:line="560" w:lineRule="exact"/>
        <w:ind w:firstLine="422" w:firstLineChars="200"/>
        <w:outlineLvl w:val="0"/>
        <w:rPr>
          <w:rFonts w:hint="eastAsia" w:ascii="宋体" w:hAnsi="宋体" w:eastAsia="宋体" w:cs="宋体"/>
          <w:b/>
          <w:sz w:val="21"/>
          <w:szCs w:val="21"/>
        </w:rPr>
      </w:pPr>
      <w:r>
        <w:rPr>
          <w:rFonts w:hint="eastAsia" w:ascii="宋体" w:hAnsi="宋体" w:eastAsia="宋体" w:cs="宋体"/>
          <w:b/>
          <w:sz w:val="21"/>
          <w:szCs w:val="21"/>
        </w:rPr>
        <w:t>1.9合同争议的解决</w:t>
      </w:r>
    </w:p>
    <w:p w14:paraId="5F4A6CB2">
      <w:pPr>
        <w:spacing w:line="560" w:lineRule="exact"/>
        <w:ind w:left="-61" w:leftChars="-29" w:right="-420" w:rightChars="-200" w:firstLine="210" w:firstLineChars="100"/>
        <w:rPr>
          <w:rFonts w:hint="eastAsia" w:ascii="宋体" w:hAnsi="宋体" w:eastAsia="宋体" w:cs="宋体"/>
          <w:sz w:val="21"/>
          <w:szCs w:val="21"/>
        </w:rPr>
      </w:pPr>
      <w:r>
        <w:rPr>
          <w:rFonts w:hint="eastAsia" w:ascii="宋体" w:hAnsi="宋体" w:eastAsia="宋体" w:cs="宋体"/>
          <w:sz w:val="21"/>
          <w:szCs w:val="21"/>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sz w:val="21"/>
          <w:szCs w:val="21"/>
          <w:u w:val="single"/>
        </w:rPr>
        <w:t xml:space="preserve">      </w:t>
      </w:r>
      <w:r>
        <w:rPr>
          <w:rFonts w:hint="eastAsia" w:ascii="宋体" w:hAnsi="宋体" w:eastAsia="宋体" w:cs="宋体"/>
          <w:sz w:val="21"/>
          <w:szCs w:val="21"/>
        </w:rPr>
        <w:t>条款规定的方式解决：</w:t>
      </w:r>
    </w:p>
    <w:p w14:paraId="5C313045">
      <w:pPr>
        <w:spacing w:line="560" w:lineRule="exact"/>
        <w:ind w:left="-420" w:leftChars="-200" w:right="-420" w:rightChars="-200" w:firstLine="525" w:firstLineChars="250"/>
        <w:rPr>
          <w:rFonts w:hint="eastAsia" w:ascii="宋体" w:hAnsi="宋体" w:eastAsia="宋体" w:cs="宋体"/>
          <w:sz w:val="21"/>
          <w:szCs w:val="21"/>
        </w:rPr>
      </w:pPr>
      <w:r>
        <w:rPr>
          <w:rFonts w:hint="eastAsia" w:ascii="宋体" w:hAnsi="宋体" w:eastAsia="宋体" w:cs="宋体"/>
          <w:sz w:val="21"/>
          <w:szCs w:val="21"/>
        </w:rPr>
        <w:t>1.9.1 将争议提交</w:t>
      </w:r>
      <w:r>
        <w:rPr>
          <w:rFonts w:hint="eastAsia" w:ascii="宋体" w:hAnsi="宋体" w:eastAsia="宋体" w:cs="宋体"/>
          <w:b/>
          <w:i/>
          <w:sz w:val="21"/>
          <w:szCs w:val="21"/>
          <w:u w:val="single"/>
        </w:rPr>
        <w:t>合同专用条款</w:t>
      </w:r>
      <w:r>
        <w:rPr>
          <w:rFonts w:hint="eastAsia" w:ascii="宋体" w:hAnsi="宋体" w:eastAsia="宋体" w:cs="宋体"/>
          <w:sz w:val="21"/>
          <w:szCs w:val="21"/>
        </w:rPr>
        <w:t>仲裁委员会依申请仲裁时其现行有效的仲裁规则裁决；</w:t>
      </w:r>
    </w:p>
    <w:p w14:paraId="194E5AFD">
      <w:pPr>
        <w:spacing w:line="560" w:lineRule="exact"/>
        <w:ind w:left="-420" w:leftChars="-200" w:right="-420" w:rightChars="-200" w:firstLine="525" w:firstLineChars="250"/>
        <w:rPr>
          <w:rFonts w:hint="eastAsia" w:ascii="宋体" w:hAnsi="宋体" w:eastAsia="宋体" w:cs="宋体"/>
          <w:sz w:val="21"/>
          <w:szCs w:val="21"/>
        </w:rPr>
      </w:pPr>
      <w:r>
        <w:rPr>
          <w:rFonts w:hint="eastAsia" w:ascii="宋体" w:hAnsi="宋体" w:eastAsia="宋体" w:cs="宋体"/>
          <w:sz w:val="21"/>
          <w:szCs w:val="21"/>
        </w:rPr>
        <w:t>1.9.2 向</w:t>
      </w:r>
      <w:r>
        <w:rPr>
          <w:rFonts w:hint="eastAsia" w:ascii="宋体" w:hAnsi="宋体" w:eastAsia="宋体" w:cs="宋体"/>
          <w:b/>
          <w:i/>
          <w:sz w:val="21"/>
          <w:szCs w:val="21"/>
          <w:u w:val="single"/>
        </w:rPr>
        <w:t>合同专用条款</w:t>
      </w:r>
      <w:r>
        <w:rPr>
          <w:rFonts w:hint="eastAsia" w:ascii="宋体" w:hAnsi="宋体" w:eastAsia="宋体" w:cs="宋体"/>
          <w:sz w:val="21"/>
          <w:szCs w:val="21"/>
        </w:rPr>
        <w:t>人民法院起诉。</w:t>
      </w:r>
    </w:p>
    <w:p w14:paraId="6AD85233">
      <w:pPr>
        <w:spacing w:line="560" w:lineRule="exact"/>
        <w:ind w:firstLine="422" w:firstLineChars="200"/>
        <w:outlineLvl w:val="0"/>
        <w:rPr>
          <w:rFonts w:hint="eastAsia" w:ascii="宋体" w:hAnsi="宋体" w:eastAsia="宋体" w:cs="宋体"/>
          <w:b/>
          <w:sz w:val="21"/>
          <w:szCs w:val="21"/>
        </w:rPr>
      </w:pPr>
      <w:r>
        <w:rPr>
          <w:rFonts w:hint="eastAsia" w:ascii="宋体" w:hAnsi="宋体" w:eastAsia="宋体" w:cs="宋体"/>
          <w:b/>
          <w:sz w:val="21"/>
          <w:szCs w:val="21"/>
        </w:rPr>
        <w:t>2.0 合同生效</w:t>
      </w:r>
    </w:p>
    <w:p w14:paraId="02DD51C0">
      <w:pPr>
        <w:spacing w:line="560" w:lineRule="exact"/>
        <w:ind w:firstLine="420" w:firstLineChars="200"/>
        <w:rPr>
          <w:rFonts w:hint="eastAsia" w:ascii="宋体" w:hAnsi="宋体" w:eastAsia="宋体" w:cs="宋体"/>
          <w:b/>
          <w:sz w:val="21"/>
          <w:szCs w:val="21"/>
        </w:rPr>
      </w:pPr>
      <w:r>
        <w:rPr>
          <w:rFonts w:hint="eastAsia" w:ascii="宋体" w:hAnsi="宋体" w:eastAsia="宋体" w:cs="宋体"/>
          <w:sz w:val="21"/>
          <w:szCs w:val="21"/>
        </w:rPr>
        <w:t>本合同自双方当事人盖章签字时生效。</w:t>
      </w:r>
    </w:p>
    <w:p w14:paraId="3F87596B">
      <w:pPr>
        <w:autoSpaceDE w:val="0"/>
        <w:autoSpaceDN w:val="0"/>
        <w:spacing w:line="560" w:lineRule="exact"/>
        <w:rPr>
          <w:rFonts w:hint="eastAsia" w:ascii="宋体" w:hAnsi="宋体" w:eastAsia="宋体" w:cs="宋体"/>
          <w:sz w:val="21"/>
          <w:szCs w:val="21"/>
          <w:lang w:val="zh-CN"/>
        </w:rPr>
      </w:pPr>
    </w:p>
    <w:p w14:paraId="366589DA">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b/>
          <w:sz w:val="21"/>
          <w:szCs w:val="21"/>
          <w:lang w:val="zh-CN"/>
        </w:rPr>
        <w:t>甲方</w:t>
      </w:r>
      <w:r>
        <w:rPr>
          <w:rFonts w:hint="eastAsia" w:ascii="宋体" w:hAnsi="宋体" w:eastAsia="宋体" w:cs="宋体"/>
          <w:sz w:val="21"/>
          <w:szCs w:val="21"/>
          <w:lang w:val="zh-CN"/>
        </w:rPr>
        <w:t xml:space="preserve">：                             </w:t>
      </w:r>
      <w:r>
        <w:rPr>
          <w:rFonts w:hint="eastAsia" w:ascii="宋体" w:hAnsi="宋体" w:eastAsia="宋体" w:cs="宋体"/>
          <w:b/>
          <w:sz w:val="21"/>
          <w:szCs w:val="21"/>
          <w:lang w:val="zh-CN"/>
        </w:rPr>
        <w:t xml:space="preserve">    乙方</w:t>
      </w:r>
      <w:r>
        <w:rPr>
          <w:rFonts w:hint="eastAsia" w:ascii="宋体" w:hAnsi="宋体" w:eastAsia="宋体" w:cs="宋体"/>
          <w:sz w:val="21"/>
          <w:szCs w:val="21"/>
          <w:lang w:val="zh-CN"/>
        </w:rPr>
        <w:t>：</w:t>
      </w:r>
    </w:p>
    <w:p w14:paraId="0A69C7F5">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统一社会信用代码：                     统一社会信用代码或身份证号码：</w:t>
      </w:r>
    </w:p>
    <w:p w14:paraId="670F169A">
      <w:pPr>
        <w:autoSpaceDE w:val="0"/>
        <w:autoSpaceDN w:val="0"/>
        <w:spacing w:line="560" w:lineRule="exact"/>
        <w:ind w:firstLine="0" w:firstLineChars="0"/>
        <w:rPr>
          <w:rFonts w:hint="eastAsia" w:ascii="宋体" w:hAnsi="宋体" w:eastAsia="宋体" w:cs="宋体"/>
          <w:sz w:val="21"/>
          <w:szCs w:val="21"/>
          <w:lang w:val="zh-CN"/>
        </w:rPr>
      </w:pPr>
    </w:p>
    <w:p w14:paraId="5E12D87E">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住所：                                 住所：</w:t>
      </w:r>
    </w:p>
    <w:p w14:paraId="3270FBA6">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法定代表人或                           法定代表人或</w:t>
      </w:r>
    </w:p>
    <w:p w14:paraId="062BA9E1">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 xml:space="preserve">授权代表（签字）：                     授权代表（签字）: </w:t>
      </w:r>
    </w:p>
    <w:p w14:paraId="3704F73C">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联系人：                               联系人：</w:t>
      </w:r>
    </w:p>
    <w:p w14:paraId="7759BE42">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约定送达地址：                         约定送达地址：</w:t>
      </w:r>
    </w:p>
    <w:p w14:paraId="11696E54">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邮政编码：                             邮政编码：</w:t>
      </w:r>
    </w:p>
    <w:p w14:paraId="693ADCA3">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 xml:space="preserve">电话:                                  电话: </w:t>
      </w:r>
    </w:p>
    <w:p w14:paraId="446A3384">
      <w:pPr>
        <w:autoSpaceDE w:val="0"/>
        <w:autoSpaceDN w:val="0"/>
        <w:spacing w:line="560" w:lineRule="exact"/>
        <w:ind w:firstLine="0" w:firstLineChars="0"/>
        <w:rPr>
          <w:rFonts w:hint="eastAsia" w:ascii="宋体" w:hAnsi="宋体" w:eastAsia="宋体" w:cs="宋体"/>
          <w:sz w:val="21"/>
          <w:szCs w:val="21"/>
          <w:lang w:val="zh-CN"/>
        </w:rPr>
      </w:pPr>
      <w:r>
        <w:rPr>
          <w:rFonts w:hint="eastAsia" w:ascii="宋体" w:hAnsi="宋体" w:eastAsia="宋体" w:cs="宋体"/>
          <w:sz w:val="21"/>
          <w:szCs w:val="21"/>
          <w:lang w:val="zh-CN"/>
        </w:rPr>
        <w:t>传真:                                  传真:</w:t>
      </w:r>
    </w:p>
    <w:p w14:paraId="48560097">
      <w:pPr>
        <w:autoSpaceDE w:val="0"/>
        <w:autoSpaceDN w:val="0"/>
        <w:spacing w:line="560" w:lineRule="exact"/>
        <w:ind w:firstLine="0" w:firstLineChars="0"/>
        <w:rPr>
          <w:rFonts w:hint="eastAsia" w:ascii="宋体" w:hAnsi="宋体" w:eastAsia="宋体" w:cs="宋体"/>
          <w:sz w:val="21"/>
          <w:szCs w:val="21"/>
        </w:rPr>
      </w:pPr>
      <w:r>
        <w:rPr>
          <w:rFonts w:hint="eastAsia" w:ascii="宋体" w:hAnsi="宋体" w:eastAsia="宋体" w:cs="宋体"/>
          <w:sz w:val="21"/>
          <w:szCs w:val="21"/>
          <w:lang w:val="zh-CN"/>
        </w:rPr>
        <w:t>电子邮箱：                             电子邮箱：</w:t>
      </w:r>
    </w:p>
    <w:p w14:paraId="484D0EAD">
      <w:pPr>
        <w:autoSpaceDE w:val="0"/>
        <w:autoSpaceDN w:val="0"/>
        <w:spacing w:line="560" w:lineRule="exact"/>
        <w:ind w:firstLine="0" w:firstLineChars="0"/>
        <w:rPr>
          <w:rFonts w:hint="eastAsia" w:ascii="宋体" w:hAnsi="宋体" w:eastAsia="宋体" w:cs="宋体"/>
          <w:sz w:val="21"/>
          <w:szCs w:val="21"/>
        </w:rPr>
      </w:pPr>
      <w:r>
        <w:rPr>
          <w:rFonts w:hint="eastAsia" w:ascii="宋体" w:hAnsi="宋体" w:eastAsia="宋体" w:cs="宋体"/>
          <w:sz w:val="21"/>
          <w:szCs w:val="21"/>
        </w:rPr>
        <w:t xml:space="preserve">开户银行：                             开户银行： </w:t>
      </w:r>
    </w:p>
    <w:p w14:paraId="462788AD">
      <w:pPr>
        <w:autoSpaceDE w:val="0"/>
        <w:autoSpaceDN w:val="0"/>
        <w:spacing w:line="560" w:lineRule="exact"/>
        <w:ind w:firstLine="0" w:firstLineChars="0"/>
        <w:rPr>
          <w:rFonts w:hint="eastAsia" w:ascii="宋体" w:hAnsi="宋体" w:eastAsia="宋体" w:cs="宋体"/>
          <w:sz w:val="21"/>
          <w:szCs w:val="21"/>
        </w:rPr>
      </w:pPr>
      <w:r>
        <w:rPr>
          <w:rFonts w:hint="eastAsia" w:ascii="宋体" w:hAnsi="宋体" w:eastAsia="宋体" w:cs="宋体"/>
          <w:sz w:val="21"/>
          <w:szCs w:val="21"/>
        </w:rPr>
        <w:t xml:space="preserve">开户名称：                             开户名称： </w:t>
      </w:r>
    </w:p>
    <w:p w14:paraId="6E50385C">
      <w:pPr>
        <w:autoSpaceDE w:val="0"/>
        <w:autoSpaceDN w:val="0"/>
        <w:spacing w:line="560" w:lineRule="exact"/>
        <w:ind w:firstLine="0" w:firstLineChars="0"/>
        <w:rPr>
          <w:rFonts w:hint="eastAsia" w:ascii="宋体" w:hAnsi="宋体" w:eastAsia="宋体" w:cs="宋体"/>
          <w:sz w:val="21"/>
          <w:szCs w:val="21"/>
        </w:rPr>
      </w:pPr>
      <w:r>
        <w:rPr>
          <w:rFonts w:hint="eastAsia" w:ascii="宋体" w:hAnsi="宋体" w:eastAsia="宋体" w:cs="宋体"/>
          <w:sz w:val="21"/>
          <w:szCs w:val="21"/>
        </w:rPr>
        <w:t>开户账号：</w:t>
      </w:r>
      <w:r>
        <w:rPr>
          <w:rFonts w:hint="eastAsia" w:ascii="宋体" w:hAnsi="宋体" w:eastAsia="宋体" w:cs="宋体"/>
          <w:sz w:val="21"/>
          <w:szCs w:val="21"/>
          <w:lang w:val="zh-CN"/>
        </w:rPr>
        <w:t xml:space="preserve">                             </w:t>
      </w:r>
      <w:r>
        <w:rPr>
          <w:rFonts w:hint="eastAsia" w:ascii="宋体" w:hAnsi="宋体" w:eastAsia="宋体" w:cs="宋体"/>
          <w:sz w:val="21"/>
          <w:szCs w:val="21"/>
        </w:rPr>
        <w:t>开户账号：</w:t>
      </w:r>
    </w:p>
    <w:p w14:paraId="265B9D7B">
      <w:pPr>
        <w:widowControl/>
        <w:spacing w:line="560" w:lineRule="exact"/>
        <w:jc w:val="left"/>
        <w:rPr>
          <w:rFonts w:hint="eastAsia" w:ascii="宋体" w:hAnsi="宋体" w:eastAsia="宋体" w:cs="宋体"/>
          <w:b/>
          <w:sz w:val="21"/>
          <w:szCs w:val="21"/>
        </w:rPr>
      </w:pPr>
    </w:p>
    <w:p w14:paraId="1FB12719">
      <w:pPr>
        <w:widowControl/>
        <w:adjustRightInd/>
        <w:jc w:val="left"/>
        <w:rPr>
          <w:rFonts w:hint="eastAsia" w:ascii="宋体" w:hAnsi="宋体" w:eastAsia="宋体" w:cs="宋体"/>
          <w:b/>
          <w:sz w:val="21"/>
          <w:szCs w:val="21"/>
        </w:rPr>
      </w:pPr>
      <w:r>
        <w:rPr>
          <w:rFonts w:hint="eastAsia" w:ascii="宋体" w:hAnsi="宋体" w:eastAsia="宋体" w:cs="宋体"/>
          <w:b/>
          <w:szCs w:val="21"/>
        </w:rPr>
        <w:br w:type="page"/>
      </w:r>
    </w:p>
    <w:p w14:paraId="415C6BB3">
      <w:pPr>
        <w:pStyle w:val="169"/>
        <w:spacing w:line="560" w:lineRule="exact"/>
        <w:ind w:firstLine="482"/>
        <w:jc w:val="center"/>
        <w:rPr>
          <w:rFonts w:hint="eastAsia" w:ascii="宋体" w:hAnsi="宋体" w:eastAsia="宋体" w:cs="宋体"/>
          <w:b/>
          <w:sz w:val="21"/>
          <w:szCs w:val="21"/>
        </w:rPr>
      </w:pPr>
      <w:r>
        <w:rPr>
          <w:rFonts w:hint="eastAsia" w:ascii="宋体" w:hAnsi="宋体" w:eastAsia="宋体" w:cs="宋体"/>
          <w:b/>
          <w:sz w:val="21"/>
          <w:szCs w:val="21"/>
        </w:rPr>
        <w:t>第二部分 合同一般条款</w:t>
      </w:r>
    </w:p>
    <w:p w14:paraId="63AA8FCE">
      <w:pPr>
        <w:spacing w:line="560" w:lineRule="exact"/>
        <w:ind w:firstLine="422" w:firstLineChars="200"/>
        <w:outlineLvl w:val="0"/>
        <w:rPr>
          <w:rFonts w:hint="eastAsia" w:ascii="宋体" w:hAnsi="宋体" w:eastAsia="宋体" w:cs="宋体"/>
          <w:b/>
          <w:sz w:val="21"/>
          <w:szCs w:val="21"/>
        </w:rPr>
      </w:pPr>
      <w:bookmarkStart w:id="173" w:name="_Toc5228"/>
      <w:bookmarkStart w:id="174" w:name="_Toc31297"/>
      <w:bookmarkStart w:id="175" w:name="_Toc19680"/>
      <w:bookmarkStart w:id="176" w:name="_Toc14021"/>
      <w:bookmarkStart w:id="177" w:name="_Toc25079"/>
      <w:r>
        <w:rPr>
          <w:rFonts w:hint="eastAsia" w:ascii="宋体" w:hAnsi="宋体" w:eastAsia="宋体" w:cs="宋体"/>
          <w:b/>
          <w:sz w:val="21"/>
          <w:szCs w:val="21"/>
        </w:rPr>
        <w:t>2.1 定义</w:t>
      </w:r>
      <w:bookmarkEnd w:id="173"/>
      <w:bookmarkEnd w:id="174"/>
      <w:bookmarkEnd w:id="175"/>
      <w:bookmarkEnd w:id="176"/>
      <w:bookmarkEnd w:id="177"/>
    </w:p>
    <w:p w14:paraId="175A2F6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本合同中的下列词语应按以下内容进行解释：</w:t>
      </w:r>
    </w:p>
    <w:p w14:paraId="7C8AB2C7">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2.1.1 “合同”系指采购人和中标或成交供应商签订的载明双方当事人所达成的协议，并包括所有的附件、附录和构成合同的其他文件。</w:t>
      </w:r>
    </w:p>
    <w:p w14:paraId="5F60230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2.1.2 “合同价”系指根据合同约定，中标或成交供应商在完全履行合同义务后，采购人应支付给中标或成交供应商的价格。</w:t>
      </w:r>
    </w:p>
    <w:p w14:paraId="0772B857">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2.1.3 “服务”系指中标或成交供应商根据合同约定应向采购人履行的除货物和工程以外的其他政府采购对象，包括采购人自身需要的服务和向社会公众提供的公共服务。</w:t>
      </w:r>
    </w:p>
    <w:p w14:paraId="6E918A3D">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2.1.4 “甲方”系指与中标或成交供应商签署合同的采购人；采购人委托采购代理机构代表其与乙方签订合同的，采购人的授权委托书作为合同附件。</w:t>
      </w:r>
    </w:p>
    <w:p w14:paraId="4F362E54">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B4FB86A">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2.1.6 “现场”系指合同约定提供服务的地点。</w:t>
      </w:r>
    </w:p>
    <w:p w14:paraId="56434045">
      <w:pPr>
        <w:spacing w:line="560" w:lineRule="exact"/>
        <w:ind w:firstLine="422" w:firstLineChars="200"/>
        <w:outlineLvl w:val="0"/>
        <w:rPr>
          <w:rFonts w:hint="eastAsia" w:ascii="宋体" w:hAnsi="宋体" w:eastAsia="宋体" w:cs="宋体"/>
          <w:b/>
          <w:sz w:val="21"/>
          <w:szCs w:val="21"/>
        </w:rPr>
      </w:pPr>
      <w:bookmarkStart w:id="178" w:name="_Toc19539"/>
      <w:bookmarkStart w:id="179" w:name="_Toc23289"/>
      <w:bookmarkStart w:id="180" w:name="_Toc16752"/>
      <w:bookmarkStart w:id="181" w:name="_Toc31402"/>
      <w:bookmarkStart w:id="182" w:name="_Toc3769"/>
      <w:r>
        <w:rPr>
          <w:rFonts w:hint="eastAsia" w:ascii="宋体" w:hAnsi="宋体" w:eastAsia="宋体" w:cs="宋体"/>
          <w:b/>
          <w:sz w:val="21"/>
          <w:szCs w:val="21"/>
        </w:rPr>
        <w:t>2.2 技术规范</w:t>
      </w:r>
      <w:bookmarkEnd w:id="178"/>
      <w:bookmarkEnd w:id="179"/>
      <w:bookmarkEnd w:id="180"/>
      <w:bookmarkEnd w:id="181"/>
      <w:bookmarkEnd w:id="182"/>
    </w:p>
    <w:p w14:paraId="2222B407">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D508B26">
      <w:pPr>
        <w:spacing w:line="560" w:lineRule="exact"/>
        <w:ind w:firstLine="422" w:firstLineChars="200"/>
        <w:outlineLvl w:val="0"/>
        <w:rPr>
          <w:rFonts w:hint="eastAsia" w:ascii="宋体" w:hAnsi="宋体" w:eastAsia="宋体" w:cs="宋体"/>
          <w:b/>
          <w:sz w:val="21"/>
          <w:szCs w:val="21"/>
        </w:rPr>
      </w:pPr>
      <w:bookmarkStart w:id="183" w:name="_Toc13673"/>
      <w:bookmarkStart w:id="184" w:name="_Toc12412"/>
      <w:bookmarkStart w:id="185" w:name="_Toc27945"/>
      <w:bookmarkStart w:id="186" w:name="_Toc9161"/>
      <w:bookmarkStart w:id="187" w:name="_Toc4133"/>
      <w:r>
        <w:rPr>
          <w:rFonts w:hint="eastAsia" w:ascii="宋体" w:hAnsi="宋体" w:eastAsia="宋体" w:cs="宋体"/>
          <w:b/>
          <w:sz w:val="21"/>
          <w:szCs w:val="21"/>
        </w:rPr>
        <w:t>2.3 知识产权</w:t>
      </w:r>
      <w:bookmarkEnd w:id="183"/>
      <w:bookmarkEnd w:id="184"/>
      <w:bookmarkEnd w:id="185"/>
      <w:bookmarkEnd w:id="186"/>
      <w:bookmarkEnd w:id="187"/>
    </w:p>
    <w:p w14:paraId="1FFA3FDD">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AB0F68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2.3.2 合同涉及技术成果的归属和收益的分成办法的，详见</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1CD9039E">
      <w:pPr>
        <w:spacing w:line="56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2.4 履约检查和问题反馈</w:t>
      </w:r>
    </w:p>
    <w:p w14:paraId="06A7513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DBDB026">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2.4.2 合同履行期间，甲方有权将履行过程中出现的问题反馈给乙方，双方当事人应以书面形式约定需要完善和改进的内容。</w:t>
      </w:r>
    </w:p>
    <w:p w14:paraId="31227B38">
      <w:pPr>
        <w:spacing w:line="560" w:lineRule="exact"/>
        <w:ind w:firstLine="422" w:firstLineChars="200"/>
        <w:outlineLvl w:val="0"/>
        <w:rPr>
          <w:rFonts w:hint="eastAsia" w:ascii="宋体" w:hAnsi="宋体" w:eastAsia="宋体" w:cs="宋体"/>
          <w:b/>
          <w:sz w:val="21"/>
          <w:szCs w:val="21"/>
        </w:rPr>
      </w:pPr>
      <w:bookmarkStart w:id="188" w:name="_Toc26555"/>
      <w:bookmarkStart w:id="189" w:name="_Toc32670"/>
      <w:bookmarkStart w:id="190" w:name="_Toc22011"/>
      <w:bookmarkStart w:id="191" w:name="_Toc31233"/>
      <w:bookmarkStart w:id="192" w:name="_Toc15447"/>
      <w:r>
        <w:rPr>
          <w:rFonts w:hint="eastAsia" w:ascii="宋体" w:hAnsi="宋体" w:eastAsia="宋体" w:cs="宋体"/>
          <w:b/>
          <w:sz w:val="21"/>
          <w:szCs w:val="21"/>
        </w:rPr>
        <w:t>2.5 结算方式和付款条件</w:t>
      </w:r>
      <w:bookmarkEnd w:id="188"/>
      <w:bookmarkEnd w:id="189"/>
      <w:bookmarkEnd w:id="190"/>
      <w:bookmarkEnd w:id="191"/>
      <w:bookmarkEnd w:id="192"/>
    </w:p>
    <w:p w14:paraId="4BED49D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详见</w:t>
      </w:r>
      <w:r>
        <w:rPr>
          <w:rFonts w:hint="eastAsia" w:ascii="宋体" w:hAnsi="宋体" w:eastAsia="宋体" w:cs="宋体"/>
          <w:b/>
          <w:i/>
          <w:sz w:val="21"/>
          <w:szCs w:val="21"/>
          <w:u w:val="single"/>
        </w:rPr>
        <w:t>合同专用条款</w:t>
      </w:r>
      <w:r>
        <w:rPr>
          <w:rFonts w:hint="eastAsia" w:ascii="宋体" w:hAnsi="宋体" w:eastAsia="宋体" w:cs="宋体"/>
          <w:sz w:val="21"/>
          <w:szCs w:val="21"/>
        </w:rPr>
        <w:t>。</w:t>
      </w:r>
    </w:p>
    <w:p w14:paraId="04F48B0C">
      <w:pPr>
        <w:spacing w:line="560" w:lineRule="exact"/>
        <w:ind w:firstLine="422" w:firstLineChars="200"/>
        <w:outlineLvl w:val="0"/>
        <w:rPr>
          <w:rFonts w:hint="eastAsia" w:ascii="宋体" w:hAnsi="宋体" w:eastAsia="宋体" w:cs="宋体"/>
          <w:b/>
          <w:sz w:val="21"/>
          <w:szCs w:val="21"/>
        </w:rPr>
      </w:pPr>
      <w:bookmarkStart w:id="193" w:name="_Toc13154"/>
      <w:bookmarkStart w:id="194" w:name="_Toc16163"/>
      <w:bookmarkStart w:id="195" w:name="_Toc18990"/>
      <w:bookmarkStart w:id="196" w:name="_Toc30507"/>
      <w:bookmarkStart w:id="197" w:name="_Toc13467"/>
      <w:r>
        <w:rPr>
          <w:rFonts w:hint="eastAsia" w:ascii="宋体" w:hAnsi="宋体" w:eastAsia="宋体" w:cs="宋体"/>
          <w:b/>
          <w:sz w:val="21"/>
          <w:szCs w:val="21"/>
        </w:rPr>
        <w:t>2.6 技术资料和保密义务</w:t>
      </w:r>
      <w:bookmarkEnd w:id="193"/>
      <w:bookmarkEnd w:id="194"/>
      <w:bookmarkEnd w:id="195"/>
      <w:bookmarkEnd w:id="196"/>
      <w:bookmarkEnd w:id="197"/>
    </w:p>
    <w:p w14:paraId="233FEEB3">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2.6.1 乙方有权依据合同约定和项目需要，向甲方了解有关情况，调阅有关资料等，甲方应予积极配合；</w:t>
      </w:r>
    </w:p>
    <w:p w14:paraId="0D82F5B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2.6.2 乙方有义务妥善保管和保护由甲方提供的前款信息和资料等；</w:t>
      </w:r>
    </w:p>
    <w:p w14:paraId="7BBD3F0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D5EC849">
      <w:pPr>
        <w:spacing w:line="560" w:lineRule="exact"/>
        <w:ind w:firstLine="422" w:firstLineChars="200"/>
        <w:outlineLvl w:val="0"/>
        <w:rPr>
          <w:rFonts w:hint="eastAsia" w:ascii="宋体" w:hAnsi="宋体" w:eastAsia="宋体" w:cs="宋体"/>
          <w:b/>
          <w:sz w:val="21"/>
          <w:szCs w:val="21"/>
        </w:rPr>
      </w:pPr>
      <w:bookmarkStart w:id="198" w:name="_Toc19069"/>
      <w:r>
        <w:rPr>
          <w:rFonts w:hint="eastAsia" w:ascii="宋体" w:hAnsi="宋体" w:eastAsia="宋体" w:cs="宋体"/>
          <w:b/>
          <w:sz w:val="21"/>
          <w:szCs w:val="21"/>
        </w:rPr>
        <w:t>2.7 质量保证</w:t>
      </w:r>
      <w:bookmarkEnd w:id="198"/>
    </w:p>
    <w:p w14:paraId="3EC6E7F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2.7.1 乙方应建立和完善履行合同的内部质量保证体系，并提供相关内部规章制度给甲方，以便甲方进行监督检查；</w:t>
      </w:r>
    </w:p>
    <w:p w14:paraId="7161054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2.7.2 乙方应保证履行合同的人员数量和素质、软件和硬件设备的配置、场地、环境和设施等满足全面履行合同的要求，并应接受甲方的监督检查。</w:t>
      </w:r>
    </w:p>
    <w:p w14:paraId="648E0EB2">
      <w:pPr>
        <w:spacing w:line="560" w:lineRule="exact"/>
        <w:ind w:firstLine="422" w:firstLineChars="200"/>
        <w:outlineLvl w:val="0"/>
        <w:rPr>
          <w:rFonts w:hint="eastAsia" w:ascii="宋体" w:hAnsi="宋体" w:eastAsia="宋体" w:cs="宋体"/>
          <w:b/>
          <w:sz w:val="21"/>
          <w:szCs w:val="21"/>
        </w:rPr>
      </w:pPr>
      <w:bookmarkStart w:id="199" w:name="_Toc22267"/>
      <w:r>
        <w:rPr>
          <w:rFonts w:hint="eastAsia" w:ascii="宋体" w:hAnsi="宋体" w:eastAsia="宋体" w:cs="宋体"/>
          <w:b/>
          <w:sz w:val="21"/>
          <w:szCs w:val="21"/>
        </w:rPr>
        <w:t>2.8 延迟履行</w:t>
      </w:r>
      <w:bookmarkEnd w:id="199"/>
    </w:p>
    <w:p w14:paraId="793C6C60">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5D18699">
      <w:pPr>
        <w:spacing w:line="560" w:lineRule="exact"/>
        <w:ind w:firstLine="422" w:firstLineChars="200"/>
        <w:outlineLvl w:val="0"/>
        <w:rPr>
          <w:rFonts w:hint="eastAsia" w:ascii="宋体" w:hAnsi="宋体" w:eastAsia="宋体" w:cs="宋体"/>
          <w:b/>
          <w:sz w:val="21"/>
          <w:szCs w:val="21"/>
        </w:rPr>
      </w:pPr>
      <w:bookmarkStart w:id="200" w:name="_Toc10611"/>
      <w:r>
        <w:rPr>
          <w:rFonts w:hint="eastAsia" w:ascii="宋体" w:hAnsi="宋体" w:eastAsia="宋体" w:cs="宋体"/>
          <w:b/>
          <w:sz w:val="21"/>
          <w:szCs w:val="21"/>
        </w:rPr>
        <w:t>2.9 合同变更</w:t>
      </w:r>
      <w:bookmarkEnd w:id="200"/>
    </w:p>
    <w:p w14:paraId="48C3349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合同继续履行将损害国家利益和社会公共利益的，双方当事人应当以书面形式变更合同。有过错的一方应当承担赔偿责任，双方当事人都有过错的，各自承担相应的责任。</w:t>
      </w:r>
    </w:p>
    <w:p w14:paraId="6AEAC854">
      <w:pPr>
        <w:spacing w:line="560" w:lineRule="exact"/>
        <w:ind w:firstLine="422" w:firstLineChars="200"/>
        <w:outlineLvl w:val="0"/>
        <w:rPr>
          <w:rFonts w:hint="eastAsia" w:ascii="宋体" w:hAnsi="宋体" w:eastAsia="宋体" w:cs="宋体"/>
          <w:b/>
          <w:sz w:val="21"/>
          <w:szCs w:val="21"/>
        </w:rPr>
      </w:pPr>
      <w:bookmarkStart w:id="201" w:name="_Toc23368"/>
      <w:bookmarkStart w:id="202" w:name="_Toc42"/>
      <w:bookmarkStart w:id="203" w:name="_Toc21830"/>
      <w:bookmarkStart w:id="204" w:name="_Toc26689"/>
      <w:r>
        <w:rPr>
          <w:rFonts w:hint="eastAsia" w:ascii="宋体" w:hAnsi="宋体" w:eastAsia="宋体" w:cs="宋体"/>
          <w:b/>
          <w:sz w:val="21"/>
          <w:szCs w:val="21"/>
        </w:rPr>
        <w:t>2.10 合同转让和分包</w:t>
      </w:r>
      <w:bookmarkEnd w:id="201"/>
      <w:bookmarkEnd w:id="202"/>
      <w:bookmarkEnd w:id="203"/>
      <w:bookmarkEnd w:id="204"/>
    </w:p>
    <w:p w14:paraId="17973A18">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0DA5FF74">
      <w:pPr>
        <w:spacing w:line="560" w:lineRule="exact"/>
        <w:ind w:firstLine="422" w:firstLineChars="200"/>
        <w:outlineLvl w:val="0"/>
        <w:rPr>
          <w:rFonts w:hint="eastAsia" w:ascii="宋体" w:hAnsi="宋体" w:eastAsia="宋体" w:cs="宋体"/>
          <w:b/>
          <w:sz w:val="21"/>
          <w:szCs w:val="21"/>
        </w:rPr>
      </w:pPr>
      <w:bookmarkStart w:id="205" w:name="_Toc32494"/>
      <w:bookmarkStart w:id="206" w:name="_Toc26633"/>
      <w:bookmarkStart w:id="207" w:name="_Toc4720"/>
      <w:bookmarkStart w:id="208" w:name="_Toc14371"/>
      <w:bookmarkStart w:id="209" w:name="_Toc25571"/>
      <w:r>
        <w:rPr>
          <w:rFonts w:hint="eastAsia" w:ascii="宋体" w:hAnsi="宋体" w:eastAsia="宋体" w:cs="宋体"/>
          <w:b/>
          <w:sz w:val="21"/>
          <w:szCs w:val="21"/>
        </w:rPr>
        <w:t>2.11 不可抗力</w:t>
      </w:r>
      <w:bookmarkEnd w:id="205"/>
      <w:bookmarkEnd w:id="206"/>
      <w:bookmarkEnd w:id="207"/>
      <w:bookmarkEnd w:id="208"/>
      <w:bookmarkEnd w:id="209"/>
    </w:p>
    <w:p w14:paraId="07D5334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2.11.1如果任何一方遭遇法律规定的不可抗力，致使合同履行受阻时，履行合同的期限应予延长，延长的期限应相当于不可抗力所影响的时间；</w:t>
      </w:r>
    </w:p>
    <w:p w14:paraId="2CDF339F">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2.11.2 因不可抗力致使不能实现合同目的的，当事人可以解除合同；</w:t>
      </w:r>
    </w:p>
    <w:p w14:paraId="128902F2">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2.11.3 因不可抗力致使合同有变更必要的，双方当事人应在</w:t>
      </w:r>
      <w:r>
        <w:rPr>
          <w:rFonts w:hint="eastAsia" w:ascii="宋体" w:hAnsi="宋体" w:eastAsia="宋体" w:cs="宋体"/>
          <w:b/>
          <w:i/>
          <w:sz w:val="21"/>
          <w:szCs w:val="21"/>
          <w:u w:val="single"/>
        </w:rPr>
        <w:t>合同专用条款</w:t>
      </w:r>
      <w:r>
        <w:rPr>
          <w:rFonts w:hint="eastAsia" w:ascii="宋体" w:hAnsi="宋体" w:eastAsia="宋体" w:cs="宋体"/>
          <w:sz w:val="21"/>
          <w:szCs w:val="21"/>
        </w:rPr>
        <w:t>约定时间内以书面形式变更合同；</w:t>
      </w:r>
    </w:p>
    <w:p w14:paraId="01D318D1">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2.11.4受不可抗力影响的一方在不可抗力发生后，应在</w:t>
      </w:r>
      <w:r>
        <w:rPr>
          <w:rFonts w:hint="eastAsia" w:ascii="宋体" w:hAnsi="宋体" w:eastAsia="宋体" w:cs="宋体"/>
          <w:b/>
          <w:i/>
          <w:sz w:val="21"/>
          <w:szCs w:val="21"/>
          <w:u w:val="single"/>
        </w:rPr>
        <w:t>合同专用条款</w:t>
      </w:r>
      <w:r>
        <w:rPr>
          <w:rFonts w:hint="eastAsia" w:ascii="宋体" w:hAnsi="宋体" w:eastAsia="宋体" w:cs="宋体"/>
          <w:sz w:val="21"/>
          <w:szCs w:val="21"/>
        </w:rPr>
        <w:t>约定时间内以书面形式通知对方当事人，并在</w:t>
      </w:r>
      <w:r>
        <w:rPr>
          <w:rFonts w:hint="eastAsia" w:ascii="宋体" w:hAnsi="宋体" w:eastAsia="宋体" w:cs="宋体"/>
          <w:b/>
          <w:i/>
          <w:sz w:val="21"/>
          <w:szCs w:val="21"/>
          <w:u w:val="single"/>
        </w:rPr>
        <w:t>合同专用条款</w:t>
      </w:r>
      <w:r>
        <w:rPr>
          <w:rFonts w:hint="eastAsia" w:ascii="宋体" w:hAnsi="宋体" w:eastAsia="宋体" w:cs="宋体"/>
          <w:sz w:val="21"/>
          <w:szCs w:val="21"/>
        </w:rPr>
        <w:t>约定时间内，将有关部门出具的证明文件送达对方当事人。</w:t>
      </w:r>
    </w:p>
    <w:p w14:paraId="7B4A1CAF">
      <w:pPr>
        <w:spacing w:line="560" w:lineRule="exact"/>
        <w:ind w:firstLine="422" w:firstLineChars="200"/>
        <w:outlineLvl w:val="0"/>
        <w:rPr>
          <w:rFonts w:hint="eastAsia" w:ascii="宋体" w:hAnsi="宋体" w:eastAsia="宋体" w:cs="宋体"/>
          <w:b/>
          <w:sz w:val="21"/>
          <w:szCs w:val="21"/>
        </w:rPr>
      </w:pPr>
      <w:bookmarkStart w:id="210" w:name="_Toc14115"/>
      <w:bookmarkStart w:id="211" w:name="_Toc24465"/>
      <w:bookmarkStart w:id="212" w:name="_Toc23854"/>
      <w:bookmarkStart w:id="213" w:name="_Toc25783"/>
      <w:bookmarkStart w:id="214" w:name="_Toc3638"/>
      <w:r>
        <w:rPr>
          <w:rFonts w:hint="eastAsia" w:ascii="宋体" w:hAnsi="宋体" w:eastAsia="宋体" w:cs="宋体"/>
          <w:b/>
          <w:sz w:val="21"/>
          <w:szCs w:val="21"/>
        </w:rPr>
        <w:t>2.12 税费</w:t>
      </w:r>
      <w:bookmarkEnd w:id="210"/>
      <w:bookmarkEnd w:id="211"/>
      <w:bookmarkEnd w:id="212"/>
      <w:bookmarkEnd w:id="213"/>
      <w:bookmarkEnd w:id="214"/>
    </w:p>
    <w:p w14:paraId="17974D45">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与合同有关的一切税费，均按照中华人民共和国法律的相关规定缴纳。</w:t>
      </w:r>
    </w:p>
    <w:p w14:paraId="1D456C4E">
      <w:pPr>
        <w:spacing w:line="560" w:lineRule="exact"/>
        <w:ind w:firstLine="422" w:firstLineChars="200"/>
        <w:outlineLvl w:val="0"/>
        <w:rPr>
          <w:rFonts w:hint="eastAsia" w:ascii="宋体" w:hAnsi="宋体" w:eastAsia="宋体" w:cs="宋体"/>
          <w:b/>
          <w:sz w:val="21"/>
          <w:szCs w:val="21"/>
        </w:rPr>
      </w:pPr>
      <w:bookmarkStart w:id="215" w:name="_Toc7315"/>
      <w:bookmarkStart w:id="216" w:name="_Toc26883"/>
      <w:bookmarkStart w:id="217" w:name="_Toc30105"/>
      <w:bookmarkStart w:id="218" w:name="_Toc14814"/>
      <w:bookmarkStart w:id="219" w:name="_Toc25525"/>
      <w:r>
        <w:rPr>
          <w:rFonts w:hint="eastAsia" w:ascii="宋体" w:hAnsi="宋体" w:eastAsia="宋体" w:cs="宋体"/>
          <w:b/>
          <w:sz w:val="21"/>
          <w:szCs w:val="21"/>
        </w:rPr>
        <w:t>2.13 乙方破产</w:t>
      </w:r>
      <w:bookmarkEnd w:id="215"/>
      <w:bookmarkEnd w:id="216"/>
      <w:bookmarkEnd w:id="217"/>
      <w:bookmarkEnd w:id="218"/>
      <w:bookmarkEnd w:id="219"/>
    </w:p>
    <w:p w14:paraId="1006DF33">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0368E5F">
      <w:pPr>
        <w:spacing w:line="560" w:lineRule="exact"/>
        <w:ind w:firstLine="422" w:firstLineChars="200"/>
        <w:outlineLvl w:val="0"/>
        <w:rPr>
          <w:rFonts w:hint="eastAsia" w:ascii="宋体" w:hAnsi="宋体" w:eastAsia="宋体" w:cs="宋体"/>
          <w:b/>
          <w:sz w:val="21"/>
          <w:szCs w:val="21"/>
        </w:rPr>
      </w:pPr>
      <w:bookmarkStart w:id="220" w:name="_Toc2016"/>
      <w:bookmarkStart w:id="221" w:name="_Toc1123"/>
      <w:bookmarkStart w:id="222" w:name="_Toc23323"/>
      <w:r>
        <w:rPr>
          <w:rFonts w:hint="eastAsia" w:ascii="宋体" w:hAnsi="宋体" w:eastAsia="宋体" w:cs="宋体"/>
          <w:b/>
          <w:sz w:val="21"/>
          <w:szCs w:val="21"/>
        </w:rPr>
        <w:t>2.14 合同中止、终止</w:t>
      </w:r>
      <w:bookmarkEnd w:id="220"/>
      <w:bookmarkEnd w:id="221"/>
      <w:bookmarkEnd w:id="222"/>
    </w:p>
    <w:p w14:paraId="068EEE3C">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2.14.1 双方当事人不得擅自中止或者终止合同；</w:t>
      </w:r>
    </w:p>
    <w:p w14:paraId="195D87E1">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2.14.2合同继续履行将损害国家利益和社会公共利益的，双方当事人应当中止或者终止合同。有过错的一方应当承担赔偿责任，双方当事人都有过错的，各自承担相应的责任。</w:t>
      </w:r>
    </w:p>
    <w:p w14:paraId="345097FF">
      <w:pPr>
        <w:spacing w:line="560" w:lineRule="exact"/>
        <w:ind w:firstLine="422" w:firstLineChars="200"/>
        <w:outlineLvl w:val="0"/>
        <w:rPr>
          <w:rFonts w:hint="eastAsia" w:ascii="宋体" w:hAnsi="宋体" w:eastAsia="宋体" w:cs="宋体"/>
          <w:b/>
          <w:sz w:val="21"/>
          <w:szCs w:val="21"/>
        </w:rPr>
      </w:pPr>
      <w:bookmarkStart w:id="223" w:name="_Toc1969"/>
      <w:bookmarkStart w:id="224" w:name="_Toc17363"/>
      <w:bookmarkStart w:id="225" w:name="_Toc14525"/>
      <w:r>
        <w:rPr>
          <w:rFonts w:hint="eastAsia" w:ascii="宋体" w:hAnsi="宋体" w:eastAsia="宋体" w:cs="宋体"/>
          <w:b/>
          <w:sz w:val="21"/>
          <w:szCs w:val="21"/>
        </w:rPr>
        <w:t>2.15 检验和验收</w:t>
      </w:r>
      <w:bookmarkEnd w:id="223"/>
      <w:bookmarkEnd w:id="224"/>
      <w:bookmarkEnd w:id="225"/>
    </w:p>
    <w:p w14:paraId="057354A7">
      <w:pPr>
        <w:tabs>
          <w:tab w:val="left" w:pos="360"/>
          <w:tab w:val="left" w:pos="540"/>
          <w:tab w:val="left" w:pos="1080"/>
        </w:tabs>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2.15.1 乙方按照</w:t>
      </w:r>
      <w:r>
        <w:rPr>
          <w:rFonts w:hint="eastAsia" w:ascii="宋体" w:hAnsi="宋体" w:eastAsia="宋体" w:cs="宋体"/>
          <w:b/>
          <w:i/>
          <w:sz w:val="21"/>
          <w:szCs w:val="21"/>
          <w:u w:val="single"/>
        </w:rPr>
        <w:t>合同专用条款</w:t>
      </w:r>
      <w:r>
        <w:rPr>
          <w:rFonts w:hint="eastAsia" w:ascii="宋体" w:hAnsi="宋体" w:eastAsia="宋体" w:cs="宋体"/>
          <w:sz w:val="21"/>
          <w:szCs w:val="21"/>
        </w:rPr>
        <w:t>的约定，定期提交服务报告，甲方按照</w:t>
      </w:r>
      <w:r>
        <w:rPr>
          <w:rFonts w:hint="eastAsia" w:ascii="宋体" w:hAnsi="宋体" w:eastAsia="宋体" w:cs="宋体"/>
          <w:b/>
          <w:i/>
          <w:sz w:val="21"/>
          <w:szCs w:val="21"/>
          <w:u w:val="single"/>
        </w:rPr>
        <w:t>合同专用条款</w:t>
      </w:r>
      <w:r>
        <w:rPr>
          <w:rFonts w:hint="eastAsia" w:ascii="宋体" w:hAnsi="宋体" w:eastAsia="宋体" w:cs="宋体"/>
          <w:sz w:val="21"/>
          <w:szCs w:val="21"/>
        </w:rPr>
        <w:t>的约定进行定期验收；</w:t>
      </w:r>
    </w:p>
    <w:p w14:paraId="2A5E96F5">
      <w:pPr>
        <w:tabs>
          <w:tab w:val="left" w:pos="360"/>
          <w:tab w:val="left" w:pos="540"/>
          <w:tab w:val="left" w:pos="1080"/>
        </w:tabs>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5EA7E1C">
      <w:pPr>
        <w:tabs>
          <w:tab w:val="left" w:pos="360"/>
          <w:tab w:val="left" w:pos="540"/>
          <w:tab w:val="left" w:pos="1080"/>
        </w:tabs>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2.15.3 检验和验收标准、程序等具体内容以及前述验收书的效力详见</w:t>
      </w:r>
      <w:r>
        <w:rPr>
          <w:rFonts w:hint="eastAsia" w:ascii="宋体" w:hAnsi="宋体" w:eastAsia="宋体" w:cs="宋体"/>
          <w:b/>
          <w:i/>
          <w:sz w:val="21"/>
          <w:szCs w:val="21"/>
          <w:u w:val="single"/>
        </w:rPr>
        <w:t>合同专用条款</w:t>
      </w:r>
      <w:r>
        <w:rPr>
          <w:rFonts w:hint="eastAsia" w:ascii="宋体" w:hAnsi="宋体" w:eastAsia="宋体" w:cs="宋体"/>
          <w:i/>
          <w:sz w:val="21"/>
          <w:szCs w:val="21"/>
        </w:rPr>
        <w:t>。</w:t>
      </w:r>
    </w:p>
    <w:p w14:paraId="52567B1F">
      <w:pPr>
        <w:spacing w:line="560" w:lineRule="exact"/>
        <w:ind w:firstLine="422" w:firstLineChars="200"/>
        <w:outlineLvl w:val="0"/>
        <w:rPr>
          <w:rFonts w:hint="eastAsia" w:ascii="宋体" w:hAnsi="宋体" w:eastAsia="宋体" w:cs="宋体"/>
          <w:b/>
          <w:sz w:val="21"/>
          <w:szCs w:val="21"/>
        </w:rPr>
      </w:pPr>
      <w:bookmarkStart w:id="226" w:name="_Toc31892"/>
      <w:bookmarkStart w:id="227" w:name="_Toc9808"/>
      <w:bookmarkStart w:id="228" w:name="_Toc25198"/>
      <w:bookmarkStart w:id="229" w:name="_Toc2308"/>
      <w:bookmarkStart w:id="230" w:name="_Toc12666"/>
      <w:r>
        <w:rPr>
          <w:rFonts w:hint="eastAsia" w:ascii="宋体" w:hAnsi="宋体" w:eastAsia="宋体" w:cs="宋体"/>
          <w:b/>
          <w:sz w:val="21"/>
          <w:szCs w:val="21"/>
        </w:rPr>
        <w:t>2.16 通知和送达</w:t>
      </w:r>
      <w:bookmarkEnd w:id="226"/>
      <w:bookmarkEnd w:id="227"/>
      <w:bookmarkEnd w:id="228"/>
      <w:bookmarkEnd w:id="229"/>
      <w:bookmarkEnd w:id="230"/>
    </w:p>
    <w:p w14:paraId="316015DC">
      <w:pPr>
        <w:spacing w:line="560" w:lineRule="exact"/>
        <w:ind w:firstLine="420" w:firstLineChars="200"/>
        <w:rPr>
          <w:rFonts w:hint="eastAsia" w:ascii="宋体" w:hAnsi="宋体" w:eastAsia="宋体" w:cs="宋体"/>
          <w:sz w:val="21"/>
          <w:szCs w:val="21"/>
        </w:rPr>
      </w:pPr>
      <w:bookmarkStart w:id="231" w:name="_Toc18401"/>
      <w:bookmarkStart w:id="232" w:name="_Toc27674"/>
      <w:r>
        <w:rPr>
          <w:rFonts w:hint="eastAsia" w:ascii="宋体" w:hAnsi="宋体" w:eastAsia="宋体" w:cs="宋体"/>
          <w:sz w:val="21"/>
          <w:szCs w:val="21"/>
        </w:rPr>
        <w:t xml:space="preserve">2.17.1任何一方因履行合同而以合同第一部分尾部所列明的传真或电子邮件 </w:t>
      </w:r>
      <w:r>
        <w:rPr>
          <w:rFonts w:hint="eastAsia" w:ascii="宋体" w:hAnsi="宋体" w:eastAsia="宋体" w:cs="宋体"/>
          <w:sz w:val="21"/>
          <w:szCs w:val="21"/>
          <w:u w:val="single"/>
        </w:rPr>
        <w:t xml:space="preserve">       </w:t>
      </w:r>
      <w:r>
        <w:rPr>
          <w:rFonts w:hint="eastAsia" w:ascii="宋体" w:hAnsi="宋体" w:eastAsia="宋体" w:cs="宋体"/>
          <w:sz w:val="21"/>
          <w:szCs w:val="21"/>
        </w:rPr>
        <w:t>发出的所有通知、文件、材料，均视为已向对方当事人送达；任何一方变更上述送达方式或者地址的，应于</w:t>
      </w:r>
      <w:r>
        <w:rPr>
          <w:rFonts w:hint="eastAsia" w:ascii="宋体" w:hAnsi="宋体" w:eastAsia="宋体" w:cs="宋体"/>
          <w:sz w:val="21"/>
          <w:szCs w:val="21"/>
          <w:u w:val="single"/>
        </w:rPr>
        <w:t>3</w:t>
      </w:r>
      <w:r>
        <w:rPr>
          <w:rFonts w:hint="eastAsia" w:ascii="宋体" w:hAnsi="宋体" w:eastAsia="宋体" w:cs="宋体"/>
          <w:sz w:val="21"/>
          <w:szCs w:val="21"/>
        </w:rPr>
        <w:t>个工作日内书面通知对方当事人，在对方当事人收到有关变更通知之前，变更前的约定送达方式或者地址仍视为有效。</w:t>
      </w:r>
    </w:p>
    <w:p w14:paraId="0652C61B">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231"/>
      <w:bookmarkEnd w:id="232"/>
    </w:p>
    <w:p w14:paraId="2713C027">
      <w:pPr>
        <w:spacing w:line="560" w:lineRule="exact"/>
        <w:ind w:firstLine="422" w:firstLineChars="200"/>
        <w:outlineLvl w:val="0"/>
        <w:rPr>
          <w:rFonts w:hint="eastAsia" w:ascii="宋体" w:hAnsi="宋体" w:eastAsia="宋体" w:cs="宋体"/>
          <w:b/>
          <w:sz w:val="21"/>
          <w:szCs w:val="21"/>
        </w:rPr>
      </w:pPr>
      <w:bookmarkStart w:id="233" w:name="_Toc27644"/>
      <w:bookmarkStart w:id="234" w:name="_Toc20808"/>
      <w:bookmarkStart w:id="235" w:name="_Toc28906"/>
      <w:bookmarkStart w:id="236" w:name="_Toc5063"/>
      <w:bookmarkStart w:id="237" w:name="_Toc12254"/>
      <w:r>
        <w:rPr>
          <w:rFonts w:hint="eastAsia" w:ascii="宋体" w:hAnsi="宋体" w:eastAsia="宋体" w:cs="宋体"/>
          <w:b/>
          <w:sz w:val="21"/>
          <w:szCs w:val="21"/>
        </w:rPr>
        <w:t>2.17 合同使用的文字和适用的法律</w:t>
      </w:r>
      <w:bookmarkEnd w:id="233"/>
      <w:bookmarkEnd w:id="234"/>
      <w:bookmarkEnd w:id="235"/>
      <w:bookmarkEnd w:id="236"/>
      <w:bookmarkEnd w:id="237"/>
    </w:p>
    <w:p w14:paraId="2C46F12F">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2.17.1 合同使用汉语书就、变更和解释；</w:t>
      </w:r>
    </w:p>
    <w:p w14:paraId="4D68D419">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2.17.2 合同适用中华人民共和国法律。</w:t>
      </w:r>
    </w:p>
    <w:p w14:paraId="270718C6">
      <w:pPr>
        <w:spacing w:line="560" w:lineRule="exact"/>
        <w:ind w:firstLine="422" w:firstLineChars="200"/>
        <w:outlineLvl w:val="0"/>
        <w:rPr>
          <w:rFonts w:hint="eastAsia" w:ascii="宋体" w:hAnsi="宋体" w:eastAsia="宋体" w:cs="宋体"/>
          <w:b/>
          <w:sz w:val="21"/>
          <w:szCs w:val="21"/>
        </w:rPr>
      </w:pPr>
      <w:r>
        <w:rPr>
          <w:rFonts w:hint="eastAsia" w:ascii="宋体" w:hAnsi="宋体" w:eastAsia="宋体" w:cs="宋体"/>
          <w:b/>
          <w:sz w:val="21"/>
          <w:szCs w:val="21"/>
        </w:rPr>
        <w:t>2.18 计量单位</w:t>
      </w:r>
    </w:p>
    <w:p w14:paraId="65F6DE8A">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除技术规范中另有规定外,合同的计量单位均使用国家法定计量单位。</w:t>
      </w:r>
    </w:p>
    <w:p w14:paraId="71F4E718">
      <w:pPr>
        <w:spacing w:line="56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2.19合同份数</w:t>
      </w:r>
    </w:p>
    <w:p w14:paraId="3F8EDBB2">
      <w:pPr>
        <w:spacing w:line="56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合同份数按</w:t>
      </w:r>
      <w:r>
        <w:rPr>
          <w:rFonts w:hint="eastAsia" w:ascii="宋体" w:hAnsi="宋体" w:eastAsia="宋体" w:cs="宋体"/>
          <w:b/>
          <w:i/>
          <w:sz w:val="21"/>
          <w:szCs w:val="21"/>
          <w:u w:val="single"/>
        </w:rPr>
        <w:t>合同专用条款</w:t>
      </w:r>
      <w:r>
        <w:rPr>
          <w:rFonts w:hint="eastAsia" w:ascii="宋体" w:hAnsi="宋体" w:eastAsia="宋体" w:cs="宋体"/>
          <w:sz w:val="21"/>
          <w:szCs w:val="21"/>
        </w:rPr>
        <w:t>规定，每份均具有同等法律效力。</w:t>
      </w:r>
    </w:p>
    <w:p w14:paraId="0E95A5AC">
      <w:pPr>
        <w:spacing w:line="360" w:lineRule="auto"/>
        <w:jc w:val="center"/>
        <w:outlineLvl w:val="0"/>
        <w:rPr>
          <w:rFonts w:hint="eastAsia" w:ascii="宋体" w:hAnsi="宋体" w:eastAsia="宋体" w:cs="宋体"/>
          <w:b/>
          <w:sz w:val="21"/>
          <w:szCs w:val="21"/>
        </w:rPr>
      </w:pPr>
      <w:r>
        <w:rPr>
          <w:rFonts w:hint="eastAsia" w:ascii="宋体" w:hAnsi="宋体" w:eastAsia="宋体" w:cs="宋体"/>
          <w:kern w:val="0"/>
          <w:szCs w:val="21"/>
        </w:rPr>
        <w:br w:type="page"/>
      </w:r>
      <w:r>
        <w:rPr>
          <w:rFonts w:hint="eastAsia" w:ascii="宋体" w:hAnsi="宋体" w:eastAsia="宋体" w:cs="宋体"/>
          <w:b/>
          <w:sz w:val="21"/>
          <w:szCs w:val="21"/>
        </w:rPr>
        <w:t>第三部分  合同专用条款</w:t>
      </w:r>
    </w:p>
    <w:p w14:paraId="095180FF">
      <w:pPr>
        <w:spacing w:line="560" w:lineRule="exact"/>
        <w:ind w:left="-420" w:leftChars="-200" w:right="-420" w:rightChars="-200" w:firstLine="420" w:firstLineChars="200"/>
        <w:rPr>
          <w:rFonts w:hint="eastAsia" w:ascii="宋体" w:hAnsi="宋体" w:eastAsia="宋体" w:cs="宋体"/>
          <w:szCs w:val="21"/>
        </w:rPr>
      </w:pPr>
      <w:r>
        <w:rPr>
          <w:rFonts w:hint="eastAsia" w:ascii="宋体" w:hAnsi="宋体" w:eastAsia="宋体" w:cs="宋体"/>
          <w:sz w:val="21"/>
          <w:szCs w:val="2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6"/>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95"/>
        <w:gridCol w:w="7467"/>
      </w:tblGrid>
      <w:tr w14:paraId="24E0524D">
        <w:tblPrEx>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30EB8F03">
            <w:pPr>
              <w:spacing w:line="360" w:lineRule="auto"/>
              <w:ind w:firstLine="0" w:firstLineChars="0"/>
              <w:jc w:val="center"/>
              <w:rPr>
                <w:rFonts w:hint="eastAsia" w:ascii="宋体" w:hAnsi="宋体" w:eastAsia="宋体" w:cs="宋体"/>
                <w:b/>
                <w:sz w:val="21"/>
                <w:szCs w:val="21"/>
              </w:rPr>
            </w:pPr>
            <w:r>
              <w:rPr>
                <w:rFonts w:hint="eastAsia" w:ascii="宋体" w:hAnsi="宋体" w:eastAsia="宋体" w:cs="宋体"/>
                <w:b/>
                <w:sz w:val="21"/>
                <w:szCs w:val="21"/>
              </w:rPr>
              <w:t>条款号</w:t>
            </w:r>
          </w:p>
        </w:tc>
        <w:tc>
          <w:tcPr>
            <w:tcW w:w="4464" w:type="pct"/>
            <w:vAlign w:val="center"/>
          </w:tcPr>
          <w:p w14:paraId="75C831F8">
            <w:pPr>
              <w:spacing w:line="360" w:lineRule="auto"/>
              <w:ind w:firstLine="0" w:firstLineChars="0"/>
              <w:jc w:val="center"/>
              <w:rPr>
                <w:rFonts w:hint="eastAsia" w:ascii="宋体" w:hAnsi="宋体" w:eastAsia="宋体" w:cs="宋体"/>
                <w:b/>
                <w:sz w:val="21"/>
                <w:szCs w:val="21"/>
              </w:rPr>
            </w:pPr>
            <w:r>
              <w:rPr>
                <w:rFonts w:hint="eastAsia" w:ascii="宋体" w:hAnsi="宋体" w:eastAsia="宋体" w:cs="宋体"/>
                <w:b/>
                <w:sz w:val="21"/>
                <w:szCs w:val="21"/>
              </w:rPr>
              <w:t>约定内容</w:t>
            </w:r>
          </w:p>
        </w:tc>
      </w:tr>
      <w:tr w14:paraId="6E8F65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12585ED">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1.3.2</w:t>
            </w:r>
          </w:p>
        </w:tc>
        <w:tc>
          <w:tcPr>
            <w:tcW w:w="4464" w:type="pct"/>
            <w:vAlign w:val="center"/>
          </w:tcPr>
          <w:p w14:paraId="5F47D139">
            <w:pPr>
              <w:spacing w:line="360" w:lineRule="auto"/>
              <w:ind w:firstLine="0" w:firstLineChars="0"/>
              <w:rPr>
                <w:rFonts w:hint="eastAsia" w:ascii="宋体" w:hAnsi="宋体" w:eastAsia="宋体" w:cs="宋体"/>
                <w:sz w:val="21"/>
                <w:szCs w:val="21"/>
              </w:rPr>
            </w:pPr>
          </w:p>
        </w:tc>
      </w:tr>
      <w:tr w14:paraId="7B822B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58228B3">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1.4.2</w:t>
            </w:r>
          </w:p>
        </w:tc>
        <w:tc>
          <w:tcPr>
            <w:tcW w:w="4464" w:type="pct"/>
            <w:vAlign w:val="center"/>
          </w:tcPr>
          <w:p w14:paraId="6733F9C1">
            <w:pPr>
              <w:spacing w:line="360" w:lineRule="auto"/>
              <w:ind w:firstLine="0" w:firstLineChars="0"/>
              <w:rPr>
                <w:rFonts w:hint="eastAsia" w:ascii="宋体" w:hAnsi="宋体" w:eastAsia="宋体" w:cs="宋体"/>
                <w:sz w:val="21"/>
                <w:szCs w:val="21"/>
              </w:rPr>
            </w:pPr>
          </w:p>
        </w:tc>
      </w:tr>
      <w:tr w14:paraId="2D2EC2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38DAA0">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 xml:space="preserve">1.5.1 </w:t>
            </w:r>
          </w:p>
        </w:tc>
        <w:tc>
          <w:tcPr>
            <w:tcW w:w="4464" w:type="pct"/>
            <w:vAlign w:val="center"/>
          </w:tcPr>
          <w:p w14:paraId="58159AC1">
            <w:pPr>
              <w:spacing w:line="360" w:lineRule="auto"/>
              <w:ind w:firstLine="0" w:firstLineChars="0"/>
              <w:rPr>
                <w:rFonts w:hint="eastAsia" w:ascii="宋体" w:hAnsi="宋体" w:eastAsia="宋体" w:cs="宋体"/>
                <w:sz w:val="21"/>
                <w:szCs w:val="21"/>
              </w:rPr>
            </w:pPr>
          </w:p>
        </w:tc>
      </w:tr>
      <w:tr w14:paraId="227FAC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FF3CD44">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1.5.2</w:t>
            </w:r>
          </w:p>
        </w:tc>
        <w:tc>
          <w:tcPr>
            <w:tcW w:w="4464" w:type="pct"/>
            <w:vAlign w:val="center"/>
          </w:tcPr>
          <w:p w14:paraId="3BECD688">
            <w:pPr>
              <w:spacing w:line="360" w:lineRule="auto"/>
              <w:ind w:firstLine="0" w:firstLineChars="0"/>
              <w:rPr>
                <w:rFonts w:hint="eastAsia" w:ascii="宋体" w:hAnsi="宋体" w:eastAsia="宋体" w:cs="宋体"/>
                <w:sz w:val="21"/>
                <w:szCs w:val="21"/>
              </w:rPr>
            </w:pPr>
          </w:p>
        </w:tc>
      </w:tr>
      <w:tr w14:paraId="0299E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DD6212B">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 xml:space="preserve">1.5.3 </w:t>
            </w:r>
          </w:p>
        </w:tc>
        <w:tc>
          <w:tcPr>
            <w:tcW w:w="4464" w:type="pct"/>
            <w:vAlign w:val="center"/>
          </w:tcPr>
          <w:p w14:paraId="11A8030B">
            <w:pPr>
              <w:spacing w:line="360" w:lineRule="auto"/>
              <w:ind w:firstLine="0" w:firstLineChars="0"/>
              <w:rPr>
                <w:rFonts w:hint="eastAsia" w:ascii="宋体" w:hAnsi="宋体" w:eastAsia="宋体" w:cs="宋体"/>
                <w:sz w:val="21"/>
                <w:szCs w:val="21"/>
              </w:rPr>
            </w:pPr>
          </w:p>
        </w:tc>
      </w:tr>
      <w:tr w14:paraId="3235CE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BC38EB">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1.6.2</w:t>
            </w:r>
          </w:p>
        </w:tc>
        <w:tc>
          <w:tcPr>
            <w:tcW w:w="4464" w:type="pct"/>
            <w:vAlign w:val="center"/>
          </w:tcPr>
          <w:p w14:paraId="5A15B0A9">
            <w:pPr>
              <w:spacing w:line="360" w:lineRule="auto"/>
              <w:ind w:firstLine="0" w:firstLineChars="0"/>
              <w:rPr>
                <w:rFonts w:hint="eastAsia" w:ascii="宋体" w:hAnsi="宋体" w:eastAsia="宋体" w:cs="宋体"/>
                <w:sz w:val="21"/>
                <w:szCs w:val="21"/>
              </w:rPr>
            </w:pPr>
          </w:p>
        </w:tc>
      </w:tr>
      <w:tr w14:paraId="539D41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500F55B">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1.7.1</w:t>
            </w:r>
          </w:p>
        </w:tc>
        <w:tc>
          <w:tcPr>
            <w:tcW w:w="4464" w:type="pct"/>
            <w:vAlign w:val="center"/>
          </w:tcPr>
          <w:p w14:paraId="379CFF03">
            <w:pPr>
              <w:spacing w:line="360" w:lineRule="auto"/>
              <w:ind w:firstLine="0" w:firstLineChars="0"/>
              <w:rPr>
                <w:rFonts w:hint="eastAsia" w:ascii="宋体" w:hAnsi="宋体" w:eastAsia="宋体" w:cs="宋体"/>
                <w:sz w:val="21"/>
                <w:szCs w:val="21"/>
              </w:rPr>
            </w:pPr>
          </w:p>
        </w:tc>
      </w:tr>
      <w:tr w14:paraId="3C2AAD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F6AF8DC">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1.7.2</w:t>
            </w:r>
          </w:p>
        </w:tc>
        <w:tc>
          <w:tcPr>
            <w:tcW w:w="4464" w:type="pct"/>
            <w:vAlign w:val="center"/>
          </w:tcPr>
          <w:p w14:paraId="757B6FEF">
            <w:pPr>
              <w:spacing w:line="360" w:lineRule="auto"/>
              <w:ind w:firstLine="0" w:firstLineChars="0"/>
              <w:rPr>
                <w:rFonts w:hint="eastAsia" w:ascii="宋体" w:hAnsi="宋体" w:eastAsia="宋体" w:cs="宋体"/>
                <w:sz w:val="21"/>
                <w:szCs w:val="21"/>
              </w:rPr>
            </w:pPr>
          </w:p>
        </w:tc>
      </w:tr>
      <w:tr w14:paraId="2A6CD8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4C743B7">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1.7.3</w:t>
            </w:r>
          </w:p>
        </w:tc>
        <w:tc>
          <w:tcPr>
            <w:tcW w:w="4464" w:type="pct"/>
            <w:vAlign w:val="center"/>
          </w:tcPr>
          <w:p w14:paraId="04FD3B99">
            <w:pPr>
              <w:spacing w:line="360" w:lineRule="auto"/>
              <w:ind w:firstLine="0" w:firstLineChars="0"/>
              <w:rPr>
                <w:rFonts w:hint="eastAsia" w:ascii="宋体" w:hAnsi="宋体" w:eastAsia="宋体" w:cs="宋体"/>
                <w:sz w:val="21"/>
                <w:szCs w:val="21"/>
              </w:rPr>
            </w:pPr>
          </w:p>
        </w:tc>
      </w:tr>
      <w:tr w14:paraId="4F07DA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9BBAFE4">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1.7.4.1</w:t>
            </w:r>
          </w:p>
        </w:tc>
        <w:tc>
          <w:tcPr>
            <w:tcW w:w="4464" w:type="pct"/>
            <w:vAlign w:val="center"/>
          </w:tcPr>
          <w:p w14:paraId="0EBDAE49">
            <w:pPr>
              <w:spacing w:line="360" w:lineRule="auto"/>
              <w:ind w:firstLine="0" w:firstLineChars="0"/>
              <w:rPr>
                <w:rFonts w:hint="eastAsia" w:ascii="宋体" w:hAnsi="宋体" w:eastAsia="宋体" w:cs="宋体"/>
                <w:sz w:val="21"/>
                <w:szCs w:val="21"/>
              </w:rPr>
            </w:pPr>
          </w:p>
        </w:tc>
      </w:tr>
      <w:tr w14:paraId="616E2D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B52B5B4">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1.7.4.2</w:t>
            </w:r>
          </w:p>
        </w:tc>
        <w:tc>
          <w:tcPr>
            <w:tcW w:w="4464" w:type="pct"/>
            <w:vAlign w:val="center"/>
          </w:tcPr>
          <w:p w14:paraId="2E5D66A5">
            <w:pPr>
              <w:spacing w:line="360" w:lineRule="auto"/>
              <w:ind w:firstLine="0" w:firstLineChars="0"/>
              <w:rPr>
                <w:rFonts w:hint="eastAsia" w:ascii="宋体" w:hAnsi="宋体" w:eastAsia="宋体" w:cs="宋体"/>
                <w:sz w:val="21"/>
                <w:szCs w:val="21"/>
              </w:rPr>
            </w:pPr>
          </w:p>
        </w:tc>
      </w:tr>
      <w:tr w14:paraId="1BF61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DDD32F2">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1.7.4.3</w:t>
            </w:r>
          </w:p>
        </w:tc>
        <w:tc>
          <w:tcPr>
            <w:tcW w:w="4464" w:type="pct"/>
            <w:vAlign w:val="center"/>
          </w:tcPr>
          <w:p w14:paraId="58538C61">
            <w:pPr>
              <w:spacing w:line="360" w:lineRule="auto"/>
              <w:ind w:firstLine="0" w:firstLineChars="0"/>
              <w:rPr>
                <w:rFonts w:hint="eastAsia" w:ascii="宋体" w:hAnsi="宋体" w:eastAsia="宋体" w:cs="宋体"/>
                <w:sz w:val="21"/>
                <w:szCs w:val="21"/>
              </w:rPr>
            </w:pPr>
          </w:p>
        </w:tc>
      </w:tr>
      <w:tr w14:paraId="5E53EB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4760D39">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1.8.7</w:t>
            </w:r>
          </w:p>
        </w:tc>
        <w:tc>
          <w:tcPr>
            <w:tcW w:w="4464" w:type="pct"/>
            <w:vAlign w:val="center"/>
          </w:tcPr>
          <w:p w14:paraId="477BA95A">
            <w:pPr>
              <w:spacing w:line="360" w:lineRule="auto"/>
              <w:ind w:firstLine="0" w:firstLineChars="0"/>
              <w:rPr>
                <w:rFonts w:hint="eastAsia" w:ascii="宋体" w:hAnsi="宋体" w:eastAsia="宋体" w:cs="宋体"/>
                <w:sz w:val="21"/>
                <w:szCs w:val="21"/>
              </w:rPr>
            </w:pPr>
          </w:p>
        </w:tc>
      </w:tr>
      <w:tr w14:paraId="0978B6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89773C">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1.9.1</w:t>
            </w:r>
          </w:p>
        </w:tc>
        <w:tc>
          <w:tcPr>
            <w:tcW w:w="4464" w:type="pct"/>
            <w:vAlign w:val="center"/>
          </w:tcPr>
          <w:p w14:paraId="55349B05">
            <w:pPr>
              <w:spacing w:line="360" w:lineRule="auto"/>
              <w:ind w:firstLine="0" w:firstLineChars="0"/>
              <w:rPr>
                <w:rFonts w:hint="eastAsia" w:ascii="宋体" w:hAnsi="宋体" w:eastAsia="宋体" w:cs="宋体"/>
                <w:sz w:val="21"/>
                <w:szCs w:val="21"/>
              </w:rPr>
            </w:pPr>
          </w:p>
        </w:tc>
      </w:tr>
      <w:tr w14:paraId="11BD2C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B9D6C1D">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1.9.2</w:t>
            </w:r>
          </w:p>
        </w:tc>
        <w:tc>
          <w:tcPr>
            <w:tcW w:w="4464" w:type="pct"/>
            <w:vAlign w:val="center"/>
          </w:tcPr>
          <w:p w14:paraId="2B607690">
            <w:pPr>
              <w:spacing w:line="360" w:lineRule="auto"/>
              <w:ind w:firstLine="0" w:firstLineChars="0"/>
              <w:rPr>
                <w:rFonts w:hint="eastAsia" w:ascii="宋体" w:hAnsi="宋体" w:eastAsia="宋体" w:cs="宋体"/>
                <w:sz w:val="21"/>
                <w:szCs w:val="21"/>
              </w:rPr>
            </w:pPr>
          </w:p>
        </w:tc>
      </w:tr>
      <w:tr w14:paraId="3D9326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60FB71">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2.3.2</w:t>
            </w:r>
          </w:p>
        </w:tc>
        <w:tc>
          <w:tcPr>
            <w:tcW w:w="4464" w:type="pct"/>
            <w:vAlign w:val="center"/>
          </w:tcPr>
          <w:p w14:paraId="4291DE36">
            <w:pPr>
              <w:spacing w:line="360" w:lineRule="auto"/>
              <w:ind w:left="-420" w:leftChars="-200" w:right="-420" w:rightChars="-200" w:firstLine="0" w:firstLineChars="0"/>
              <w:rPr>
                <w:rFonts w:hint="eastAsia" w:ascii="宋体" w:hAnsi="宋体" w:eastAsia="宋体" w:cs="宋体"/>
                <w:sz w:val="21"/>
                <w:szCs w:val="21"/>
              </w:rPr>
            </w:pPr>
          </w:p>
        </w:tc>
      </w:tr>
      <w:tr w14:paraId="447026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B5ABADB">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2.5</w:t>
            </w:r>
          </w:p>
        </w:tc>
        <w:tc>
          <w:tcPr>
            <w:tcW w:w="4464" w:type="pct"/>
            <w:vAlign w:val="center"/>
          </w:tcPr>
          <w:p w14:paraId="38E3464D">
            <w:pPr>
              <w:spacing w:line="360" w:lineRule="auto"/>
              <w:ind w:left="-420" w:leftChars="-200" w:right="-420" w:rightChars="-200" w:firstLine="0" w:firstLineChars="0"/>
              <w:rPr>
                <w:rFonts w:hint="eastAsia" w:ascii="宋体" w:hAnsi="宋体" w:eastAsia="宋体" w:cs="宋体"/>
                <w:sz w:val="21"/>
                <w:szCs w:val="21"/>
              </w:rPr>
            </w:pPr>
          </w:p>
        </w:tc>
      </w:tr>
      <w:tr w14:paraId="11153B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F7E98C2">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2.11.3</w:t>
            </w:r>
          </w:p>
        </w:tc>
        <w:tc>
          <w:tcPr>
            <w:tcW w:w="4464" w:type="pct"/>
            <w:vAlign w:val="center"/>
          </w:tcPr>
          <w:p w14:paraId="64B33C0C">
            <w:pPr>
              <w:spacing w:line="360" w:lineRule="auto"/>
              <w:ind w:firstLine="0" w:firstLineChars="0"/>
              <w:rPr>
                <w:rFonts w:hint="eastAsia" w:ascii="宋体" w:hAnsi="宋体" w:eastAsia="宋体" w:cs="宋体"/>
                <w:sz w:val="21"/>
                <w:szCs w:val="21"/>
              </w:rPr>
            </w:pPr>
          </w:p>
        </w:tc>
      </w:tr>
      <w:tr w14:paraId="104FE4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41321C11">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 xml:space="preserve">2.11.4 </w:t>
            </w:r>
          </w:p>
        </w:tc>
        <w:tc>
          <w:tcPr>
            <w:tcW w:w="4464" w:type="pct"/>
          </w:tcPr>
          <w:p w14:paraId="63368777">
            <w:pPr>
              <w:spacing w:line="360" w:lineRule="auto"/>
              <w:ind w:firstLine="0" w:firstLineChars="0"/>
              <w:rPr>
                <w:rFonts w:hint="eastAsia" w:ascii="宋体" w:hAnsi="宋体" w:eastAsia="宋体" w:cs="宋体"/>
                <w:sz w:val="21"/>
                <w:szCs w:val="21"/>
              </w:rPr>
            </w:pPr>
          </w:p>
        </w:tc>
      </w:tr>
      <w:tr w14:paraId="22F4B8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B7A5214">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2.15.1</w:t>
            </w:r>
          </w:p>
        </w:tc>
        <w:tc>
          <w:tcPr>
            <w:tcW w:w="4464" w:type="pct"/>
            <w:vAlign w:val="center"/>
          </w:tcPr>
          <w:p w14:paraId="086E93B9">
            <w:pPr>
              <w:spacing w:line="360" w:lineRule="auto"/>
              <w:ind w:firstLine="0" w:firstLineChars="0"/>
              <w:rPr>
                <w:rFonts w:hint="eastAsia" w:ascii="宋体" w:hAnsi="宋体" w:eastAsia="宋体" w:cs="宋体"/>
                <w:sz w:val="21"/>
                <w:szCs w:val="21"/>
              </w:rPr>
            </w:pPr>
          </w:p>
        </w:tc>
      </w:tr>
      <w:tr w14:paraId="1CCCD1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6326614">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2.15.3</w:t>
            </w:r>
          </w:p>
        </w:tc>
        <w:tc>
          <w:tcPr>
            <w:tcW w:w="4464" w:type="pct"/>
            <w:vAlign w:val="center"/>
          </w:tcPr>
          <w:p w14:paraId="3B9AED52">
            <w:pPr>
              <w:spacing w:line="360" w:lineRule="auto"/>
              <w:ind w:firstLine="0" w:firstLineChars="0"/>
              <w:rPr>
                <w:rFonts w:hint="eastAsia" w:ascii="宋体" w:hAnsi="宋体" w:eastAsia="宋体" w:cs="宋体"/>
                <w:sz w:val="21"/>
                <w:szCs w:val="21"/>
              </w:rPr>
            </w:pPr>
          </w:p>
        </w:tc>
      </w:tr>
      <w:tr w14:paraId="26CEBC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2E2CFF81">
            <w:pPr>
              <w:spacing w:line="360" w:lineRule="auto"/>
              <w:ind w:firstLine="0" w:firstLineChars="0"/>
              <w:rPr>
                <w:rFonts w:hint="eastAsia" w:ascii="宋体" w:hAnsi="宋体" w:eastAsia="宋体" w:cs="宋体"/>
                <w:sz w:val="21"/>
                <w:szCs w:val="21"/>
              </w:rPr>
            </w:pPr>
            <w:r>
              <w:rPr>
                <w:rFonts w:hint="eastAsia" w:ascii="宋体" w:hAnsi="宋体" w:eastAsia="宋体" w:cs="宋体"/>
                <w:sz w:val="21"/>
                <w:szCs w:val="21"/>
              </w:rPr>
              <w:t>2.19</w:t>
            </w:r>
          </w:p>
        </w:tc>
        <w:tc>
          <w:tcPr>
            <w:tcW w:w="4464" w:type="pct"/>
          </w:tcPr>
          <w:p w14:paraId="49FF9F15">
            <w:pPr>
              <w:spacing w:line="360" w:lineRule="auto"/>
              <w:ind w:firstLine="0" w:firstLineChars="0"/>
              <w:rPr>
                <w:rFonts w:hint="eastAsia" w:ascii="宋体" w:hAnsi="宋体" w:eastAsia="宋体" w:cs="宋体"/>
                <w:sz w:val="21"/>
                <w:szCs w:val="21"/>
              </w:rPr>
            </w:pPr>
          </w:p>
        </w:tc>
      </w:tr>
    </w:tbl>
    <w:p w14:paraId="0DCEA633">
      <w:pPr>
        <w:ind w:firstLine="420"/>
        <w:rPr>
          <w:rFonts w:ascii="宋体" w:hAnsi="宋体" w:cs="宋体"/>
          <w:szCs w:val="21"/>
        </w:rPr>
        <w:sectPr>
          <w:pgSz w:w="11906" w:h="16838"/>
          <w:pgMar w:top="1440" w:right="1800" w:bottom="1440" w:left="1800" w:header="851" w:footer="992" w:gutter="0"/>
          <w:cols w:space="720" w:num="1"/>
          <w:docGrid w:type="lines" w:linePitch="312" w:charSpace="0"/>
        </w:sectPr>
      </w:pPr>
    </w:p>
    <w:p w14:paraId="4513300B">
      <w:pPr>
        <w:pStyle w:val="2"/>
        <w:ind w:firstLine="482"/>
      </w:pPr>
      <w:bookmarkStart w:id="238" w:name="_Toc21114"/>
      <w:bookmarkStart w:id="239" w:name="_Toc4939"/>
      <w:bookmarkStart w:id="240" w:name="_Toc3882"/>
      <w:r>
        <w:rPr>
          <w:rFonts w:hint="eastAsia"/>
        </w:rPr>
        <w:t>第五章 磋商响应文件内容</w:t>
      </w:r>
      <w:r>
        <w:t>及</w:t>
      </w:r>
      <w:r>
        <w:rPr>
          <w:rFonts w:hint="eastAsia"/>
        </w:rPr>
        <w:t>格式</w:t>
      </w:r>
      <w:bookmarkEnd w:id="134"/>
      <w:bookmarkEnd w:id="238"/>
      <w:bookmarkEnd w:id="239"/>
      <w:bookmarkEnd w:id="240"/>
    </w:p>
    <w:p w14:paraId="72F8381D">
      <w:pPr>
        <w:pStyle w:val="3"/>
        <w:rPr>
          <w:rFonts w:ascii="宋体" w:hAnsi="宋体" w:cs="宋体"/>
          <w:szCs w:val="21"/>
        </w:rPr>
      </w:pPr>
      <w:bookmarkStart w:id="241" w:name="_Toc15867"/>
      <w:bookmarkStart w:id="242" w:name="_Toc31667"/>
      <w:bookmarkStart w:id="243" w:name="_Toc2078383"/>
      <w:bookmarkStart w:id="244" w:name="_Toc17540"/>
      <w:bookmarkStart w:id="245" w:name="_Toc18689"/>
      <w:bookmarkStart w:id="246" w:name="_Toc6227669"/>
      <w:r>
        <w:rPr>
          <w:rFonts w:hint="eastAsia" w:ascii="宋体" w:hAnsi="宋体" w:cs="宋体"/>
          <w:szCs w:val="21"/>
        </w:rPr>
        <w:t>1供应商提交响应文件须知</w:t>
      </w:r>
      <w:bookmarkEnd w:id="241"/>
      <w:bookmarkEnd w:id="242"/>
      <w:bookmarkEnd w:id="243"/>
      <w:bookmarkEnd w:id="244"/>
      <w:bookmarkEnd w:id="245"/>
      <w:bookmarkEnd w:id="246"/>
    </w:p>
    <w:p w14:paraId="06B70AE8">
      <w:pPr>
        <w:ind w:firstLine="420"/>
        <w:rPr>
          <w:rFonts w:ascii="宋体" w:hAnsi="宋体" w:cs="宋体"/>
          <w:szCs w:val="21"/>
        </w:rPr>
      </w:pPr>
      <w:r>
        <w:rPr>
          <w:rFonts w:hint="eastAsia" w:ascii="宋体" w:hAnsi="宋体" w:cs="宋体"/>
          <w:szCs w:val="21"/>
        </w:rPr>
        <w:t>1.1供应商应严格按照以下顺序填写和提交下述规定的全部格式文件以及其他有关资料，混乱的编排导致响应文件被误读或磋商小组查找不到有效文件或内容是供应商的风险。</w:t>
      </w:r>
    </w:p>
    <w:p w14:paraId="7F718D06">
      <w:pPr>
        <w:ind w:firstLine="420"/>
        <w:rPr>
          <w:rFonts w:ascii="宋体" w:hAnsi="宋体" w:cs="宋体"/>
          <w:szCs w:val="21"/>
        </w:rPr>
      </w:pPr>
      <w:r>
        <w:rPr>
          <w:rFonts w:hint="eastAsia" w:ascii="宋体" w:hAnsi="宋体" w:cs="宋体"/>
          <w:szCs w:val="21"/>
        </w:rPr>
        <w:t>1.2所附表格中要求回答的全部问题和/或信息都必须正面回答。</w:t>
      </w:r>
    </w:p>
    <w:p w14:paraId="618BFC72">
      <w:pPr>
        <w:ind w:firstLine="420"/>
        <w:rPr>
          <w:rFonts w:ascii="宋体" w:hAnsi="宋体" w:cs="宋体"/>
          <w:szCs w:val="21"/>
        </w:rPr>
      </w:pPr>
      <w:r>
        <w:rPr>
          <w:rFonts w:hint="eastAsia" w:ascii="宋体" w:hAnsi="宋体" w:cs="宋体"/>
          <w:szCs w:val="21"/>
        </w:rPr>
        <w:t>1.3声明书的签字人应保证全部声明和问题的回答是真实的和准确的。</w:t>
      </w:r>
    </w:p>
    <w:p w14:paraId="1C637ADB">
      <w:pPr>
        <w:ind w:firstLine="420"/>
        <w:rPr>
          <w:rFonts w:ascii="宋体" w:hAnsi="宋体" w:cs="宋体"/>
          <w:strike/>
          <w:szCs w:val="21"/>
        </w:rPr>
      </w:pPr>
      <w:bookmarkStart w:id="247" w:name="_Hlk8682741"/>
      <w:r>
        <w:rPr>
          <w:rFonts w:hint="eastAsia" w:ascii="宋体" w:hAnsi="宋体" w:cs="宋体"/>
          <w:szCs w:val="21"/>
        </w:rPr>
        <w:t>1</w:t>
      </w:r>
      <w:r>
        <w:rPr>
          <w:rFonts w:ascii="宋体" w:hAnsi="宋体" w:cs="宋体"/>
          <w:szCs w:val="21"/>
        </w:rPr>
        <w:t>.4</w:t>
      </w:r>
      <w:r>
        <w:rPr>
          <w:rFonts w:hint="eastAsia" w:ascii="宋体" w:hAnsi="宋体" w:cs="宋体"/>
          <w:szCs w:val="21"/>
        </w:rPr>
        <w:t>供应商在响应文件中，应对项目技术规范和服务要求中所提出各项要求进行逐条逐项的答复、说明和解释。应对《技术条款偏离表》和《商务条款偏离表》偏离情况明确作出“偏离”、“无偏离”的应答，并作出具体、详细的说明。回答“无偏离”应说明如何满足招标文件要求没有偏离，回答“偏离”应明确说明哪部分偏离没有满足招标文件要求。任何含糊不清的表述对评标结果的影响将是投标人的责任；</w:t>
      </w:r>
    </w:p>
    <w:bookmarkEnd w:id="247"/>
    <w:p w14:paraId="56836753">
      <w:pPr>
        <w:ind w:firstLine="420"/>
        <w:rPr>
          <w:rFonts w:ascii="宋体" w:hAnsi="宋体" w:cs="宋体"/>
          <w:szCs w:val="21"/>
        </w:rPr>
      </w:pPr>
      <w:r>
        <w:rPr>
          <w:rFonts w:hint="eastAsia" w:ascii="宋体" w:hAnsi="宋体" w:cs="宋体"/>
          <w:szCs w:val="21"/>
        </w:rPr>
        <w:t>1.5供应商提交的材料将按规定被保密保存。</w:t>
      </w:r>
    </w:p>
    <w:p w14:paraId="088EB368">
      <w:pPr>
        <w:ind w:firstLine="420"/>
        <w:rPr>
          <w:rFonts w:ascii="宋体" w:hAnsi="宋体" w:cs="宋体"/>
          <w:szCs w:val="21"/>
        </w:rPr>
      </w:pPr>
      <w:r>
        <w:rPr>
          <w:rFonts w:hint="eastAsia" w:ascii="宋体" w:hAnsi="宋体" w:cs="宋体"/>
          <w:szCs w:val="21"/>
        </w:rPr>
        <w:t>1.6全部文件应按供应商须知中规定的语言和份数提交。</w:t>
      </w:r>
    </w:p>
    <w:p w14:paraId="56F8DB1A">
      <w:pPr>
        <w:pStyle w:val="3"/>
        <w:rPr>
          <w:rFonts w:ascii="宋体" w:hAnsi="宋体" w:cs="宋体"/>
          <w:szCs w:val="21"/>
        </w:rPr>
      </w:pPr>
      <w:bookmarkStart w:id="248" w:name="_Toc29057"/>
      <w:bookmarkStart w:id="249" w:name="_Toc11223"/>
      <w:bookmarkStart w:id="250" w:name="_Toc2078384"/>
      <w:bookmarkStart w:id="251" w:name="_Toc18055"/>
      <w:bookmarkStart w:id="252" w:name="_Toc6227670"/>
      <w:bookmarkStart w:id="253" w:name="_Toc25452"/>
      <w:r>
        <w:rPr>
          <w:rFonts w:hint="eastAsia" w:ascii="宋体" w:hAnsi="宋体" w:cs="宋体"/>
          <w:szCs w:val="21"/>
        </w:rPr>
        <w:t>2响应文件组成</w:t>
      </w:r>
      <w:bookmarkEnd w:id="248"/>
      <w:bookmarkEnd w:id="249"/>
      <w:bookmarkEnd w:id="250"/>
      <w:bookmarkEnd w:id="251"/>
      <w:bookmarkEnd w:id="252"/>
      <w:bookmarkEnd w:id="253"/>
    </w:p>
    <w:p w14:paraId="557488BB">
      <w:pPr>
        <w:ind w:firstLine="420"/>
        <w:rPr>
          <w:rFonts w:ascii="宋体" w:hAnsi="宋体" w:cs="宋体"/>
          <w:szCs w:val="21"/>
        </w:rPr>
      </w:pPr>
      <w:r>
        <w:rPr>
          <w:rFonts w:hint="eastAsia" w:ascii="宋体" w:hAnsi="宋体" w:cs="宋体"/>
          <w:szCs w:val="21"/>
        </w:rPr>
        <w:t>响应文件由资格证明文件、报价文件、商务技术文件三部分组成。</w:t>
      </w:r>
    </w:p>
    <w:p w14:paraId="69AACC14">
      <w:pPr>
        <w:pStyle w:val="4"/>
        <w:rPr>
          <w:rFonts w:ascii="宋体" w:hAnsi="宋体" w:cs="宋体"/>
          <w:szCs w:val="21"/>
        </w:rPr>
      </w:pPr>
      <w:r>
        <w:rPr>
          <w:rFonts w:hint="eastAsia" w:ascii="宋体" w:hAnsi="宋体" w:cs="宋体"/>
          <w:szCs w:val="21"/>
        </w:rPr>
        <w:t>2.1资格证明文件</w:t>
      </w:r>
    </w:p>
    <w:p w14:paraId="731D2C7D">
      <w:pPr>
        <w:numPr>
          <w:ilvl w:val="0"/>
          <w:numId w:val="5"/>
        </w:numPr>
        <w:ind w:firstLine="420"/>
        <w:rPr>
          <w:rFonts w:ascii="宋体" w:hAnsi="宋体" w:cs="宋体"/>
          <w:szCs w:val="21"/>
        </w:rPr>
      </w:pPr>
      <w:r>
        <w:rPr>
          <w:rFonts w:hint="eastAsia" w:ascii="宋体" w:hAnsi="宋体" w:cs="宋体"/>
          <w:kern w:val="0"/>
          <w:szCs w:val="21"/>
        </w:rPr>
        <w:t>符合参加采购活动应当具备的一般条件的承诺函</w:t>
      </w:r>
      <w:r>
        <w:rPr>
          <w:rFonts w:hint="eastAsia" w:ascii="宋体" w:hAnsi="宋体" w:cs="宋体"/>
          <w:szCs w:val="21"/>
        </w:rPr>
        <w:t>；</w:t>
      </w:r>
    </w:p>
    <w:p w14:paraId="53E471BD">
      <w:pPr>
        <w:pStyle w:val="4"/>
        <w:rPr>
          <w:rFonts w:ascii="宋体" w:hAnsi="宋体" w:cs="宋体"/>
          <w:szCs w:val="21"/>
        </w:rPr>
      </w:pPr>
      <w:r>
        <w:rPr>
          <w:rFonts w:hint="eastAsia" w:ascii="宋体" w:hAnsi="宋体" w:cs="宋体"/>
          <w:szCs w:val="21"/>
        </w:rPr>
        <w:t>2.2报价文件</w:t>
      </w:r>
    </w:p>
    <w:p w14:paraId="26D1C11A">
      <w:pPr>
        <w:ind w:firstLine="420"/>
        <w:rPr>
          <w:rFonts w:ascii="宋体" w:hAnsi="宋体" w:cs="宋体"/>
          <w:szCs w:val="21"/>
        </w:rPr>
      </w:pPr>
      <w:r>
        <w:rPr>
          <w:rFonts w:hint="eastAsia" w:ascii="宋体" w:hAnsi="宋体" w:cs="宋体"/>
          <w:szCs w:val="21"/>
        </w:rPr>
        <w:t>供应商的报价文件包括以下内容（均需加盖公章）：</w:t>
      </w:r>
    </w:p>
    <w:p w14:paraId="62774EDA">
      <w:pPr>
        <w:ind w:firstLine="420"/>
        <w:rPr>
          <w:rFonts w:ascii="宋体" w:hAnsi="宋体" w:cs="宋体"/>
          <w:szCs w:val="21"/>
        </w:rPr>
      </w:pPr>
      <w:r>
        <w:rPr>
          <w:rFonts w:hint="eastAsia" w:ascii="宋体" w:hAnsi="宋体" w:cs="宋体"/>
          <w:szCs w:val="21"/>
        </w:rPr>
        <w:t>（1）磋商函；</w:t>
      </w:r>
    </w:p>
    <w:p w14:paraId="725889F2">
      <w:pPr>
        <w:ind w:firstLine="420"/>
        <w:rPr>
          <w:rFonts w:ascii="宋体" w:hAnsi="宋体" w:cs="宋体"/>
          <w:szCs w:val="21"/>
        </w:rPr>
      </w:pPr>
      <w:r>
        <w:rPr>
          <w:rFonts w:hint="eastAsia" w:ascii="宋体" w:hAnsi="宋体" w:cs="宋体"/>
          <w:szCs w:val="21"/>
        </w:rPr>
        <w:t>（2）初次报价一览表；</w:t>
      </w:r>
    </w:p>
    <w:p w14:paraId="457D5FE5">
      <w:pPr>
        <w:ind w:firstLine="420"/>
        <w:rPr>
          <w:rFonts w:ascii="宋体" w:hAnsi="宋体" w:cs="宋体"/>
          <w:szCs w:val="21"/>
        </w:rPr>
      </w:pPr>
      <w:r>
        <w:rPr>
          <w:rFonts w:hint="eastAsia" w:ascii="宋体" w:hAnsi="宋体" w:cs="宋体"/>
          <w:szCs w:val="21"/>
        </w:rPr>
        <w:t>（3）价格明细表；</w:t>
      </w:r>
    </w:p>
    <w:p w14:paraId="3EB595FB">
      <w:pPr>
        <w:ind w:firstLine="420"/>
        <w:rPr>
          <w:rFonts w:ascii="宋体" w:hAnsi="宋体" w:cs="宋体"/>
          <w:szCs w:val="21"/>
        </w:rPr>
      </w:pPr>
      <w:r>
        <w:rPr>
          <w:rFonts w:hint="eastAsia" w:ascii="宋体" w:hAnsi="宋体" w:cs="宋体"/>
          <w:szCs w:val="21"/>
        </w:rPr>
        <w:t>（4）包括但不限于以上文件资料。</w:t>
      </w:r>
    </w:p>
    <w:p w14:paraId="57A70DD5">
      <w:pPr>
        <w:pStyle w:val="4"/>
        <w:rPr>
          <w:rFonts w:ascii="宋体" w:hAnsi="宋体" w:cs="宋体"/>
          <w:szCs w:val="21"/>
        </w:rPr>
      </w:pPr>
      <w:r>
        <w:rPr>
          <w:rFonts w:hint="eastAsia" w:ascii="宋体" w:hAnsi="宋体" w:cs="宋体"/>
          <w:szCs w:val="21"/>
        </w:rPr>
        <w:t>2.3商务技术文件</w:t>
      </w:r>
    </w:p>
    <w:p w14:paraId="444C2C91">
      <w:pPr>
        <w:ind w:firstLine="420"/>
        <w:rPr>
          <w:rFonts w:ascii="宋体" w:hAnsi="宋体" w:cs="宋体"/>
          <w:szCs w:val="21"/>
        </w:rPr>
      </w:pPr>
      <w:r>
        <w:rPr>
          <w:rFonts w:hint="eastAsia" w:ascii="宋体" w:hAnsi="宋体" w:cs="宋体"/>
          <w:szCs w:val="21"/>
        </w:rPr>
        <w:t>供应商的商务文件包括以下内容（均需加盖公章）：</w:t>
      </w:r>
    </w:p>
    <w:p w14:paraId="7590D2AF">
      <w:pPr>
        <w:ind w:firstLine="420"/>
        <w:rPr>
          <w:rFonts w:ascii="宋体" w:hAnsi="宋体" w:cs="宋体"/>
          <w:szCs w:val="21"/>
        </w:rPr>
      </w:pPr>
      <w:r>
        <w:rPr>
          <w:rFonts w:hint="eastAsia" w:ascii="宋体" w:hAnsi="宋体" w:cs="宋体"/>
          <w:szCs w:val="21"/>
        </w:rPr>
        <w:t>（</w:t>
      </w:r>
      <w:r>
        <w:rPr>
          <w:rFonts w:ascii="宋体" w:hAnsi="宋体" w:cs="宋体"/>
          <w:szCs w:val="21"/>
        </w:rPr>
        <w:t>1</w:t>
      </w:r>
      <w:r>
        <w:rPr>
          <w:rFonts w:hint="eastAsia" w:ascii="宋体" w:hAnsi="宋体" w:cs="宋体"/>
          <w:szCs w:val="21"/>
        </w:rPr>
        <w:t>）采购诚信承诺书；</w:t>
      </w:r>
    </w:p>
    <w:p w14:paraId="6DDE3E27">
      <w:pPr>
        <w:ind w:firstLine="420"/>
        <w:rPr>
          <w:rFonts w:ascii="宋体" w:hAns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）供应商基本情况简介；</w:t>
      </w:r>
    </w:p>
    <w:p w14:paraId="78F5CB5D">
      <w:pPr>
        <w:ind w:firstLine="420"/>
        <w:rPr>
          <w:rFonts w:ascii="宋体" w:hAnsi="宋体" w:cs="宋体"/>
          <w:szCs w:val="21"/>
        </w:rPr>
      </w:pPr>
      <w:bookmarkStart w:id="254" w:name="_Hlk8682768"/>
      <w:r>
        <w:rPr>
          <w:rFonts w:hint="eastAsia" w:ascii="宋体" w:hAnsi="宋体" w:cs="宋体"/>
          <w:szCs w:val="21"/>
        </w:rPr>
        <w:t>（</w:t>
      </w:r>
      <w:r>
        <w:rPr>
          <w:rFonts w:ascii="宋体" w:hAnsi="宋体" w:cs="宋体"/>
          <w:szCs w:val="21"/>
        </w:rPr>
        <w:t>3</w:t>
      </w:r>
      <w:r>
        <w:rPr>
          <w:rFonts w:hint="eastAsia" w:ascii="宋体" w:hAnsi="宋体" w:cs="宋体"/>
          <w:szCs w:val="21"/>
        </w:rPr>
        <w:t>）</w:t>
      </w:r>
      <w:bookmarkEnd w:id="254"/>
      <w:r>
        <w:rPr>
          <w:rFonts w:hint="eastAsia" w:ascii="宋体" w:hAnsi="宋体" w:cs="宋体"/>
          <w:szCs w:val="21"/>
        </w:rPr>
        <w:t>技术条款偏离表（针对磋商文件第二章内容逐条填写）；</w:t>
      </w:r>
    </w:p>
    <w:p w14:paraId="693D2DFF">
      <w:pPr>
        <w:ind w:firstLine="420"/>
        <w:rPr>
          <w:rFonts w:ascii="宋体" w:hAnsi="宋体" w:cs="宋体"/>
          <w:szCs w:val="21"/>
        </w:rPr>
      </w:pPr>
      <w:r>
        <w:rPr>
          <w:rFonts w:hint="eastAsia" w:ascii="宋体" w:hAnsi="宋体" w:cs="宋体"/>
          <w:szCs w:val="21"/>
        </w:rPr>
        <w:t>（4）商务条款偏离表（针对磋商文件第三章内容逐条填写）；</w:t>
      </w:r>
    </w:p>
    <w:p w14:paraId="2AF80EEE">
      <w:pPr>
        <w:ind w:firstLine="420"/>
        <w:rPr>
          <w:rFonts w:ascii="宋体" w:hAnsi="宋体" w:cs="宋体"/>
          <w:szCs w:val="21"/>
        </w:rPr>
      </w:pPr>
      <w:r>
        <w:rPr>
          <w:rFonts w:hint="eastAsia" w:ascii="宋体" w:hAnsi="宋体" w:cs="宋体"/>
          <w:szCs w:val="21"/>
        </w:rPr>
        <w:t>（5）供应商业绩情况一览表及业绩证明材料（按第六章评分办法要求提供）；</w:t>
      </w:r>
    </w:p>
    <w:p w14:paraId="607A2FC3">
      <w:pPr>
        <w:ind w:firstLine="420"/>
        <w:rPr>
          <w:rFonts w:ascii="宋体" w:hAnsi="宋体" w:cs="宋体"/>
          <w:szCs w:val="21"/>
        </w:rPr>
      </w:pPr>
      <w:r>
        <w:rPr>
          <w:rFonts w:hint="eastAsia" w:ascii="宋体" w:hAnsi="宋体" w:cs="宋体"/>
          <w:szCs w:val="21"/>
        </w:rPr>
        <w:t>（6）磋商文件第六章评分细则中涉及的相关内容描述；</w:t>
      </w:r>
    </w:p>
    <w:p w14:paraId="6F4B2341">
      <w:pPr>
        <w:ind w:firstLine="420"/>
        <w:rPr>
          <w:rFonts w:ascii="宋体" w:hAnsi="宋体"/>
        </w:rPr>
      </w:pPr>
      <w:r>
        <w:rPr>
          <w:rFonts w:hint="eastAsia" w:ascii="宋体" w:hAnsi="宋体"/>
        </w:rPr>
        <w:t>（7）提供详细的服务方案，包括工作流程、程序，</w:t>
      </w:r>
      <w:r>
        <w:rPr>
          <w:rFonts w:ascii="宋体" w:hAnsi="宋体"/>
        </w:rPr>
        <w:t>服务内容及服务</w:t>
      </w:r>
      <w:r>
        <w:rPr>
          <w:rFonts w:hint="eastAsia" w:ascii="宋体" w:hAnsi="宋体"/>
        </w:rPr>
        <w:t>标准；</w:t>
      </w:r>
      <w:r>
        <w:rPr>
          <w:rFonts w:ascii="宋体" w:hAnsi="宋体"/>
        </w:rPr>
        <w:t>服务期间所需配备的各种设备、设施、工具列表</w:t>
      </w:r>
      <w:r>
        <w:rPr>
          <w:rFonts w:hint="eastAsia" w:ascii="宋体" w:hAnsi="宋体"/>
        </w:rPr>
        <w:t>等；</w:t>
      </w:r>
    </w:p>
    <w:p w14:paraId="201289AF">
      <w:pPr>
        <w:ind w:firstLine="420"/>
        <w:rPr>
          <w:rFonts w:ascii="宋体" w:hAnsi="宋体"/>
        </w:rPr>
      </w:pPr>
      <w:r>
        <w:rPr>
          <w:rFonts w:hint="eastAsia" w:ascii="宋体" w:hAnsi="宋体"/>
        </w:rPr>
        <w:t>（8）</w:t>
      </w:r>
      <w:r>
        <w:rPr>
          <w:rFonts w:ascii="宋体" w:hAnsi="宋体"/>
        </w:rPr>
        <w:t>为完成各项服务，并确保各项</w:t>
      </w:r>
      <w:r>
        <w:rPr>
          <w:rFonts w:hint="eastAsia" w:ascii="宋体" w:hAnsi="宋体"/>
        </w:rPr>
        <w:t>服务</w:t>
      </w:r>
      <w:r>
        <w:rPr>
          <w:rFonts w:ascii="宋体" w:hAnsi="宋体"/>
        </w:rPr>
        <w:t>工作的正常开展，所需人员岗位安排分配明细情况，并达到使</w:t>
      </w:r>
      <w:r>
        <w:rPr>
          <w:rFonts w:hint="eastAsia" w:ascii="宋体" w:hAnsi="宋体"/>
        </w:rPr>
        <w:t>用户</w:t>
      </w:r>
      <w:r>
        <w:rPr>
          <w:rFonts w:ascii="宋体" w:hAnsi="宋体"/>
        </w:rPr>
        <w:t>满意的质量标准的保证措施和安全文明保证措施及奖罚承诺</w:t>
      </w:r>
      <w:r>
        <w:rPr>
          <w:rFonts w:hint="eastAsia" w:ascii="宋体" w:hAnsi="宋体"/>
        </w:rPr>
        <w:t>；</w:t>
      </w:r>
    </w:p>
    <w:p w14:paraId="59CE122A">
      <w:pPr>
        <w:ind w:firstLine="420"/>
        <w:rPr>
          <w:rFonts w:ascii="宋体" w:hAnsi="宋体"/>
        </w:rPr>
      </w:pPr>
      <w:r>
        <w:rPr>
          <w:rFonts w:hint="eastAsia" w:ascii="宋体" w:hAnsi="宋体"/>
        </w:rPr>
        <w:t>（9）拟派项目负责人业绩证明材料（</w:t>
      </w:r>
      <w:r>
        <w:rPr>
          <w:rFonts w:hint="eastAsia"/>
        </w:rPr>
        <w:t>按第六章</w:t>
      </w:r>
      <w:r>
        <w:t>评分办法要求提供</w:t>
      </w:r>
      <w:r>
        <w:rPr>
          <w:rFonts w:hint="eastAsia" w:ascii="宋体" w:hAnsi="宋体"/>
        </w:rPr>
        <w:t>）；</w:t>
      </w:r>
    </w:p>
    <w:p w14:paraId="3036E18E">
      <w:pPr>
        <w:ind w:firstLine="420"/>
        <w:rPr>
          <w:rFonts w:ascii="宋体" w:hAnsi="宋体"/>
        </w:rPr>
      </w:pPr>
      <w:r>
        <w:rPr>
          <w:rFonts w:hint="eastAsia" w:ascii="宋体" w:hAnsi="宋体"/>
        </w:rPr>
        <w:t>（10）</w:t>
      </w:r>
      <w:r>
        <w:rPr>
          <w:rFonts w:ascii="宋体" w:hAnsi="宋体"/>
        </w:rPr>
        <w:t>拟派项目负责人及</w:t>
      </w:r>
      <w:r>
        <w:rPr>
          <w:rFonts w:hint="eastAsia" w:ascii="宋体" w:hAnsi="宋体"/>
        </w:rPr>
        <w:t>项目</w:t>
      </w:r>
      <w:r>
        <w:rPr>
          <w:rFonts w:ascii="宋体" w:hAnsi="宋体"/>
        </w:rPr>
        <w:t>管理班子人员组成</w:t>
      </w:r>
      <w:r>
        <w:rPr>
          <w:rFonts w:hint="eastAsia" w:ascii="宋体" w:hAnsi="宋体"/>
        </w:rPr>
        <w:t>（</w:t>
      </w:r>
      <w:r>
        <w:rPr>
          <w:rFonts w:hint="eastAsia"/>
        </w:rPr>
        <w:t>按第六章</w:t>
      </w:r>
      <w:r>
        <w:t>评分办法要求提供</w:t>
      </w:r>
      <w:r>
        <w:rPr>
          <w:rFonts w:hint="eastAsia" w:ascii="宋体" w:hAnsi="宋体"/>
        </w:rPr>
        <w:t>）；</w:t>
      </w:r>
    </w:p>
    <w:p w14:paraId="12F7842A">
      <w:pPr>
        <w:ind w:firstLine="420"/>
        <w:rPr>
          <w:rFonts w:ascii="宋体" w:hAnsi="宋体"/>
        </w:rPr>
      </w:pPr>
      <w:r>
        <w:rPr>
          <w:rFonts w:hint="eastAsia" w:ascii="宋体" w:hAnsi="宋体"/>
        </w:rPr>
        <w:t>（11）</w:t>
      </w:r>
      <w:r>
        <w:rPr>
          <w:rFonts w:ascii="宋体" w:hAnsi="宋体"/>
        </w:rPr>
        <w:t>供应商</w:t>
      </w:r>
      <w:r>
        <w:rPr>
          <w:rFonts w:hint="eastAsia" w:ascii="宋体" w:hAnsi="宋体"/>
        </w:rPr>
        <w:t>针对该项目的</w:t>
      </w:r>
      <w:r>
        <w:rPr>
          <w:rFonts w:ascii="宋体" w:hAnsi="宋体"/>
        </w:rPr>
        <w:t>各项服务承诺</w:t>
      </w:r>
      <w:r>
        <w:rPr>
          <w:rFonts w:hint="eastAsia" w:ascii="宋体" w:hAnsi="宋体"/>
        </w:rPr>
        <w:t>、突发事件服务承诺函、合理化建议等</w:t>
      </w:r>
    </w:p>
    <w:p w14:paraId="7CAC17DC">
      <w:pPr>
        <w:ind w:firstLine="420"/>
        <w:rPr>
          <w:rFonts w:ascii="宋体" w:hAnsi="宋体"/>
        </w:rPr>
      </w:pPr>
      <w:r>
        <w:rPr>
          <w:rFonts w:hint="eastAsia" w:ascii="宋体" w:hAnsi="宋体"/>
        </w:rPr>
        <w:t>（12）优惠条件及特殊承诺；</w:t>
      </w:r>
    </w:p>
    <w:p w14:paraId="3B24B847">
      <w:pPr>
        <w:ind w:firstLine="420"/>
        <w:rPr>
          <w:rFonts w:ascii="宋体" w:hAnsi="宋体" w:cs="宋体"/>
          <w:szCs w:val="21"/>
        </w:rPr>
      </w:pPr>
      <w:r>
        <w:rPr>
          <w:rFonts w:hint="eastAsia" w:ascii="宋体" w:hAnsi="宋体"/>
        </w:rPr>
        <w:t>（13）</w:t>
      </w:r>
      <w:r>
        <w:rPr>
          <w:rFonts w:hint="eastAsia" w:ascii="宋体" w:hAnsi="宋体" w:cs="宋体"/>
          <w:szCs w:val="21"/>
        </w:rPr>
        <w:t>法定代表人证明书，法定代表人授权书（法定代表人参加开标磋商的无须提供）、授权委托人身份证复印件、授权委托人社保证明；</w:t>
      </w:r>
    </w:p>
    <w:p w14:paraId="39F5D282">
      <w:pPr>
        <w:ind w:firstLine="420"/>
        <w:rPr>
          <w:rFonts w:ascii="宋体" w:hAnsi="宋体"/>
        </w:rPr>
      </w:pPr>
      <w:r>
        <w:rPr>
          <w:rFonts w:hint="eastAsia" w:ascii="宋体" w:hAnsi="宋体"/>
        </w:rPr>
        <w:t>（14）包括但不限于以上技术文件或说明。</w:t>
      </w:r>
    </w:p>
    <w:p w14:paraId="3E8E1D7F">
      <w:pPr>
        <w:ind w:firstLine="422"/>
        <w:rPr>
          <w:rFonts w:ascii="宋体" w:hAnsi="宋体" w:cs="宋体"/>
          <w:b/>
          <w:bCs/>
          <w:szCs w:val="21"/>
        </w:rPr>
      </w:pPr>
      <w:bookmarkStart w:id="255" w:name="_Hlk8758085"/>
      <w:r>
        <w:rPr>
          <w:rFonts w:hint="eastAsia" w:ascii="宋体" w:hAnsi="宋体" w:cs="宋体"/>
          <w:b/>
          <w:bCs/>
          <w:szCs w:val="21"/>
        </w:rPr>
        <w:t>以上所需的各种证书、证件、证明、证照均应有效，若系复印件，须在复印件上加盖供应商公章。</w:t>
      </w:r>
    </w:p>
    <w:bookmarkEnd w:id="255"/>
    <w:p w14:paraId="389EC7DF">
      <w:pPr>
        <w:pStyle w:val="3"/>
        <w:rPr>
          <w:rFonts w:ascii="宋体" w:hAnsi="宋体" w:cs="宋体"/>
          <w:szCs w:val="21"/>
        </w:rPr>
      </w:pPr>
      <w:bookmarkStart w:id="256" w:name="_Toc27164"/>
      <w:bookmarkStart w:id="257" w:name="_Toc23344"/>
      <w:bookmarkStart w:id="258" w:name="_Toc9389"/>
      <w:bookmarkStart w:id="259" w:name="_Toc20279"/>
      <w:r>
        <w:rPr>
          <w:rFonts w:hint="eastAsia" w:ascii="宋体" w:hAnsi="宋体" w:cs="宋体"/>
          <w:szCs w:val="21"/>
        </w:rPr>
        <w:t>3响应文件编制格式及规范要求</w:t>
      </w:r>
      <w:bookmarkEnd w:id="256"/>
      <w:bookmarkEnd w:id="257"/>
      <w:bookmarkEnd w:id="258"/>
      <w:bookmarkEnd w:id="259"/>
    </w:p>
    <w:p w14:paraId="54BC34E5">
      <w:pPr>
        <w:keepNext/>
        <w:keepLines/>
        <w:ind w:firstLine="420"/>
        <w:outlineLvl w:val="2"/>
        <w:rPr>
          <w:b/>
          <w:bCs/>
          <w:szCs w:val="21"/>
        </w:rPr>
      </w:pPr>
      <w:r>
        <w:rPr>
          <w:rFonts w:hint="eastAsia" w:ascii="宋体" w:hAnsi="宋体" w:cs="宋体"/>
          <w:szCs w:val="21"/>
        </w:rPr>
        <w:t>见后附响应文件编制格式及规范要求。</w:t>
      </w:r>
      <w:r>
        <w:rPr>
          <w:b/>
          <w:bCs/>
          <w:szCs w:val="21"/>
        </w:rPr>
        <w:br w:type="page"/>
      </w:r>
      <w:r>
        <w:rPr>
          <w:b/>
          <w:bCs/>
          <w:szCs w:val="32"/>
        </w:rPr>
        <mc:AlternateContent>
          <mc:Choice Requires="wps">
            <w:drawing>
              <wp:anchor distT="45720" distB="45720" distL="114300" distR="114300" simplePos="0" relativeHeight="251660288" behindDoc="1" locked="0" layoutInCell="1" allowOverlap="1">
                <wp:simplePos x="0" y="0"/>
                <wp:positionH relativeFrom="column">
                  <wp:posOffset>3735705</wp:posOffset>
                </wp:positionH>
                <wp:positionV relativeFrom="paragraph">
                  <wp:posOffset>209550</wp:posOffset>
                </wp:positionV>
                <wp:extent cx="1388745" cy="514350"/>
                <wp:effectExtent l="11430" t="9525" r="9525" b="9525"/>
                <wp:wrapNone/>
                <wp:docPr id="1850078415" name="文本框 2"/>
                <wp:cNvGraphicFramePr/>
                <a:graphic xmlns:a="http://schemas.openxmlformats.org/drawingml/2006/main">
                  <a:graphicData uri="http://schemas.microsoft.com/office/word/2010/wordprocessingShape">
                    <wps:wsp>
                      <wps:cNvSpPr txBox="1">
                        <a:spLocks noChangeArrowheads="1"/>
                      </wps:cNvSpPr>
                      <wps:spPr bwMode="auto">
                        <a:xfrm>
                          <a:off x="0" y="0"/>
                          <a:ext cx="1388745" cy="514350"/>
                        </a:xfrm>
                        <a:prstGeom prst="rect">
                          <a:avLst/>
                        </a:prstGeom>
                        <a:solidFill>
                          <a:srgbClr val="FFFFFF"/>
                        </a:solidFill>
                        <a:ln w="9525" cmpd="sng">
                          <a:solidFill>
                            <a:srgbClr val="000000"/>
                          </a:solidFill>
                          <a:miter lim="800000"/>
                        </a:ln>
                      </wps:spPr>
                      <wps:txbx>
                        <w:txbxContent>
                          <w:p w14:paraId="7AAF6029">
                            <w:pPr>
                              <w:ind w:firstLine="0" w:firstLineChars="0"/>
                              <w:rPr>
                                <w:sz w:val="32"/>
                                <w:szCs w:val="32"/>
                              </w:rPr>
                            </w:pPr>
                            <w:r>
                              <w:rPr>
                                <w:rFonts w:hint="eastAsia"/>
                                <w:sz w:val="32"/>
                                <w:szCs w:val="32"/>
                              </w:rPr>
                              <w:t>正本（</w:t>
                            </w:r>
                            <w:r>
                              <w:rPr>
                                <w:sz w:val="32"/>
                                <w:szCs w:val="32"/>
                              </w:rPr>
                              <w:t>副本）</w:t>
                            </w:r>
                          </w:p>
                        </w:txbxContent>
                      </wps:txbx>
                      <wps:bodyPr rot="0" vert="horz" wrap="square" lIns="91440" tIns="45720" rIns="91440" bIns="45720" anchor="t" anchorCtr="0" upright="1">
                        <a:noAutofit/>
                      </wps:bodyPr>
                    </wps:wsp>
                  </a:graphicData>
                </a:graphic>
              </wp:anchor>
            </w:drawing>
          </mc:Choice>
          <mc:Fallback>
            <w:pict>
              <v:shape id="文本框 2" o:spid="_x0000_s1026" o:spt="202" type="#_x0000_t202" style="position:absolute;left:0pt;margin-left:294.15pt;margin-top:16.5pt;height:40.5pt;width:109.35pt;z-index:-251656192;mso-width-relative:page;mso-height-relative:page;" fillcolor="#FFFFFF" filled="t" stroked="t" coordsize="21600,21600" o:gfxdata="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Cczxlb2AAAAAoBAAAPAAAA&#10;AAAAAAEAIAAAACIAAABkcnMvZG93bnJldi54bWxQSwECFAAUAAAACACHTuJALYnT2k4CAACbBAAA&#10;DgAAAAAAAAABACAAAAAnAQAAZHJzL2Uyb0RvYy54bWxQSwUGAAAAAAYABgBZAQAA5wUAAAAA&#10;">
                <v:fill on="t" focussize="0,0"/>
                <v:stroke color="#000000" miterlimit="8" joinstyle="miter"/>
                <v:imagedata o:title=""/>
                <o:lock v:ext="edit" aspectratio="f"/>
                <v:textbox>
                  <w:txbxContent>
                    <w:p w14:paraId="7AAF6029">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b/>
          <w:bCs/>
          <w:szCs w:val="21"/>
        </w:rPr>
        <w:t>附件 磋商响应文件封面</w:t>
      </w:r>
    </w:p>
    <w:p w14:paraId="2C0D72DB">
      <w:pPr>
        <w:spacing w:line="600" w:lineRule="auto"/>
        <w:ind w:firstLine="964"/>
        <w:rPr>
          <w:rFonts w:ascii="Arial" w:hAnsi="宋体" w:cs="Arial"/>
          <w:b/>
          <w:bCs/>
          <w:sz w:val="48"/>
          <w:szCs w:val="48"/>
        </w:rPr>
      </w:pPr>
      <w:r>
        <w:rPr>
          <w:rFonts w:hint="eastAsia" w:ascii="Arial" w:hAnsi="宋体" w:cs="Arial"/>
          <w:b/>
          <w:bCs/>
          <w:sz w:val="48"/>
          <w:szCs w:val="48"/>
        </w:rPr>
        <w:t xml:space="preserve"> </w:t>
      </w:r>
    </w:p>
    <w:p w14:paraId="711BD2B1">
      <w:pPr>
        <w:spacing w:line="600" w:lineRule="auto"/>
        <w:ind w:firstLine="0" w:firstLineChars="0"/>
        <w:jc w:val="center"/>
        <w:rPr>
          <w:rFonts w:hint="eastAsia" w:ascii="Arial" w:hAnsi="宋体" w:eastAsia="宋体" w:cs="Arial"/>
          <w:b/>
          <w:bCs/>
          <w:sz w:val="48"/>
          <w:szCs w:val="48"/>
          <w:lang w:eastAsia="zh-CN"/>
        </w:rPr>
      </w:pPr>
      <w:r>
        <w:rPr>
          <w:rFonts w:hint="eastAsia" w:ascii="Arial" w:hAnsi="宋体" w:cs="Arial"/>
          <w:b/>
          <w:bCs/>
          <w:sz w:val="48"/>
          <w:szCs w:val="48"/>
          <w:lang w:eastAsia="zh-CN"/>
        </w:rPr>
        <w:t>浙江省杭州高级中学</w:t>
      </w:r>
    </w:p>
    <w:p w14:paraId="1BD11A88">
      <w:pPr>
        <w:spacing w:line="600" w:lineRule="auto"/>
        <w:ind w:firstLine="0" w:firstLineChars="0"/>
        <w:jc w:val="center"/>
        <w:rPr>
          <w:rFonts w:ascii="Arial" w:hAnsi="宋体" w:cs="Arial"/>
          <w:b/>
          <w:bCs/>
          <w:sz w:val="48"/>
          <w:szCs w:val="48"/>
        </w:rPr>
      </w:pPr>
      <w:r>
        <w:rPr>
          <w:rFonts w:hint="eastAsia" w:ascii="Arial" w:hAnsi="宋体" w:cs="Arial"/>
          <w:b/>
          <w:bCs/>
          <w:sz w:val="48"/>
          <w:szCs w:val="48"/>
          <w:lang w:eastAsia="zh-CN"/>
        </w:rPr>
        <w:t>ZSSL浙江省第十届中小学生游泳联赛杭州市级比赛项目</w:t>
      </w:r>
      <w:r>
        <w:rPr>
          <w:rFonts w:hint="eastAsia" w:ascii="Arial" w:hAnsi="宋体" w:cs="Arial"/>
          <w:b/>
          <w:bCs/>
          <w:sz w:val="48"/>
          <w:szCs w:val="48"/>
        </w:rPr>
        <w:t>(非政府）</w:t>
      </w:r>
    </w:p>
    <w:p w14:paraId="3C48E944">
      <w:pPr>
        <w:spacing w:line="600" w:lineRule="auto"/>
        <w:ind w:firstLine="964"/>
        <w:jc w:val="center"/>
        <w:rPr>
          <w:rFonts w:ascii="Arial" w:hAnsi="宋体" w:cs="Arial"/>
          <w:b/>
          <w:bCs/>
          <w:sz w:val="48"/>
          <w:szCs w:val="48"/>
        </w:rPr>
      </w:pPr>
    </w:p>
    <w:p w14:paraId="27A89290">
      <w:pPr>
        <w:spacing w:line="600" w:lineRule="auto"/>
        <w:ind w:firstLine="964"/>
        <w:jc w:val="center"/>
        <w:rPr>
          <w:rFonts w:ascii="Arial" w:hAnsi="宋体" w:cs="Arial"/>
          <w:b/>
          <w:bCs/>
          <w:sz w:val="48"/>
          <w:szCs w:val="48"/>
        </w:rPr>
      </w:pPr>
    </w:p>
    <w:p w14:paraId="22DF53E4">
      <w:pPr>
        <w:snapToGrid w:val="0"/>
        <w:ind w:firstLine="194" w:firstLineChars="23"/>
        <w:jc w:val="center"/>
        <w:rPr>
          <w:rFonts w:ascii="Arial" w:hAnsi="Arial" w:cs="Arial"/>
          <w:b/>
          <w:sz w:val="84"/>
          <w:szCs w:val="84"/>
        </w:rPr>
      </w:pPr>
      <w:r>
        <w:rPr>
          <w:rFonts w:hint="eastAsia" w:ascii="Arial" w:hAnsi="宋体" w:cs="Arial"/>
          <w:b/>
          <w:sz w:val="84"/>
          <w:szCs w:val="84"/>
        </w:rPr>
        <w:t>磋商响应文件</w:t>
      </w:r>
    </w:p>
    <w:p w14:paraId="6E0FD474">
      <w:pPr>
        <w:snapToGrid w:val="0"/>
        <w:ind w:firstLine="0" w:firstLineChars="0"/>
        <w:jc w:val="center"/>
        <w:rPr>
          <w:rFonts w:ascii="Arial" w:hAnsi="Arial" w:cs="Arial"/>
          <w:b/>
          <w:sz w:val="44"/>
          <w:szCs w:val="44"/>
        </w:rPr>
      </w:pPr>
      <w:r>
        <w:rPr>
          <w:rFonts w:hint="eastAsia" w:ascii="Arial" w:hAnsi="Arial" w:cs="Arial"/>
          <w:b/>
          <w:sz w:val="44"/>
          <w:szCs w:val="44"/>
        </w:rPr>
        <w:t>（资格证明部分/</w:t>
      </w:r>
      <w:r>
        <w:rPr>
          <w:rFonts w:ascii="Arial" w:hAnsi="Arial" w:cs="Arial"/>
          <w:b/>
          <w:sz w:val="44"/>
          <w:szCs w:val="44"/>
        </w:rPr>
        <w:t>报价部分</w:t>
      </w:r>
      <w:r>
        <w:rPr>
          <w:rFonts w:hint="eastAsia" w:ascii="Arial" w:hAnsi="Arial" w:cs="Arial"/>
          <w:b/>
          <w:sz w:val="44"/>
          <w:szCs w:val="44"/>
        </w:rPr>
        <w:t>/商务技术部分</w:t>
      </w:r>
      <w:r>
        <w:rPr>
          <w:rFonts w:ascii="Arial" w:hAnsi="Arial" w:cs="Arial"/>
          <w:b/>
          <w:sz w:val="44"/>
          <w:szCs w:val="44"/>
        </w:rPr>
        <w:t>）</w:t>
      </w:r>
    </w:p>
    <w:p w14:paraId="103E49FB">
      <w:pPr>
        <w:snapToGrid w:val="0"/>
        <w:ind w:firstLine="723"/>
        <w:rPr>
          <w:rFonts w:ascii="Arial" w:hAnsi="Arial" w:cs="Arial"/>
          <w:b/>
          <w:sz w:val="36"/>
        </w:rPr>
      </w:pPr>
    </w:p>
    <w:p w14:paraId="44E97E4C">
      <w:pPr>
        <w:pStyle w:val="105"/>
        <w:ind w:firstLine="723"/>
        <w:rPr>
          <w:rFonts w:ascii="Arial" w:hAnsi="Arial" w:cs="Arial"/>
          <w:b/>
          <w:sz w:val="36"/>
        </w:rPr>
      </w:pPr>
    </w:p>
    <w:p w14:paraId="4AE2AE33">
      <w:pPr>
        <w:snapToGrid w:val="0"/>
        <w:ind w:firstLine="723"/>
        <w:rPr>
          <w:rFonts w:ascii="Arial" w:hAnsi="Arial" w:cs="Arial"/>
          <w:b/>
          <w:sz w:val="36"/>
        </w:rPr>
      </w:pPr>
    </w:p>
    <w:p w14:paraId="7B69CF2E">
      <w:pPr>
        <w:ind w:firstLine="560"/>
        <w:rPr>
          <w:sz w:val="28"/>
          <w:szCs w:val="28"/>
        </w:rPr>
      </w:pPr>
      <w:r>
        <w:rPr>
          <w:rFonts w:hint="eastAsia"/>
          <w:sz w:val="28"/>
          <w:szCs w:val="28"/>
        </w:rPr>
        <w:t>采购项目：</w:t>
      </w:r>
      <w:r>
        <w:rPr>
          <w:rFonts w:hint="eastAsia"/>
          <w:sz w:val="28"/>
          <w:szCs w:val="28"/>
          <w:lang w:eastAsia="zh-CN"/>
        </w:rPr>
        <w:t>ZSSL浙江省第十届中小学生游泳联赛杭州市级比赛项目</w:t>
      </w:r>
      <w:r>
        <w:rPr>
          <w:rFonts w:hint="eastAsia"/>
          <w:sz w:val="28"/>
          <w:szCs w:val="28"/>
        </w:rPr>
        <w:t>(非政府）</w:t>
      </w:r>
    </w:p>
    <w:p w14:paraId="5B130D4D">
      <w:pPr>
        <w:ind w:firstLine="560"/>
        <w:rPr>
          <w:rFonts w:hint="eastAsia" w:eastAsia="宋体"/>
          <w:sz w:val="28"/>
          <w:szCs w:val="28"/>
          <w:lang w:eastAsia="zh-CN"/>
        </w:rPr>
      </w:pPr>
      <w:r>
        <w:rPr>
          <w:rFonts w:hint="eastAsia"/>
          <w:sz w:val="28"/>
          <w:szCs w:val="28"/>
        </w:rPr>
        <w:t>采购编号：</w:t>
      </w:r>
      <w:r>
        <w:rPr>
          <w:rFonts w:hint="eastAsia"/>
          <w:sz w:val="28"/>
          <w:szCs w:val="28"/>
          <w:lang w:eastAsia="zh-CN"/>
        </w:rPr>
        <w:t>ZJXL-HG-202501</w:t>
      </w:r>
    </w:p>
    <w:p w14:paraId="19EB589E">
      <w:pPr>
        <w:ind w:firstLine="560"/>
        <w:rPr>
          <w:rFonts w:hint="eastAsia" w:eastAsia="宋体"/>
          <w:sz w:val="28"/>
          <w:szCs w:val="28"/>
          <w:lang w:eastAsia="zh-CN"/>
        </w:rPr>
      </w:pPr>
      <w:r>
        <w:rPr>
          <w:rFonts w:hint="eastAsia"/>
          <w:sz w:val="28"/>
          <w:szCs w:val="28"/>
        </w:rPr>
        <w:t>采 购 人：</w:t>
      </w:r>
      <w:r>
        <w:rPr>
          <w:rFonts w:hint="eastAsia"/>
          <w:sz w:val="28"/>
          <w:szCs w:val="28"/>
          <w:lang w:eastAsia="zh-CN"/>
        </w:rPr>
        <w:t>浙江省杭州高级中学</w:t>
      </w:r>
    </w:p>
    <w:p w14:paraId="1BB426A5">
      <w:pPr>
        <w:ind w:firstLine="560"/>
        <w:rPr>
          <w:sz w:val="28"/>
          <w:szCs w:val="28"/>
        </w:rPr>
      </w:pPr>
      <w:r>
        <w:rPr>
          <w:rFonts w:hint="eastAsia"/>
          <w:sz w:val="28"/>
          <w:szCs w:val="28"/>
        </w:rPr>
        <w:t xml:space="preserve">供 应 商： </w:t>
      </w:r>
    </w:p>
    <w:p w14:paraId="388589A9">
      <w:pPr>
        <w:ind w:firstLine="560"/>
        <w:rPr>
          <w:sz w:val="28"/>
          <w:szCs w:val="28"/>
        </w:rPr>
      </w:pPr>
      <w:r>
        <w:rPr>
          <w:rFonts w:hint="eastAsia"/>
          <w:sz w:val="28"/>
          <w:szCs w:val="28"/>
        </w:rPr>
        <w:t>时    间：     年  月</w:t>
      </w:r>
    </w:p>
    <w:p w14:paraId="5A217F8E">
      <w:pPr>
        <w:snapToGrid w:val="0"/>
        <w:ind w:firstLine="560"/>
        <w:rPr>
          <w:rFonts w:ascii="宋体" w:hAnsi="宋体" w:cs="宋体"/>
          <w:sz w:val="28"/>
          <w:szCs w:val="28"/>
        </w:rPr>
        <w:sectPr>
          <w:headerReference r:id="rId16" w:type="first"/>
          <w:footerReference r:id="rId17" w:type="first"/>
          <w:pgSz w:w="11906" w:h="16838"/>
          <w:pgMar w:top="1440" w:right="1800" w:bottom="1440" w:left="1800" w:header="851" w:footer="992" w:gutter="0"/>
          <w:cols w:space="720" w:num="1"/>
          <w:docGrid w:type="lines" w:linePitch="312" w:charSpace="0"/>
        </w:sectPr>
      </w:pPr>
    </w:p>
    <w:p w14:paraId="6EA35375">
      <w:pPr>
        <w:keepNext/>
        <w:keepLines/>
        <w:ind w:firstLine="0" w:firstLineChars="0"/>
        <w:outlineLvl w:val="2"/>
        <w:rPr>
          <w:b/>
          <w:bCs/>
          <w:szCs w:val="32"/>
        </w:rPr>
      </w:pPr>
      <w:r>
        <w:rPr>
          <w:rFonts w:hint="eastAsia"/>
          <w:b/>
          <w:bCs/>
          <w:szCs w:val="32"/>
        </w:rPr>
        <w:t>附件一 磋商函</w:t>
      </w:r>
    </w:p>
    <w:p w14:paraId="288B629D">
      <w:pPr>
        <w:ind w:firstLine="0" w:firstLineChars="0"/>
        <w:rPr>
          <w:rFonts w:hAnsi="宋体"/>
        </w:rPr>
      </w:pPr>
    </w:p>
    <w:p w14:paraId="21E69D53">
      <w:pPr>
        <w:ind w:firstLine="0" w:firstLineChars="0"/>
        <w:jc w:val="center"/>
        <w:rPr>
          <w:rFonts w:hAnsi="宋体"/>
          <w:b/>
        </w:rPr>
      </w:pPr>
      <w:r>
        <w:rPr>
          <w:rFonts w:hint="eastAsia" w:hAnsi="宋体"/>
          <w:b/>
        </w:rPr>
        <w:t>磋商</w:t>
      </w:r>
      <w:r>
        <w:rPr>
          <w:rFonts w:hAnsi="宋体"/>
          <w:b/>
        </w:rPr>
        <w:t>函</w:t>
      </w:r>
    </w:p>
    <w:p w14:paraId="4CAE52C2">
      <w:pPr>
        <w:ind w:firstLine="0" w:firstLineChars="0"/>
        <w:rPr>
          <w:rFonts w:hint="eastAsia" w:ascii="宋体" w:hAnsi="宋体" w:eastAsia="宋体"/>
          <w:szCs w:val="21"/>
          <w:lang w:eastAsia="zh-CN"/>
        </w:rPr>
      </w:pPr>
      <w:r>
        <w:rPr>
          <w:rFonts w:hint="eastAsia" w:hAnsi="宋体"/>
          <w:lang w:eastAsia="zh-CN"/>
        </w:rPr>
        <w:t>浙江省杭州高级中学</w:t>
      </w:r>
    </w:p>
    <w:p w14:paraId="20DC4016">
      <w:pPr>
        <w:ind w:firstLine="0" w:firstLineChars="0"/>
        <w:rPr>
          <w:rFonts w:ascii="宋体" w:hAnsi="宋体"/>
          <w:szCs w:val="21"/>
        </w:rPr>
      </w:pPr>
      <w:r>
        <w:rPr>
          <w:rFonts w:hint="eastAsia" w:ascii="宋体" w:hAnsi="宋体"/>
          <w:szCs w:val="21"/>
        </w:rPr>
        <w:t>浙江信镧建设工程咨询有限公司：</w:t>
      </w:r>
    </w:p>
    <w:p w14:paraId="27485DFB">
      <w:pPr>
        <w:ind w:firstLine="420"/>
        <w:rPr>
          <w:rFonts w:ascii="宋体" w:hAnsi="宋体"/>
          <w:szCs w:val="21"/>
        </w:rPr>
      </w:pPr>
      <w:r>
        <w:rPr>
          <w:rFonts w:hint="eastAsia" w:ascii="宋体" w:hAnsi="宋体"/>
          <w:szCs w:val="21"/>
          <w:u w:val="single"/>
        </w:rPr>
        <w:t xml:space="preserve">               </w:t>
      </w:r>
      <w:r>
        <w:rPr>
          <w:rFonts w:hint="eastAsia" w:ascii="宋体" w:hAnsi="宋体"/>
          <w:szCs w:val="21"/>
        </w:rPr>
        <w:t>（供应商全称）授权</w:t>
      </w:r>
      <w:r>
        <w:rPr>
          <w:rFonts w:hint="eastAsia" w:ascii="宋体" w:hAnsi="宋体"/>
          <w:szCs w:val="21"/>
          <w:u w:val="single"/>
        </w:rPr>
        <w:t xml:space="preserve">     </w:t>
      </w:r>
      <w:r>
        <w:rPr>
          <w:rFonts w:hint="eastAsia" w:ascii="宋体" w:hAnsi="宋体"/>
          <w:szCs w:val="21"/>
        </w:rPr>
        <w:t>（授权委托人姓名）</w:t>
      </w:r>
      <w:r>
        <w:rPr>
          <w:rFonts w:hint="eastAsia" w:ascii="宋体" w:hAnsi="宋体"/>
          <w:szCs w:val="21"/>
          <w:u w:val="single"/>
        </w:rPr>
        <w:t xml:space="preserve">      </w:t>
      </w:r>
      <w:r>
        <w:rPr>
          <w:rFonts w:hint="eastAsia" w:ascii="宋体" w:hAnsi="宋体"/>
          <w:szCs w:val="21"/>
        </w:rPr>
        <w:t>（职务、职称）为授权委托人，参加贵方组织的</w:t>
      </w:r>
      <w:r>
        <w:rPr>
          <w:rFonts w:hint="eastAsia" w:ascii="宋体" w:hAnsi="宋体"/>
          <w:szCs w:val="21"/>
          <w:u w:val="single"/>
        </w:rPr>
        <w:t xml:space="preserve">              </w:t>
      </w:r>
      <w:r>
        <w:rPr>
          <w:rFonts w:hint="eastAsia" w:ascii="宋体" w:hAnsi="宋体"/>
          <w:szCs w:val="21"/>
        </w:rPr>
        <w:t>（项目名称）采购编号：（</w:t>
      </w:r>
      <w:r>
        <w:rPr>
          <w:rFonts w:hint="eastAsia" w:ascii="宋体" w:hAnsi="宋体"/>
          <w:szCs w:val="21"/>
          <w:u w:val="single"/>
        </w:rPr>
        <w:t xml:space="preserve">           </w:t>
      </w:r>
      <w:r>
        <w:rPr>
          <w:rFonts w:hint="eastAsia" w:ascii="宋体" w:hAnsi="宋体"/>
          <w:szCs w:val="21"/>
        </w:rPr>
        <w:t>）采购的有关活动，并对此项目进行投标。为此：</w:t>
      </w:r>
    </w:p>
    <w:p w14:paraId="3C78AD5D">
      <w:pPr>
        <w:ind w:firstLine="420"/>
        <w:rPr>
          <w:rFonts w:ascii="宋体" w:hAnsi="宋体"/>
          <w:szCs w:val="21"/>
        </w:rPr>
      </w:pPr>
      <w:r>
        <w:rPr>
          <w:rFonts w:hint="eastAsia" w:ascii="宋体" w:hAnsi="宋体"/>
          <w:szCs w:val="21"/>
        </w:rPr>
        <w:t>1、我方同意在供应商须知前附表规定的磋商日期起遵守本投标书中的承诺且在磋商有效期满之前均具有约束力。</w:t>
      </w:r>
    </w:p>
    <w:p w14:paraId="0F5C1614">
      <w:pPr>
        <w:ind w:firstLine="420"/>
        <w:rPr>
          <w:rFonts w:ascii="宋体" w:hAnsi="宋体"/>
          <w:szCs w:val="21"/>
        </w:rPr>
      </w:pPr>
      <w:r>
        <w:rPr>
          <w:rFonts w:hint="eastAsia"/>
        </w:rPr>
        <w:t>2、根据已收到贵方的采购编号为</w:t>
      </w:r>
      <w:r>
        <w:rPr>
          <w:u w:val="single"/>
        </w:rPr>
        <w:t xml:space="preserve"> </w:t>
      </w:r>
      <w:r>
        <w:rPr>
          <w:rFonts w:hint="eastAsia"/>
          <w:u w:val="single"/>
          <w:lang w:eastAsia="zh-CN"/>
        </w:rPr>
        <w:t>ZJXL-HG-202501</w:t>
      </w:r>
      <w:r>
        <w:rPr>
          <w:u w:val="single"/>
        </w:rPr>
        <w:t xml:space="preserve">  </w:t>
      </w:r>
      <w:r>
        <w:rPr>
          <w:rFonts w:hint="eastAsia"/>
        </w:rPr>
        <w:t>的</w:t>
      </w:r>
      <w:r>
        <w:rPr>
          <w:u w:val="single"/>
        </w:rPr>
        <w:t xml:space="preserve">  </w:t>
      </w:r>
      <w:r>
        <w:rPr>
          <w:rFonts w:hint="eastAsia"/>
          <w:u w:val="single"/>
          <w:lang w:eastAsia="zh-CN"/>
        </w:rPr>
        <w:t>ZSSL浙江省第十届中小学生游泳联赛杭州市级比赛项目</w:t>
      </w:r>
      <w:r>
        <w:rPr>
          <w:rFonts w:hint="eastAsia"/>
          <w:u w:val="single"/>
        </w:rPr>
        <w:t>(非政府）</w:t>
      </w:r>
      <w:r>
        <w:rPr>
          <w:u w:val="single"/>
        </w:rPr>
        <w:t xml:space="preserve">  </w:t>
      </w:r>
      <w:r>
        <w:rPr>
          <w:rFonts w:hint="eastAsia"/>
        </w:rPr>
        <w:t>的采购文件，遵照《</w:t>
      </w:r>
      <w:r>
        <w:t>中华人民共和国政府采购</w:t>
      </w:r>
      <w:r>
        <w:rPr>
          <w:rFonts w:hint="eastAsia"/>
        </w:rPr>
        <w:t>法》等有关规定，我单位经研究上述采购文件的供应商须知、采购项目技术</w:t>
      </w:r>
      <w:r>
        <w:t>要求、采购项目商务要求</w:t>
      </w:r>
      <w:r>
        <w:rPr>
          <w:rFonts w:hint="eastAsia"/>
        </w:rPr>
        <w:t>、合同条款及其他采购文件</w:t>
      </w:r>
      <w:r>
        <w:t>的</w:t>
      </w:r>
      <w:r>
        <w:rPr>
          <w:rFonts w:hint="eastAsia"/>
        </w:rPr>
        <w:t>有关文件后，我方愿以</w:t>
      </w:r>
      <w:r>
        <w:rPr>
          <w:u w:val="single"/>
        </w:rPr>
        <w:t xml:space="preserve">         </w:t>
      </w:r>
      <w:r>
        <w:rPr>
          <w:rFonts w:hint="eastAsia"/>
          <w:u w:val="single"/>
        </w:rPr>
        <w:t>元</w:t>
      </w:r>
      <w:r>
        <w:rPr>
          <w:rFonts w:hint="eastAsia"/>
        </w:rPr>
        <w:t>的初次报价参与</w:t>
      </w:r>
      <w:r>
        <w:t>本项目的</w:t>
      </w:r>
      <w:r>
        <w:rPr>
          <w:rFonts w:hint="eastAsia"/>
        </w:rPr>
        <w:t>磋商。</w:t>
      </w:r>
    </w:p>
    <w:p w14:paraId="48B1F921">
      <w:pPr>
        <w:ind w:firstLine="420"/>
        <w:rPr>
          <w:rFonts w:ascii="宋体" w:hAnsi="宋体"/>
          <w:szCs w:val="21"/>
        </w:rPr>
      </w:pPr>
      <w:r>
        <w:rPr>
          <w:rFonts w:hint="eastAsia" w:ascii="宋体" w:hAnsi="宋体"/>
          <w:szCs w:val="21"/>
        </w:rPr>
        <w:t>2、我方承诺已经具备《中华人民共和国政府采购法》中第二十二条相关规定的参加政府采购活动的供应商应当具备的条件：</w:t>
      </w:r>
    </w:p>
    <w:p w14:paraId="6CF61FF8">
      <w:pPr>
        <w:ind w:firstLine="420"/>
      </w:pPr>
      <w:r>
        <w:rPr>
          <w:rFonts w:hint="eastAsia"/>
        </w:rPr>
        <w:t>3、编制和提交采购文件规定的全部磋商响应文件，包括磋商响应文件正本1份，副本  份。具体内容为：</w:t>
      </w:r>
    </w:p>
    <w:p w14:paraId="130702C7">
      <w:pPr>
        <w:ind w:firstLine="420"/>
        <w:rPr>
          <w:rFonts w:ascii="宋体" w:hAnsi="宋体"/>
          <w:szCs w:val="21"/>
        </w:rPr>
      </w:pPr>
      <w:r>
        <w:rPr>
          <w:rFonts w:hint="eastAsia" w:ascii="宋体" w:hAnsi="宋体"/>
          <w:szCs w:val="21"/>
        </w:rPr>
        <w:t>3.1资格证明部分</w:t>
      </w:r>
    </w:p>
    <w:p w14:paraId="76336EF8">
      <w:pPr>
        <w:ind w:firstLine="420"/>
        <w:rPr>
          <w:rFonts w:ascii="宋体" w:hAnsi="宋体"/>
          <w:szCs w:val="21"/>
        </w:rPr>
      </w:pPr>
      <w:r>
        <w:rPr>
          <w:rFonts w:hint="eastAsia" w:ascii="宋体" w:hAnsi="宋体"/>
          <w:szCs w:val="21"/>
        </w:rPr>
        <w:t>3</w:t>
      </w:r>
      <w:r>
        <w:rPr>
          <w:rFonts w:ascii="宋体" w:hAnsi="宋体"/>
          <w:szCs w:val="21"/>
        </w:rPr>
        <w:t>.</w:t>
      </w:r>
      <w:r>
        <w:rPr>
          <w:rFonts w:hint="eastAsia" w:ascii="宋体" w:hAnsi="宋体"/>
          <w:szCs w:val="21"/>
        </w:rPr>
        <w:t>2报价部分</w:t>
      </w:r>
    </w:p>
    <w:p w14:paraId="477FCFBE">
      <w:pPr>
        <w:ind w:firstLine="420"/>
        <w:rPr>
          <w:rFonts w:ascii="宋体" w:hAnsi="宋体"/>
          <w:szCs w:val="21"/>
        </w:rPr>
      </w:pPr>
      <w:r>
        <w:rPr>
          <w:rFonts w:hint="eastAsia" w:ascii="宋体" w:hAnsi="宋体"/>
          <w:szCs w:val="21"/>
        </w:rPr>
        <w:t>3.3商务部分</w:t>
      </w:r>
    </w:p>
    <w:p w14:paraId="06CAECBE">
      <w:pPr>
        <w:ind w:firstLine="420"/>
        <w:rPr>
          <w:rFonts w:ascii="宋体" w:hAnsi="宋体"/>
          <w:szCs w:val="21"/>
        </w:rPr>
      </w:pPr>
      <w:r>
        <w:rPr>
          <w:rFonts w:hint="eastAsia" w:ascii="宋体" w:hAnsi="宋体"/>
          <w:szCs w:val="21"/>
        </w:rPr>
        <w:t>3.4资信技术部分</w:t>
      </w:r>
    </w:p>
    <w:p w14:paraId="7D627532">
      <w:pPr>
        <w:ind w:firstLine="420"/>
        <w:rPr>
          <w:rFonts w:ascii="宋体" w:hAnsi="宋体"/>
          <w:szCs w:val="21"/>
        </w:rPr>
      </w:pPr>
      <w:r>
        <w:rPr>
          <w:rFonts w:hint="eastAsia" w:ascii="宋体" w:hAnsi="宋体"/>
          <w:szCs w:val="21"/>
        </w:rPr>
        <w:t>4、我方完全理解贵方不一定要接受最低价的投标。</w:t>
      </w:r>
    </w:p>
    <w:p w14:paraId="2368BCEF">
      <w:pPr>
        <w:ind w:firstLine="420"/>
        <w:rPr>
          <w:rFonts w:ascii="宋体" w:hAnsi="宋体"/>
          <w:szCs w:val="21"/>
        </w:rPr>
      </w:pPr>
      <w:r>
        <w:rPr>
          <w:rFonts w:ascii="宋体" w:hAnsi="宋体"/>
          <w:szCs w:val="21"/>
        </w:rPr>
        <w:t>5</w:t>
      </w:r>
      <w:r>
        <w:rPr>
          <w:rFonts w:hint="eastAsia" w:ascii="宋体" w:hAnsi="宋体"/>
          <w:szCs w:val="21"/>
        </w:rPr>
        <w:t>、我方愿意向贵方提供任何与该项磋商有关的数据、情况和技术资料。若贵方需要，我方愿意提供我方作出的一切承诺的证明材料。</w:t>
      </w:r>
    </w:p>
    <w:p w14:paraId="62C280A0">
      <w:pPr>
        <w:ind w:firstLine="420"/>
        <w:rPr>
          <w:rFonts w:ascii="宋体" w:hAnsi="宋体"/>
          <w:szCs w:val="21"/>
        </w:rPr>
      </w:pPr>
      <w:r>
        <w:rPr>
          <w:rFonts w:ascii="宋体" w:hAnsi="宋体"/>
          <w:szCs w:val="21"/>
        </w:rPr>
        <w:t>6</w:t>
      </w:r>
      <w:r>
        <w:rPr>
          <w:rFonts w:hint="eastAsia" w:ascii="宋体" w:hAnsi="宋体"/>
          <w:szCs w:val="21"/>
        </w:rPr>
        <w:t>、我方已详细审核全部采购文件，包括采购文件的</w:t>
      </w:r>
      <w:r>
        <w:rPr>
          <w:rFonts w:ascii="宋体" w:hAnsi="宋体"/>
          <w:szCs w:val="21"/>
        </w:rPr>
        <w:t>澄清或</w:t>
      </w:r>
      <w:r>
        <w:rPr>
          <w:rFonts w:hint="eastAsia" w:ascii="宋体" w:hAnsi="宋体"/>
          <w:szCs w:val="21"/>
        </w:rPr>
        <w:t>修改（如有的话）、参考资料及有关附件，确认无异议。</w:t>
      </w:r>
    </w:p>
    <w:p w14:paraId="56882A54">
      <w:pPr>
        <w:ind w:firstLine="420"/>
        <w:rPr>
          <w:rFonts w:ascii="宋体" w:hAnsi="宋体"/>
          <w:szCs w:val="21"/>
        </w:rPr>
      </w:pPr>
      <w:r>
        <w:rPr>
          <w:rFonts w:ascii="宋体" w:hAnsi="宋体"/>
          <w:szCs w:val="21"/>
        </w:rPr>
        <w:t>7</w:t>
      </w:r>
      <w:r>
        <w:rPr>
          <w:rFonts w:hint="eastAsia" w:ascii="宋体" w:hAnsi="宋体"/>
          <w:szCs w:val="21"/>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F34ABC7">
      <w:pPr>
        <w:ind w:firstLine="420"/>
      </w:pPr>
      <w:r>
        <w:t>7</w:t>
      </w:r>
      <w:r>
        <w:rPr>
          <w:rFonts w:hint="eastAsia"/>
        </w:rPr>
        <w:t>.1提供虚假材料谋取成交、成交的；</w:t>
      </w:r>
    </w:p>
    <w:p w14:paraId="3F70E8E8">
      <w:pPr>
        <w:ind w:firstLine="420"/>
      </w:pPr>
      <w:r>
        <w:t>7</w:t>
      </w:r>
      <w:r>
        <w:rPr>
          <w:rFonts w:hint="eastAsia"/>
        </w:rPr>
        <w:t>.2采取不正当手段诋毁、排挤其他供应商的；</w:t>
      </w:r>
    </w:p>
    <w:p w14:paraId="70677BBE">
      <w:pPr>
        <w:ind w:firstLine="420"/>
      </w:pPr>
      <w:r>
        <w:t>7.3</w:t>
      </w:r>
      <w:r>
        <w:rPr>
          <w:rFonts w:hint="eastAsia"/>
        </w:rPr>
        <w:t>与采购人、其它供应商或者采购代理机构恶意串通的；</w:t>
      </w:r>
    </w:p>
    <w:p w14:paraId="1F96ECAC">
      <w:pPr>
        <w:ind w:firstLine="420"/>
      </w:pPr>
      <w:r>
        <w:t>7.4</w:t>
      </w:r>
      <w:r>
        <w:rPr>
          <w:rFonts w:hint="eastAsia"/>
        </w:rPr>
        <w:t>向采购人、采购代理机构行贿或者提供其他不正当利益的；</w:t>
      </w:r>
    </w:p>
    <w:p w14:paraId="0B2F61F6">
      <w:pPr>
        <w:ind w:firstLine="420"/>
      </w:pPr>
      <w:r>
        <w:t>7</w:t>
      </w:r>
      <w:r>
        <w:rPr>
          <w:rFonts w:hint="eastAsia"/>
        </w:rPr>
        <w:t>.5在采购采购过程中与采购人进行协商磋商的；</w:t>
      </w:r>
    </w:p>
    <w:p w14:paraId="52AC72AA">
      <w:pPr>
        <w:ind w:firstLine="420"/>
      </w:pPr>
      <w:r>
        <w:t>7</w:t>
      </w:r>
      <w:r>
        <w:rPr>
          <w:rFonts w:hint="eastAsia"/>
        </w:rPr>
        <w:t>.6拒绝有关部门监督检查或提供虚假情况的。</w:t>
      </w:r>
    </w:p>
    <w:p w14:paraId="517798E9">
      <w:pPr>
        <w:ind w:firstLine="409" w:firstLineChars="195"/>
        <w:rPr>
          <w:rFonts w:ascii="宋体" w:hAnsi="宋体"/>
          <w:szCs w:val="21"/>
        </w:rPr>
      </w:pPr>
      <w:r>
        <w:rPr>
          <w:rFonts w:hint="eastAsia" w:ascii="宋体" w:hAnsi="宋体"/>
          <w:szCs w:val="21"/>
        </w:rPr>
        <w:t>供应商有前款第</w:t>
      </w:r>
      <w:r>
        <w:rPr>
          <w:rFonts w:ascii="宋体" w:hAnsi="宋体"/>
          <w:szCs w:val="21"/>
        </w:rPr>
        <w:t>7</w:t>
      </w:r>
      <w:r>
        <w:rPr>
          <w:rFonts w:hint="eastAsia" w:ascii="宋体" w:hAnsi="宋体"/>
          <w:szCs w:val="21"/>
        </w:rPr>
        <w:t>.1至</w:t>
      </w:r>
      <w:r>
        <w:rPr>
          <w:rFonts w:ascii="宋体" w:hAnsi="宋体"/>
          <w:szCs w:val="21"/>
        </w:rPr>
        <w:t>7</w:t>
      </w:r>
      <w:r>
        <w:rPr>
          <w:rFonts w:hint="eastAsia" w:ascii="宋体" w:hAnsi="宋体"/>
          <w:szCs w:val="21"/>
        </w:rPr>
        <w:t>.5项情形之一的,成交、成交无效。</w:t>
      </w:r>
    </w:p>
    <w:p w14:paraId="39490716">
      <w:pPr>
        <w:ind w:firstLine="420"/>
      </w:pPr>
      <w:r>
        <w:t>8</w:t>
      </w:r>
      <w:r>
        <w:rPr>
          <w:rFonts w:hint="eastAsia"/>
        </w:rPr>
        <w:t>、本投标自磋商之日起60天内有效（成交单位，顺延至合同结束）。</w:t>
      </w:r>
    </w:p>
    <w:p w14:paraId="3C98F421">
      <w:pPr>
        <w:ind w:firstLine="420"/>
        <w:rPr>
          <w:rFonts w:ascii="宋体" w:hAnsi="宋体"/>
          <w:szCs w:val="21"/>
        </w:rPr>
      </w:pPr>
      <w:r>
        <w:rPr>
          <w:rFonts w:ascii="宋体" w:hAnsi="宋体"/>
          <w:szCs w:val="21"/>
        </w:rPr>
        <w:t>9</w:t>
      </w:r>
      <w:r>
        <w:rPr>
          <w:rFonts w:hint="eastAsia" w:ascii="宋体" w:hAnsi="宋体"/>
          <w:szCs w:val="21"/>
        </w:rPr>
        <w:t>、与本投标有关的一切往来通讯请寄：</w:t>
      </w:r>
    </w:p>
    <w:p w14:paraId="74B654B4">
      <w:pPr>
        <w:pStyle w:val="44"/>
        <w:ind w:firstLineChars="200"/>
        <w:rPr>
          <w:rFonts w:ascii="宋体" w:hAnsi="宋体" w:eastAsia="宋体" w:cs="宋体"/>
        </w:rPr>
      </w:pPr>
      <w:r>
        <w:rPr>
          <w:rFonts w:hint="eastAsia" w:ascii="宋体" w:hAnsi="宋体" w:eastAsia="宋体" w:cs="宋体"/>
        </w:rPr>
        <w:t>10、我方承诺在确认成交后5天内支付磋商代理服务费。</w:t>
      </w:r>
    </w:p>
    <w:p w14:paraId="0A491D98">
      <w:pPr>
        <w:ind w:firstLine="409" w:firstLineChars="195"/>
        <w:rPr>
          <w:rFonts w:ascii="宋体" w:hAnsi="宋体"/>
          <w:szCs w:val="21"/>
        </w:rPr>
      </w:pPr>
    </w:p>
    <w:p w14:paraId="56A957DA">
      <w:pPr>
        <w:ind w:firstLine="199" w:firstLineChars="95"/>
        <w:rPr>
          <w:rFonts w:ascii="宋体" w:hAnsi="宋体"/>
          <w:szCs w:val="21"/>
        </w:rPr>
      </w:pPr>
    </w:p>
    <w:p w14:paraId="14DA3819">
      <w:pPr>
        <w:ind w:firstLine="199" w:firstLineChars="95"/>
        <w:rPr>
          <w:rFonts w:ascii="宋体" w:hAnsi="宋体"/>
          <w:szCs w:val="21"/>
          <w:u w:val="single"/>
        </w:rPr>
      </w:pPr>
      <w:r>
        <w:rPr>
          <w:rFonts w:hint="eastAsia" w:ascii="宋体" w:hAnsi="宋体"/>
          <w:szCs w:val="21"/>
        </w:rPr>
        <w:t>法人代表签字或盖章：</w:t>
      </w:r>
      <w:r>
        <w:rPr>
          <w:rFonts w:hint="eastAsia" w:ascii="宋体" w:hAnsi="宋体"/>
          <w:szCs w:val="21"/>
          <w:u w:val="single"/>
        </w:rPr>
        <w:t xml:space="preserve">                  </w:t>
      </w:r>
    </w:p>
    <w:p w14:paraId="2219EDAA">
      <w:pPr>
        <w:ind w:firstLine="199" w:firstLineChars="95"/>
        <w:rPr>
          <w:rFonts w:ascii="宋体" w:hAnsi="宋体"/>
          <w:szCs w:val="21"/>
          <w:u w:val="single"/>
        </w:rPr>
      </w:pPr>
      <w:r>
        <w:rPr>
          <w:rFonts w:hint="eastAsia" w:ascii="宋体" w:hAnsi="宋体"/>
          <w:szCs w:val="21"/>
        </w:rPr>
        <w:t>授权委托人签字：</w:t>
      </w:r>
      <w:r>
        <w:rPr>
          <w:rFonts w:hint="eastAsia" w:ascii="宋体" w:hAnsi="宋体"/>
          <w:szCs w:val="21"/>
          <w:u w:val="single"/>
        </w:rPr>
        <w:t xml:space="preserve">                </w:t>
      </w:r>
    </w:p>
    <w:p w14:paraId="1656A2A4">
      <w:pPr>
        <w:ind w:firstLine="199" w:firstLineChars="95"/>
        <w:rPr>
          <w:rFonts w:ascii="宋体" w:hAnsi="宋体"/>
          <w:szCs w:val="21"/>
          <w:u w:val="single"/>
        </w:rPr>
      </w:pPr>
      <w:r>
        <w:rPr>
          <w:rFonts w:hint="eastAsia" w:ascii="宋体" w:hAnsi="宋体"/>
          <w:szCs w:val="21"/>
        </w:rPr>
        <w:t xml:space="preserve">公 司 盖 章：  </w:t>
      </w:r>
      <w:r>
        <w:rPr>
          <w:rFonts w:hint="eastAsia" w:ascii="宋体" w:hAnsi="宋体"/>
          <w:szCs w:val="21"/>
          <w:u w:val="single"/>
        </w:rPr>
        <w:t xml:space="preserve">                 </w:t>
      </w:r>
    </w:p>
    <w:p w14:paraId="29E05B9D">
      <w:pPr>
        <w:ind w:firstLineChars="0"/>
        <w:rPr>
          <w:rFonts w:ascii="宋体" w:hAnsi="宋体"/>
          <w:szCs w:val="21"/>
        </w:rPr>
      </w:pPr>
      <w:r>
        <w:rPr>
          <w:rFonts w:hint="eastAsia" w:ascii="宋体" w:hAnsi="宋体"/>
          <w:szCs w:val="21"/>
        </w:rPr>
        <w:t xml:space="preserve">联系人： </w:t>
      </w:r>
      <w:r>
        <w:rPr>
          <w:rFonts w:hint="eastAsia" w:ascii="宋体" w:hAnsi="宋体"/>
          <w:szCs w:val="21"/>
          <w:u w:val="single"/>
        </w:rPr>
        <w:t xml:space="preserve">              </w:t>
      </w:r>
      <w:r>
        <w:rPr>
          <w:rFonts w:hint="eastAsia" w:ascii="宋体" w:hAnsi="宋体"/>
          <w:szCs w:val="21"/>
        </w:rPr>
        <w:t xml:space="preserve">联 系 电 话：  </w:t>
      </w:r>
      <w:r>
        <w:rPr>
          <w:rFonts w:hint="eastAsia" w:ascii="宋体" w:hAnsi="宋体"/>
          <w:szCs w:val="21"/>
          <w:u w:val="single"/>
        </w:rPr>
        <w:t xml:space="preserve">                  </w:t>
      </w:r>
      <w:r>
        <w:rPr>
          <w:rFonts w:hint="eastAsia" w:ascii="宋体" w:hAnsi="宋体"/>
          <w:szCs w:val="21"/>
        </w:rPr>
        <w:t xml:space="preserve">                   </w:t>
      </w:r>
    </w:p>
    <w:p w14:paraId="405F7B83">
      <w:pPr>
        <w:ind w:firstLineChars="0"/>
        <w:rPr>
          <w:rFonts w:ascii="宋体" w:hAnsi="宋体"/>
          <w:szCs w:val="21"/>
        </w:rPr>
      </w:pPr>
      <w:r>
        <w:rPr>
          <w:rFonts w:hint="eastAsia" w:ascii="宋体" w:hAnsi="宋体"/>
          <w:szCs w:val="21"/>
        </w:rPr>
        <w:t>联系地址：</w:t>
      </w:r>
      <w:r>
        <w:rPr>
          <w:rFonts w:hint="eastAsia" w:ascii="宋体" w:hAnsi="宋体"/>
          <w:szCs w:val="21"/>
          <w:u w:val="single"/>
        </w:rPr>
        <w:t xml:space="preserve">                                              </w:t>
      </w:r>
      <w:r>
        <w:rPr>
          <w:rFonts w:hint="eastAsia" w:ascii="宋体" w:hAnsi="宋体"/>
          <w:szCs w:val="21"/>
        </w:rPr>
        <w:t xml:space="preserve">             </w:t>
      </w:r>
    </w:p>
    <w:p w14:paraId="66E26E45">
      <w:pPr>
        <w:ind w:firstLineChars="0"/>
        <w:rPr>
          <w:rFonts w:ascii="宋体" w:hAnsi="宋体"/>
          <w:szCs w:val="21"/>
          <w:u w:val="single"/>
        </w:rPr>
      </w:pPr>
      <w:r>
        <w:rPr>
          <w:rFonts w:hint="eastAsia" w:ascii="宋体" w:hAnsi="宋体"/>
          <w:szCs w:val="21"/>
        </w:rPr>
        <w:t>邮政编码：</w:t>
      </w:r>
      <w:r>
        <w:rPr>
          <w:rFonts w:hint="eastAsia" w:ascii="宋体" w:hAnsi="宋体"/>
          <w:szCs w:val="21"/>
          <w:u w:val="single"/>
        </w:rPr>
        <w:t xml:space="preserve">             </w:t>
      </w:r>
      <w:r>
        <w:rPr>
          <w:rFonts w:hint="eastAsia" w:ascii="宋体" w:hAnsi="宋体"/>
          <w:szCs w:val="21"/>
        </w:rPr>
        <w:t>传真号码：</w:t>
      </w:r>
      <w:r>
        <w:rPr>
          <w:rFonts w:hint="eastAsia" w:ascii="宋体" w:hAnsi="宋体"/>
          <w:szCs w:val="21"/>
          <w:u w:val="single"/>
        </w:rPr>
        <w:t xml:space="preserve">          </w:t>
      </w:r>
    </w:p>
    <w:p w14:paraId="60B8B296">
      <w:pPr>
        <w:ind w:firstLineChars="0"/>
        <w:rPr>
          <w:rFonts w:ascii="宋体" w:hAnsi="宋体"/>
          <w:szCs w:val="21"/>
        </w:rPr>
      </w:pPr>
      <w:r>
        <w:rPr>
          <w:rFonts w:hint="eastAsia" w:ascii="宋体" w:hAnsi="宋体"/>
          <w:szCs w:val="21"/>
        </w:rPr>
        <w:t>日期：</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2CBBB4E5">
      <w:pPr>
        <w:ind w:firstLine="0" w:firstLineChars="0"/>
        <w:rPr>
          <w:rFonts w:ascii="宋体" w:hAnsi="宋体"/>
          <w:szCs w:val="21"/>
        </w:rPr>
      </w:pPr>
      <w:r>
        <w:rPr>
          <w:rFonts w:hint="eastAsia" w:ascii="宋体" w:hAnsi="宋体"/>
          <w:szCs w:val="21"/>
        </w:rPr>
        <w:t>注：未按照本磋商函要求填报的将被视为非实质性响应投标，从而可能导致被拒绝</w:t>
      </w:r>
    </w:p>
    <w:p w14:paraId="0396C215">
      <w:pPr>
        <w:keepNext/>
        <w:keepLines/>
        <w:ind w:firstLine="0" w:firstLineChars="0"/>
        <w:outlineLvl w:val="2"/>
        <w:rPr>
          <w:b/>
          <w:bCs/>
          <w:sz w:val="18"/>
          <w:szCs w:val="32"/>
        </w:rPr>
      </w:pPr>
      <w:r>
        <w:rPr>
          <w:b/>
          <w:bCs/>
          <w:szCs w:val="32"/>
        </w:rPr>
        <w:br w:type="page"/>
      </w:r>
      <w:r>
        <w:rPr>
          <w:rFonts w:hint="eastAsia"/>
          <w:b/>
          <w:bCs/>
          <w:szCs w:val="32"/>
        </w:rPr>
        <w:t>附件二 初次报价一览表</w:t>
      </w:r>
    </w:p>
    <w:p w14:paraId="24335EF7">
      <w:pPr>
        <w:adjustRightInd w:val="0"/>
        <w:snapToGrid w:val="0"/>
        <w:ind w:firstLine="0" w:firstLineChars="0"/>
        <w:rPr>
          <w:rFonts w:ascii="宋体" w:hAnsi="宋体"/>
          <w:spacing w:val="20"/>
          <w:szCs w:val="20"/>
        </w:rPr>
      </w:pPr>
    </w:p>
    <w:p w14:paraId="7942D17C">
      <w:pPr>
        <w:adjustRightInd w:val="0"/>
        <w:snapToGrid w:val="0"/>
        <w:ind w:firstLine="0" w:firstLineChars="0"/>
        <w:rPr>
          <w:rFonts w:ascii="宋体" w:hAnsi="宋体"/>
          <w:spacing w:val="20"/>
          <w:szCs w:val="20"/>
        </w:rPr>
      </w:pPr>
      <w:r>
        <w:rPr>
          <w:rFonts w:hint="eastAsia" w:ascii="宋体" w:hAnsi="宋体"/>
          <w:spacing w:val="20"/>
          <w:szCs w:val="20"/>
        </w:rPr>
        <w:t>项目名称：</w:t>
      </w:r>
      <w:r>
        <w:rPr>
          <w:rFonts w:hint="eastAsia" w:ascii="宋体" w:hAnsi="宋体"/>
          <w:spacing w:val="20"/>
          <w:szCs w:val="20"/>
          <w:u w:val="single"/>
        </w:rPr>
        <w:t xml:space="preserve">            </w:t>
      </w:r>
      <w:r>
        <w:rPr>
          <w:rFonts w:hint="eastAsia" w:ascii="宋体" w:hAnsi="宋体"/>
          <w:spacing w:val="20"/>
          <w:szCs w:val="20"/>
        </w:rPr>
        <w:t xml:space="preserve">   </w:t>
      </w:r>
    </w:p>
    <w:p w14:paraId="521EDD96">
      <w:pPr>
        <w:adjustRightInd w:val="0"/>
        <w:snapToGrid w:val="0"/>
        <w:ind w:firstLine="0" w:firstLineChars="0"/>
        <w:rPr>
          <w:rFonts w:ascii="宋体" w:hAnsi="宋体"/>
          <w:spacing w:val="20"/>
          <w:szCs w:val="20"/>
        </w:rPr>
      </w:pPr>
      <w:r>
        <w:rPr>
          <w:rFonts w:hint="eastAsia" w:ascii="宋体" w:hAnsi="宋体"/>
          <w:spacing w:val="20"/>
          <w:szCs w:val="20"/>
        </w:rPr>
        <w:t>采购编号：</w:t>
      </w:r>
      <w:r>
        <w:rPr>
          <w:rFonts w:hint="eastAsia" w:ascii="宋体" w:hAnsi="宋体"/>
          <w:spacing w:val="20"/>
          <w:szCs w:val="20"/>
          <w:u w:val="single"/>
        </w:rPr>
        <w:t xml:space="preserve">            </w:t>
      </w:r>
      <w:r>
        <w:rPr>
          <w:rFonts w:hint="eastAsia" w:ascii="宋体" w:hAnsi="宋体"/>
          <w:spacing w:val="20"/>
          <w:szCs w:val="20"/>
        </w:rPr>
        <w:t xml:space="preserve"> </w:t>
      </w:r>
    </w:p>
    <w:tbl>
      <w:tblPr>
        <w:tblStyle w:val="4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5"/>
        <w:gridCol w:w="4922"/>
        <w:gridCol w:w="2098"/>
        <w:gridCol w:w="1544"/>
      </w:tblGrid>
      <w:tr w14:paraId="5C1A9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1285" w:type="dxa"/>
            <w:vAlign w:val="center"/>
          </w:tcPr>
          <w:p w14:paraId="6EB3669B">
            <w:pPr>
              <w:spacing w:after="120"/>
              <w:ind w:firstLine="0" w:firstLineChars="0"/>
              <w:rPr>
                <w:rFonts w:ascii="宋体" w:hAnsi="宋体" w:cs="宋体"/>
                <w:szCs w:val="21"/>
              </w:rPr>
            </w:pPr>
            <w:r>
              <w:rPr>
                <w:rFonts w:hint="eastAsia" w:ascii="宋体" w:hAnsi="宋体" w:cs="宋体"/>
                <w:szCs w:val="21"/>
              </w:rPr>
              <w:t>项目名称</w:t>
            </w:r>
          </w:p>
        </w:tc>
        <w:tc>
          <w:tcPr>
            <w:tcW w:w="4922" w:type="dxa"/>
            <w:vAlign w:val="center"/>
          </w:tcPr>
          <w:p w14:paraId="1072F246">
            <w:pPr>
              <w:pStyle w:val="5"/>
              <w:ind w:firstLine="0"/>
              <w:jc w:val="center"/>
              <w:rPr>
                <w:rFonts w:ascii="宋体" w:hAnsi="宋体" w:cs="宋体"/>
                <w:szCs w:val="21"/>
              </w:rPr>
            </w:pPr>
            <w:r>
              <w:rPr>
                <w:rFonts w:hint="eastAsia" w:ascii="宋体" w:hAnsi="宋体"/>
                <w:szCs w:val="21"/>
              </w:rPr>
              <w:t>投标报价（元）</w:t>
            </w:r>
          </w:p>
        </w:tc>
        <w:tc>
          <w:tcPr>
            <w:tcW w:w="2098" w:type="dxa"/>
            <w:vAlign w:val="center"/>
          </w:tcPr>
          <w:p w14:paraId="149EEA71">
            <w:pPr>
              <w:spacing w:after="120"/>
              <w:ind w:firstLine="514" w:firstLineChars="245"/>
              <w:rPr>
                <w:rFonts w:ascii="宋体" w:hAnsi="宋体" w:cs="宋体"/>
                <w:szCs w:val="21"/>
              </w:rPr>
            </w:pPr>
            <w:r>
              <w:rPr>
                <w:rFonts w:hint="eastAsia" w:ascii="宋体" w:hAnsi="宋体" w:cs="宋体"/>
                <w:szCs w:val="21"/>
              </w:rPr>
              <w:t>服务期</w:t>
            </w:r>
          </w:p>
        </w:tc>
        <w:tc>
          <w:tcPr>
            <w:tcW w:w="1544" w:type="dxa"/>
            <w:vAlign w:val="center"/>
          </w:tcPr>
          <w:p w14:paraId="5A28A658">
            <w:pPr>
              <w:spacing w:after="120"/>
              <w:ind w:firstLine="420"/>
              <w:rPr>
                <w:rFonts w:ascii="宋体" w:hAnsi="宋体" w:cs="宋体"/>
                <w:szCs w:val="21"/>
              </w:rPr>
            </w:pPr>
            <w:r>
              <w:rPr>
                <w:rFonts w:hint="eastAsia" w:ascii="宋体" w:hAnsi="宋体" w:cs="宋体"/>
                <w:szCs w:val="21"/>
              </w:rPr>
              <w:t>备注</w:t>
            </w:r>
          </w:p>
        </w:tc>
      </w:tr>
      <w:tr w14:paraId="75F6D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1285" w:type="dxa"/>
            <w:vAlign w:val="center"/>
          </w:tcPr>
          <w:p w14:paraId="311F0C8C">
            <w:pPr>
              <w:spacing w:after="120"/>
              <w:ind w:firstLine="0" w:firstLineChars="0"/>
              <w:rPr>
                <w:rFonts w:ascii="宋体" w:hAnsi="宋体" w:cs="宋体"/>
                <w:szCs w:val="21"/>
              </w:rPr>
            </w:pPr>
          </w:p>
        </w:tc>
        <w:tc>
          <w:tcPr>
            <w:tcW w:w="4922" w:type="dxa"/>
            <w:vAlign w:val="center"/>
          </w:tcPr>
          <w:p w14:paraId="6FF3851C">
            <w:pPr>
              <w:pStyle w:val="5"/>
              <w:ind w:firstLine="0"/>
              <w:rPr>
                <w:rFonts w:ascii="宋体" w:hAnsi="宋体"/>
                <w:szCs w:val="21"/>
              </w:rPr>
            </w:pPr>
            <w:r>
              <w:rPr>
                <w:rFonts w:hint="eastAsia" w:ascii="宋体" w:hAnsi="宋体"/>
                <w:szCs w:val="21"/>
              </w:rPr>
              <w:t>小写：</w:t>
            </w:r>
          </w:p>
          <w:p w14:paraId="3981D937">
            <w:pPr>
              <w:pStyle w:val="5"/>
              <w:ind w:firstLine="0"/>
              <w:rPr>
                <w:rFonts w:ascii="宋体" w:hAnsi="宋体" w:cs="宋体"/>
                <w:szCs w:val="21"/>
              </w:rPr>
            </w:pPr>
            <w:r>
              <w:rPr>
                <w:rFonts w:hint="eastAsia" w:ascii="宋体" w:hAnsi="宋体"/>
                <w:szCs w:val="21"/>
              </w:rPr>
              <w:t>大写：</w:t>
            </w:r>
          </w:p>
        </w:tc>
        <w:tc>
          <w:tcPr>
            <w:tcW w:w="2098" w:type="dxa"/>
            <w:vAlign w:val="center"/>
          </w:tcPr>
          <w:p w14:paraId="2ACB15CC">
            <w:pPr>
              <w:spacing w:after="120"/>
              <w:ind w:firstLine="420"/>
              <w:rPr>
                <w:rFonts w:ascii="宋体" w:hAnsi="宋体" w:cs="宋体"/>
                <w:szCs w:val="21"/>
              </w:rPr>
            </w:pPr>
          </w:p>
        </w:tc>
        <w:tc>
          <w:tcPr>
            <w:tcW w:w="1544" w:type="dxa"/>
            <w:vAlign w:val="center"/>
          </w:tcPr>
          <w:p w14:paraId="24AEFDDB">
            <w:pPr>
              <w:spacing w:after="120"/>
              <w:ind w:firstLine="420"/>
              <w:rPr>
                <w:rFonts w:ascii="宋体" w:hAnsi="宋体" w:cs="宋体"/>
                <w:szCs w:val="21"/>
              </w:rPr>
            </w:pPr>
          </w:p>
        </w:tc>
      </w:tr>
    </w:tbl>
    <w:p w14:paraId="7C422E8E">
      <w:pPr>
        <w:adjustRightInd w:val="0"/>
        <w:snapToGrid w:val="0"/>
        <w:ind w:firstLine="0" w:firstLineChars="0"/>
        <w:rPr>
          <w:rFonts w:ascii="宋体" w:hAnsi="宋体"/>
          <w:spacing w:val="20"/>
          <w:szCs w:val="20"/>
        </w:rPr>
      </w:pPr>
    </w:p>
    <w:p w14:paraId="39E674BE">
      <w:pPr>
        <w:spacing w:after="120"/>
        <w:ind w:firstLine="420"/>
        <w:rPr>
          <w:szCs w:val="21"/>
        </w:rPr>
      </w:pPr>
      <w:r>
        <w:rPr>
          <w:rFonts w:hint="eastAsia"/>
          <w:szCs w:val="21"/>
        </w:rPr>
        <w:t>注：1、本表的报价与附件一的磋商函内的投标价必须相符。</w:t>
      </w:r>
    </w:p>
    <w:p w14:paraId="37277904">
      <w:pPr>
        <w:ind w:firstLine="0" w:firstLineChars="0"/>
        <w:rPr>
          <w:rFonts w:ascii="宋体" w:hAnsi="宋体"/>
          <w:b/>
          <w:spacing w:val="20"/>
        </w:rPr>
      </w:pPr>
    </w:p>
    <w:p w14:paraId="0F75D9FF">
      <w:pPr>
        <w:adjustRightInd w:val="0"/>
        <w:snapToGrid w:val="0"/>
        <w:ind w:firstLine="0" w:firstLineChars="0"/>
        <w:rPr>
          <w:rFonts w:ascii="宋体" w:hAnsi="宋体"/>
          <w:szCs w:val="20"/>
        </w:rPr>
      </w:pPr>
    </w:p>
    <w:p w14:paraId="4EB97257">
      <w:pPr>
        <w:adjustRightInd w:val="0"/>
        <w:snapToGrid w:val="0"/>
        <w:ind w:firstLine="0" w:firstLineChars="0"/>
        <w:rPr>
          <w:rFonts w:ascii="宋体" w:hAnsi="宋体"/>
          <w:szCs w:val="20"/>
        </w:rPr>
      </w:pPr>
    </w:p>
    <w:p w14:paraId="04830A44">
      <w:pPr>
        <w:ind w:firstLine="420"/>
      </w:pPr>
      <w:r>
        <w:rPr>
          <w:rFonts w:hint="eastAsia"/>
        </w:rPr>
        <w:t>供应商（公章）：</w:t>
      </w:r>
    </w:p>
    <w:p w14:paraId="497BBE8A">
      <w:pPr>
        <w:ind w:firstLine="420"/>
      </w:pPr>
    </w:p>
    <w:p w14:paraId="5ACE09E6">
      <w:pPr>
        <w:ind w:firstLine="420"/>
      </w:pPr>
      <w:r>
        <w:rPr>
          <w:rFonts w:hint="eastAsia"/>
        </w:rPr>
        <w:t>法定代表人或授权委托人（签字）：</w:t>
      </w:r>
    </w:p>
    <w:p w14:paraId="5A7323EF">
      <w:pPr>
        <w:adjustRightInd w:val="0"/>
        <w:snapToGrid w:val="0"/>
        <w:ind w:firstLine="420"/>
      </w:pPr>
    </w:p>
    <w:p w14:paraId="5B9EFDDC">
      <w:pPr>
        <w:adjustRightInd w:val="0"/>
        <w:snapToGrid w:val="0"/>
        <w:ind w:firstLine="420"/>
        <w:rPr>
          <w:rFonts w:ascii="宋体" w:hAnsi="宋体"/>
          <w:szCs w:val="20"/>
        </w:rPr>
      </w:pPr>
      <w:r>
        <w:rPr>
          <w:rFonts w:hint="eastAsia"/>
        </w:rPr>
        <w:t>日 期：    年   月   日</w:t>
      </w:r>
    </w:p>
    <w:p w14:paraId="571523DA">
      <w:pPr>
        <w:adjustRightInd w:val="0"/>
        <w:snapToGrid w:val="0"/>
        <w:ind w:firstLine="0" w:firstLineChars="0"/>
        <w:rPr>
          <w:rFonts w:ascii="宋体" w:hAnsi="宋体"/>
          <w:szCs w:val="20"/>
        </w:rPr>
      </w:pPr>
    </w:p>
    <w:p w14:paraId="2015C072">
      <w:pPr>
        <w:widowControl/>
        <w:spacing w:line="240" w:lineRule="auto"/>
        <w:ind w:firstLine="0" w:firstLineChars="0"/>
        <w:jc w:val="left"/>
        <w:rPr>
          <w:rFonts w:ascii="宋体" w:hAnsi="宋体"/>
          <w:sz w:val="24"/>
        </w:rPr>
      </w:pPr>
    </w:p>
    <w:p w14:paraId="6B545901">
      <w:pPr>
        <w:widowControl/>
        <w:spacing w:line="240" w:lineRule="auto"/>
        <w:ind w:firstLine="0" w:firstLineChars="0"/>
        <w:jc w:val="left"/>
        <w:rPr>
          <w:rFonts w:ascii="宋体" w:hAnsi="宋体"/>
          <w:sz w:val="24"/>
        </w:rPr>
      </w:pPr>
    </w:p>
    <w:p w14:paraId="511AD66E">
      <w:pPr>
        <w:keepNext/>
        <w:keepLines/>
        <w:ind w:firstLine="422" w:firstLineChars="0"/>
        <w:outlineLvl w:val="2"/>
        <w:rPr>
          <w:b/>
          <w:bCs/>
          <w:szCs w:val="32"/>
        </w:rPr>
        <w:sectPr>
          <w:pgSz w:w="11907" w:h="16840"/>
          <w:pgMar w:top="1247" w:right="1304" w:bottom="1021" w:left="1304" w:header="720" w:footer="720" w:gutter="0"/>
          <w:cols w:space="720" w:num="1"/>
          <w:docGrid w:linePitch="286" w:charSpace="0"/>
        </w:sectPr>
      </w:pPr>
    </w:p>
    <w:p w14:paraId="3794EEF6">
      <w:pPr>
        <w:pStyle w:val="4"/>
        <w:ind w:firstLine="643"/>
      </w:pPr>
      <w:r>
        <w:rPr>
          <w:rFonts w:hint="eastAsia"/>
        </w:rPr>
        <w:t>报价明细表</w:t>
      </w:r>
    </w:p>
    <w:p w14:paraId="094F2C0B">
      <w:pPr>
        <w:adjustRightInd w:val="0"/>
        <w:snapToGrid w:val="0"/>
        <w:ind w:firstLine="480"/>
        <w:rPr>
          <w:rFonts w:ascii="宋体" w:hAnsi="宋体" w:cs="宋体"/>
        </w:rPr>
      </w:pPr>
      <w:r>
        <w:rPr>
          <w:rFonts w:hint="eastAsia" w:ascii="宋体" w:hAnsi="宋体" w:cs="宋体"/>
          <w:sz w:val="24"/>
        </w:rPr>
        <w:t xml:space="preserve"> </w:t>
      </w:r>
      <w:r>
        <w:rPr>
          <w:rFonts w:hint="eastAsia" w:ascii="宋体" w:hAnsi="宋体" w:cs="宋体"/>
        </w:rPr>
        <w:t>项目名称：</w:t>
      </w:r>
      <w:r>
        <w:rPr>
          <w:rFonts w:hint="eastAsia" w:ascii="宋体" w:hAnsi="宋体" w:cs="宋体"/>
          <w:u w:val="single"/>
        </w:rPr>
        <w:t xml:space="preserve">                 </w:t>
      </w:r>
      <w:r>
        <w:rPr>
          <w:rFonts w:hint="eastAsia" w:ascii="宋体" w:hAnsi="宋体" w:cs="宋体"/>
        </w:rPr>
        <w:t xml:space="preserve"> 项目编号：</w:t>
      </w:r>
      <w:r>
        <w:rPr>
          <w:rFonts w:hint="eastAsia" w:ascii="宋体" w:hAnsi="宋体" w:cs="宋体"/>
          <w:u w:val="single"/>
        </w:rPr>
        <w:t xml:space="preserve">               </w:t>
      </w:r>
      <w:r>
        <w:rPr>
          <w:rFonts w:hint="eastAsia" w:ascii="宋体" w:hAnsi="宋体" w:cs="宋体"/>
        </w:rPr>
        <w:t xml:space="preserve"> （价格单位：元人民币）</w:t>
      </w:r>
    </w:p>
    <w:tbl>
      <w:tblPr>
        <w:tblStyle w:val="46"/>
        <w:tblW w:w="920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769"/>
        <w:gridCol w:w="1809"/>
        <w:gridCol w:w="2445"/>
        <w:gridCol w:w="2002"/>
        <w:gridCol w:w="2175"/>
      </w:tblGrid>
      <w:tr w14:paraId="30CE3B3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tcBorders>
              <w:top w:val="single" w:color="auto" w:sz="4" w:space="0"/>
              <w:left w:val="single" w:color="auto" w:sz="4" w:space="0"/>
              <w:bottom w:val="single" w:color="auto" w:sz="4" w:space="0"/>
              <w:right w:val="single" w:color="auto" w:sz="4" w:space="0"/>
            </w:tcBorders>
            <w:vAlign w:val="center"/>
          </w:tcPr>
          <w:p w14:paraId="72262893">
            <w:pPr>
              <w:pStyle w:val="90"/>
              <w:ind w:firstLine="0" w:firstLineChars="0"/>
            </w:pPr>
            <w:r>
              <w:rPr>
                <w:rFonts w:hint="eastAsia"/>
              </w:rPr>
              <w:t>序号</w:t>
            </w:r>
          </w:p>
        </w:tc>
        <w:tc>
          <w:tcPr>
            <w:tcW w:w="1809" w:type="dxa"/>
            <w:tcBorders>
              <w:top w:val="single" w:color="auto" w:sz="4" w:space="0"/>
              <w:left w:val="single" w:color="auto" w:sz="4" w:space="0"/>
              <w:bottom w:val="single" w:color="auto" w:sz="4" w:space="0"/>
              <w:right w:val="single" w:color="auto" w:sz="4" w:space="0"/>
            </w:tcBorders>
            <w:vAlign w:val="center"/>
          </w:tcPr>
          <w:p w14:paraId="5ABEFBDF">
            <w:pPr>
              <w:pStyle w:val="90"/>
              <w:ind w:firstLine="420"/>
            </w:pPr>
            <w:r>
              <w:rPr>
                <w:rFonts w:hint="eastAsia"/>
              </w:rPr>
              <w:t>费用名称</w:t>
            </w:r>
          </w:p>
        </w:tc>
        <w:tc>
          <w:tcPr>
            <w:tcW w:w="2445" w:type="dxa"/>
            <w:tcBorders>
              <w:top w:val="single" w:color="auto" w:sz="4" w:space="0"/>
              <w:left w:val="single" w:color="auto" w:sz="4" w:space="0"/>
              <w:bottom w:val="single" w:color="auto" w:sz="4" w:space="0"/>
              <w:right w:val="single" w:color="auto" w:sz="4" w:space="0"/>
            </w:tcBorders>
            <w:vAlign w:val="center"/>
          </w:tcPr>
          <w:p w14:paraId="3F29B8AA">
            <w:pPr>
              <w:pStyle w:val="90"/>
              <w:ind w:firstLine="420"/>
            </w:pPr>
            <w:r>
              <w:rPr>
                <w:rFonts w:hint="eastAsia"/>
              </w:rPr>
              <w:t>价格构成</w:t>
            </w:r>
          </w:p>
        </w:tc>
        <w:tc>
          <w:tcPr>
            <w:tcW w:w="2002" w:type="dxa"/>
            <w:tcBorders>
              <w:top w:val="single" w:color="auto" w:sz="4" w:space="0"/>
              <w:left w:val="single" w:color="auto" w:sz="4" w:space="0"/>
              <w:bottom w:val="single" w:color="auto" w:sz="4" w:space="0"/>
              <w:right w:val="single" w:color="auto" w:sz="4" w:space="0"/>
            </w:tcBorders>
            <w:vAlign w:val="center"/>
          </w:tcPr>
          <w:p w14:paraId="77CE4264">
            <w:pPr>
              <w:pStyle w:val="90"/>
              <w:ind w:firstLine="420"/>
            </w:pPr>
            <w:r>
              <w:rPr>
                <w:rFonts w:hint="eastAsia"/>
              </w:rPr>
              <w:t>费用</w:t>
            </w:r>
          </w:p>
        </w:tc>
        <w:tc>
          <w:tcPr>
            <w:tcW w:w="2175" w:type="dxa"/>
            <w:tcBorders>
              <w:top w:val="single" w:color="auto" w:sz="4" w:space="0"/>
              <w:left w:val="single" w:color="auto" w:sz="4" w:space="0"/>
              <w:bottom w:val="single" w:color="auto" w:sz="4" w:space="0"/>
              <w:right w:val="single" w:color="auto" w:sz="4" w:space="0"/>
            </w:tcBorders>
            <w:vAlign w:val="center"/>
          </w:tcPr>
          <w:p w14:paraId="34A4BDA7">
            <w:pPr>
              <w:pStyle w:val="90"/>
              <w:ind w:firstLine="420"/>
            </w:pPr>
            <w:r>
              <w:rPr>
                <w:rFonts w:hint="eastAsia"/>
              </w:rPr>
              <w:t>有关说明</w:t>
            </w:r>
          </w:p>
        </w:tc>
      </w:tr>
      <w:tr w14:paraId="691BEA7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14:paraId="7E5790BB">
            <w:pPr>
              <w:pStyle w:val="90"/>
              <w:ind w:firstLine="420"/>
            </w:pPr>
            <w:r>
              <w:rPr>
                <w:rFonts w:hint="eastAsia"/>
              </w:rPr>
              <w:t>1</w:t>
            </w:r>
          </w:p>
        </w:tc>
        <w:tc>
          <w:tcPr>
            <w:tcW w:w="1809" w:type="dxa"/>
            <w:vMerge w:val="restart"/>
            <w:tcBorders>
              <w:top w:val="single" w:color="auto" w:sz="4" w:space="0"/>
              <w:left w:val="single" w:color="auto" w:sz="4" w:space="0"/>
              <w:bottom w:val="single" w:color="auto" w:sz="4" w:space="0"/>
              <w:right w:val="single" w:color="auto" w:sz="4" w:space="0"/>
            </w:tcBorders>
            <w:vAlign w:val="center"/>
          </w:tcPr>
          <w:p w14:paraId="7ADBABEC">
            <w:pPr>
              <w:pStyle w:val="90"/>
              <w:ind w:firstLine="420"/>
            </w:pPr>
          </w:p>
        </w:tc>
        <w:tc>
          <w:tcPr>
            <w:tcW w:w="2445" w:type="dxa"/>
            <w:tcBorders>
              <w:top w:val="single" w:color="auto" w:sz="4" w:space="0"/>
              <w:left w:val="single" w:color="auto" w:sz="4" w:space="0"/>
              <w:bottom w:val="single" w:color="auto" w:sz="4" w:space="0"/>
              <w:right w:val="single" w:color="auto" w:sz="4" w:space="0"/>
            </w:tcBorders>
            <w:vAlign w:val="center"/>
          </w:tcPr>
          <w:p w14:paraId="628856EA">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680B595E">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0D10C52A">
            <w:pPr>
              <w:pStyle w:val="90"/>
              <w:ind w:firstLine="420"/>
            </w:pPr>
          </w:p>
        </w:tc>
      </w:tr>
      <w:tr w14:paraId="4020E6D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continue"/>
            <w:tcBorders>
              <w:left w:val="single" w:color="auto" w:sz="4" w:space="0"/>
              <w:right w:val="single" w:color="auto" w:sz="4" w:space="0"/>
            </w:tcBorders>
            <w:vAlign w:val="center"/>
          </w:tcPr>
          <w:p w14:paraId="6FCE26EC">
            <w:pPr>
              <w:pStyle w:val="90"/>
              <w:ind w:firstLine="420"/>
            </w:pPr>
          </w:p>
        </w:tc>
        <w:tc>
          <w:tcPr>
            <w:tcW w:w="1809" w:type="dxa"/>
            <w:vMerge w:val="continue"/>
            <w:tcBorders>
              <w:left w:val="single" w:color="auto" w:sz="4" w:space="0"/>
              <w:right w:val="single" w:color="auto" w:sz="4" w:space="0"/>
            </w:tcBorders>
            <w:vAlign w:val="center"/>
          </w:tcPr>
          <w:p w14:paraId="7EED6894">
            <w:pPr>
              <w:pStyle w:val="90"/>
              <w:ind w:firstLine="420"/>
            </w:pPr>
          </w:p>
        </w:tc>
        <w:tc>
          <w:tcPr>
            <w:tcW w:w="2445" w:type="dxa"/>
            <w:tcBorders>
              <w:top w:val="single" w:color="auto" w:sz="4" w:space="0"/>
              <w:left w:val="single" w:color="auto" w:sz="4" w:space="0"/>
              <w:bottom w:val="single" w:color="auto" w:sz="4" w:space="0"/>
              <w:right w:val="single" w:color="auto" w:sz="4" w:space="0"/>
            </w:tcBorders>
            <w:vAlign w:val="center"/>
          </w:tcPr>
          <w:p w14:paraId="4D4E12DF">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04B9BD70">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303CD706">
            <w:pPr>
              <w:pStyle w:val="90"/>
              <w:ind w:firstLine="420"/>
            </w:pPr>
          </w:p>
        </w:tc>
      </w:tr>
      <w:tr w14:paraId="2977C26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continue"/>
            <w:tcBorders>
              <w:left w:val="single" w:color="auto" w:sz="4" w:space="0"/>
              <w:right w:val="single" w:color="auto" w:sz="4" w:space="0"/>
            </w:tcBorders>
            <w:vAlign w:val="center"/>
          </w:tcPr>
          <w:p w14:paraId="7ED9FCD4">
            <w:pPr>
              <w:pStyle w:val="90"/>
              <w:ind w:firstLine="420"/>
            </w:pPr>
          </w:p>
        </w:tc>
        <w:tc>
          <w:tcPr>
            <w:tcW w:w="1809" w:type="dxa"/>
            <w:vMerge w:val="continue"/>
            <w:tcBorders>
              <w:left w:val="single" w:color="auto" w:sz="4" w:space="0"/>
              <w:right w:val="single" w:color="auto" w:sz="4" w:space="0"/>
            </w:tcBorders>
            <w:vAlign w:val="center"/>
          </w:tcPr>
          <w:p w14:paraId="1A9EC8C4">
            <w:pPr>
              <w:pStyle w:val="90"/>
              <w:ind w:firstLine="420"/>
            </w:pPr>
          </w:p>
        </w:tc>
        <w:tc>
          <w:tcPr>
            <w:tcW w:w="2445" w:type="dxa"/>
            <w:tcBorders>
              <w:top w:val="single" w:color="auto" w:sz="4" w:space="0"/>
              <w:left w:val="single" w:color="auto" w:sz="4" w:space="0"/>
              <w:bottom w:val="single" w:color="auto" w:sz="4" w:space="0"/>
              <w:right w:val="single" w:color="auto" w:sz="4" w:space="0"/>
            </w:tcBorders>
            <w:vAlign w:val="center"/>
          </w:tcPr>
          <w:p w14:paraId="5D72373C">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28559621">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599ECCFF">
            <w:pPr>
              <w:pStyle w:val="90"/>
              <w:ind w:firstLine="420"/>
            </w:pPr>
          </w:p>
        </w:tc>
      </w:tr>
      <w:tr w14:paraId="52CE97C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continue"/>
            <w:tcBorders>
              <w:left w:val="single" w:color="auto" w:sz="4" w:space="0"/>
              <w:right w:val="single" w:color="auto" w:sz="4" w:space="0"/>
            </w:tcBorders>
            <w:vAlign w:val="center"/>
          </w:tcPr>
          <w:p w14:paraId="6DDA83F5">
            <w:pPr>
              <w:pStyle w:val="90"/>
              <w:ind w:firstLine="420"/>
            </w:pPr>
          </w:p>
        </w:tc>
        <w:tc>
          <w:tcPr>
            <w:tcW w:w="1809" w:type="dxa"/>
            <w:vMerge w:val="continue"/>
            <w:tcBorders>
              <w:left w:val="single" w:color="auto" w:sz="4" w:space="0"/>
              <w:right w:val="single" w:color="auto" w:sz="4" w:space="0"/>
            </w:tcBorders>
            <w:vAlign w:val="center"/>
          </w:tcPr>
          <w:p w14:paraId="054DC3A6">
            <w:pPr>
              <w:pStyle w:val="90"/>
              <w:ind w:firstLine="420"/>
            </w:pPr>
          </w:p>
        </w:tc>
        <w:tc>
          <w:tcPr>
            <w:tcW w:w="2445" w:type="dxa"/>
            <w:tcBorders>
              <w:top w:val="single" w:color="auto" w:sz="4" w:space="0"/>
              <w:left w:val="single" w:color="auto" w:sz="4" w:space="0"/>
              <w:bottom w:val="single" w:color="auto" w:sz="4" w:space="0"/>
              <w:right w:val="single" w:color="auto" w:sz="4" w:space="0"/>
            </w:tcBorders>
            <w:vAlign w:val="center"/>
          </w:tcPr>
          <w:p w14:paraId="6E2D7385">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4B4FA186">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6C3FD7CB">
            <w:pPr>
              <w:pStyle w:val="90"/>
              <w:ind w:firstLine="420"/>
            </w:pPr>
          </w:p>
        </w:tc>
      </w:tr>
      <w:tr w14:paraId="070149E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14:paraId="7428D25D">
            <w:pPr>
              <w:pStyle w:val="90"/>
              <w:ind w:firstLine="420"/>
            </w:pPr>
            <w:r>
              <w:rPr>
                <w:rFonts w:hint="eastAsia"/>
              </w:rPr>
              <w:t>2</w:t>
            </w:r>
          </w:p>
        </w:tc>
        <w:tc>
          <w:tcPr>
            <w:tcW w:w="1809" w:type="dxa"/>
            <w:vMerge w:val="restart"/>
            <w:tcBorders>
              <w:top w:val="single" w:color="auto" w:sz="4" w:space="0"/>
              <w:left w:val="single" w:color="auto" w:sz="4" w:space="0"/>
              <w:bottom w:val="single" w:color="auto" w:sz="4" w:space="0"/>
              <w:right w:val="single" w:color="auto" w:sz="4" w:space="0"/>
            </w:tcBorders>
            <w:vAlign w:val="center"/>
          </w:tcPr>
          <w:p w14:paraId="41DCC482">
            <w:pPr>
              <w:pStyle w:val="90"/>
              <w:ind w:firstLine="420"/>
            </w:pPr>
          </w:p>
        </w:tc>
        <w:tc>
          <w:tcPr>
            <w:tcW w:w="2445" w:type="dxa"/>
            <w:tcBorders>
              <w:top w:val="single" w:color="auto" w:sz="4" w:space="0"/>
              <w:left w:val="single" w:color="auto" w:sz="4" w:space="0"/>
              <w:bottom w:val="single" w:color="auto" w:sz="4" w:space="0"/>
              <w:right w:val="single" w:color="auto" w:sz="4" w:space="0"/>
            </w:tcBorders>
            <w:vAlign w:val="center"/>
          </w:tcPr>
          <w:p w14:paraId="0A61EE9E">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70201150">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6CFDCCBE">
            <w:pPr>
              <w:pStyle w:val="90"/>
              <w:ind w:firstLine="420"/>
            </w:pPr>
          </w:p>
        </w:tc>
      </w:tr>
      <w:tr w14:paraId="791213D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14:paraId="3F5BAEB8">
            <w:pPr>
              <w:pStyle w:val="90"/>
              <w:ind w:firstLine="400"/>
              <w:rPr>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14:paraId="7CAEA71B">
            <w:pPr>
              <w:pStyle w:val="90"/>
              <w:ind w:firstLine="400"/>
              <w:rPr>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14:paraId="054B5A89">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0BA0FB33">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39291171">
            <w:pPr>
              <w:pStyle w:val="90"/>
              <w:ind w:firstLine="420"/>
            </w:pPr>
          </w:p>
        </w:tc>
      </w:tr>
      <w:tr w14:paraId="2BA497A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14:paraId="499A6E1F">
            <w:pPr>
              <w:pStyle w:val="90"/>
              <w:ind w:firstLine="400"/>
              <w:rPr>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14:paraId="483CABB5">
            <w:pPr>
              <w:pStyle w:val="90"/>
              <w:ind w:firstLine="400"/>
              <w:rPr>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14:paraId="1CA3C05E">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43850F38">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2C95777D">
            <w:pPr>
              <w:pStyle w:val="90"/>
              <w:ind w:firstLine="420"/>
            </w:pPr>
          </w:p>
        </w:tc>
      </w:tr>
      <w:tr w14:paraId="6550781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14:paraId="43FBFC05">
            <w:pPr>
              <w:pStyle w:val="90"/>
              <w:ind w:firstLine="400"/>
              <w:rPr>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14:paraId="23FE0CFE">
            <w:pPr>
              <w:pStyle w:val="90"/>
              <w:ind w:firstLine="400"/>
              <w:rPr>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14:paraId="14F1E94C">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66D45A17">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75355F0C">
            <w:pPr>
              <w:pStyle w:val="90"/>
              <w:ind w:firstLine="420"/>
            </w:pPr>
          </w:p>
        </w:tc>
      </w:tr>
      <w:tr w14:paraId="78F7D48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75" w:hRule="atLeast"/>
          <w:jc w:val="center"/>
        </w:trPr>
        <w:tc>
          <w:tcPr>
            <w:tcW w:w="769" w:type="dxa"/>
            <w:vMerge w:val="restart"/>
            <w:tcBorders>
              <w:top w:val="single" w:color="auto" w:sz="4" w:space="0"/>
              <w:left w:val="single" w:color="auto" w:sz="4" w:space="0"/>
              <w:bottom w:val="single" w:color="auto" w:sz="4" w:space="0"/>
              <w:right w:val="single" w:color="auto" w:sz="4" w:space="0"/>
            </w:tcBorders>
            <w:vAlign w:val="center"/>
          </w:tcPr>
          <w:p w14:paraId="3AFCC1B3">
            <w:pPr>
              <w:pStyle w:val="90"/>
              <w:ind w:firstLine="420"/>
            </w:pPr>
            <w:r>
              <w:rPr>
                <w:rFonts w:hint="eastAsia"/>
              </w:rPr>
              <w:t>3</w:t>
            </w:r>
          </w:p>
        </w:tc>
        <w:tc>
          <w:tcPr>
            <w:tcW w:w="1809" w:type="dxa"/>
            <w:vMerge w:val="restart"/>
            <w:tcBorders>
              <w:top w:val="single" w:color="auto" w:sz="4" w:space="0"/>
              <w:left w:val="single" w:color="auto" w:sz="4" w:space="0"/>
              <w:bottom w:val="single" w:color="auto" w:sz="4" w:space="0"/>
              <w:right w:val="single" w:color="auto" w:sz="4" w:space="0"/>
            </w:tcBorders>
            <w:vAlign w:val="center"/>
          </w:tcPr>
          <w:p w14:paraId="6BC9239E">
            <w:pPr>
              <w:pStyle w:val="90"/>
              <w:ind w:firstLine="420"/>
            </w:pPr>
            <w:r>
              <w:rPr>
                <w:rFonts w:hint="eastAsia"/>
              </w:rPr>
              <w:t>…</w:t>
            </w:r>
          </w:p>
        </w:tc>
        <w:tc>
          <w:tcPr>
            <w:tcW w:w="2445" w:type="dxa"/>
            <w:tcBorders>
              <w:top w:val="single" w:color="auto" w:sz="4" w:space="0"/>
              <w:left w:val="single" w:color="auto" w:sz="4" w:space="0"/>
              <w:bottom w:val="single" w:color="auto" w:sz="4" w:space="0"/>
              <w:right w:val="single" w:color="auto" w:sz="4" w:space="0"/>
            </w:tcBorders>
            <w:vAlign w:val="center"/>
          </w:tcPr>
          <w:p w14:paraId="0A25428A">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297FD857">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6E9CF531">
            <w:pPr>
              <w:pStyle w:val="90"/>
              <w:ind w:firstLine="420"/>
            </w:pPr>
          </w:p>
        </w:tc>
      </w:tr>
      <w:tr w14:paraId="6C4308E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75" w:hRule="atLeast"/>
          <w:jc w:val="center"/>
        </w:trPr>
        <w:tc>
          <w:tcPr>
            <w:tcW w:w="769" w:type="dxa"/>
            <w:vMerge w:val="continue"/>
            <w:tcBorders>
              <w:top w:val="single" w:color="auto" w:sz="4" w:space="0"/>
              <w:left w:val="single" w:color="auto" w:sz="4" w:space="0"/>
              <w:bottom w:val="single" w:color="auto" w:sz="4" w:space="0"/>
              <w:right w:val="single" w:color="auto" w:sz="4" w:space="0"/>
            </w:tcBorders>
            <w:vAlign w:val="center"/>
          </w:tcPr>
          <w:p w14:paraId="4BFBBEDB">
            <w:pPr>
              <w:pStyle w:val="90"/>
              <w:ind w:firstLine="400"/>
              <w:rPr>
                <w:sz w:val="20"/>
                <w:szCs w:val="20"/>
              </w:rPr>
            </w:pPr>
          </w:p>
        </w:tc>
        <w:tc>
          <w:tcPr>
            <w:tcW w:w="1809" w:type="dxa"/>
            <w:vMerge w:val="continue"/>
            <w:tcBorders>
              <w:top w:val="single" w:color="auto" w:sz="4" w:space="0"/>
              <w:left w:val="single" w:color="auto" w:sz="4" w:space="0"/>
              <w:bottom w:val="single" w:color="auto" w:sz="4" w:space="0"/>
              <w:right w:val="single" w:color="auto" w:sz="4" w:space="0"/>
            </w:tcBorders>
            <w:vAlign w:val="center"/>
          </w:tcPr>
          <w:p w14:paraId="2462A72F">
            <w:pPr>
              <w:pStyle w:val="90"/>
              <w:ind w:firstLine="400"/>
              <w:rPr>
                <w:sz w:val="20"/>
                <w:szCs w:val="20"/>
              </w:rPr>
            </w:pPr>
          </w:p>
        </w:tc>
        <w:tc>
          <w:tcPr>
            <w:tcW w:w="2445" w:type="dxa"/>
            <w:tcBorders>
              <w:top w:val="single" w:color="auto" w:sz="4" w:space="0"/>
              <w:left w:val="single" w:color="auto" w:sz="4" w:space="0"/>
              <w:bottom w:val="single" w:color="auto" w:sz="4" w:space="0"/>
              <w:right w:val="single" w:color="auto" w:sz="4" w:space="0"/>
            </w:tcBorders>
            <w:vAlign w:val="center"/>
          </w:tcPr>
          <w:p w14:paraId="0E2F6E43">
            <w:pPr>
              <w:pStyle w:val="90"/>
              <w:ind w:firstLine="420"/>
            </w:pPr>
          </w:p>
        </w:tc>
        <w:tc>
          <w:tcPr>
            <w:tcW w:w="2002" w:type="dxa"/>
            <w:tcBorders>
              <w:top w:val="single" w:color="auto" w:sz="4" w:space="0"/>
              <w:left w:val="single" w:color="auto" w:sz="4" w:space="0"/>
              <w:bottom w:val="single" w:color="auto" w:sz="4" w:space="0"/>
              <w:right w:val="single" w:color="auto" w:sz="4" w:space="0"/>
            </w:tcBorders>
            <w:vAlign w:val="center"/>
          </w:tcPr>
          <w:p w14:paraId="04BFF03C">
            <w:pPr>
              <w:pStyle w:val="90"/>
              <w:ind w:firstLine="420"/>
            </w:pPr>
          </w:p>
        </w:tc>
        <w:tc>
          <w:tcPr>
            <w:tcW w:w="2175" w:type="dxa"/>
            <w:tcBorders>
              <w:top w:val="single" w:color="auto" w:sz="4" w:space="0"/>
              <w:left w:val="single" w:color="auto" w:sz="4" w:space="0"/>
              <w:bottom w:val="single" w:color="auto" w:sz="4" w:space="0"/>
              <w:right w:val="single" w:color="auto" w:sz="4" w:space="0"/>
            </w:tcBorders>
            <w:vAlign w:val="center"/>
          </w:tcPr>
          <w:p w14:paraId="439DF9BF">
            <w:pPr>
              <w:pStyle w:val="90"/>
              <w:ind w:firstLine="420"/>
            </w:pPr>
          </w:p>
        </w:tc>
      </w:tr>
      <w:tr w14:paraId="1F16695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75" w:hRule="atLeast"/>
          <w:jc w:val="center"/>
        </w:trPr>
        <w:tc>
          <w:tcPr>
            <w:tcW w:w="2578" w:type="dxa"/>
            <w:gridSpan w:val="2"/>
            <w:tcBorders>
              <w:top w:val="single" w:color="auto" w:sz="4" w:space="0"/>
              <w:left w:val="single" w:color="auto" w:sz="4" w:space="0"/>
              <w:bottom w:val="single" w:color="auto" w:sz="4" w:space="0"/>
              <w:right w:val="single" w:color="auto" w:sz="4" w:space="0"/>
            </w:tcBorders>
            <w:vAlign w:val="center"/>
          </w:tcPr>
          <w:p w14:paraId="40F3BFB8">
            <w:pPr>
              <w:pStyle w:val="90"/>
              <w:ind w:firstLine="420"/>
              <w:rPr>
                <w:sz w:val="20"/>
                <w:szCs w:val="20"/>
              </w:rPr>
            </w:pPr>
            <w:r>
              <w:rPr>
                <w:rFonts w:hint="eastAsia"/>
              </w:rPr>
              <w:t>合计</w:t>
            </w:r>
          </w:p>
        </w:tc>
        <w:tc>
          <w:tcPr>
            <w:tcW w:w="6622" w:type="dxa"/>
            <w:gridSpan w:val="3"/>
            <w:tcBorders>
              <w:top w:val="single" w:color="auto" w:sz="4" w:space="0"/>
              <w:left w:val="single" w:color="auto" w:sz="4" w:space="0"/>
              <w:bottom w:val="single" w:color="auto" w:sz="4" w:space="0"/>
              <w:right w:val="single" w:color="auto" w:sz="4" w:space="0"/>
            </w:tcBorders>
            <w:vAlign w:val="center"/>
          </w:tcPr>
          <w:p w14:paraId="0C66D7A5">
            <w:pPr>
              <w:pStyle w:val="90"/>
              <w:ind w:firstLine="500"/>
              <w:rPr>
                <w:rFonts w:hAnsi="宋体" w:cs="宋体"/>
                <w:spacing w:val="20"/>
              </w:rPr>
            </w:pPr>
            <w:r>
              <w:rPr>
                <w:rFonts w:hint="eastAsia" w:hAnsi="宋体" w:cs="宋体"/>
                <w:spacing w:val="20"/>
              </w:rPr>
              <w:t>大写：</w:t>
            </w:r>
          </w:p>
          <w:p w14:paraId="0752F5AB">
            <w:pPr>
              <w:pStyle w:val="90"/>
              <w:ind w:firstLine="500"/>
            </w:pPr>
            <w:r>
              <w:rPr>
                <w:rFonts w:hint="eastAsia" w:hAnsi="宋体" w:cs="宋体"/>
                <w:spacing w:val="20"/>
              </w:rPr>
              <w:t>小写：</w:t>
            </w:r>
          </w:p>
        </w:tc>
      </w:tr>
    </w:tbl>
    <w:p w14:paraId="7ED1C9BB">
      <w:pPr>
        <w:ind w:firstLine="420"/>
        <w:rPr>
          <w:rFonts w:ascii="宋体" w:hAnsi="宋体"/>
        </w:rPr>
      </w:pPr>
    </w:p>
    <w:p w14:paraId="6E445B68">
      <w:pPr>
        <w:ind w:firstLine="420"/>
        <w:rPr>
          <w:rFonts w:ascii="宋体" w:hAnsi="宋体"/>
        </w:rPr>
      </w:pPr>
    </w:p>
    <w:p w14:paraId="1AC76E71">
      <w:pPr>
        <w:ind w:firstLine="420"/>
        <w:rPr>
          <w:rFonts w:ascii="宋体" w:hAnsi="宋体"/>
        </w:rPr>
      </w:pPr>
      <w:r>
        <w:rPr>
          <w:rFonts w:hint="eastAsia" w:ascii="宋体" w:hAnsi="宋体"/>
        </w:rPr>
        <w:t>注：1、此表合计金额应与 “初次报价一览表”中投标报价相一致；</w:t>
      </w:r>
    </w:p>
    <w:p w14:paraId="232CB508">
      <w:pPr>
        <w:ind w:firstLine="420"/>
        <w:rPr>
          <w:rFonts w:ascii="宋体" w:hAnsi="宋体"/>
        </w:rPr>
      </w:pPr>
      <w:r>
        <w:rPr>
          <w:rFonts w:hint="eastAsia" w:ascii="宋体" w:hAnsi="宋体"/>
        </w:rPr>
        <w:t xml:space="preserve">    2、此表可进一步细分，栏目可另加，应包括为完成本项目可能发生的全部费用。</w:t>
      </w:r>
    </w:p>
    <w:p w14:paraId="02F034ED">
      <w:pPr>
        <w:adjustRightInd w:val="0"/>
        <w:snapToGrid w:val="0"/>
        <w:ind w:firstLine="0" w:firstLineChars="0"/>
        <w:rPr>
          <w:rFonts w:ascii="宋体"/>
        </w:rPr>
      </w:pPr>
      <w:r>
        <w:rPr>
          <w:rFonts w:ascii="宋体" w:hAnsi="宋体"/>
        </w:rPr>
        <w:t xml:space="preserve">   </w:t>
      </w:r>
    </w:p>
    <w:p w14:paraId="1A4781C8">
      <w:pPr>
        <w:ind w:firstLine="0" w:firstLineChars="0"/>
        <w:rPr>
          <w:rFonts w:ascii="宋体"/>
        </w:rPr>
      </w:pPr>
    </w:p>
    <w:p w14:paraId="3D582E6D">
      <w:pPr>
        <w:adjustRightInd w:val="0"/>
        <w:snapToGrid w:val="0"/>
        <w:spacing w:line="460" w:lineRule="atLeast"/>
        <w:ind w:firstLine="0" w:firstLineChars="0"/>
        <w:rPr>
          <w:rFonts w:ascii="宋体"/>
        </w:rPr>
      </w:pPr>
    </w:p>
    <w:p w14:paraId="36DB2890">
      <w:pPr>
        <w:spacing w:line="240" w:lineRule="auto"/>
        <w:ind w:firstLine="420"/>
        <w:rPr>
          <w:rFonts w:ascii="宋体"/>
        </w:rPr>
      </w:pPr>
      <w:r>
        <w:rPr>
          <w:rFonts w:hint="eastAsia" w:ascii="宋体" w:hAnsi="宋体"/>
        </w:rPr>
        <w:t>供应商（盖章）：</w:t>
      </w:r>
      <w:r>
        <w:rPr>
          <w:rFonts w:ascii="宋体" w:hAnsi="宋体"/>
        </w:rPr>
        <w:t xml:space="preserve">                   </w:t>
      </w:r>
    </w:p>
    <w:p w14:paraId="03E2F3A1">
      <w:pPr>
        <w:spacing w:line="240" w:lineRule="auto"/>
        <w:ind w:firstLine="420"/>
        <w:rPr>
          <w:rFonts w:ascii="宋体"/>
        </w:rPr>
      </w:pPr>
    </w:p>
    <w:p w14:paraId="01F9ED67">
      <w:pPr>
        <w:spacing w:line="240" w:lineRule="auto"/>
        <w:ind w:firstLine="420"/>
        <w:rPr>
          <w:rFonts w:ascii="宋体"/>
        </w:rPr>
      </w:pPr>
      <w:r>
        <w:rPr>
          <w:rFonts w:hint="eastAsia" w:ascii="宋体"/>
        </w:rPr>
        <w:t>授权委托人（签字</w:t>
      </w:r>
      <w:r>
        <w:rPr>
          <w:rFonts w:hint="eastAsia"/>
        </w:rPr>
        <w:t>或盖章</w:t>
      </w:r>
      <w:r>
        <w:rPr>
          <w:rFonts w:hint="eastAsia" w:ascii="宋体"/>
        </w:rPr>
        <w:t>）：</w:t>
      </w:r>
      <w:r>
        <w:rPr>
          <w:rFonts w:ascii="宋体"/>
        </w:rPr>
        <w:t xml:space="preserve">                           </w:t>
      </w:r>
    </w:p>
    <w:p w14:paraId="58CF5312">
      <w:pPr>
        <w:spacing w:line="240" w:lineRule="auto"/>
        <w:ind w:firstLine="420"/>
      </w:pPr>
    </w:p>
    <w:p w14:paraId="492F2402">
      <w:pPr>
        <w:pStyle w:val="3"/>
        <w:ind w:firstLine="420" w:firstLineChars="200"/>
        <w:sectPr>
          <w:pgSz w:w="11907" w:h="16840"/>
          <w:pgMar w:top="1247" w:right="1304" w:bottom="1021" w:left="1304" w:header="720" w:footer="720" w:gutter="0"/>
          <w:cols w:space="720" w:num="1"/>
          <w:docGrid w:linePitch="286" w:charSpace="0"/>
        </w:sectPr>
      </w:pPr>
      <w:bookmarkStart w:id="260" w:name="_Toc9707"/>
      <w:bookmarkStart w:id="261" w:name="_Toc9962"/>
      <w:r>
        <w:rPr>
          <w:rFonts w:hint="eastAsia" w:ascii="宋体" w:hAnsi="Times New Roman"/>
          <w:b w:val="0"/>
          <w:bCs w:val="0"/>
          <w:szCs w:val="24"/>
        </w:rPr>
        <w:t>日期：</w:t>
      </w:r>
      <w:bookmarkEnd w:id="260"/>
      <w:bookmarkEnd w:id="261"/>
    </w:p>
    <w:p w14:paraId="30AF2AC4">
      <w:pPr>
        <w:keepNext/>
        <w:keepLines/>
        <w:ind w:firstLine="0" w:firstLineChars="0"/>
        <w:outlineLvl w:val="2"/>
        <w:rPr>
          <w:b/>
          <w:bCs/>
          <w:szCs w:val="32"/>
        </w:rPr>
      </w:pPr>
      <w:r>
        <w:rPr>
          <w:rFonts w:hint="eastAsia"/>
          <w:b/>
          <w:bCs/>
          <w:szCs w:val="32"/>
        </w:rPr>
        <w:t>附件三 法定代表人</w:t>
      </w:r>
      <w:r>
        <w:rPr>
          <w:b/>
          <w:bCs/>
          <w:szCs w:val="32"/>
        </w:rPr>
        <w:t>证明书、</w:t>
      </w:r>
      <w:r>
        <w:rPr>
          <w:rFonts w:hint="eastAsia"/>
          <w:b/>
          <w:bCs/>
          <w:szCs w:val="32"/>
        </w:rPr>
        <w:t>法定代表人授权书</w:t>
      </w:r>
    </w:p>
    <w:p w14:paraId="4FF01FB9">
      <w:pPr>
        <w:ind w:firstLine="0" w:firstLineChars="0"/>
        <w:rPr>
          <w:rFonts w:ascii="宋体" w:hAnsi="宋体"/>
          <w:b/>
          <w:bCs/>
          <w:szCs w:val="20"/>
        </w:rPr>
      </w:pPr>
    </w:p>
    <w:p w14:paraId="48D8C1A5">
      <w:pPr>
        <w:ind w:firstLine="0" w:firstLineChars="0"/>
        <w:jc w:val="center"/>
        <w:rPr>
          <w:rFonts w:ascii="宋体" w:hAnsi="宋体"/>
          <w:b/>
          <w:bCs/>
          <w:szCs w:val="20"/>
        </w:rPr>
      </w:pPr>
      <w:r>
        <w:rPr>
          <w:rFonts w:hint="eastAsia" w:ascii="宋体" w:hAnsi="宋体"/>
          <w:b/>
          <w:bCs/>
          <w:szCs w:val="20"/>
        </w:rPr>
        <w:t>法定代表人证明书</w:t>
      </w:r>
    </w:p>
    <w:p w14:paraId="73A772AD">
      <w:pPr>
        <w:ind w:firstLine="0" w:firstLineChars="0"/>
        <w:rPr>
          <w:rFonts w:ascii="宋体" w:hAnsi="宋体"/>
          <w:bCs/>
          <w:szCs w:val="20"/>
        </w:rPr>
      </w:pPr>
      <w:r>
        <w:rPr>
          <w:rFonts w:hint="eastAsia" w:ascii="宋体" w:hAnsi="宋体"/>
          <w:b/>
          <w:bCs/>
          <w:szCs w:val="20"/>
          <w:lang w:eastAsia="zh-CN"/>
        </w:rPr>
        <w:t>浙江省杭州高级中学</w:t>
      </w:r>
      <w:r>
        <w:rPr>
          <w:rFonts w:hint="eastAsia" w:ascii="宋体" w:hAnsi="宋体"/>
          <w:bCs/>
          <w:szCs w:val="20"/>
        </w:rPr>
        <w:t>：</w:t>
      </w:r>
    </w:p>
    <w:p w14:paraId="7CC0D800">
      <w:pPr>
        <w:ind w:firstLine="0" w:firstLineChars="0"/>
        <w:rPr>
          <w:rFonts w:ascii="宋体" w:hAnsi="宋体"/>
          <w:b/>
          <w:bCs/>
          <w:szCs w:val="20"/>
        </w:rPr>
      </w:pPr>
      <w:r>
        <w:rPr>
          <w:rFonts w:hint="eastAsia" w:ascii="宋体" w:hAnsi="宋体"/>
          <w:b/>
          <w:bCs/>
          <w:szCs w:val="20"/>
        </w:rPr>
        <w:t>浙江信镧建设工程咨询有限公司：</w:t>
      </w:r>
    </w:p>
    <w:p w14:paraId="2A9D7843">
      <w:pPr>
        <w:ind w:firstLine="0" w:firstLineChars="0"/>
        <w:rPr>
          <w:rFonts w:ascii="宋体" w:hAnsi="宋体"/>
          <w:b/>
          <w:bCs/>
          <w:szCs w:val="20"/>
        </w:rPr>
      </w:pPr>
    </w:p>
    <w:p w14:paraId="69791DDC">
      <w:pPr>
        <w:ind w:firstLine="0" w:firstLineChars="0"/>
        <w:rPr>
          <w:rFonts w:ascii="宋体" w:hAnsi="宋体"/>
          <w:bCs/>
          <w:szCs w:val="20"/>
        </w:rPr>
      </w:pPr>
      <w:r>
        <w:rPr>
          <w:rFonts w:hint="eastAsia" w:ascii="宋体" w:hAnsi="宋体"/>
          <w:bCs/>
          <w:szCs w:val="20"/>
        </w:rPr>
        <w:t xml:space="preserve">    </w:t>
      </w:r>
      <w:r>
        <w:rPr>
          <w:rFonts w:hint="eastAsia" w:ascii="宋体" w:hAnsi="宋体"/>
          <w:bCs/>
          <w:szCs w:val="20"/>
          <w:u w:val="single"/>
        </w:rPr>
        <w:t xml:space="preserve">            </w:t>
      </w:r>
      <w:r>
        <w:rPr>
          <w:rFonts w:hint="eastAsia" w:ascii="宋体" w:hAnsi="宋体"/>
          <w:bCs/>
          <w:szCs w:val="20"/>
        </w:rPr>
        <w:t>同志，身份证号码：</w:t>
      </w:r>
      <w:r>
        <w:rPr>
          <w:rFonts w:hint="eastAsia" w:ascii="宋体" w:hAnsi="宋体"/>
          <w:bCs/>
          <w:szCs w:val="20"/>
          <w:u w:val="single"/>
        </w:rPr>
        <w:t xml:space="preserve">                   </w:t>
      </w:r>
      <w:r>
        <w:rPr>
          <w:rFonts w:hint="eastAsia" w:ascii="宋体" w:hAnsi="宋体"/>
          <w:bCs/>
          <w:szCs w:val="20"/>
        </w:rPr>
        <w:t>，现任我单位</w:t>
      </w:r>
      <w:r>
        <w:rPr>
          <w:rFonts w:hint="eastAsia" w:ascii="宋体" w:hAnsi="宋体"/>
          <w:bCs/>
          <w:szCs w:val="20"/>
          <w:u w:val="single"/>
        </w:rPr>
        <w:t xml:space="preserve">            </w:t>
      </w:r>
      <w:r>
        <w:rPr>
          <w:rFonts w:hint="eastAsia" w:ascii="宋体" w:hAnsi="宋体"/>
          <w:bCs/>
          <w:szCs w:val="20"/>
        </w:rPr>
        <w:t>职务，为</w:t>
      </w:r>
      <w:r>
        <w:rPr>
          <w:rFonts w:ascii="宋体" w:hAnsi="宋体"/>
          <w:bCs/>
          <w:szCs w:val="20"/>
        </w:rPr>
        <w:t>我单位</w:t>
      </w:r>
      <w:r>
        <w:rPr>
          <w:rFonts w:hint="eastAsia" w:ascii="宋体" w:hAnsi="宋体"/>
          <w:bCs/>
          <w:szCs w:val="20"/>
        </w:rPr>
        <w:t>法定代表人，特此证明。</w:t>
      </w:r>
    </w:p>
    <w:p w14:paraId="598D1F3D">
      <w:pPr>
        <w:ind w:firstLine="420"/>
        <w:rPr>
          <w:rFonts w:ascii="宋体" w:hAnsi="宋体"/>
          <w:szCs w:val="20"/>
        </w:rPr>
      </w:pPr>
    </w:p>
    <w:p w14:paraId="4BF17819">
      <w:pPr>
        <w:ind w:firstLine="420"/>
        <w:rPr>
          <w:rFonts w:ascii="宋体" w:hAnsi="宋体"/>
          <w:szCs w:val="20"/>
        </w:rPr>
      </w:pPr>
    </w:p>
    <w:p w14:paraId="7E797BC2">
      <w:pPr>
        <w:ind w:firstLine="420"/>
      </w:pPr>
      <w:r>
        <w:rPr>
          <w:rFonts w:hint="eastAsia"/>
        </w:rPr>
        <w:t>供应商（公章）：</w:t>
      </w:r>
    </w:p>
    <w:p w14:paraId="2F90FA62">
      <w:pPr>
        <w:ind w:firstLine="420"/>
      </w:pPr>
      <w:r>
        <w:rPr>
          <w:rFonts w:hint="eastAsia"/>
        </w:rPr>
        <w:t>法定代表人（签字或盖章）：</w:t>
      </w:r>
    </w:p>
    <w:p w14:paraId="6E6185CF">
      <w:pPr>
        <w:ind w:firstLine="420"/>
      </w:pPr>
      <w:r>
        <w:rPr>
          <w:rFonts w:hint="eastAsia"/>
        </w:rPr>
        <w:t>日 期：    年   月   日</w:t>
      </w:r>
    </w:p>
    <w:p w14:paraId="7F67A3E9">
      <w:pPr>
        <w:ind w:firstLine="422"/>
        <w:rPr>
          <w:rFonts w:ascii="宋体" w:hAnsi="宋体"/>
          <w:szCs w:val="20"/>
        </w:rPr>
      </w:pPr>
      <w:r>
        <w:rPr>
          <w:rFonts w:ascii="宋体" w:hAnsi="宋体"/>
          <w:b/>
          <w:bCs/>
          <w:szCs w:val="20"/>
        </w:rPr>
        <mc:AlternateContent>
          <mc:Choice Requires="wps">
            <w:drawing>
              <wp:anchor distT="0" distB="0" distL="114300" distR="114300" simplePos="0" relativeHeight="251661312" behindDoc="0" locked="0" layoutInCell="1" allowOverlap="1">
                <wp:simplePos x="0" y="0"/>
                <wp:positionH relativeFrom="column">
                  <wp:posOffset>219710</wp:posOffset>
                </wp:positionH>
                <wp:positionV relativeFrom="paragraph">
                  <wp:posOffset>129540</wp:posOffset>
                </wp:positionV>
                <wp:extent cx="5638800" cy="3033395"/>
                <wp:effectExtent l="11430" t="5715" r="7620" b="8890"/>
                <wp:wrapNone/>
                <wp:docPr id="2037736915" name="Text Box 3"/>
                <wp:cNvGraphicFramePr/>
                <a:graphic xmlns:a="http://schemas.openxmlformats.org/drawingml/2006/main">
                  <a:graphicData uri="http://schemas.microsoft.com/office/word/2010/wordprocessingShape">
                    <wps:wsp>
                      <wps:cNvSpPr txBox="1">
                        <a:spLocks noChangeArrowheads="1"/>
                      </wps:cNvSpPr>
                      <wps:spPr bwMode="auto">
                        <a:xfrm>
                          <a:off x="0" y="0"/>
                          <a:ext cx="5638800" cy="3033395"/>
                        </a:xfrm>
                        <a:prstGeom prst="rect">
                          <a:avLst/>
                        </a:prstGeom>
                        <a:solidFill>
                          <a:srgbClr val="FFFFFF"/>
                        </a:solidFill>
                        <a:ln w="9525" cmpd="sng">
                          <a:solidFill>
                            <a:srgbClr val="000000"/>
                          </a:solidFill>
                          <a:miter lim="800000"/>
                        </a:ln>
                      </wps:spPr>
                      <wps:txbx>
                        <w:txbxContent>
                          <w:p w14:paraId="45AE57F2">
                            <w:pPr>
                              <w:ind w:firstLine="440"/>
                              <w:rPr>
                                <w:rFonts w:ascii="新宋体" w:hAnsi="新宋体" w:eastAsia="新宋体"/>
                                <w:sz w:val="22"/>
                                <w:szCs w:val="22"/>
                              </w:rPr>
                            </w:pPr>
                          </w:p>
                          <w:p w14:paraId="0E45E0E8">
                            <w:pPr>
                              <w:ind w:firstLine="440"/>
                              <w:rPr>
                                <w:rFonts w:ascii="新宋体" w:hAnsi="新宋体" w:eastAsia="新宋体"/>
                                <w:sz w:val="22"/>
                                <w:szCs w:val="22"/>
                              </w:rPr>
                            </w:pPr>
                          </w:p>
                          <w:p w14:paraId="4B03A7D3">
                            <w:pPr>
                              <w:ind w:firstLine="440"/>
                              <w:rPr>
                                <w:rFonts w:ascii="新宋体" w:hAnsi="新宋体" w:eastAsia="新宋体"/>
                                <w:sz w:val="22"/>
                                <w:szCs w:val="22"/>
                              </w:rPr>
                            </w:pPr>
                          </w:p>
                          <w:p w14:paraId="1AF07300">
                            <w:pPr>
                              <w:ind w:firstLine="440"/>
                              <w:rPr>
                                <w:rFonts w:ascii="新宋体" w:hAnsi="新宋体" w:eastAsia="新宋体"/>
                                <w:sz w:val="22"/>
                                <w:szCs w:val="22"/>
                              </w:rPr>
                            </w:pPr>
                          </w:p>
                          <w:p w14:paraId="3600B4F0">
                            <w:pPr>
                              <w:ind w:firstLine="440"/>
                              <w:jc w:val="center"/>
                              <w:rPr>
                                <w:rFonts w:ascii="仿宋_GB2312" w:hAnsi="宋体" w:eastAsia="仿宋_GB2312"/>
                                <w:sz w:val="30"/>
                              </w:rPr>
                            </w:pPr>
                            <w:r>
                              <w:rPr>
                                <w:rFonts w:hint="eastAsia" w:ascii="新宋体" w:hAnsi="新宋体" w:eastAsia="新宋体"/>
                                <w:sz w:val="22"/>
                                <w:szCs w:val="22"/>
                              </w:rPr>
                              <w:t>法定代表人</w:t>
                            </w:r>
                            <w:r>
                              <w:rPr>
                                <w:rFonts w:hint="eastAsia" w:ascii="宋体" w:hAnsi="宋体"/>
                                <w:szCs w:val="21"/>
                              </w:rPr>
                              <w:t>身份证正反面复印件</w:t>
                            </w:r>
                          </w:p>
                          <w:p w14:paraId="6350149E">
                            <w:pPr>
                              <w:ind w:firstLine="600"/>
                              <w:rPr>
                                <w:rFonts w:ascii="仿宋_GB2312" w:hAnsi="宋体" w:eastAsia="仿宋_GB2312"/>
                                <w:sz w:val="30"/>
                              </w:rPr>
                            </w:pPr>
                          </w:p>
                          <w:p w14:paraId="71BBFA86">
                            <w:pPr>
                              <w:ind w:firstLine="600"/>
                              <w:rPr>
                                <w:rFonts w:ascii="仿宋_GB2312" w:hAnsi="宋体" w:eastAsia="仿宋_GB2312"/>
                                <w:sz w:val="30"/>
                              </w:rPr>
                            </w:pPr>
                          </w:p>
                          <w:p w14:paraId="00E3A578">
                            <w:pPr>
                              <w:ind w:firstLine="600"/>
                              <w:rPr>
                                <w:rFonts w:ascii="仿宋_GB2312" w:hAnsi="宋体" w:eastAsia="仿宋_GB2312"/>
                                <w:sz w:val="30"/>
                              </w:rPr>
                            </w:pPr>
                          </w:p>
                        </w:txbxContent>
                      </wps:txbx>
                      <wps:bodyPr rot="0" vert="horz" wrap="square" lIns="91440" tIns="45720" rIns="91440" bIns="45720" anchor="t" anchorCtr="0" upright="1">
                        <a:noAutofit/>
                      </wps:bodyPr>
                    </wps:wsp>
                  </a:graphicData>
                </a:graphic>
              </wp:anchor>
            </w:drawing>
          </mc:Choice>
          <mc:Fallback>
            <w:pict>
              <v:shape id="Text Box 3" o:spid="_x0000_s1026" o:spt="202" type="#_x0000_t202" style="position:absolute;left:0pt;margin-left:17.3pt;margin-top:10.2pt;height:238.85pt;width:444pt;z-index:251661312;mso-width-relative:page;mso-height-relative:page;" fillcolor="#FFFFFF" filled="t" stroked="t" coordsize="21600,21600" o:gfxdata="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BLKGOK2AAAAAkBAAAPAAAAAAAAAAEAIAAAACIA&#10;AABkcnMvZG93bnJldi54bWxQSwECFAAUAAAACACHTuJAi7LOLkICAACbBAAADgAAAAAAAAABACAA&#10;AAAnAQAAZHJzL2Uyb0RvYy54bWxQSwUGAAAAAAYABgBZAQAA2wUAAAAA&#10;">
                <v:fill on="t" focussize="0,0"/>
                <v:stroke color="#000000" miterlimit="8" joinstyle="miter"/>
                <v:imagedata o:title=""/>
                <o:lock v:ext="edit" aspectratio="f"/>
                <v:textbox>
                  <w:txbxContent>
                    <w:p w14:paraId="45AE57F2">
                      <w:pPr>
                        <w:ind w:firstLine="440"/>
                        <w:rPr>
                          <w:rFonts w:ascii="新宋体" w:hAnsi="新宋体" w:eastAsia="新宋体"/>
                          <w:sz w:val="22"/>
                          <w:szCs w:val="22"/>
                        </w:rPr>
                      </w:pPr>
                    </w:p>
                    <w:p w14:paraId="0E45E0E8">
                      <w:pPr>
                        <w:ind w:firstLine="440"/>
                        <w:rPr>
                          <w:rFonts w:ascii="新宋体" w:hAnsi="新宋体" w:eastAsia="新宋体"/>
                          <w:sz w:val="22"/>
                          <w:szCs w:val="22"/>
                        </w:rPr>
                      </w:pPr>
                    </w:p>
                    <w:p w14:paraId="4B03A7D3">
                      <w:pPr>
                        <w:ind w:firstLine="440"/>
                        <w:rPr>
                          <w:rFonts w:ascii="新宋体" w:hAnsi="新宋体" w:eastAsia="新宋体"/>
                          <w:sz w:val="22"/>
                          <w:szCs w:val="22"/>
                        </w:rPr>
                      </w:pPr>
                    </w:p>
                    <w:p w14:paraId="1AF07300">
                      <w:pPr>
                        <w:ind w:firstLine="440"/>
                        <w:rPr>
                          <w:rFonts w:ascii="新宋体" w:hAnsi="新宋体" w:eastAsia="新宋体"/>
                          <w:sz w:val="22"/>
                          <w:szCs w:val="22"/>
                        </w:rPr>
                      </w:pPr>
                    </w:p>
                    <w:p w14:paraId="3600B4F0">
                      <w:pPr>
                        <w:ind w:firstLine="440"/>
                        <w:jc w:val="center"/>
                        <w:rPr>
                          <w:rFonts w:ascii="仿宋_GB2312" w:hAnsi="宋体" w:eastAsia="仿宋_GB2312"/>
                          <w:sz w:val="30"/>
                        </w:rPr>
                      </w:pPr>
                      <w:r>
                        <w:rPr>
                          <w:rFonts w:hint="eastAsia" w:ascii="新宋体" w:hAnsi="新宋体" w:eastAsia="新宋体"/>
                          <w:sz w:val="22"/>
                          <w:szCs w:val="22"/>
                        </w:rPr>
                        <w:t>法定代表人</w:t>
                      </w:r>
                      <w:r>
                        <w:rPr>
                          <w:rFonts w:hint="eastAsia" w:ascii="宋体" w:hAnsi="宋体"/>
                          <w:szCs w:val="21"/>
                        </w:rPr>
                        <w:t>身份证正反面复印件</w:t>
                      </w:r>
                    </w:p>
                    <w:p w14:paraId="6350149E">
                      <w:pPr>
                        <w:ind w:firstLine="600"/>
                        <w:rPr>
                          <w:rFonts w:ascii="仿宋_GB2312" w:hAnsi="宋体" w:eastAsia="仿宋_GB2312"/>
                          <w:sz w:val="30"/>
                        </w:rPr>
                      </w:pPr>
                    </w:p>
                    <w:p w14:paraId="71BBFA86">
                      <w:pPr>
                        <w:ind w:firstLine="600"/>
                        <w:rPr>
                          <w:rFonts w:ascii="仿宋_GB2312" w:hAnsi="宋体" w:eastAsia="仿宋_GB2312"/>
                          <w:sz w:val="30"/>
                        </w:rPr>
                      </w:pPr>
                    </w:p>
                    <w:p w14:paraId="00E3A578">
                      <w:pPr>
                        <w:ind w:firstLine="600"/>
                        <w:rPr>
                          <w:rFonts w:ascii="仿宋_GB2312" w:hAnsi="宋体" w:eastAsia="仿宋_GB2312"/>
                          <w:sz w:val="30"/>
                        </w:rPr>
                      </w:pPr>
                    </w:p>
                  </w:txbxContent>
                </v:textbox>
              </v:shape>
            </w:pict>
          </mc:Fallback>
        </mc:AlternateContent>
      </w:r>
    </w:p>
    <w:p w14:paraId="38201208">
      <w:pPr>
        <w:ind w:firstLine="420"/>
        <w:rPr>
          <w:rFonts w:ascii="宋体" w:hAnsi="宋体"/>
          <w:szCs w:val="20"/>
        </w:rPr>
      </w:pPr>
    </w:p>
    <w:p w14:paraId="4C9037D0">
      <w:pPr>
        <w:ind w:firstLine="0" w:firstLineChars="0"/>
        <w:rPr>
          <w:rFonts w:ascii="宋体" w:hAnsi="宋体"/>
          <w:b/>
          <w:bCs/>
          <w:szCs w:val="20"/>
        </w:rPr>
      </w:pPr>
    </w:p>
    <w:p w14:paraId="16717941">
      <w:pPr>
        <w:ind w:firstLine="0" w:firstLineChars="0"/>
        <w:rPr>
          <w:rFonts w:ascii="宋体" w:hAnsi="宋体"/>
          <w:b/>
          <w:bCs/>
          <w:szCs w:val="20"/>
        </w:rPr>
      </w:pPr>
    </w:p>
    <w:p w14:paraId="3EFD2D34">
      <w:pPr>
        <w:ind w:firstLine="0" w:firstLineChars="0"/>
        <w:rPr>
          <w:rFonts w:ascii="宋体" w:hAnsi="宋体"/>
          <w:b/>
          <w:bCs/>
          <w:szCs w:val="20"/>
        </w:rPr>
      </w:pPr>
    </w:p>
    <w:p w14:paraId="7CB869E6">
      <w:pPr>
        <w:ind w:firstLine="0" w:firstLineChars="0"/>
        <w:rPr>
          <w:rFonts w:ascii="宋体" w:hAnsi="宋体"/>
          <w:b/>
          <w:bCs/>
          <w:szCs w:val="20"/>
        </w:rPr>
      </w:pPr>
    </w:p>
    <w:p w14:paraId="78B8CB39">
      <w:pPr>
        <w:ind w:firstLine="0" w:firstLineChars="0"/>
        <w:rPr>
          <w:rFonts w:ascii="宋体" w:hAnsi="宋体"/>
          <w:b/>
          <w:bCs/>
          <w:szCs w:val="20"/>
        </w:rPr>
      </w:pPr>
    </w:p>
    <w:p w14:paraId="0E6F92A1">
      <w:pPr>
        <w:ind w:firstLine="0" w:firstLineChars="0"/>
        <w:rPr>
          <w:rFonts w:ascii="宋体" w:hAnsi="宋体"/>
          <w:b/>
          <w:bCs/>
          <w:szCs w:val="20"/>
        </w:rPr>
      </w:pPr>
    </w:p>
    <w:p w14:paraId="14314C0F">
      <w:pPr>
        <w:ind w:firstLine="0" w:firstLineChars="0"/>
        <w:rPr>
          <w:rFonts w:ascii="宋体" w:hAnsi="宋体"/>
          <w:b/>
          <w:bCs/>
          <w:szCs w:val="20"/>
        </w:rPr>
      </w:pPr>
    </w:p>
    <w:p w14:paraId="7D56F37E">
      <w:pPr>
        <w:ind w:firstLine="0" w:firstLineChars="0"/>
        <w:rPr>
          <w:rFonts w:ascii="宋体" w:hAnsi="宋体"/>
          <w:b/>
          <w:bCs/>
          <w:szCs w:val="20"/>
        </w:rPr>
      </w:pPr>
    </w:p>
    <w:p w14:paraId="38F0B02C">
      <w:pPr>
        <w:ind w:firstLine="0" w:firstLineChars="0"/>
        <w:rPr>
          <w:rFonts w:ascii="宋体" w:hAnsi="宋体"/>
          <w:b/>
          <w:bCs/>
          <w:szCs w:val="20"/>
        </w:rPr>
      </w:pPr>
    </w:p>
    <w:p w14:paraId="5CE82C3B">
      <w:pPr>
        <w:ind w:firstLine="0" w:firstLineChars="0"/>
        <w:rPr>
          <w:rFonts w:ascii="宋体" w:hAnsi="宋体"/>
          <w:b/>
          <w:bCs/>
          <w:szCs w:val="20"/>
        </w:rPr>
      </w:pPr>
    </w:p>
    <w:p w14:paraId="3DCAB603">
      <w:pPr>
        <w:ind w:firstLine="0" w:firstLineChars="0"/>
        <w:rPr>
          <w:rFonts w:ascii="宋体" w:hAnsi="宋体"/>
          <w:b/>
          <w:bCs/>
          <w:szCs w:val="20"/>
        </w:rPr>
      </w:pPr>
    </w:p>
    <w:p w14:paraId="4DC117A0">
      <w:pPr>
        <w:ind w:firstLine="0" w:firstLineChars="0"/>
        <w:rPr>
          <w:rFonts w:ascii="宋体" w:hAnsi="宋体"/>
          <w:b/>
          <w:bCs/>
          <w:szCs w:val="20"/>
        </w:rPr>
      </w:pPr>
    </w:p>
    <w:p w14:paraId="5E6EB2E3">
      <w:pPr>
        <w:ind w:firstLine="0" w:firstLineChars="0"/>
        <w:jc w:val="center"/>
        <w:rPr>
          <w:rFonts w:ascii="宋体" w:hAnsi="宋体"/>
          <w:b/>
          <w:bCs/>
          <w:szCs w:val="20"/>
        </w:rPr>
      </w:pPr>
      <w:r>
        <w:rPr>
          <w:b/>
        </w:rPr>
        <w:br w:type="page"/>
      </w:r>
      <w:r>
        <w:rPr>
          <w:rFonts w:hint="eastAsia"/>
          <w:b/>
        </w:rPr>
        <w:t>法定代表人授权书</w:t>
      </w:r>
    </w:p>
    <w:p w14:paraId="6600C45D">
      <w:pPr>
        <w:ind w:firstLine="0" w:firstLineChars="0"/>
        <w:rPr>
          <w:rFonts w:ascii="宋体" w:hAnsi="宋体"/>
          <w:szCs w:val="20"/>
        </w:rPr>
      </w:pPr>
      <w:r>
        <w:rPr>
          <w:rFonts w:hint="eastAsia" w:ascii="宋体" w:hAnsi="宋体"/>
          <w:b/>
          <w:bCs/>
          <w:szCs w:val="20"/>
          <w:lang w:eastAsia="zh-CN"/>
        </w:rPr>
        <w:t>浙江省杭州高级中学</w:t>
      </w:r>
      <w:r>
        <w:rPr>
          <w:rFonts w:hint="eastAsia" w:ascii="宋体" w:hAnsi="宋体"/>
          <w:szCs w:val="20"/>
        </w:rPr>
        <w:t>：</w:t>
      </w:r>
    </w:p>
    <w:p w14:paraId="45800AA6">
      <w:pPr>
        <w:ind w:firstLine="0" w:firstLineChars="0"/>
        <w:rPr>
          <w:rFonts w:ascii="宋体" w:hAnsi="宋体"/>
          <w:b/>
          <w:bCs/>
          <w:szCs w:val="20"/>
        </w:rPr>
      </w:pPr>
      <w:r>
        <w:rPr>
          <w:rFonts w:hint="eastAsia" w:ascii="宋体" w:hAnsi="宋体"/>
          <w:b/>
          <w:bCs/>
          <w:szCs w:val="20"/>
        </w:rPr>
        <w:t>浙江信镧建设工程咨询有限公司：</w:t>
      </w:r>
    </w:p>
    <w:p w14:paraId="29D11604">
      <w:pPr>
        <w:ind w:firstLine="630" w:firstLineChars="300"/>
        <w:rPr>
          <w:rFonts w:ascii="宋体" w:hAnsi="宋体"/>
          <w:szCs w:val="20"/>
        </w:rPr>
      </w:pPr>
      <w:r>
        <w:rPr>
          <w:rFonts w:hint="eastAsia" w:ascii="宋体" w:hAnsi="宋体"/>
          <w:szCs w:val="20"/>
        </w:rPr>
        <w:t>我以</w:t>
      </w:r>
      <w:r>
        <w:rPr>
          <w:rFonts w:hint="eastAsia" w:ascii="宋体" w:hAnsi="宋体"/>
          <w:szCs w:val="20"/>
          <w:u w:val="single"/>
        </w:rPr>
        <w:t xml:space="preserve">                        </w:t>
      </w:r>
      <w:r>
        <w:rPr>
          <w:rFonts w:hint="eastAsia" w:ascii="宋体" w:hAnsi="宋体"/>
          <w:szCs w:val="20"/>
        </w:rPr>
        <w:t>（供应商全称）法定代表人的身份授权</w:t>
      </w:r>
      <w:r>
        <w:rPr>
          <w:rFonts w:hint="eastAsia" w:ascii="宋体" w:hAnsi="宋体"/>
          <w:szCs w:val="20"/>
          <w:u w:val="single"/>
        </w:rPr>
        <w:t xml:space="preserve">          </w:t>
      </w:r>
      <w:r>
        <w:rPr>
          <w:rFonts w:hint="eastAsia" w:ascii="宋体" w:hAnsi="宋体"/>
          <w:szCs w:val="20"/>
        </w:rPr>
        <w:t>（授权委托人姓名）、身份证号</w:t>
      </w:r>
      <w:r>
        <w:rPr>
          <w:rFonts w:hint="eastAsia" w:ascii="宋体" w:hAnsi="宋体"/>
          <w:szCs w:val="20"/>
          <w:u w:val="single"/>
        </w:rPr>
        <w:tab/>
      </w:r>
      <w:r>
        <w:rPr>
          <w:rFonts w:hint="eastAsia" w:ascii="宋体" w:hAnsi="宋体"/>
          <w:szCs w:val="20"/>
          <w:u w:val="single"/>
        </w:rPr>
        <w:tab/>
      </w:r>
      <w:r>
        <w:rPr>
          <w:rFonts w:hint="eastAsia" w:ascii="宋体" w:hAnsi="宋体"/>
          <w:szCs w:val="20"/>
          <w:u w:val="single"/>
        </w:rPr>
        <w:t xml:space="preserve">                 </w:t>
      </w:r>
      <w:r>
        <w:rPr>
          <w:rFonts w:hint="eastAsia" w:ascii="宋体" w:hAnsi="宋体"/>
          <w:szCs w:val="20"/>
        </w:rPr>
        <w:t xml:space="preserve"> ，为我单位的授权委托人，参加贵处组织的</w:t>
      </w:r>
      <w:r>
        <w:rPr>
          <w:rFonts w:hint="eastAsia" w:ascii="宋体" w:hAnsi="宋体"/>
          <w:b/>
          <w:u w:val="single"/>
          <w:lang w:eastAsia="zh-CN"/>
        </w:rPr>
        <w:t>ZSSL浙江省第十届中小学生游泳联赛杭州市级比赛项目</w:t>
      </w:r>
      <w:r>
        <w:rPr>
          <w:rFonts w:hint="eastAsia" w:ascii="宋体" w:hAnsi="宋体"/>
          <w:b/>
          <w:u w:val="single"/>
        </w:rPr>
        <w:t>(非政府）</w:t>
      </w:r>
      <w:r>
        <w:rPr>
          <w:rFonts w:hint="eastAsia" w:ascii="宋体" w:hAnsi="宋体"/>
          <w:szCs w:val="20"/>
        </w:rPr>
        <w:t>（采购编号：</w:t>
      </w:r>
      <w:r>
        <w:rPr>
          <w:rFonts w:hint="eastAsia" w:ascii="宋体" w:hAnsi="宋体"/>
          <w:szCs w:val="20"/>
          <w:lang w:eastAsia="zh-CN"/>
        </w:rPr>
        <w:t>ZJXL-HG-202501</w:t>
      </w:r>
      <w:r>
        <w:rPr>
          <w:rFonts w:hint="eastAsia" w:ascii="宋体" w:hAnsi="宋体"/>
          <w:szCs w:val="20"/>
        </w:rPr>
        <w:t>）的采购，全权处理采购活动中的一切事宜，我单位均予承认。</w:t>
      </w:r>
    </w:p>
    <w:p w14:paraId="1C6D013C">
      <w:pPr>
        <w:ind w:firstLine="420"/>
        <w:rPr>
          <w:rFonts w:ascii="宋体" w:hAnsi="宋体"/>
          <w:szCs w:val="20"/>
        </w:rPr>
      </w:pPr>
    </w:p>
    <w:p w14:paraId="2EB06263">
      <w:pPr>
        <w:ind w:firstLine="420"/>
      </w:pPr>
      <w:r>
        <w:rPr>
          <w:rFonts w:hint="eastAsia"/>
        </w:rPr>
        <w:t>供应商（公章）：</w:t>
      </w:r>
    </w:p>
    <w:p w14:paraId="56D43FB4">
      <w:pPr>
        <w:ind w:firstLine="420"/>
      </w:pPr>
      <w:r>
        <w:rPr>
          <w:rFonts w:hint="eastAsia"/>
        </w:rPr>
        <w:t>法定代表人（签字或盖章）：</w:t>
      </w:r>
    </w:p>
    <w:p w14:paraId="4E8589BC">
      <w:pPr>
        <w:ind w:firstLine="420"/>
      </w:pPr>
      <w:r>
        <w:rPr>
          <w:rFonts w:hint="eastAsia"/>
        </w:rPr>
        <w:t>授权委托人（签字）：</w:t>
      </w:r>
    </w:p>
    <w:p w14:paraId="24793A8C">
      <w:pPr>
        <w:ind w:firstLine="420"/>
      </w:pPr>
      <w:r>
        <w:rPr>
          <w:rFonts w:hint="eastAsia"/>
        </w:rPr>
        <w:t>日 期：    年   月   日</w:t>
      </w:r>
    </w:p>
    <w:p w14:paraId="2D2DF943">
      <w:pPr>
        <w:ind w:firstLine="0" w:firstLineChars="0"/>
        <w:rPr>
          <w:rFonts w:ascii="宋体" w:hAnsi="宋体"/>
          <w:b/>
          <w:szCs w:val="20"/>
        </w:rPr>
      </w:pPr>
    </w:p>
    <w:p w14:paraId="7FB9A30D">
      <w:pPr>
        <w:ind w:firstLine="0" w:firstLineChars="0"/>
        <w:rPr>
          <w:rFonts w:ascii="宋体" w:hAnsi="宋体"/>
          <w:b/>
          <w:szCs w:val="20"/>
        </w:rPr>
      </w:pPr>
    </w:p>
    <w:p w14:paraId="26FF9F79">
      <w:pPr>
        <w:ind w:firstLine="0" w:firstLineChars="0"/>
        <w:rPr>
          <w:rFonts w:ascii="宋体" w:hAnsi="宋体"/>
          <w:b/>
          <w:szCs w:val="20"/>
        </w:rPr>
      </w:pPr>
      <w:r>
        <w:rPr>
          <w:rFonts w:hint="eastAsia" w:ascii="宋体" w:hAnsi="宋体"/>
          <w:b/>
          <w:szCs w:val="20"/>
        </w:rPr>
        <w:t>授权委托人身份证复印件：</w:t>
      </w:r>
    </w:p>
    <w:p w14:paraId="298700E2">
      <w:pPr>
        <w:adjustRightInd w:val="0"/>
        <w:snapToGrid w:val="0"/>
        <w:ind w:firstLine="0" w:firstLineChars="0"/>
        <w:rPr>
          <w:rFonts w:ascii="宋体" w:hAnsi="宋体"/>
          <w:sz w:val="24"/>
        </w:rPr>
      </w:pPr>
      <w:r>
        <w:rPr>
          <w:rFonts w:hint="eastAsia"/>
        </w:rPr>
        <mc:AlternateContent>
          <mc:Choice Requires="wps">
            <w:drawing>
              <wp:anchor distT="0" distB="0" distL="114300" distR="114300" simplePos="0" relativeHeight="251661312" behindDoc="0" locked="0" layoutInCell="1" allowOverlap="1">
                <wp:simplePos x="0" y="0"/>
                <wp:positionH relativeFrom="column">
                  <wp:posOffset>210185</wp:posOffset>
                </wp:positionH>
                <wp:positionV relativeFrom="paragraph">
                  <wp:posOffset>201295</wp:posOffset>
                </wp:positionV>
                <wp:extent cx="5638800" cy="3033395"/>
                <wp:effectExtent l="11430" t="5715" r="7620" b="8890"/>
                <wp:wrapNone/>
                <wp:docPr id="277278703" name="Text Box 3"/>
                <wp:cNvGraphicFramePr/>
                <a:graphic xmlns:a="http://schemas.openxmlformats.org/drawingml/2006/main">
                  <a:graphicData uri="http://schemas.microsoft.com/office/word/2010/wordprocessingShape">
                    <wps:wsp>
                      <wps:cNvSpPr txBox="1">
                        <a:spLocks noChangeArrowheads="1"/>
                      </wps:cNvSpPr>
                      <wps:spPr bwMode="auto">
                        <a:xfrm>
                          <a:off x="0" y="0"/>
                          <a:ext cx="5638800" cy="3033395"/>
                        </a:xfrm>
                        <a:prstGeom prst="rect">
                          <a:avLst/>
                        </a:prstGeom>
                        <a:solidFill>
                          <a:srgbClr val="FFFFFF"/>
                        </a:solidFill>
                        <a:ln w="9525" cmpd="sng">
                          <a:solidFill>
                            <a:srgbClr val="000000"/>
                          </a:solidFill>
                          <a:miter lim="800000"/>
                        </a:ln>
                      </wps:spPr>
                      <wps:txbx>
                        <w:txbxContent>
                          <w:p w14:paraId="626EB259">
                            <w:pPr>
                              <w:ind w:firstLine="440"/>
                              <w:rPr>
                                <w:rFonts w:ascii="新宋体" w:hAnsi="新宋体" w:eastAsia="新宋体"/>
                                <w:sz w:val="22"/>
                                <w:szCs w:val="22"/>
                              </w:rPr>
                            </w:pPr>
                          </w:p>
                          <w:p w14:paraId="2124BFDC">
                            <w:pPr>
                              <w:ind w:firstLine="440"/>
                              <w:rPr>
                                <w:rFonts w:ascii="新宋体" w:hAnsi="新宋体" w:eastAsia="新宋体"/>
                                <w:sz w:val="22"/>
                                <w:szCs w:val="22"/>
                              </w:rPr>
                            </w:pPr>
                          </w:p>
                          <w:p w14:paraId="40B0CE4F">
                            <w:pPr>
                              <w:ind w:firstLine="440"/>
                              <w:rPr>
                                <w:rFonts w:ascii="新宋体" w:hAnsi="新宋体" w:eastAsia="新宋体"/>
                                <w:sz w:val="22"/>
                                <w:szCs w:val="22"/>
                              </w:rPr>
                            </w:pPr>
                          </w:p>
                          <w:p w14:paraId="2587283E">
                            <w:pPr>
                              <w:ind w:firstLine="440"/>
                              <w:rPr>
                                <w:rFonts w:ascii="新宋体" w:hAnsi="新宋体" w:eastAsia="新宋体"/>
                                <w:sz w:val="22"/>
                                <w:szCs w:val="22"/>
                              </w:rPr>
                            </w:pPr>
                          </w:p>
                          <w:p w14:paraId="47219F9F">
                            <w:pPr>
                              <w:ind w:firstLine="440"/>
                              <w:jc w:val="center"/>
                              <w:rPr>
                                <w:rFonts w:ascii="仿宋_GB2312" w:hAnsi="宋体" w:eastAsia="仿宋_GB2312"/>
                                <w:sz w:val="30"/>
                              </w:rPr>
                            </w:pPr>
                            <w:r>
                              <w:rPr>
                                <w:rFonts w:hint="eastAsia" w:ascii="新宋体" w:hAnsi="新宋体" w:eastAsia="新宋体"/>
                                <w:sz w:val="22"/>
                                <w:szCs w:val="22"/>
                              </w:rPr>
                              <w:t>授权</w:t>
                            </w:r>
                            <w:r>
                              <w:rPr>
                                <w:rFonts w:ascii="新宋体" w:hAnsi="新宋体" w:eastAsia="新宋体"/>
                                <w:sz w:val="22"/>
                                <w:szCs w:val="22"/>
                              </w:rPr>
                              <w:t>委托人</w:t>
                            </w:r>
                            <w:r>
                              <w:rPr>
                                <w:rFonts w:hint="eastAsia" w:ascii="宋体" w:hAnsi="宋体"/>
                                <w:szCs w:val="21"/>
                              </w:rPr>
                              <w:t>身份证正反面复印件</w:t>
                            </w:r>
                            <w:r>
                              <w:rPr>
                                <w:rFonts w:hint="eastAsia" w:ascii="仿宋_GB2312" w:hAnsi="宋体" w:eastAsia="仿宋_GB2312"/>
                                <w:sz w:val="30"/>
                              </w:rPr>
                              <w:t>：</w:t>
                            </w:r>
                          </w:p>
                          <w:p w14:paraId="77B473E5">
                            <w:pPr>
                              <w:ind w:firstLine="600"/>
                              <w:rPr>
                                <w:rFonts w:ascii="仿宋_GB2312" w:hAnsi="宋体" w:eastAsia="仿宋_GB2312"/>
                                <w:sz w:val="30"/>
                              </w:rPr>
                            </w:pPr>
                          </w:p>
                          <w:p w14:paraId="6C12B731">
                            <w:pPr>
                              <w:ind w:firstLine="600"/>
                              <w:rPr>
                                <w:rFonts w:ascii="仿宋_GB2312" w:hAnsi="宋体" w:eastAsia="仿宋_GB2312"/>
                                <w:sz w:val="30"/>
                              </w:rPr>
                            </w:pPr>
                          </w:p>
                          <w:p w14:paraId="4581E3E6">
                            <w:pPr>
                              <w:ind w:firstLine="420"/>
                            </w:pPr>
                          </w:p>
                        </w:txbxContent>
                      </wps:txbx>
                      <wps:bodyPr rot="0" vert="horz" wrap="square" lIns="91440" tIns="45720" rIns="91440" bIns="45720" anchor="t" anchorCtr="0" upright="1">
                        <a:noAutofit/>
                      </wps:bodyPr>
                    </wps:wsp>
                  </a:graphicData>
                </a:graphic>
              </wp:anchor>
            </w:drawing>
          </mc:Choice>
          <mc:Fallback>
            <w:pict>
              <v:shape id="Text Box 3" o:spid="_x0000_s1026" o:spt="202" type="#_x0000_t202" style="position:absolute;left:0pt;margin-left:16.55pt;margin-top:15.85pt;height:238.85pt;width:444pt;z-index:251661312;mso-width-relative:page;mso-height-relative:page;" fillcolor="#FFFFFF" filled="t" stroked="t" coordsize="21600,21600" o:gfxdata="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BVMOI82QAAAAkBAAAPAAAAAAAAAAEAIAAAACIA&#10;AABkcnMvZG93bnJldi54bWxQSwECFAAUAAAACACHTuJAeHpxW0ECAACaBAAADgAAAAAAAAABACAA&#10;AAAoAQAAZHJzL2Uyb0RvYy54bWxQSwUGAAAAAAYABgBZAQAA2wUAAAAA&#10;">
                <v:fill on="t" focussize="0,0"/>
                <v:stroke color="#000000" miterlimit="8" joinstyle="miter"/>
                <v:imagedata o:title=""/>
                <o:lock v:ext="edit" aspectratio="f"/>
                <v:textbox>
                  <w:txbxContent>
                    <w:p w14:paraId="626EB259">
                      <w:pPr>
                        <w:ind w:firstLine="440"/>
                        <w:rPr>
                          <w:rFonts w:ascii="新宋体" w:hAnsi="新宋体" w:eastAsia="新宋体"/>
                          <w:sz w:val="22"/>
                          <w:szCs w:val="22"/>
                        </w:rPr>
                      </w:pPr>
                    </w:p>
                    <w:p w14:paraId="2124BFDC">
                      <w:pPr>
                        <w:ind w:firstLine="440"/>
                        <w:rPr>
                          <w:rFonts w:ascii="新宋体" w:hAnsi="新宋体" w:eastAsia="新宋体"/>
                          <w:sz w:val="22"/>
                          <w:szCs w:val="22"/>
                        </w:rPr>
                      </w:pPr>
                    </w:p>
                    <w:p w14:paraId="40B0CE4F">
                      <w:pPr>
                        <w:ind w:firstLine="440"/>
                        <w:rPr>
                          <w:rFonts w:ascii="新宋体" w:hAnsi="新宋体" w:eastAsia="新宋体"/>
                          <w:sz w:val="22"/>
                          <w:szCs w:val="22"/>
                        </w:rPr>
                      </w:pPr>
                    </w:p>
                    <w:p w14:paraId="2587283E">
                      <w:pPr>
                        <w:ind w:firstLine="440"/>
                        <w:rPr>
                          <w:rFonts w:ascii="新宋体" w:hAnsi="新宋体" w:eastAsia="新宋体"/>
                          <w:sz w:val="22"/>
                          <w:szCs w:val="22"/>
                        </w:rPr>
                      </w:pPr>
                    </w:p>
                    <w:p w14:paraId="47219F9F">
                      <w:pPr>
                        <w:ind w:firstLine="440"/>
                        <w:jc w:val="center"/>
                        <w:rPr>
                          <w:rFonts w:ascii="仿宋_GB2312" w:hAnsi="宋体" w:eastAsia="仿宋_GB2312"/>
                          <w:sz w:val="30"/>
                        </w:rPr>
                      </w:pPr>
                      <w:r>
                        <w:rPr>
                          <w:rFonts w:hint="eastAsia" w:ascii="新宋体" w:hAnsi="新宋体" w:eastAsia="新宋体"/>
                          <w:sz w:val="22"/>
                          <w:szCs w:val="22"/>
                        </w:rPr>
                        <w:t>授权</w:t>
                      </w:r>
                      <w:r>
                        <w:rPr>
                          <w:rFonts w:ascii="新宋体" w:hAnsi="新宋体" w:eastAsia="新宋体"/>
                          <w:sz w:val="22"/>
                          <w:szCs w:val="22"/>
                        </w:rPr>
                        <w:t>委托人</w:t>
                      </w:r>
                      <w:r>
                        <w:rPr>
                          <w:rFonts w:hint="eastAsia" w:ascii="宋体" w:hAnsi="宋体"/>
                          <w:szCs w:val="21"/>
                        </w:rPr>
                        <w:t>身份证正反面复印件</w:t>
                      </w:r>
                      <w:r>
                        <w:rPr>
                          <w:rFonts w:hint="eastAsia" w:ascii="仿宋_GB2312" w:hAnsi="宋体" w:eastAsia="仿宋_GB2312"/>
                          <w:sz w:val="30"/>
                        </w:rPr>
                        <w:t>：</w:t>
                      </w:r>
                    </w:p>
                    <w:p w14:paraId="77B473E5">
                      <w:pPr>
                        <w:ind w:firstLine="600"/>
                        <w:rPr>
                          <w:rFonts w:ascii="仿宋_GB2312" w:hAnsi="宋体" w:eastAsia="仿宋_GB2312"/>
                          <w:sz w:val="30"/>
                        </w:rPr>
                      </w:pPr>
                    </w:p>
                    <w:p w14:paraId="6C12B731">
                      <w:pPr>
                        <w:ind w:firstLine="600"/>
                        <w:rPr>
                          <w:rFonts w:ascii="仿宋_GB2312" w:hAnsi="宋体" w:eastAsia="仿宋_GB2312"/>
                          <w:sz w:val="30"/>
                        </w:rPr>
                      </w:pPr>
                    </w:p>
                    <w:p w14:paraId="4581E3E6">
                      <w:pPr>
                        <w:ind w:firstLine="420"/>
                      </w:pPr>
                    </w:p>
                  </w:txbxContent>
                </v:textbox>
              </v:shape>
            </w:pict>
          </mc:Fallback>
        </mc:AlternateContent>
      </w:r>
    </w:p>
    <w:p w14:paraId="7A1970FA">
      <w:pPr>
        <w:adjustRightInd w:val="0"/>
        <w:snapToGrid w:val="0"/>
        <w:ind w:firstLine="0" w:firstLineChars="0"/>
        <w:rPr>
          <w:rFonts w:ascii="宋体" w:hAnsi="宋体"/>
          <w:sz w:val="24"/>
        </w:rPr>
      </w:pPr>
    </w:p>
    <w:p w14:paraId="397F0770">
      <w:pPr>
        <w:adjustRightInd w:val="0"/>
        <w:snapToGrid w:val="0"/>
        <w:ind w:firstLine="0" w:firstLineChars="0"/>
        <w:rPr>
          <w:rFonts w:ascii="宋体" w:hAnsi="宋体"/>
          <w:sz w:val="24"/>
        </w:rPr>
      </w:pPr>
    </w:p>
    <w:p w14:paraId="7C3DE386">
      <w:pPr>
        <w:adjustRightInd w:val="0"/>
        <w:snapToGrid w:val="0"/>
        <w:ind w:firstLine="0" w:firstLineChars="0"/>
        <w:rPr>
          <w:rFonts w:ascii="宋体" w:hAnsi="宋体"/>
          <w:sz w:val="24"/>
        </w:rPr>
      </w:pPr>
    </w:p>
    <w:p w14:paraId="24663FC4">
      <w:pPr>
        <w:adjustRightInd w:val="0"/>
        <w:snapToGrid w:val="0"/>
        <w:ind w:firstLine="0" w:firstLineChars="0"/>
        <w:rPr>
          <w:rFonts w:ascii="宋体" w:hAnsi="宋体"/>
          <w:sz w:val="24"/>
        </w:rPr>
      </w:pPr>
    </w:p>
    <w:p w14:paraId="26510F65">
      <w:pPr>
        <w:adjustRightInd w:val="0"/>
        <w:snapToGrid w:val="0"/>
        <w:ind w:firstLine="0" w:firstLineChars="0"/>
        <w:rPr>
          <w:rFonts w:ascii="宋体" w:hAnsi="宋体"/>
          <w:sz w:val="24"/>
        </w:rPr>
      </w:pPr>
    </w:p>
    <w:p w14:paraId="4DF7F46B">
      <w:pPr>
        <w:adjustRightInd w:val="0"/>
        <w:snapToGrid w:val="0"/>
        <w:ind w:firstLine="0" w:firstLineChars="0"/>
        <w:rPr>
          <w:rFonts w:ascii="宋体" w:hAnsi="宋体"/>
          <w:sz w:val="24"/>
        </w:rPr>
      </w:pPr>
    </w:p>
    <w:p w14:paraId="6F099B99">
      <w:pPr>
        <w:adjustRightInd w:val="0"/>
        <w:snapToGrid w:val="0"/>
        <w:ind w:firstLine="0" w:firstLineChars="0"/>
        <w:rPr>
          <w:rFonts w:ascii="宋体" w:hAnsi="宋体"/>
          <w:sz w:val="24"/>
        </w:rPr>
      </w:pPr>
    </w:p>
    <w:p w14:paraId="33E7FDA7">
      <w:pPr>
        <w:adjustRightInd w:val="0"/>
        <w:snapToGrid w:val="0"/>
        <w:ind w:firstLine="0" w:firstLineChars="0"/>
        <w:rPr>
          <w:rFonts w:ascii="宋体" w:hAnsi="宋体"/>
          <w:sz w:val="24"/>
        </w:rPr>
      </w:pPr>
    </w:p>
    <w:p w14:paraId="0A1C2D66">
      <w:pPr>
        <w:adjustRightInd w:val="0"/>
        <w:snapToGrid w:val="0"/>
        <w:ind w:firstLine="0" w:firstLineChars="0"/>
        <w:rPr>
          <w:rFonts w:ascii="宋体" w:hAnsi="宋体"/>
          <w:sz w:val="24"/>
        </w:rPr>
      </w:pPr>
    </w:p>
    <w:p w14:paraId="73C08E91">
      <w:pPr>
        <w:adjustRightInd w:val="0"/>
        <w:snapToGrid w:val="0"/>
        <w:ind w:firstLine="0" w:firstLineChars="0"/>
        <w:rPr>
          <w:rFonts w:ascii="宋体" w:hAnsi="宋体"/>
          <w:sz w:val="24"/>
        </w:rPr>
      </w:pPr>
    </w:p>
    <w:p w14:paraId="7668EE37">
      <w:pPr>
        <w:adjustRightInd w:val="0"/>
        <w:snapToGrid w:val="0"/>
        <w:ind w:firstLine="0" w:firstLineChars="0"/>
        <w:rPr>
          <w:rFonts w:ascii="宋体" w:hAnsi="宋体"/>
          <w:sz w:val="24"/>
        </w:rPr>
      </w:pPr>
    </w:p>
    <w:p w14:paraId="03A7AB14">
      <w:pPr>
        <w:adjustRightInd w:val="0"/>
        <w:snapToGrid w:val="0"/>
        <w:ind w:firstLine="0" w:firstLineChars="0"/>
        <w:rPr>
          <w:rFonts w:ascii="宋体" w:hAnsi="宋体"/>
          <w:sz w:val="24"/>
        </w:rPr>
      </w:pPr>
    </w:p>
    <w:p w14:paraId="23C21D61">
      <w:pPr>
        <w:keepNext/>
        <w:keepLines/>
        <w:ind w:firstLine="0" w:firstLineChars="0"/>
        <w:outlineLvl w:val="2"/>
        <w:rPr>
          <w:b/>
          <w:bCs/>
          <w:szCs w:val="32"/>
        </w:rPr>
      </w:pPr>
      <w:r>
        <w:rPr>
          <w:rFonts w:hint="eastAsia"/>
          <w:b/>
          <w:bCs/>
          <w:szCs w:val="32"/>
        </w:rPr>
        <w:br w:type="page"/>
      </w:r>
      <w:r>
        <w:rPr>
          <w:rFonts w:hint="eastAsia"/>
          <w:b/>
          <w:bCs/>
          <w:szCs w:val="32"/>
        </w:rPr>
        <w:t xml:space="preserve">附件四 </w:t>
      </w:r>
      <w:r>
        <w:rPr>
          <w:rFonts w:hint="eastAsia" w:ascii="宋体" w:hAnsi="宋体" w:cs="宋体"/>
          <w:b/>
          <w:bCs/>
          <w:szCs w:val="21"/>
        </w:rPr>
        <w:t>诚信</w:t>
      </w:r>
      <w:r>
        <w:rPr>
          <w:rFonts w:hint="eastAsia"/>
          <w:b/>
          <w:bCs/>
          <w:szCs w:val="32"/>
        </w:rPr>
        <w:t>承诺书</w:t>
      </w:r>
    </w:p>
    <w:p w14:paraId="65ED3135">
      <w:pPr>
        <w:spacing w:line="240" w:lineRule="auto"/>
        <w:ind w:firstLine="0" w:firstLineChars="0"/>
        <w:rPr>
          <w:rFonts w:ascii="宋体" w:hAnsi="宋体"/>
          <w:sz w:val="24"/>
        </w:rPr>
      </w:pPr>
    </w:p>
    <w:p w14:paraId="5F9B1EA3">
      <w:pPr>
        <w:pStyle w:val="148"/>
        <w:ind w:firstLine="643"/>
        <w:jc w:val="center"/>
        <w:rPr>
          <w:rFonts w:hAnsi="黑体"/>
          <w:sz w:val="32"/>
        </w:rPr>
      </w:pPr>
      <w:r>
        <w:rPr>
          <w:rFonts w:hint="eastAsia"/>
          <w:sz w:val="32"/>
        </w:rPr>
        <w:t>采购诚信承诺书</w:t>
      </w:r>
    </w:p>
    <w:p w14:paraId="11EC74D4">
      <w:pPr>
        <w:ind w:firstLine="0" w:firstLineChars="0"/>
        <w:rPr>
          <w:rFonts w:ascii="宋体" w:hAnsi="宋体" w:cs="宋体"/>
          <w:szCs w:val="21"/>
          <w:u w:val="single"/>
        </w:rPr>
      </w:pPr>
      <w:r>
        <w:rPr>
          <w:rFonts w:hint="eastAsia" w:ascii="宋体" w:hAnsi="宋体" w:cs="宋体"/>
          <w:szCs w:val="21"/>
          <w:u w:val="single"/>
        </w:rPr>
        <w:t xml:space="preserve">             </w:t>
      </w:r>
      <w:r>
        <w:rPr>
          <w:rFonts w:hint="eastAsia" w:ascii="宋体" w:hAnsi="宋体" w:cs="宋体"/>
          <w:szCs w:val="21"/>
        </w:rPr>
        <w:t>（采购人）、</w:t>
      </w:r>
      <w:r>
        <w:rPr>
          <w:rFonts w:hint="eastAsia" w:ascii="宋体" w:hAnsi="宋体" w:cs="宋体"/>
          <w:szCs w:val="21"/>
          <w:u w:val="single"/>
        </w:rPr>
        <w:t xml:space="preserve">            </w:t>
      </w:r>
      <w:r>
        <w:rPr>
          <w:rFonts w:hint="eastAsia" w:ascii="宋体" w:hAnsi="宋体" w:cs="宋体"/>
          <w:szCs w:val="21"/>
        </w:rPr>
        <w:t>（采购代理机构）：</w:t>
      </w:r>
    </w:p>
    <w:p w14:paraId="63E73E17">
      <w:pPr>
        <w:ind w:firstLine="420"/>
        <w:rPr>
          <w:rFonts w:ascii="宋体" w:hAnsi="宋体" w:cs="宋体"/>
          <w:szCs w:val="21"/>
        </w:rPr>
      </w:pPr>
      <w:r>
        <w:rPr>
          <w:rFonts w:hint="eastAsia" w:ascii="宋体" w:hAnsi="宋体" w:cs="宋体"/>
          <w:szCs w:val="21"/>
        </w:rPr>
        <w:t>我公司</w:t>
      </w:r>
      <w:r>
        <w:rPr>
          <w:rFonts w:hint="eastAsia" w:ascii="宋体" w:hAnsi="宋体" w:cs="宋体"/>
          <w:szCs w:val="21"/>
          <w:u w:val="single"/>
        </w:rPr>
        <w:t xml:space="preserve">            </w:t>
      </w:r>
      <w:r>
        <w:rPr>
          <w:rFonts w:hint="eastAsia" w:ascii="宋体" w:hAnsi="宋体" w:cs="宋体"/>
          <w:szCs w:val="21"/>
        </w:rPr>
        <w:t>（单位名称）已详细阅读了</w:t>
      </w:r>
      <w:r>
        <w:rPr>
          <w:rFonts w:hint="eastAsia" w:ascii="宋体" w:hAnsi="宋体" w:cs="宋体"/>
          <w:szCs w:val="21"/>
          <w:u w:val="single"/>
        </w:rPr>
        <w:t xml:space="preserve">            </w:t>
      </w:r>
      <w:r>
        <w:rPr>
          <w:rFonts w:hint="eastAsia" w:ascii="宋体" w:hAnsi="宋体" w:cs="宋体"/>
          <w:szCs w:val="21"/>
        </w:rPr>
        <w:t>项目（项目编号：</w:t>
      </w:r>
      <w:r>
        <w:rPr>
          <w:rFonts w:hint="eastAsia" w:ascii="宋体" w:hAnsi="宋体" w:cs="宋体"/>
          <w:szCs w:val="21"/>
          <w:u w:val="single"/>
        </w:rPr>
        <w:t xml:space="preserve">            </w:t>
      </w:r>
      <w:r>
        <w:rPr>
          <w:rFonts w:hint="eastAsia" w:ascii="宋体" w:hAnsi="宋体" w:cs="宋体"/>
          <w:szCs w:val="21"/>
        </w:rPr>
        <w:t>）的采购文件，自愿参加该项目的采购活动，现就有关事项做出郑重承诺如下：</w:t>
      </w:r>
    </w:p>
    <w:p w14:paraId="659D503A">
      <w:pPr>
        <w:ind w:firstLine="420"/>
        <w:rPr>
          <w:rFonts w:ascii="宋体" w:hAnsi="宋体" w:cs="宋体"/>
          <w:szCs w:val="21"/>
        </w:rPr>
      </w:pPr>
      <w:r>
        <w:rPr>
          <w:rFonts w:hint="eastAsia" w:ascii="宋体" w:hAnsi="宋体" w:cs="宋体"/>
          <w:szCs w:val="21"/>
        </w:rPr>
        <w:t>一、诚信竞争，材料真实。我公司保证所提供的全部材料、内容均真实、合法、有效，保证不出借或者借用其他企业资质，不以他人名义参与采购和竞争，不弄虚作假；</w:t>
      </w:r>
    </w:p>
    <w:p w14:paraId="551B764C">
      <w:pPr>
        <w:ind w:firstLine="420"/>
        <w:rPr>
          <w:rFonts w:ascii="宋体" w:hAnsi="宋体" w:cs="宋体"/>
          <w:szCs w:val="21"/>
        </w:rPr>
      </w:pPr>
      <w:r>
        <w:rPr>
          <w:rFonts w:hint="eastAsia" w:ascii="宋体" w:hAnsi="宋体" w:cs="宋体"/>
          <w:szCs w:val="21"/>
        </w:rPr>
        <w:t>二、遵纪守法，公平竞争。不与其他单位相互串通、哄抬价格，不排挤其他单位，不损害采购人的合法权益；不向评审小组、采购人、采购代理机构提供利益以牟取中标（成交）。</w:t>
      </w:r>
    </w:p>
    <w:p w14:paraId="0F323BAD">
      <w:pPr>
        <w:ind w:firstLine="420"/>
        <w:rPr>
          <w:rFonts w:ascii="宋体" w:hAnsi="宋体" w:cs="宋体"/>
          <w:szCs w:val="21"/>
        </w:rPr>
      </w:pPr>
      <w:r>
        <w:rPr>
          <w:rFonts w:hint="eastAsia" w:ascii="宋体" w:hAnsi="宋体" w:cs="宋体"/>
          <w:szCs w:val="21"/>
        </w:rPr>
        <w:t>2.1不向项目有关人员及部门赠送礼金礼物、有价证券、回扣以及中介费、介绍费、咨询费等好处费；</w:t>
      </w:r>
    </w:p>
    <w:p w14:paraId="2B605738">
      <w:pPr>
        <w:ind w:firstLine="420"/>
        <w:rPr>
          <w:rFonts w:ascii="宋体" w:hAnsi="宋体" w:cs="宋体"/>
          <w:szCs w:val="21"/>
        </w:rPr>
      </w:pPr>
      <w:r>
        <w:rPr>
          <w:rFonts w:hint="eastAsia" w:ascii="宋体" w:hAnsi="宋体" w:cs="宋体"/>
          <w:szCs w:val="21"/>
        </w:rPr>
        <w:t>2.2不为项目有关人员及部门报销应由你方单位或个人支付的费用；</w:t>
      </w:r>
    </w:p>
    <w:p w14:paraId="08AF85E6">
      <w:pPr>
        <w:ind w:firstLine="420"/>
        <w:rPr>
          <w:rFonts w:ascii="宋体" w:hAnsi="宋体" w:cs="宋体"/>
          <w:szCs w:val="21"/>
        </w:rPr>
      </w:pPr>
      <w:r>
        <w:rPr>
          <w:rFonts w:hint="eastAsia" w:ascii="宋体" w:hAnsi="宋体" w:cs="宋体"/>
          <w:szCs w:val="21"/>
        </w:rPr>
        <w:t>2.3不向项目有关人员及部门提供有可能影响公正的宴请和健身娱乐等活动；</w:t>
      </w:r>
    </w:p>
    <w:p w14:paraId="38617C05">
      <w:pPr>
        <w:ind w:firstLine="420"/>
        <w:rPr>
          <w:rFonts w:ascii="宋体" w:hAnsi="宋体" w:cs="宋体"/>
          <w:szCs w:val="21"/>
        </w:rPr>
      </w:pPr>
      <w:r>
        <w:rPr>
          <w:rFonts w:hint="eastAsia" w:ascii="宋体" w:hAnsi="宋体" w:cs="宋体"/>
          <w:szCs w:val="21"/>
        </w:rPr>
        <w:t>2.4不为项目有关人员及部门出国（境）、旅游等提供方便；</w:t>
      </w:r>
    </w:p>
    <w:p w14:paraId="56109900">
      <w:pPr>
        <w:ind w:firstLine="420"/>
        <w:rPr>
          <w:rFonts w:ascii="宋体" w:hAnsi="宋体" w:cs="宋体"/>
          <w:szCs w:val="21"/>
        </w:rPr>
      </w:pPr>
      <w:r>
        <w:rPr>
          <w:rFonts w:hint="eastAsia" w:ascii="宋体" w:hAnsi="宋体" w:cs="宋体"/>
          <w:szCs w:val="21"/>
        </w:rPr>
        <w:t>2.5不为项目有关人员个人装修住房、婚丧嫁娶、配偶子女工作安排等提供好处；</w:t>
      </w:r>
    </w:p>
    <w:p w14:paraId="2DDC92D7">
      <w:pPr>
        <w:ind w:firstLine="420"/>
        <w:rPr>
          <w:rFonts w:ascii="宋体" w:hAnsi="宋体" w:cs="宋体"/>
          <w:szCs w:val="21"/>
        </w:rPr>
      </w:pPr>
      <w:r>
        <w:rPr>
          <w:rFonts w:hint="eastAsia" w:ascii="宋体" w:hAnsi="宋体" w:cs="宋体"/>
          <w:szCs w:val="21"/>
        </w:rPr>
        <w:t>2.6严格遵守政府采购法、招标投标法、民法典等法律，诚实守信，合法经营，坚决抵制各种违法违纪行为。</w:t>
      </w:r>
    </w:p>
    <w:p w14:paraId="6CE87452">
      <w:pPr>
        <w:ind w:firstLine="420"/>
        <w:rPr>
          <w:rFonts w:ascii="宋体" w:hAnsi="宋体" w:cs="宋体"/>
          <w:szCs w:val="21"/>
        </w:rPr>
      </w:pPr>
      <w:r>
        <w:rPr>
          <w:rFonts w:hint="eastAsia" w:ascii="宋体" w:hAnsi="宋体" w:cs="宋体"/>
          <w:szCs w:val="21"/>
        </w:rPr>
        <w:t>三、若中标（成交）后，将按照规定及时与采购人签订采购合同，不与采购人订立有悖于采购结果的合同或协议；严格履行采购合同，不降低合同约定的产品质量和服务，不擅自变更、中止、终止合同，或者拒绝履行合同义务；</w:t>
      </w:r>
    </w:p>
    <w:p w14:paraId="1A71073E">
      <w:pPr>
        <w:ind w:firstLine="420"/>
        <w:rPr>
          <w:rFonts w:ascii="宋体" w:hAnsi="宋体" w:cs="宋体"/>
          <w:szCs w:val="21"/>
        </w:rPr>
      </w:pPr>
      <w:r>
        <w:rPr>
          <w:rFonts w:hint="eastAsia" w:ascii="宋体" w:hAnsi="宋体" w:cs="宋体"/>
          <w:szCs w:val="21"/>
        </w:rPr>
        <w:t>若有违反以上承诺内容的行为，我公司自愿接受取消竞争资格、记入信用档案、没收参与竞争的保证金、媒体通报、1-3年内禁止参与本单位采购等处罚；如已中标（成交）的，自动放弃中标（成交）资格，并承担全部法律责任；给采购人造成损失的，依法承担赔偿责任。</w:t>
      </w:r>
    </w:p>
    <w:p w14:paraId="78251F1B">
      <w:pPr>
        <w:spacing w:line="420" w:lineRule="auto"/>
        <w:ind w:firstLine="3595" w:firstLineChars="1712"/>
        <w:rPr>
          <w:rFonts w:ascii="宋体" w:hAnsi="宋体" w:cs="宋体"/>
          <w:szCs w:val="21"/>
        </w:rPr>
      </w:pPr>
      <w:r>
        <w:rPr>
          <w:rFonts w:hint="eastAsia" w:ascii="宋体" w:hAnsi="宋体" w:cs="宋体"/>
          <w:szCs w:val="21"/>
        </w:rPr>
        <w:t>单  位 ：</w:t>
      </w:r>
      <w:r>
        <w:rPr>
          <w:rFonts w:hint="eastAsia" w:ascii="宋体" w:hAnsi="宋体" w:cs="宋体"/>
          <w:szCs w:val="21"/>
          <w:u w:val="single"/>
        </w:rPr>
        <w:t xml:space="preserve">                </w:t>
      </w:r>
      <w:r>
        <w:rPr>
          <w:rFonts w:hint="eastAsia" w:ascii="宋体" w:hAnsi="宋体" w:cs="宋体"/>
          <w:szCs w:val="21"/>
        </w:rPr>
        <w:t>（盖单位公章）</w:t>
      </w:r>
    </w:p>
    <w:p w14:paraId="424FF65B">
      <w:pPr>
        <w:spacing w:line="420" w:lineRule="auto"/>
        <w:ind w:firstLine="3595" w:firstLineChars="1712"/>
        <w:rPr>
          <w:rFonts w:ascii="宋体" w:hAnsi="宋体" w:cs="宋体"/>
          <w:szCs w:val="21"/>
        </w:rPr>
      </w:pPr>
      <w:r>
        <w:rPr>
          <w:rFonts w:hint="eastAsia" w:ascii="宋体" w:hAnsi="宋体" w:cs="宋体"/>
          <w:szCs w:val="21"/>
        </w:rPr>
        <w:t>法定代表人：</w:t>
      </w:r>
      <w:r>
        <w:rPr>
          <w:rFonts w:hint="eastAsia" w:ascii="宋体" w:hAnsi="宋体" w:cs="宋体"/>
          <w:szCs w:val="21"/>
          <w:u w:val="single"/>
        </w:rPr>
        <w:t xml:space="preserve">                </w:t>
      </w:r>
      <w:r>
        <w:rPr>
          <w:rFonts w:hint="eastAsia" w:ascii="宋体" w:hAnsi="宋体" w:cs="宋体"/>
          <w:szCs w:val="21"/>
        </w:rPr>
        <w:t>（签字或印章）</w:t>
      </w:r>
    </w:p>
    <w:p w14:paraId="1321D7FA">
      <w:pPr>
        <w:spacing w:line="420" w:lineRule="auto"/>
        <w:ind w:firstLine="3595" w:firstLineChars="1712"/>
        <w:rPr>
          <w:rFonts w:ascii="宋体" w:hAnsi="宋体" w:cs="宋体"/>
          <w:szCs w:val="21"/>
        </w:rPr>
      </w:pPr>
      <w:r>
        <w:rPr>
          <w:rFonts w:hint="eastAsia" w:ascii="宋体" w:hAnsi="宋体" w:cs="宋体"/>
          <w:szCs w:val="21"/>
        </w:rPr>
        <w:t>日      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0D130356">
      <w:pPr>
        <w:topLinePunct/>
        <w:ind w:firstLine="420"/>
        <w:rPr>
          <w:rFonts w:ascii="宋体" w:hAnsi="宋体" w:cs="宋体"/>
          <w:szCs w:val="21"/>
        </w:rPr>
      </w:pPr>
      <w:r>
        <w:rPr>
          <w:rFonts w:hint="eastAsia" w:ascii="宋体" w:hAnsi="宋体" w:cs="宋体"/>
          <w:szCs w:val="21"/>
        </w:rPr>
        <w:t>备注：若以联合体形式参与采购活动的，联合体各成员应分别填写。</w:t>
      </w:r>
    </w:p>
    <w:p w14:paraId="1ADD7160">
      <w:pPr>
        <w:ind w:firstLine="420"/>
        <w:rPr>
          <w:rFonts w:ascii="宋体" w:hAnsi="宋体" w:cs="宋体"/>
          <w:szCs w:val="21"/>
        </w:rPr>
      </w:pPr>
    </w:p>
    <w:p w14:paraId="50BC7B65">
      <w:pPr>
        <w:spacing w:line="240" w:lineRule="auto"/>
        <w:ind w:firstLine="0" w:firstLineChars="0"/>
        <w:jc w:val="center"/>
        <w:rPr>
          <w:rFonts w:ascii="宋体" w:hAnsi="宋体" w:cs="宋体"/>
          <w:b/>
          <w:spacing w:val="20"/>
          <w:szCs w:val="21"/>
        </w:rPr>
      </w:pPr>
    </w:p>
    <w:p w14:paraId="7AD62F6F">
      <w:pPr>
        <w:spacing w:line="240" w:lineRule="auto"/>
        <w:ind w:firstLine="0" w:firstLineChars="0"/>
        <w:jc w:val="center"/>
        <w:rPr>
          <w:rFonts w:ascii="宋体" w:hAnsi="宋体" w:cs="宋体"/>
          <w:b/>
          <w:spacing w:val="20"/>
          <w:szCs w:val="21"/>
        </w:rPr>
      </w:pPr>
    </w:p>
    <w:p w14:paraId="63139718">
      <w:pPr>
        <w:snapToGrid w:val="0"/>
        <w:ind w:right="480" w:firstLine="422"/>
        <w:rPr>
          <w:rFonts w:ascii="宋体" w:hAnsi="宋体" w:cs="宋体"/>
          <w:b/>
          <w:kern w:val="0"/>
          <w:szCs w:val="21"/>
        </w:rPr>
      </w:pPr>
      <w:r>
        <w:rPr>
          <w:rFonts w:hint="eastAsia"/>
          <w:b/>
          <w:bCs/>
          <w:szCs w:val="32"/>
        </w:rPr>
        <w:br w:type="page"/>
      </w:r>
      <w:r>
        <w:rPr>
          <w:rFonts w:hint="eastAsia" w:ascii="宋体" w:hAnsi="宋体" w:cs="宋体"/>
          <w:b/>
          <w:szCs w:val="21"/>
        </w:rPr>
        <w:t xml:space="preserve">附件五 </w:t>
      </w:r>
      <w:r>
        <w:rPr>
          <w:rFonts w:hint="eastAsia" w:ascii="宋体" w:hAnsi="宋体" w:cs="宋体"/>
          <w:b/>
          <w:kern w:val="0"/>
          <w:szCs w:val="21"/>
        </w:rPr>
        <w:t>符合参加采购活动应当具备的一般条件的承诺函</w:t>
      </w:r>
    </w:p>
    <w:p w14:paraId="731D4262">
      <w:pPr>
        <w:snapToGrid w:val="0"/>
        <w:ind w:right="480" w:firstLine="643"/>
        <w:jc w:val="center"/>
        <w:rPr>
          <w:rFonts w:ascii="宋体" w:hAnsi="宋体" w:cs="宋体"/>
          <w:b/>
          <w:kern w:val="0"/>
          <w:sz w:val="32"/>
          <w:szCs w:val="32"/>
        </w:rPr>
      </w:pPr>
    </w:p>
    <w:p w14:paraId="56A45811">
      <w:pPr>
        <w:snapToGrid w:val="0"/>
        <w:ind w:right="480" w:firstLine="643"/>
        <w:jc w:val="center"/>
        <w:rPr>
          <w:rFonts w:ascii="宋体" w:hAnsi="宋体" w:cs="宋体"/>
          <w:b/>
          <w:kern w:val="0"/>
          <w:sz w:val="32"/>
          <w:szCs w:val="32"/>
        </w:rPr>
      </w:pPr>
      <w:r>
        <w:rPr>
          <w:rFonts w:hint="eastAsia" w:ascii="宋体" w:hAnsi="宋体" w:cs="宋体"/>
          <w:b/>
          <w:kern w:val="0"/>
          <w:sz w:val="32"/>
          <w:szCs w:val="32"/>
        </w:rPr>
        <w:t>符合参加采购活动应当具备的一般条件的承诺函</w:t>
      </w:r>
    </w:p>
    <w:p w14:paraId="6C44772E">
      <w:pPr>
        <w:snapToGrid w:val="0"/>
        <w:ind w:firstLine="420"/>
        <w:rPr>
          <w:rFonts w:ascii="宋体" w:hAnsi="宋体" w:cs="宋体"/>
          <w:szCs w:val="21"/>
        </w:rPr>
      </w:pPr>
      <w:r>
        <w:rPr>
          <w:rFonts w:hint="eastAsia" w:ascii="宋体" w:hAnsi="宋体" w:cs="宋体"/>
          <w:szCs w:val="21"/>
          <w:lang w:eastAsia="zh-CN"/>
        </w:rPr>
        <w:t>浙江省杭州高级中学</w:t>
      </w:r>
      <w:r>
        <w:rPr>
          <w:rFonts w:hint="eastAsia" w:ascii="宋体" w:hAnsi="宋体" w:cs="宋体"/>
          <w:szCs w:val="21"/>
        </w:rPr>
        <w:t>、浙江信镧建设工程咨询有限公司：</w:t>
      </w:r>
    </w:p>
    <w:p w14:paraId="459FD80F">
      <w:pPr>
        <w:snapToGrid w:val="0"/>
        <w:ind w:firstLine="420"/>
        <w:rPr>
          <w:rFonts w:ascii="宋体" w:hAnsi="宋体" w:cs="宋体"/>
          <w:szCs w:val="21"/>
        </w:rPr>
      </w:pPr>
      <w:r>
        <w:rPr>
          <w:rFonts w:hint="eastAsia" w:ascii="宋体" w:hAnsi="宋体" w:cs="宋体"/>
          <w:szCs w:val="21"/>
        </w:rPr>
        <w:t>我方参与</w:t>
      </w:r>
      <w:r>
        <w:rPr>
          <w:rFonts w:hint="eastAsia" w:ascii="Arial" w:hAnsi="宋体" w:cs="Arial"/>
          <w:color w:val="000000"/>
          <w:szCs w:val="21"/>
          <w:u w:val="single"/>
        </w:rPr>
        <w:t xml:space="preserve">                   </w:t>
      </w:r>
      <w:r>
        <w:rPr>
          <w:rFonts w:hint="eastAsia" w:ascii="宋体" w:hAnsi="宋体" w:cs="宋体"/>
          <w:szCs w:val="21"/>
        </w:rPr>
        <w:t>【招标编号：</w:t>
      </w:r>
      <w:r>
        <w:rPr>
          <w:rFonts w:hint="eastAsia" w:ascii="宋体" w:hAnsi="宋体" w:cs="宋体"/>
          <w:color w:val="000000"/>
          <w:szCs w:val="21"/>
        </w:rPr>
        <w:t xml:space="preserve">       </w:t>
      </w:r>
      <w:r>
        <w:rPr>
          <w:rFonts w:hint="eastAsia" w:ascii="宋体" w:hAnsi="宋体" w:cs="宋体"/>
          <w:szCs w:val="21"/>
        </w:rPr>
        <w:t>】采购活动，郑重承诺：</w:t>
      </w:r>
    </w:p>
    <w:p w14:paraId="552CB4CD">
      <w:pPr>
        <w:snapToGrid w:val="0"/>
        <w:ind w:firstLine="315" w:firstLineChars="150"/>
        <w:rPr>
          <w:rFonts w:ascii="宋体" w:hAnsi="宋体" w:cs="宋体"/>
          <w:szCs w:val="21"/>
        </w:rPr>
      </w:pPr>
      <w:r>
        <w:rPr>
          <w:rFonts w:hint="eastAsia" w:ascii="宋体" w:hAnsi="宋体" w:cs="宋体"/>
          <w:szCs w:val="21"/>
        </w:rPr>
        <w:t>（一）具备《中华人民共和国政府采购法》第二十二条第一款规定的条件：</w:t>
      </w:r>
    </w:p>
    <w:p w14:paraId="49CBAF3B">
      <w:pPr>
        <w:snapToGrid w:val="0"/>
        <w:ind w:firstLine="420"/>
        <w:rPr>
          <w:rFonts w:ascii="宋体" w:hAnsi="宋体" w:cs="宋体"/>
          <w:szCs w:val="21"/>
        </w:rPr>
      </w:pPr>
      <w:r>
        <w:rPr>
          <w:rFonts w:hint="eastAsia" w:ascii="宋体" w:hAnsi="宋体" w:cs="宋体"/>
          <w:szCs w:val="21"/>
        </w:rPr>
        <w:t>1、具有独立承担民事责任的能力；</w:t>
      </w:r>
    </w:p>
    <w:p w14:paraId="40D1FAF5">
      <w:pPr>
        <w:snapToGrid w:val="0"/>
        <w:ind w:firstLine="420"/>
        <w:rPr>
          <w:rFonts w:ascii="宋体" w:hAnsi="宋体" w:cs="宋体"/>
          <w:szCs w:val="21"/>
        </w:rPr>
      </w:pPr>
      <w:r>
        <w:rPr>
          <w:rFonts w:hint="eastAsia" w:ascii="宋体" w:hAnsi="宋体" w:cs="宋体"/>
          <w:szCs w:val="21"/>
        </w:rPr>
        <w:t xml:space="preserve">2、具有良好的商业信誉和健全的财务会计制度； </w:t>
      </w:r>
    </w:p>
    <w:p w14:paraId="6A39D1B4">
      <w:pPr>
        <w:snapToGrid w:val="0"/>
        <w:ind w:firstLine="420"/>
        <w:rPr>
          <w:rFonts w:ascii="宋体" w:hAnsi="宋体" w:cs="宋体"/>
          <w:szCs w:val="21"/>
        </w:rPr>
      </w:pPr>
      <w:r>
        <w:rPr>
          <w:rFonts w:hint="eastAsia" w:ascii="宋体" w:hAnsi="宋体" w:cs="宋体"/>
          <w:szCs w:val="21"/>
        </w:rPr>
        <w:t>3、具有履行合同所必需的设备和专业技术能力；</w:t>
      </w:r>
    </w:p>
    <w:p w14:paraId="45F50DA5">
      <w:pPr>
        <w:snapToGrid w:val="0"/>
        <w:ind w:firstLine="420"/>
        <w:rPr>
          <w:rFonts w:ascii="宋体" w:hAnsi="宋体" w:cs="宋体"/>
          <w:szCs w:val="21"/>
        </w:rPr>
      </w:pPr>
      <w:r>
        <w:rPr>
          <w:rFonts w:hint="eastAsia" w:ascii="宋体" w:hAnsi="宋体" w:cs="宋体"/>
          <w:szCs w:val="21"/>
        </w:rPr>
        <w:t>4、有依法缴纳税收和社会保障资金的良好记录；</w:t>
      </w:r>
    </w:p>
    <w:p w14:paraId="4246DF72">
      <w:pPr>
        <w:snapToGrid w:val="0"/>
        <w:ind w:firstLine="420"/>
        <w:rPr>
          <w:rFonts w:ascii="宋体" w:hAnsi="宋体" w:cs="宋体"/>
          <w:szCs w:val="21"/>
        </w:rPr>
      </w:pPr>
      <w:r>
        <w:rPr>
          <w:rFonts w:hint="eastAsia" w:ascii="宋体" w:hAnsi="宋体" w:cs="宋体"/>
          <w:szCs w:val="21"/>
        </w:rPr>
        <w:t>5、参加政府采购活动前三年内，在经营活动中没有重大违法记录；</w:t>
      </w:r>
    </w:p>
    <w:p w14:paraId="15FC0B44">
      <w:pPr>
        <w:snapToGrid w:val="0"/>
        <w:ind w:firstLine="420"/>
        <w:rPr>
          <w:rFonts w:ascii="宋体" w:hAnsi="宋体" w:cs="宋体"/>
          <w:szCs w:val="21"/>
        </w:rPr>
      </w:pPr>
      <w:r>
        <w:rPr>
          <w:rFonts w:hint="eastAsia" w:ascii="宋体" w:hAnsi="宋体" w:cs="宋体"/>
          <w:szCs w:val="21"/>
        </w:rPr>
        <w:t>6、具有法律、行政法规规定的其他条件。</w:t>
      </w:r>
    </w:p>
    <w:p w14:paraId="5F6AF1C9">
      <w:pPr>
        <w:snapToGrid w:val="0"/>
        <w:ind w:firstLine="420"/>
        <w:rPr>
          <w:rFonts w:ascii="宋体" w:hAnsi="宋体" w:cs="宋体"/>
          <w:szCs w:val="21"/>
        </w:rPr>
      </w:pPr>
      <w:r>
        <w:rPr>
          <w:rFonts w:hint="eastAsia" w:ascii="宋体" w:hAnsi="宋体" w:cs="宋体"/>
          <w:szCs w:val="21"/>
        </w:rPr>
        <w:t>（二）未被信用中国（www.creditchina.gov.cn)、中国政府采购网（www.ccgp.gov.cn）列入失信被执行人、重大税收违法案件当事人名单、政府采购严重违法失信行为记录名单。</w:t>
      </w:r>
    </w:p>
    <w:p w14:paraId="3F6A769F">
      <w:pPr>
        <w:snapToGrid w:val="0"/>
        <w:ind w:firstLine="420"/>
        <w:rPr>
          <w:rFonts w:ascii="宋体" w:hAnsi="宋体" w:cs="宋体"/>
          <w:szCs w:val="21"/>
        </w:rPr>
      </w:pPr>
      <w:r>
        <w:rPr>
          <w:rFonts w:hint="eastAsia" w:ascii="宋体" w:hAnsi="宋体" w:cs="宋体"/>
          <w:szCs w:val="21"/>
        </w:rPr>
        <w:t>（三）不存在以下情况：</w:t>
      </w:r>
    </w:p>
    <w:p w14:paraId="0ECEBDC9">
      <w:pPr>
        <w:snapToGrid w:val="0"/>
        <w:ind w:firstLine="420"/>
        <w:rPr>
          <w:rFonts w:ascii="宋体" w:hAnsi="宋体" w:cs="宋体"/>
          <w:szCs w:val="21"/>
        </w:rPr>
      </w:pPr>
      <w:r>
        <w:rPr>
          <w:rFonts w:hint="eastAsia" w:ascii="宋体" w:hAnsi="宋体" w:cs="宋体"/>
          <w:szCs w:val="21"/>
        </w:rPr>
        <w:t>1、单位负责人为同一人或者存在直接控股、管理关系的不同供应商参加同一合同项下的政府采购活动的；</w:t>
      </w:r>
    </w:p>
    <w:p w14:paraId="62B7AE52">
      <w:pPr>
        <w:snapToGrid w:val="0"/>
        <w:ind w:firstLine="420"/>
        <w:rPr>
          <w:rFonts w:ascii="宋体" w:hAnsi="宋体" w:cs="宋体"/>
          <w:szCs w:val="21"/>
        </w:rPr>
      </w:pPr>
      <w:r>
        <w:rPr>
          <w:rFonts w:hint="eastAsia" w:ascii="宋体" w:hAnsi="宋体" w:cs="宋体"/>
          <w:szCs w:val="21"/>
        </w:rPr>
        <w:t>2、为采购项目提供整体设计、规范编制或者项目管理、监理、检测等服务后再参加该采购项目的其他采购活动的。</w:t>
      </w:r>
    </w:p>
    <w:p w14:paraId="6B9AACCC">
      <w:pPr>
        <w:snapToGrid w:val="0"/>
        <w:ind w:firstLine="4830" w:firstLineChars="2300"/>
        <w:rPr>
          <w:rFonts w:ascii="宋体" w:hAnsi="宋体" w:cs="宋体"/>
          <w:kern w:val="0"/>
          <w:szCs w:val="21"/>
        </w:rPr>
      </w:pPr>
      <w:r>
        <w:rPr>
          <w:rFonts w:hint="eastAsia"/>
        </w:rPr>
        <w:t>供应商（公章）：</w:t>
      </w:r>
    </w:p>
    <w:p w14:paraId="0EFD1CBE">
      <w:pPr>
        <w:adjustRightInd w:val="0"/>
        <w:snapToGrid w:val="0"/>
        <w:ind w:firstLine="630" w:firstLineChars="300"/>
        <w:jc w:val="right"/>
        <w:rPr>
          <w:rFonts w:ascii="宋体" w:hAnsi="宋体" w:cs="宋体"/>
          <w:color w:val="000000"/>
          <w:szCs w:val="21"/>
        </w:rPr>
      </w:pPr>
      <w:r>
        <w:rPr>
          <w:rFonts w:hint="eastAsia" w:ascii="宋体" w:hAnsi="宋体" w:cs="宋体"/>
          <w:kern w:val="0"/>
          <w:szCs w:val="21"/>
          <w:lang w:val="zh-CN"/>
        </w:rPr>
        <w:t>日期</w:t>
      </w:r>
      <w:r>
        <w:rPr>
          <w:rFonts w:hint="eastAsia" w:ascii="宋体" w:hAnsi="宋体" w:cs="宋体"/>
          <w:kern w:val="0"/>
          <w:szCs w:val="21"/>
        </w:rPr>
        <w:t xml:space="preserve">：  年  </w:t>
      </w:r>
      <w:r>
        <w:rPr>
          <w:rFonts w:hint="eastAsia" w:ascii="宋体" w:hAnsi="宋体" w:cs="宋体"/>
          <w:kern w:val="0"/>
          <w:szCs w:val="21"/>
          <w:lang w:val="zh-CN"/>
        </w:rPr>
        <w:t>月</w:t>
      </w:r>
      <w:r>
        <w:rPr>
          <w:rFonts w:hint="eastAsia" w:ascii="宋体" w:hAnsi="宋体" w:cs="宋体"/>
          <w:kern w:val="0"/>
          <w:szCs w:val="21"/>
        </w:rPr>
        <w:t xml:space="preserve">  </w:t>
      </w:r>
      <w:r>
        <w:rPr>
          <w:rFonts w:hint="eastAsia" w:ascii="宋体" w:hAnsi="宋体" w:cs="宋体"/>
          <w:kern w:val="0"/>
          <w:szCs w:val="21"/>
          <w:lang w:val="zh-CN"/>
        </w:rPr>
        <w:t>日</w:t>
      </w:r>
    </w:p>
    <w:p w14:paraId="2AD00861">
      <w:pPr>
        <w:snapToGrid w:val="0"/>
        <w:spacing w:before="50" w:after="50"/>
        <w:ind w:firstLine="420"/>
        <w:rPr>
          <w:rFonts w:ascii="宋体" w:hAnsi="宋体" w:cs="宋体"/>
          <w:szCs w:val="21"/>
        </w:rPr>
      </w:pPr>
    </w:p>
    <w:p w14:paraId="192BAED2">
      <w:pPr>
        <w:ind w:firstLine="420"/>
        <w:rPr>
          <w:rFonts w:ascii="宋体" w:hAnsi="宋体" w:cs="宋体"/>
        </w:rPr>
      </w:pPr>
    </w:p>
    <w:p w14:paraId="1CD68166">
      <w:pPr>
        <w:ind w:firstLine="420"/>
        <w:rPr>
          <w:rFonts w:ascii="宋体" w:hAnsi="宋体" w:cs="宋体"/>
        </w:rPr>
      </w:pPr>
    </w:p>
    <w:p w14:paraId="6624C80A">
      <w:pPr>
        <w:ind w:firstLine="422"/>
        <w:rPr>
          <w:rFonts w:ascii="宋体" w:hAnsi="宋体" w:cs="宋体"/>
          <w:b/>
        </w:rPr>
      </w:pPr>
    </w:p>
    <w:p w14:paraId="356A3839">
      <w:pPr>
        <w:ind w:firstLine="422"/>
        <w:rPr>
          <w:rFonts w:ascii="宋体" w:hAnsi="宋体" w:cs="宋体"/>
          <w:b/>
        </w:rPr>
        <w:sectPr>
          <w:pgSz w:w="11907" w:h="16840"/>
          <w:pgMar w:top="1304" w:right="1020" w:bottom="1304" w:left="1247" w:header="720" w:footer="720" w:gutter="0"/>
          <w:cols w:space="720" w:num="1"/>
        </w:sectPr>
      </w:pPr>
    </w:p>
    <w:p w14:paraId="0C111886">
      <w:pPr>
        <w:pStyle w:val="4"/>
        <w:rPr>
          <w:rFonts w:ascii="宋体" w:hAnsi="宋体" w:cs="宋体"/>
          <w:szCs w:val="21"/>
        </w:rPr>
      </w:pPr>
      <w:r>
        <w:rPr>
          <w:rFonts w:hint="eastAsia" w:ascii="宋体" w:hAnsi="宋体" w:cs="宋体"/>
          <w:szCs w:val="21"/>
        </w:rPr>
        <w:t>附件六 技术条款偏离表</w:t>
      </w:r>
    </w:p>
    <w:p w14:paraId="52F203F6">
      <w:pPr>
        <w:ind w:firstLine="555" w:firstLineChars="0"/>
        <w:rPr>
          <w:rFonts w:ascii="宋体" w:hAnsi="宋体" w:cs="宋体"/>
          <w:b/>
          <w:bCs/>
          <w:iCs/>
          <w:spacing w:val="20"/>
          <w:szCs w:val="21"/>
        </w:rPr>
      </w:pPr>
    </w:p>
    <w:p w14:paraId="4E6F0DB9">
      <w:pPr>
        <w:pStyle w:val="44"/>
        <w:ind w:firstLine="0" w:firstLineChars="0"/>
        <w:jc w:val="center"/>
        <w:rPr>
          <w:rFonts w:ascii="宋体" w:hAnsi="宋体" w:eastAsia="宋体"/>
          <w:b/>
          <w:sz w:val="32"/>
          <w:szCs w:val="32"/>
        </w:rPr>
      </w:pPr>
      <w:r>
        <w:rPr>
          <w:rFonts w:hint="eastAsia" w:ascii="宋体" w:hAnsi="宋体" w:eastAsia="宋体" w:cs="宋体"/>
          <w:b/>
          <w:sz w:val="32"/>
          <w:szCs w:val="32"/>
        </w:rPr>
        <w:t>技术条款偏离表</w:t>
      </w:r>
    </w:p>
    <w:p w14:paraId="5C6A1A69">
      <w:pPr>
        <w:pStyle w:val="44"/>
        <w:ind w:firstLine="210"/>
        <w:rPr>
          <w:rFonts w:ascii="宋体" w:hAnsi="宋体" w:eastAsia="宋体"/>
        </w:rPr>
      </w:pPr>
    </w:p>
    <w:p w14:paraId="77E69751">
      <w:pPr>
        <w:ind w:firstLine="0" w:firstLineChars="0"/>
        <w:rPr>
          <w:rFonts w:ascii="宋体" w:hAnsi="宋体" w:cs="宋体"/>
          <w:spacing w:val="20"/>
          <w:szCs w:val="21"/>
        </w:rPr>
      </w:pPr>
      <w:r>
        <w:rPr>
          <w:rFonts w:hint="eastAsia" w:ascii="宋体" w:hAnsi="宋体" w:cs="宋体"/>
          <w:spacing w:val="20"/>
          <w:szCs w:val="21"/>
        </w:rPr>
        <w:t xml:space="preserve">项目名称：                 采购编号：                   </w:t>
      </w:r>
    </w:p>
    <w:tbl>
      <w:tblPr>
        <w:tblStyle w:val="4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4536"/>
        <w:gridCol w:w="4394"/>
        <w:gridCol w:w="1593"/>
        <w:gridCol w:w="2836"/>
      </w:tblGrid>
      <w:tr w14:paraId="5F562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817" w:type="dxa"/>
            <w:vAlign w:val="center"/>
          </w:tcPr>
          <w:p w14:paraId="73EB3B34">
            <w:pPr>
              <w:ind w:firstLine="0" w:firstLineChars="0"/>
              <w:jc w:val="center"/>
              <w:rPr>
                <w:rFonts w:ascii="宋体" w:hAnsi="宋体" w:cs="宋体"/>
                <w:spacing w:val="20"/>
                <w:szCs w:val="21"/>
              </w:rPr>
            </w:pPr>
            <w:r>
              <w:rPr>
                <w:rFonts w:hint="eastAsia" w:ascii="宋体" w:hAnsi="宋体" w:cs="宋体"/>
                <w:spacing w:val="20"/>
                <w:szCs w:val="21"/>
              </w:rPr>
              <w:t>序号</w:t>
            </w:r>
          </w:p>
        </w:tc>
        <w:tc>
          <w:tcPr>
            <w:tcW w:w="4536" w:type="dxa"/>
            <w:vAlign w:val="center"/>
          </w:tcPr>
          <w:p w14:paraId="0CE65A98">
            <w:pPr>
              <w:ind w:firstLine="0" w:firstLineChars="0"/>
              <w:jc w:val="center"/>
              <w:rPr>
                <w:rFonts w:ascii="宋体" w:hAnsi="宋体" w:cs="宋体"/>
                <w:spacing w:val="20"/>
                <w:szCs w:val="21"/>
              </w:rPr>
            </w:pPr>
            <w:r>
              <w:rPr>
                <w:rFonts w:hint="eastAsia" w:ascii="宋体" w:hAnsi="宋体" w:cs="宋体"/>
                <w:spacing w:val="20"/>
                <w:szCs w:val="21"/>
              </w:rPr>
              <w:t>磋商文件要求</w:t>
            </w:r>
          </w:p>
        </w:tc>
        <w:tc>
          <w:tcPr>
            <w:tcW w:w="4394" w:type="dxa"/>
            <w:vAlign w:val="center"/>
          </w:tcPr>
          <w:p w14:paraId="7C4C6BD2">
            <w:pPr>
              <w:ind w:firstLine="0" w:firstLineChars="0"/>
              <w:jc w:val="center"/>
              <w:rPr>
                <w:rFonts w:ascii="宋体" w:hAnsi="宋体" w:cs="宋体"/>
                <w:spacing w:val="20"/>
                <w:szCs w:val="21"/>
              </w:rPr>
            </w:pPr>
            <w:r>
              <w:rPr>
                <w:rFonts w:hint="eastAsia" w:ascii="宋体" w:hAnsi="宋体" w:cs="宋体"/>
                <w:spacing w:val="20"/>
                <w:szCs w:val="21"/>
              </w:rPr>
              <w:t>响应文件响应（逐条逐项列示投标产品的具体</w:t>
            </w:r>
            <w:r>
              <w:rPr>
                <w:rFonts w:hint="eastAsia" w:ascii="宋体" w:hAnsi="宋体"/>
                <w:szCs w:val="21"/>
              </w:rPr>
              <w:t>技术性能指标和参数等响应内容</w:t>
            </w:r>
            <w:r>
              <w:rPr>
                <w:rFonts w:hint="eastAsia" w:ascii="宋体" w:hAnsi="宋体" w:cs="宋体"/>
                <w:spacing w:val="20"/>
                <w:szCs w:val="21"/>
              </w:rPr>
              <w:t>）</w:t>
            </w:r>
          </w:p>
        </w:tc>
        <w:tc>
          <w:tcPr>
            <w:tcW w:w="1593" w:type="dxa"/>
            <w:vAlign w:val="center"/>
          </w:tcPr>
          <w:p w14:paraId="0C5EEEB0">
            <w:pPr>
              <w:ind w:firstLine="0" w:firstLineChars="0"/>
              <w:jc w:val="center"/>
              <w:rPr>
                <w:rFonts w:ascii="宋体" w:hAnsi="宋体" w:cs="宋体"/>
                <w:spacing w:val="20"/>
                <w:szCs w:val="21"/>
              </w:rPr>
            </w:pPr>
            <w:r>
              <w:rPr>
                <w:rFonts w:hint="eastAsia" w:ascii="宋体" w:hAnsi="宋体" w:cs="宋体"/>
                <w:spacing w:val="20"/>
                <w:szCs w:val="21"/>
              </w:rPr>
              <w:t>偏离情况</w:t>
            </w:r>
          </w:p>
        </w:tc>
        <w:tc>
          <w:tcPr>
            <w:tcW w:w="2836" w:type="dxa"/>
            <w:vAlign w:val="center"/>
          </w:tcPr>
          <w:p w14:paraId="1D2757B4">
            <w:pPr>
              <w:ind w:firstLine="0" w:firstLineChars="0"/>
              <w:jc w:val="center"/>
              <w:rPr>
                <w:rFonts w:ascii="宋体" w:hAnsi="宋体" w:cs="宋体"/>
                <w:spacing w:val="20"/>
                <w:szCs w:val="21"/>
              </w:rPr>
            </w:pPr>
            <w:r>
              <w:rPr>
                <w:rFonts w:hint="eastAsia" w:ascii="宋体" w:hAnsi="宋体" w:cs="宋体"/>
                <w:spacing w:val="20"/>
                <w:szCs w:val="21"/>
              </w:rPr>
              <w:t>说明</w:t>
            </w:r>
          </w:p>
        </w:tc>
      </w:tr>
      <w:tr w14:paraId="5584E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7510C122">
            <w:pPr>
              <w:ind w:firstLine="0" w:firstLineChars="0"/>
              <w:jc w:val="center"/>
              <w:rPr>
                <w:rFonts w:ascii="宋体" w:hAnsi="宋体" w:cs="宋体"/>
                <w:spacing w:val="20"/>
                <w:szCs w:val="21"/>
              </w:rPr>
            </w:pPr>
          </w:p>
        </w:tc>
        <w:tc>
          <w:tcPr>
            <w:tcW w:w="4536" w:type="dxa"/>
          </w:tcPr>
          <w:p w14:paraId="3D07A1B4">
            <w:pPr>
              <w:ind w:firstLine="0" w:firstLineChars="0"/>
              <w:jc w:val="center"/>
              <w:rPr>
                <w:rFonts w:ascii="宋体" w:hAnsi="宋体" w:cs="宋体"/>
                <w:spacing w:val="20"/>
                <w:szCs w:val="21"/>
              </w:rPr>
            </w:pPr>
          </w:p>
        </w:tc>
        <w:tc>
          <w:tcPr>
            <w:tcW w:w="4394" w:type="dxa"/>
          </w:tcPr>
          <w:p w14:paraId="125A1DA7">
            <w:pPr>
              <w:ind w:firstLine="0" w:firstLineChars="0"/>
              <w:jc w:val="center"/>
              <w:rPr>
                <w:rFonts w:ascii="宋体" w:hAnsi="宋体" w:cs="宋体"/>
                <w:spacing w:val="20"/>
                <w:szCs w:val="21"/>
              </w:rPr>
            </w:pPr>
          </w:p>
        </w:tc>
        <w:tc>
          <w:tcPr>
            <w:tcW w:w="1593" w:type="dxa"/>
          </w:tcPr>
          <w:p w14:paraId="14FB2C6C">
            <w:pPr>
              <w:ind w:firstLine="0" w:firstLineChars="0"/>
              <w:jc w:val="center"/>
              <w:rPr>
                <w:rFonts w:ascii="宋体" w:hAnsi="宋体" w:cs="宋体"/>
                <w:spacing w:val="20"/>
                <w:szCs w:val="21"/>
              </w:rPr>
            </w:pPr>
          </w:p>
        </w:tc>
        <w:tc>
          <w:tcPr>
            <w:tcW w:w="2836" w:type="dxa"/>
          </w:tcPr>
          <w:p w14:paraId="440B86DD">
            <w:pPr>
              <w:ind w:firstLine="0" w:firstLineChars="0"/>
              <w:jc w:val="center"/>
              <w:rPr>
                <w:rFonts w:ascii="宋体" w:hAnsi="宋体" w:cs="宋体"/>
                <w:spacing w:val="20"/>
                <w:szCs w:val="21"/>
              </w:rPr>
            </w:pPr>
          </w:p>
        </w:tc>
      </w:tr>
      <w:tr w14:paraId="588882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22E94021">
            <w:pPr>
              <w:ind w:firstLine="0" w:firstLineChars="0"/>
              <w:jc w:val="center"/>
              <w:rPr>
                <w:rFonts w:ascii="宋体" w:hAnsi="宋体" w:cs="宋体"/>
                <w:spacing w:val="20"/>
                <w:szCs w:val="21"/>
              </w:rPr>
            </w:pPr>
          </w:p>
        </w:tc>
        <w:tc>
          <w:tcPr>
            <w:tcW w:w="4536" w:type="dxa"/>
          </w:tcPr>
          <w:p w14:paraId="6E0533E4">
            <w:pPr>
              <w:ind w:firstLine="0" w:firstLineChars="0"/>
              <w:jc w:val="center"/>
              <w:rPr>
                <w:rFonts w:ascii="宋体" w:hAnsi="宋体" w:cs="宋体"/>
                <w:spacing w:val="20"/>
                <w:szCs w:val="21"/>
              </w:rPr>
            </w:pPr>
          </w:p>
        </w:tc>
        <w:tc>
          <w:tcPr>
            <w:tcW w:w="4394" w:type="dxa"/>
          </w:tcPr>
          <w:p w14:paraId="44C46F5F">
            <w:pPr>
              <w:ind w:firstLine="0" w:firstLineChars="0"/>
              <w:jc w:val="center"/>
              <w:rPr>
                <w:rFonts w:ascii="宋体" w:hAnsi="宋体" w:cs="宋体"/>
                <w:spacing w:val="20"/>
                <w:szCs w:val="21"/>
              </w:rPr>
            </w:pPr>
          </w:p>
        </w:tc>
        <w:tc>
          <w:tcPr>
            <w:tcW w:w="1593" w:type="dxa"/>
          </w:tcPr>
          <w:p w14:paraId="0B125A06">
            <w:pPr>
              <w:ind w:firstLine="0" w:firstLineChars="0"/>
              <w:jc w:val="center"/>
              <w:rPr>
                <w:rFonts w:ascii="宋体" w:hAnsi="宋体" w:cs="宋体"/>
                <w:spacing w:val="20"/>
                <w:szCs w:val="21"/>
              </w:rPr>
            </w:pPr>
          </w:p>
        </w:tc>
        <w:tc>
          <w:tcPr>
            <w:tcW w:w="2836" w:type="dxa"/>
          </w:tcPr>
          <w:p w14:paraId="2D10FEBF">
            <w:pPr>
              <w:ind w:firstLine="0" w:firstLineChars="0"/>
              <w:jc w:val="center"/>
              <w:rPr>
                <w:rFonts w:ascii="宋体" w:hAnsi="宋体" w:cs="宋体"/>
                <w:spacing w:val="20"/>
                <w:szCs w:val="21"/>
              </w:rPr>
            </w:pPr>
          </w:p>
        </w:tc>
      </w:tr>
      <w:tr w14:paraId="664DF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209B2014">
            <w:pPr>
              <w:ind w:firstLine="0" w:firstLineChars="0"/>
              <w:jc w:val="center"/>
              <w:rPr>
                <w:rFonts w:ascii="宋体" w:hAnsi="宋体" w:cs="宋体"/>
                <w:spacing w:val="20"/>
                <w:szCs w:val="21"/>
              </w:rPr>
            </w:pPr>
          </w:p>
        </w:tc>
        <w:tc>
          <w:tcPr>
            <w:tcW w:w="4536" w:type="dxa"/>
          </w:tcPr>
          <w:p w14:paraId="741FD3FF">
            <w:pPr>
              <w:ind w:firstLine="0" w:firstLineChars="0"/>
              <w:jc w:val="center"/>
              <w:rPr>
                <w:rFonts w:ascii="宋体" w:hAnsi="宋体" w:cs="宋体"/>
                <w:spacing w:val="20"/>
                <w:szCs w:val="21"/>
              </w:rPr>
            </w:pPr>
          </w:p>
        </w:tc>
        <w:tc>
          <w:tcPr>
            <w:tcW w:w="4394" w:type="dxa"/>
          </w:tcPr>
          <w:p w14:paraId="6DD9B946">
            <w:pPr>
              <w:ind w:firstLine="0" w:firstLineChars="0"/>
              <w:jc w:val="center"/>
              <w:rPr>
                <w:rFonts w:ascii="宋体" w:hAnsi="宋体" w:cs="宋体"/>
                <w:spacing w:val="20"/>
                <w:szCs w:val="21"/>
              </w:rPr>
            </w:pPr>
          </w:p>
        </w:tc>
        <w:tc>
          <w:tcPr>
            <w:tcW w:w="1593" w:type="dxa"/>
          </w:tcPr>
          <w:p w14:paraId="238CDAAF">
            <w:pPr>
              <w:ind w:firstLine="0" w:firstLineChars="0"/>
              <w:jc w:val="center"/>
              <w:rPr>
                <w:rFonts w:ascii="宋体" w:hAnsi="宋体" w:cs="宋体"/>
                <w:spacing w:val="20"/>
                <w:szCs w:val="21"/>
              </w:rPr>
            </w:pPr>
          </w:p>
        </w:tc>
        <w:tc>
          <w:tcPr>
            <w:tcW w:w="2836" w:type="dxa"/>
          </w:tcPr>
          <w:p w14:paraId="03E14E39">
            <w:pPr>
              <w:ind w:firstLine="0" w:firstLineChars="0"/>
              <w:jc w:val="center"/>
              <w:rPr>
                <w:rFonts w:ascii="宋体" w:hAnsi="宋体" w:cs="宋体"/>
                <w:spacing w:val="20"/>
                <w:szCs w:val="21"/>
              </w:rPr>
            </w:pPr>
          </w:p>
        </w:tc>
      </w:tr>
      <w:tr w14:paraId="52663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5A4C27C3">
            <w:pPr>
              <w:ind w:firstLine="0" w:firstLineChars="0"/>
              <w:jc w:val="center"/>
              <w:rPr>
                <w:rFonts w:ascii="宋体" w:hAnsi="宋体" w:cs="宋体"/>
                <w:spacing w:val="20"/>
                <w:szCs w:val="21"/>
              </w:rPr>
            </w:pPr>
          </w:p>
        </w:tc>
        <w:tc>
          <w:tcPr>
            <w:tcW w:w="4536" w:type="dxa"/>
          </w:tcPr>
          <w:p w14:paraId="6C25A2FE">
            <w:pPr>
              <w:ind w:firstLine="0" w:firstLineChars="0"/>
              <w:jc w:val="center"/>
              <w:rPr>
                <w:rFonts w:ascii="宋体" w:hAnsi="宋体" w:cs="宋体"/>
                <w:spacing w:val="20"/>
                <w:szCs w:val="21"/>
              </w:rPr>
            </w:pPr>
          </w:p>
        </w:tc>
        <w:tc>
          <w:tcPr>
            <w:tcW w:w="4394" w:type="dxa"/>
          </w:tcPr>
          <w:p w14:paraId="4745FCF1">
            <w:pPr>
              <w:ind w:firstLine="0" w:firstLineChars="0"/>
              <w:jc w:val="center"/>
              <w:rPr>
                <w:rFonts w:ascii="宋体" w:hAnsi="宋体" w:cs="宋体"/>
                <w:spacing w:val="20"/>
                <w:szCs w:val="21"/>
              </w:rPr>
            </w:pPr>
          </w:p>
        </w:tc>
        <w:tc>
          <w:tcPr>
            <w:tcW w:w="1593" w:type="dxa"/>
          </w:tcPr>
          <w:p w14:paraId="682C445B">
            <w:pPr>
              <w:ind w:firstLine="0" w:firstLineChars="0"/>
              <w:jc w:val="center"/>
              <w:rPr>
                <w:rFonts w:ascii="宋体" w:hAnsi="宋体" w:cs="宋体"/>
                <w:spacing w:val="20"/>
                <w:szCs w:val="21"/>
              </w:rPr>
            </w:pPr>
          </w:p>
        </w:tc>
        <w:tc>
          <w:tcPr>
            <w:tcW w:w="2836" w:type="dxa"/>
          </w:tcPr>
          <w:p w14:paraId="31B15933">
            <w:pPr>
              <w:ind w:firstLine="0" w:firstLineChars="0"/>
              <w:jc w:val="center"/>
              <w:rPr>
                <w:rFonts w:ascii="宋体" w:hAnsi="宋体" w:cs="宋体"/>
                <w:spacing w:val="20"/>
                <w:szCs w:val="21"/>
              </w:rPr>
            </w:pPr>
          </w:p>
        </w:tc>
      </w:tr>
      <w:tr w14:paraId="59401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49A2BA9B">
            <w:pPr>
              <w:ind w:firstLine="0" w:firstLineChars="0"/>
              <w:jc w:val="center"/>
              <w:rPr>
                <w:rFonts w:ascii="宋体" w:hAnsi="宋体" w:cs="宋体"/>
                <w:spacing w:val="20"/>
                <w:szCs w:val="21"/>
              </w:rPr>
            </w:pPr>
          </w:p>
        </w:tc>
        <w:tc>
          <w:tcPr>
            <w:tcW w:w="4536" w:type="dxa"/>
          </w:tcPr>
          <w:p w14:paraId="6A0C8A2A">
            <w:pPr>
              <w:ind w:firstLine="0" w:firstLineChars="0"/>
              <w:jc w:val="center"/>
              <w:rPr>
                <w:rFonts w:ascii="宋体" w:hAnsi="宋体" w:cs="宋体"/>
                <w:spacing w:val="20"/>
                <w:szCs w:val="21"/>
              </w:rPr>
            </w:pPr>
          </w:p>
        </w:tc>
        <w:tc>
          <w:tcPr>
            <w:tcW w:w="4394" w:type="dxa"/>
          </w:tcPr>
          <w:p w14:paraId="2E066193">
            <w:pPr>
              <w:ind w:firstLine="0" w:firstLineChars="0"/>
              <w:jc w:val="center"/>
              <w:rPr>
                <w:rFonts w:ascii="宋体" w:hAnsi="宋体" w:cs="宋体"/>
                <w:spacing w:val="20"/>
                <w:szCs w:val="21"/>
              </w:rPr>
            </w:pPr>
          </w:p>
        </w:tc>
        <w:tc>
          <w:tcPr>
            <w:tcW w:w="1593" w:type="dxa"/>
          </w:tcPr>
          <w:p w14:paraId="5F6638A9">
            <w:pPr>
              <w:ind w:firstLine="0" w:firstLineChars="0"/>
              <w:jc w:val="center"/>
              <w:rPr>
                <w:rFonts w:ascii="宋体" w:hAnsi="宋体" w:cs="宋体"/>
                <w:spacing w:val="20"/>
                <w:szCs w:val="21"/>
              </w:rPr>
            </w:pPr>
          </w:p>
        </w:tc>
        <w:tc>
          <w:tcPr>
            <w:tcW w:w="2836" w:type="dxa"/>
          </w:tcPr>
          <w:p w14:paraId="6DD5CA09">
            <w:pPr>
              <w:ind w:firstLine="0" w:firstLineChars="0"/>
              <w:jc w:val="center"/>
              <w:rPr>
                <w:rFonts w:ascii="宋体" w:hAnsi="宋体" w:cs="宋体"/>
                <w:spacing w:val="20"/>
                <w:szCs w:val="21"/>
              </w:rPr>
            </w:pPr>
          </w:p>
        </w:tc>
      </w:tr>
      <w:tr w14:paraId="3F784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42317239">
            <w:pPr>
              <w:ind w:firstLine="0" w:firstLineChars="0"/>
              <w:jc w:val="center"/>
              <w:rPr>
                <w:rFonts w:ascii="宋体" w:hAnsi="宋体" w:cs="宋体"/>
                <w:spacing w:val="20"/>
                <w:szCs w:val="21"/>
              </w:rPr>
            </w:pPr>
          </w:p>
        </w:tc>
        <w:tc>
          <w:tcPr>
            <w:tcW w:w="4536" w:type="dxa"/>
          </w:tcPr>
          <w:p w14:paraId="3EF2F54F">
            <w:pPr>
              <w:ind w:firstLine="0" w:firstLineChars="0"/>
              <w:jc w:val="center"/>
              <w:rPr>
                <w:rFonts w:ascii="宋体" w:hAnsi="宋体" w:cs="宋体"/>
                <w:spacing w:val="20"/>
                <w:szCs w:val="21"/>
              </w:rPr>
            </w:pPr>
          </w:p>
        </w:tc>
        <w:tc>
          <w:tcPr>
            <w:tcW w:w="4394" w:type="dxa"/>
          </w:tcPr>
          <w:p w14:paraId="6ABA2F69">
            <w:pPr>
              <w:ind w:firstLine="0" w:firstLineChars="0"/>
              <w:jc w:val="center"/>
              <w:rPr>
                <w:rFonts w:ascii="宋体" w:hAnsi="宋体" w:cs="宋体"/>
                <w:spacing w:val="20"/>
                <w:szCs w:val="21"/>
              </w:rPr>
            </w:pPr>
          </w:p>
        </w:tc>
        <w:tc>
          <w:tcPr>
            <w:tcW w:w="1593" w:type="dxa"/>
          </w:tcPr>
          <w:p w14:paraId="6324BFDB">
            <w:pPr>
              <w:ind w:firstLine="0" w:firstLineChars="0"/>
              <w:jc w:val="center"/>
              <w:rPr>
                <w:rFonts w:ascii="宋体" w:hAnsi="宋体" w:cs="宋体"/>
                <w:spacing w:val="20"/>
                <w:szCs w:val="21"/>
              </w:rPr>
            </w:pPr>
          </w:p>
        </w:tc>
        <w:tc>
          <w:tcPr>
            <w:tcW w:w="2836" w:type="dxa"/>
          </w:tcPr>
          <w:p w14:paraId="5B6233BE">
            <w:pPr>
              <w:ind w:firstLine="0" w:firstLineChars="0"/>
              <w:jc w:val="center"/>
              <w:rPr>
                <w:rFonts w:ascii="宋体" w:hAnsi="宋体" w:cs="宋体"/>
                <w:spacing w:val="20"/>
                <w:szCs w:val="21"/>
              </w:rPr>
            </w:pPr>
          </w:p>
        </w:tc>
      </w:tr>
      <w:tr w14:paraId="5D4A6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Pr>
          <w:p w14:paraId="17F407AE">
            <w:pPr>
              <w:ind w:firstLine="0" w:firstLineChars="0"/>
              <w:jc w:val="center"/>
              <w:rPr>
                <w:rFonts w:ascii="宋体" w:hAnsi="宋体" w:cs="宋体"/>
                <w:spacing w:val="20"/>
                <w:szCs w:val="21"/>
              </w:rPr>
            </w:pPr>
          </w:p>
        </w:tc>
        <w:tc>
          <w:tcPr>
            <w:tcW w:w="4536" w:type="dxa"/>
          </w:tcPr>
          <w:p w14:paraId="1DACA898">
            <w:pPr>
              <w:ind w:firstLine="0" w:firstLineChars="0"/>
              <w:jc w:val="center"/>
              <w:rPr>
                <w:rFonts w:ascii="宋体" w:hAnsi="宋体" w:cs="宋体"/>
                <w:spacing w:val="20"/>
                <w:szCs w:val="21"/>
              </w:rPr>
            </w:pPr>
          </w:p>
        </w:tc>
        <w:tc>
          <w:tcPr>
            <w:tcW w:w="4394" w:type="dxa"/>
          </w:tcPr>
          <w:p w14:paraId="5857E08B">
            <w:pPr>
              <w:ind w:firstLine="0" w:firstLineChars="0"/>
              <w:jc w:val="center"/>
              <w:rPr>
                <w:rFonts w:ascii="宋体" w:hAnsi="宋体" w:cs="宋体"/>
                <w:spacing w:val="20"/>
                <w:szCs w:val="21"/>
              </w:rPr>
            </w:pPr>
          </w:p>
        </w:tc>
        <w:tc>
          <w:tcPr>
            <w:tcW w:w="1593" w:type="dxa"/>
          </w:tcPr>
          <w:p w14:paraId="7E090852">
            <w:pPr>
              <w:ind w:firstLine="0" w:firstLineChars="0"/>
              <w:jc w:val="center"/>
              <w:rPr>
                <w:rFonts w:ascii="宋体" w:hAnsi="宋体" w:cs="宋体"/>
                <w:spacing w:val="20"/>
                <w:szCs w:val="21"/>
              </w:rPr>
            </w:pPr>
          </w:p>
        </w:tc>
        <w:tc>
          <w:tcPr>
            <w:tcW w:w="2836" w:type="dxa"/>
          </w:tcPr>
          <w:p w14:paraId="05D2D382">
            <w:pPr>
              <w:ind w:firstLine="0" w:firstLineChars="0"/>
              <w:jc w:val="center"/>
              <w:rPr>
                <w:rFonts w:ascii="宋体" w:hAnsi="宋体" w:cs="宋体"/>
                <w:spacing w:val="20"/>
                <w:szCs w:val="21"/>
              </w:rPr>
            </w:pPr>
          </w:p>
        </w:tc>
      </w:tr>
    </w:tbl>
    <w:p w14:paraId="0235BE70">
      <w:pPr>
        <w:ind w:firstLine="210" w:firstLineChars="100"/>
        <w:rPr>
          <w:rFonts w:ascii="宋体" w:hAnsi="宋体" w:cs="宋体"/>
          <w:szCs w:val="21"/>
        </w:rPr>
      </w:pPr>
      <w:r>
        <w:rPr>
          <w:rFonts w:hint="eastAsia" w:ascii="宋体" w:hAnsi="宋体" w:cs="宋体"/>
          <w:szCs w:val="21"/>
        </w:rPr>
        <w:t>注：本表请供应商按照磋商文件要求填写，不填视完全响应采购文件要求。</w:t>
      </w:r>
    </w:p>
    <w:p w14:paraId="2366CA2A">
      <w:pPr>
        <w:ind w:firstLine="210" w:firstLineChars="100"/>
        <w:rPr>
          <w:rFonts w:ascii="宋体" w:hAnsi="宋体" w:cs="宋体"/>
          <w:szCs w:val="21"/>
        </w:rPr>
      </w:pPr>
    </w:p>
    <w:p w14:paraId="1556AA21">
      <w:pPr>
        <w:pStyle w:val="44"/>
        <w:ind w:firstLine="210"/>
        <w:rPr>
          <w:rFonts w:ascii="宋体" w:hAnsi="宋体" w:eastAsia="宋体"/>
        </w:rPr>
      </w:pPr>
    </w:p>
    <w:p w14:paraId="1B3D54D3">
      <w:pPr>
        <w:ind w:firstLine="210" w:firstLineChars="100"/>
        <w:rPr>
          <w:rFonts w:ascii="宋体" w:hAnsi="宋体" w:cs="宋体"/>
          <w:szCs w:val="21"/>
        </w:rPr>
      </w:pPr>
      <w:r>
        <w:rPr>
          <w:rFonts w:hint="eastAsia" w:ascii="宋体" w:hAnsi="宋体" w:cs="宋体"/>
          <w:szCs w:val="21"/>
        </w:rPr>
        <w:t xml:space="preserve">供应商全称（盖章）：                             </w:t>
      </w:r>
    </w:p>
    <w:p w14:paraId="74FF35EC">
      <w:pPr>
        <w:ind w:firstLine="210" w:firstLineChars="100"/>
        <w:rPr>
          <w:rFonts w:ascii="宋体" w:hAnsi="宋体" w:cs="宋体"/>
          <w:szCs w:val="21"/>
        </w:rPr>
      </w:pPr>
    </w:p>
    <w:p w14:paraId="02F050C1">
      <w:pPr>
        <w:ind w:firstLine="210" w:firstLineChars="100"/>
        <w:rPr>
          <w:rFonts w:ascii="宋体" w:hAnsi="宋体" w:cs="宋体"/>
          <w:szCs w:val="21"/>
        </w:rPr>
      </w:pPr>
      <w:r>
        <w:rPr>
          <w:rFonts w:hint="eastAsia" w:ascii="宋体" w:hAnsi="宋体" w:cs="宋体"/>
          <w:szCs w:val="21"/>
        </w:rPr>
        <w:t xml:space="preserve">授权委托人（签字或盖章）：              </w:t>
      </w:r>
    </w:p>
    <w:p w14:paraId="4CF432F3">
      <w:pPr>
        <w:ind w:firstLine="210" w:firstLineChars="100"/>
        <w:rPr>
          <w:rFonts w:ascii="宋体" w:hAnsi="宋体" w:cs="宋体"/>
          <w:szCs w:val="21"/>
        </w:rPr>
      </w:pPr>
    </w:p>
    <w:p w14:paraId="335E75A4">
      <w:pPr>
        <w:ind w:firstLine="210" w:firstLineChars="100"/>
        <w:rPr>
          <w:rFonts w:ascii="宋体" w:hAnsi="宋体" w:cs="宋体"/>
          <w:szCs w:val="21"/>
        </w:rPr>
      </w:pPr>
      <w:r>
        <w:rPr>
          <w:rFonts w:hint="eastAsia" w:ascii="宋体" w:hAnsi="宋体" w:cs="宋体"/>
          <w:szCs w:val="21"/>
        </w:rPr>
        <w:t xml:space="preserve">日期：   </w:t>
      </w:r>
    </w:p>
    <w:p w14:paraId="6E8D7A40">
      <w:pPr>
        <w:widowControl/>
        <w:ind w:firstLine="0" w:firstLineChars="0"/>
        <w:jc w:val="left"/>
        <w:rPr>
          <w:rFonts w:ascii="宋体" w:hAnsi="宋体" w:cs="宋体"/>
          <w:b/>
          <w:spacing w:val="20"/>
          <w:szCs w:val="21"/>
        </w:rPr>
        <w:sectPr>
          <w:pgSz w:w="16840" w:h="11907" w:orient="landscape"/>
          <w:pgMar w:top="1247" w:right="1304" w:bottom="1020" w:left="1304" w:header="720" w:footer="720" w:gutter="0"/>
          <w:cols w:space="720" w:num="1"/>
        </w:sectPr>
      </w:pPr>
    </w:p>
    <w:p w14:paraId="5CA463A3">
      <w:pPr>
        <w:pStyle w:val="4"/>
        <w:rPr>
          <w:rFonts w:ascii="宋体" w:hAnsi="宋体" w:cs="宋体"/>
          <w:spacing w:val="20"/>
          <w:szCs w:val="21"/>
        </w:rPr>
      </w:pPr>
      <w:r>
        <w:rPr>
          <w:rFonts w:hint="eastAsia" w:ascii="宋体" w:hAnsi="宋体" w:cs="宋体"/>
          <w:szCs w:val="21"/>
        </w:rPr>
        <w:t>附件七 商务条款偏离表</w:t>
      </w:r>
    </w:p>
    <w:p w14:paraId="0525F563">
      <w:pPr>
        <w:ind w:firstLine="0" w:firstLineChars="0"/>
        <w:rPr>
          <w:rFonts w:ascii="宋体" w:hAnsi="宋体" w:cs="宋体"/>
          <w:spacing w:val="20"/>
          <w:szCs w:val="21"/>
        </w:rPr>
      </w:pPr>
    </w:p>
    <w:p w14:paraId="677149D2">
      <w:pPr>
        <w:pStyle w:val="44"/>
        <w:ind w:firstLine="0" w:firstLineChars="0"/>
        <w:jc w:val="center"/>
        <w:rPr>
          <w:rFonts w:ascii="宋体" w:hAnsi="宋体" w:eastAsia="宋体"/>
          <w:b/>
          <w:sz w:val="32"/>
          <w:szCs w:val="32"/>
        </w:rPr>
      </w:pPr>
      <w:r>
        <w:rPr>
          <w:rFonts w:hint="eastAsia" w:ascii="宋体" w:hAnsi="宋体" w:eastAsia="宋体" w:cs="宋体"/>
          <w:b/>
          <w:sz w:val="32"/>
          <w:szCs w:val="32"/>
        </w:rPr>
        <w:t>商务条款偏离表</w:t>
      </w:r>
    </w:p>
    <w:p w14:paraId="2ABECB73">
      <w:pPr>
        <w:pStyle w:val="44"/>
        <w:ind w:firstLine="210"/>
        <w:rPr>
          <w:rFonts w:ascii="宋体" w:hAnsi="宋体" w:eastAsia="宋体"/>
        </w:rPr>
      </w:pPr>
    </w:p>
    <w:p w14:paraId="0F47D33E">
      <w:pPr>
        <w:ind w:firstLine="0" w:firstLineChars="0"/>
        <w:rPr>
          <w:rFonts w:ascii="宋体" w:hAnsi="宋体" w:cs="宋体"/>
          <w:spacing w:val="20"/>
          <w:szCs w:val="21"/>
        </w:rPr>
      </w:pPr>
      <w:r>
        <w:rPr>
          <w:rFonts w:hint="eastAsia" w:ascii="宋体" w:hAnsi="宋体" w:cs="宋体"/>
          <w:spacing w:val="20"/>
          <w:szCs w:val="21"/>
        </w:rPr>
        <w:t xml:space="preserve">项名称目：                          采购编号：                  </w:t>
      </w:r>
    </w:p>
    <w:tbl>
      <w:tblPr>
        <w:tblStyle w:val="46"/>
        <w:tblW w:w="0" w:type="auto"/>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9"/>
        <w:gridCol w:w="3969"/>
        <w:gridCol w:w="4820"/>
        <w:gridCol w:w="1522"/>
        <w:gridCol w:w="2310"/>
      </w:tblGrid>
      <w:tr w14:paraId="3A62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3B4DD30E">
            <w:pPr>
              <w:ind w:firstLine="0" w:firstLineChars="0"/>
              <w:jc w:val="center"/>
              <w:rPr>
                <w:rFonts w:ascii="宋体" w:hAnsi="宋体" w:cs="宋体"/>
                <w:spacing w:val="20"/>
                <w:szCs w:val="21"/>
              </w:rPr>
            </w:pPr>
            <w:r>
              <w:rPr>
                <w:rFonts w:hint="eastAsia" w:ascii="宋体" w:hAnsi="宋体" w:cs="宋体"/>
                <w:spacing w:val="20"/>
                <w:szCs w:val="21"/>
              </w:rPr>
              <w:t>序号</w:t>
            </w:r>
          </w:p>
        </w:tc>
        <w:tc>
          <w:tcPr>
            <w:tcW w:w="3969" w:type="dxa"/>
            <w:vAlign w:val="center"/>
          </w:tcPr>
          <w:p w14:paraId="5745F593">
            <w:pPr>
              <w:ind w:firstLine="0" w:firstLineChars="0"/>
              <w:jc w:val="center"/>
              <w:rPr>
                <w:rFonts w:ascii="宋体" w:hAnsi="宋体" w:cs="宋体"/>
                <w:spacing w:val="20"/>
                <w:szCs w:val="21"/>
              </w:rPr>
            </w:pPr>
            <w:r>
              <w:rPr>
                <w:rFonts w:hint="eastAsia" w:ascii="宋体" w:hAnsi="宋体" w:cs="宋体"/>
                <w:spacing w:val="20"/>
                <w:szCs w:val="21"/>
              </w:rPr>
              <w:t>磋商文件要求</w:t>
            </w:r>
          </w:p>
        </w:tc>
        <w:tc>
          <w:tcPr>
            <w:tcW w:w="4820" w:type="dxa"/>
            <w:vAlign w:val="center"/>
          </w:tcPr>
          <w:p w14:paraId="1C328174">
            <w:pPr>
              <w:ind w:firstLine="0" w:firstLineChars="0"/>
              <w:jc w:val="center"/>
              <w:rPr>
                <w:rFonts w:ascii="宋体" w:hAnsi="宋体" w:cs="宋体"/>
                <w:spacing w:val="20"/>
                <w:szCs w:val="21"/>
              </w:rPr>
            </w:pPr>
            <w:r>
              <w:rPr>
                <w:rFonts w:hint="eastAsia" w:ascii="宋体" w:hAnsi="宋体" w:cs="宋体"/>
                <w:spacing w:val="20"/>
                <w:szCs w:val="21"/>
              </w:rPr>
              <w:t>响应文件响应（逐条逐项列示响应内容）</w:t>
            </w:r>
          </w:p>
        </w:tc>
        <w:tc>
          <w:tcPr>
            <w:tcW w:w="1522" w:type="dxa"/>
          </w:tcPr>
          <w:p w14:paraId="7B056DB2">
            <w:pPr>
              <w:ind w:firstLine="0" w:firstLineChars="0"/>
              <w:jc w:val="center"/>
              <w:rPr>
                <w:rFonts w:ascii="宋体" w:hAnsi="宋体" w:cs="宋体"/>
                <w:spacing w:val="20"/>
                <w:szCs w:val="21"/>
              </w:rPr>
            </w:pPr>
            <w:r>
              <w:rPr>
                <w:rFonts w:hint="eastAsia" w:ascii="宋体" w:hAnsi="宋体" w:cs="宋体"/>
                <w:spacing w:val="20"/>
                <w:szCs w:val="21"/>
              </w:rPr>
              <w:t>偏离情况</w:t>
            </w:r>
          </w:p>
        </w:tc>
        <w:tc>
          <w:tcPr>
            <w:tcW w:w="2310" w:type="dxa"/>
            <w:vAlign w:val="center"/>
          </w:tcPr>
          <w:p w14:paraId="38B98AD5">
            <w:pPr>
              <w:ind w:firstLine="0" w:firstLineChars="0"/>
              <w:jc w:val="center"/>
              <w:rPr>
                <w:rFonts w:ascii="宋体" w:hAnsi="宋体" w:cs="宋体"/>
                <w:spacing w:val="20"/>
                <w:szCs w:val="21"/>
              </w:rPr>
            </w:pPr>
            <w:r>
              <w:rPr>
                <w:rFonts w:hint="eastAsia" w:ascii="宋体" w:hAnsi="宋体" w:cs="宋体"/>
                <w:spacing w:val="20"/>
                <w:szCs w:val="21"/>
              </w:rPr>
              <w:t>备注</w:t>
            </w:r>
          </w:p>
        </w:tc>
      </w:tr>
      <w:tr w14:paraId="7931F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7A6121A6">
            <w:pPr>
              <w:ind w:firstLine="0" w:firstLineChars="0"/>
              <w:jc w:val="center"/>
              <w:rPr>
                <w:rFonts w:ascii="宋体" w:hAnsi="宋体" w:cs="宋体"/>
                <w:spacing w:val="20"/>
                <w:szCs w:val="21"/>
              </w:rPr>
            </w:pPr>
          </w:p>
        </w:tc>
        <w:tc>
          <w:tcPr>
            <w:tcW w:w="3969" w:type="dxa"/>
            <w:vAlign w:val="center"/>
          </w:tcPr>
          <w:p w14:paraId="2623BDFB">
            <w:pPr>
              <w:ind w:firstLine="0" w:firstLineChars="0"/>
              <w:jc w:val="center"/>
              <w:rPr>
                <w:rFonts w:ascii="宋体" w:hAnsi="宋体" w:cs="宋体"/>
                <w:spacing w:val="20"/>
                <w:szCs w:val="21"/>
              </w:rPr>
            </w:pPr>
          </w:p>
        </w:tc>
        <w:tc>
          <w:tcPr>
            <w:tcW w:w="4820" w:type="dxa"/>
            <w:vAlign w:val="center"/>
          </w:tcPr>
          <w:p w14:paraId="3D7ED76F">
            <w:pPr>
              <w:ind w:firstLine="0" w:firstLineChars="0"/>
              <w:jc w:val="center"/>
              <w:rPr>
                <w:rFonts w:ascii="宋体" w:hAnsi="宋体" w:cs="宋体"/>
                <w:spacing w:val="20"/>
                <w:szCs w:val="21"/>
              </w:rPr>
            </w:pPr>
          </w:p>
        </w:tc>
        <w:tc>
          <w:tcPr>
            <w:tcW w:w="1522" w:type="dxa"/>
          </w:tcPr>
          <w:p w14:paraId="23EDA394">
            <w:pPr>
              <w:ind w:firstLine="0" w:firstLineChars="0"/>
              <w:jc w:val="center"/>
              <w:rPr>
                <w:rFonts w:ascii="宋体" w:hAnsi="宋体" w:cs="宋体"/>
                <w:spacing w:val="20"/>
                <w:szCs w:val="21"/>
              </w:rPr>
            </w:pPr>
          </w:p>
        </w:tc>
        <w:tc>
          <w:tcPr>
            <w:tcW w:w="2310" w:type="dxa"/>
            <w:vAlign w:val="center"/>
          </w:tcPr>
          <w:p w14:paraId="36536B3D">
            <w:pPr>
              <w:ind w:firstLine="0" w:firstLineChars="0"/>
              <w:jc w:val="center"/>
              <w:rPr>
                <w:rFonts w:ascii="宋体" w:hAnsi="宋体" w:cs="宋体"/>
                <w:spacing w:val="20"/>
                <w:szCs w:val="21"/>
              </w:rPr>
            </w:pPr>
          </w:p>
        </w:tc>
      </w:tr>
      <w:tr w14:paraId="34927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185FF103">
            <w:pPr>
              <w:ind w:firstLine="0" w:firstLineChars="0"/>
              <w:jc w:val="center"/>
              <w:rPr>
                <w:rFonts w:ascii="宋体" w:hAnsi="宋体" w:cs="宋体"/>
                <w:spacing w:val="20"/>
                <w:szCs w:val="21"/>
              </w:rPr>
            </w:pPr>
          </w:p>
        </w:tc>
        <w:tc>
          <w:tcPr>
            <w:tcW w:w="3969" w:type="dxa"/>
            <w:vAlign w:val="center"/>
          </w:tcPr>
          <w:p w14:paraId="0413C87A">
            <w:pPr>
              <w:ind w:firstLine="0" w:firstLineChars="0"/>
              <w:jc w:val="center"/>
              <w:rPr>
                <w:rFonts w:ascii="宋体" w:hAnsi="宋体" w:cs="宋体"/>
                <w:spacing w:val="20"/>
                <w:szCs w:val="21"/>
              </w:rPr>
            </w:pPr>
          </w:p>
        </w:tc>
        <w:tc>
          <w:tcPr>
            <w:tcW w:w="4820" w:type="dxa"/>
            <w:vAlign w:val="center"/>
          </w:tcPr>
          <w:p w14:paraId="6147C6ED">
            <w:pPr>
              <w:ind w:firstLine="0" w:firstLineChars="0"/>
              <w:jc w:val="center"/>
              <w:rPr>
                <w:rFonts w:ascii="宋体" w:hAnsi="宋体" w:cs="宋体"/>
                <w:spacing w:val="20"/>
                <w:szCs w:val="21"/>
              </w:rPr>
            </w:pPr>
          </w:p>
        </w:tc>
        <w:tc>
          <w:tcPr>
            <w:tcW w:w="1522" w:type="dxa"/>
          </w:tcPr>
          <w:p w14:paraId="33F194CB">
            <w:pPr>
              <w:ind w:firstLine="0" w:firstLineChars="0"/>
              <w:jc w:val="center"/>
              <w:rPr>
                <w:rFonts w:ascii="宋体" w:hAnsi="宋体" w:cs="宋体"/>
                <w:spacing w:val="20"/>
                <w:szCs w:val="21"/>
              </w:rPr>
            </w:pPr>
          </w:p>
        </w:tc>
        <w:tc>
          <w:tcPr>
            <w:tcW w:w="2310" w:type="dxa"/>
            <w:vAlign w:val="center"/>
          </w:tcPr>
          <w:p w14:paraId="742652BF">
            <w:pPr>
              <w:ind w:firstLine="0" w:firstLineChars="0"/>
              <w:jc w:val="center"/>
              <w:rPr>
                <w:rFonts w:ascii="宋体" w:hAnsi="宋体" w:cs="宋体"/>
                <w:spacing w:val="20"/>
                <w:szCs w:val="21"/>
              </w:rPr>
            </w:pPr>
          </w:p>
        </w:tc>
      </w:tr>
      <w:tr w14:paraId="4DF3A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1A66A8CF">
            <w:pPr>
              <w:ind w:firstLine="0" w:firstLineChars="0"/>
              <w:jc w:val="center"/>
              <w:rPr>
                <w:rFonts w:ascii="宋体" w:hAnsi="宋体" w:cs="宋体"/>
                <w:spacing w:val="20"/>
                <w:szCs w:val="21"/>
              </w:rPr>
            </w:pPr>
          </w:p>
        </w:tc>
        <w:tc>
          <w:tcPr>
            <w:tcW w:w="3969" w:type="dxa"/>
            <w:vAlign w:val="center"/>
          </w:tcPr>
          <w:p w14:paraId="5905A102">
            <w:pPr>
              <w:ind w:firstLine="0" w:firstLineChars="0"/>
              <w:jc w:val="center"/>
              <w:rPr>
                <w:rFonts w:ascii="宋体" w:hAnsi="宋体" w:cs="宋体"/>
                <w:spacing w:val="20"/>
                <w:szCs w:val="21"/>
              </w:rPr>
            </w:pPr>
          </w:p>
        </w:tc>
        <w:tc>
          <w:tcPr>
            <w:tcW w:w="4820" w:type="dxa"/>
            <w:vAlign w:val="center"/>
          </w:tcPr>
          <w:p w14:paraId="5B62E765">
            <w:pPr>
              <w:ind w:firstLine="0" w:firstLineChars="0"/>
              <w:jc w:val="center"/>
              <w:rPr>
                <w:rFonts w:ascii="宋体" w:hAnsi="宋体" w:cs="宋体"/>
                <w:spacing w:val="20"/>
                <w:szCs w:val="21"/>
              </w:rPr>
            </w:pPr>
          </w:p>
        </w:tc>
        <w:tc>
          <w:tcPr>
            <w:tcW w:w="1522" w:type="dxa"/>
          </w:tcPr>
          <w:p w14:paraId="1808E45C">
            <w:pPr>
              <w:ind w:firstLine="0" w:firstLineChars="0"/>
              <w:jc w:val="center"/>
              <w:rPr>
                <w:rFonts w:ascii="宋体" w:hAnsi="宋体" w:cs="宋体"/>
                <w:spacing w:val="20"/>
                <w:szCs w:val="21"/>
              </w:rPr>
            </w:pPr>
          </w:p>
        </w:tc>
        <w:tc>
          <w:tcPr>
            <w:tcW w:w="2310" w:type="dxa"/>
            <w:vAlign w:val="center"/>
          </w:tcPr>
          <w:p w14:paraId="3BCAE140">
            <w:pPr>
              <w:ind w:firstLine="0" w:firstLineChars="0"/>
              <w:jc w:val="center"/>
              <w:rPr>
                <w:rFonts w:ascii="宋体" w:hAnsi="宋体" w:cs="宋体"/>
                <w:spacing w:val="20"/>
                <w:szCs w:val="21"/>
              </w:rPr>
            </w:pPr>
          </w:p>
        </w:tc>
      </w:tr>
      <w:tr w14:paraId="408CC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7B870F77">
            <w:pPr>
              <w:ind w:firstLine="0" w:firstLineChars="0"/>
              <w:jc w:val="center"/>
              <w:rPr>
                <w:rFonts w:ascii="宋体" w:hAnsi="宋体" w:cs="宋体"/>
                <w:spacing w:val="20"/>
                <w:szCs w:val="21"/>
              </w:rPr>
            </w:pPr>
          </w:p>
        </w:tc>
        <w:tc>
          <w:tcPr>
            <w:tcW w:w="3969" w:type="dxa"/>
            <w:vAlign w:val="center"/>
          </w:tcPr>
          <w:p w14:paraId="423A4622">
            <w:pPr>
              <w:ind w:firstLine="0" w:firstLineChars="0"/>
              <w:jc w:val="center"/>
              <w:rPr>
                <w:rFonts w:ascii="宋体" w:hAnsi="宋体" w:cs="宋体"/>
                <w:spacing w:val="20"/>
                <w:szCs w:val="21"/>
              </w:rPr>
            </w:pPr>
          </w:p>
        </w:tc>
        <w:tc>
          <w:tcPr>
            <w:tcW w:w="4820" w:type="dxa"/>
            <w:vAlign w:val="center"/>
          </w:tcPr>
          <w:p w14:paraId="12E73B1E">
            <w:pPr>
              <w:ind w:firstLine="0" w:firstLineChars="0"/>
              <w:jc w:val="center"/>
              <w:rPr>
                <w:rFonts w:ascii="宋体" w:hAnsi="宋体" w:cs="宋体"/>
                <w:spacing w:val="20"/>
                <w:szCs w:val="21"/>
              </w:rPr>
            </w:pPr>
          </w:p>
        </w:tc>
        <w:tc>
          <w:tcPr>
            <w:tcW w:w="1522" w:type="dxa"/>
          </w:tcPr>
          <w:p w14:paraId="6B15E081">
            <w:pPr>
              <w:ind w:firstLine="0" w:firstLineChars="0"/>
              <w:jc w:val="center"/>
              <w:rPr>
                <w:rFonts w:ascii="宋体" w:hAnsi="宋体" w:cs="宋体"/>
                <w:spacing w:val="20"/>
                <w:szCs w:val="21"/>
              </w:rPr>
            </w:pPr>
          </w:p>
        </w:tc>
        <w:tc>
          <w:tcPr>
            <w:tcW w:w="2310" w:type="dxa"/>
            <w:vAlign w:val="center"/>
          </w:tcPr>
          <w:p w14:paraId="7D48C72B">
            <w:pPr>
              <w:ind w:firstLine="0" w:firstLineChars="0"/>
              <w:jc w:val="center"/>
              <w:rPr>
                <w:rFonts w:ascii="宋体" w:hAnsi="宋体" w:cs="宋体"/>
                <w:spacing w:val="20"/>
                <w:szCs w:val="21"/>
              </w:rPr>
            </w:pPr>
          </w:p>
        </w:tc>
      </w:tr>
      <w:tr w14:paraId="08C8D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10FFCBCC">
            <w:pPr>
              <w:ind w:firstLine="0" w:firstLineChars="0"/>
              <w:jc w:val="center"/>
              <w:rPr>
                <w:rFonts w:ascii="宋体" w:hAnsi="宋体" w:cs="宋体"/>
                <w:spacing w:val="20"/>
                <w:szCs w:val="21"/>
              </w:rPr>
            </w:pPr>
          </w:p>
        </w:tc>
        <w:tc>
          <w:tcPr>
            <w:tcW w:w="3969" w:type="dxa"/>
            <w:vAlign w:val="center"/>
          </w:tcPr>
          <w:p w14:paraId="6485AA06">
            <w:pPr>
              <w:ind w:firstLine="0" w:firstLineChars="0"/>
              <w:jc w:val="center"/>
              <w:rPr>
                <w:rFonts w:ascii="宋体" w:hAnsi="宋体" w:cs="宋体"/>
                <w:spacing w:val="20"/>
                <w:szCs w:val="21"/>
              </w:rPr>
            </w:pPr>
          </w:p>
        </w:tc>
        <w:tc>
          <w:tcPr>
            <w:tcW w:w="4820" w:type="dxa"/>
            <w:vAlign w:val="center"/>
          </w:tcPr>
          <w:p w14:paraId="591B0A66">
            <w:pPr>
              <w:ind w:firstLine="0" w:firstLineChars="0"/>
              <w:jc w:val="center"/>
              <w:rPr>
                <w:rFonts w:ascii="宋体" w:hAnsi="宋体" w:cs="宋体"/>
                <w:spacing w:val="20"/>
                <w:szCs w:val="21"/>
              </w:rPr>
            </w:pPr>
          </w:p>
        </w:tc>
        <w:tc>
          <w:tcPr>
            <w:tcW w:w="1522" w:type="dxa"/>
          </w:tcPr>
          <w:p w14:paraId="74A053C2">
            <w:pPr>
              <w:ind w:firstLine="0" w:firstLineChars="0"/>
              <w:jc w:val="center"/>
              <w:rPr>
                <w:rFonts w:ascii="宋体" w:hAnsi="宋体" w:cs="宋体"/>
                <w:spacing w:val="20"/>
                <w:szCs w:val="21"/>
              </w:rPr>
            </w:pPr>
          </w:p>
        </w:tc>
        <w:tc>
          <w:tcPr>
            <w:tcW w:w="2310" w:type="dxa"/>
            <w:vAlign w:val="center"/>
          </w:tcPr>
          <w:p w14:paraId="1003609E">
            <w:pPr>
              <w:ind w:firstLine="0" w:firstLineChars="0"/>
              <w:jc w:val="center"/>
              <w:rPr>
                <w:rFonts w:ascii="宋体" w:hAnsi="宋体" w:cs="宋体"/>
                <w:spacing w:val="20"/>
                <w:szCs w:val="21"/>
              </w:rPr>
            </w:pPr>
          </w:p>
        </w:tc>
      </w:tr>
      <w:tr w14:paraId="3149E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4FCB9A5A">
            <w:pPr>
              <w:ind w:firstLine="0" w:firstLineChars="0"/>
              <w:jc w:val="center"/>
              <w:rPr>
                <w:rFonts w:ascii="宋体" w:hAnsi="宋体" w:cs="宋体"/>
                <w:spacing w:val="20"/>
                <w:szCs w:val="21"/>
              </w:rPr>
            </w:pPr>
          </w:p>
        </w:tc>
        <w:tc>
          <w:tcPr>
            <w:tcW w:w="3969" w:type="dxa"/>
            <w:vAlign w:val="center"/>
          </w:tcPr>
          <w:p w14:paraId="240CDBBE">
            <w:pPr>
              <w:ind w:firstLine="0" w:firstLineChars="0"/>
              <w:jc w:val="center"/>
              <w:rPr>
                <w:rFonts w:ascii="宋体" w:hAnsi="宋体" w:cs="宋体"/>
                <w:spacing w:val="20"/>
                <w:szCs w:val="21"/>
              </w:rPr>
            </w:pPr>
          </w:p>
        </w:tc>
        <w:tc>
          <w:tcPr>
            <w:tcW w:w="4820" w:type="dxa"/>
            <w:vAlign w:val="center"/>
          </w:tcPr>
          <w:p w14:paraId="1EB1AECC">
            <w:pPr>
              <w:ind w:firstLine="0" w:firstLineChars="0"/>
              <w:jc w:val="center"/>
              <w:rPr>
                <w:rFonts w:ascii="宋体" w:hAnsi="宋体" w:cs="宋体"/>
                <w:spacing w:val="20"/>
                <w:szCs w:val="21"/>
              </w:rPr>
            </w:pPr>
          </w:p>
        </w:tc>
        <w:tc>
          <w:tcPr>
            <w:tcW w:w="1522" w:type="dxa"/>
          </w:tcPr>
          <w:p w14:paraId="48E718A7">
            <w:pPr>
              <w:ind w:firstLine="0" w:firstLineChars="0"/>
              <w:jc w:val="center"/>
              <w:rPr>
                <w:rFonts w:ascii="宋体" w:hAnsi="宋体" w:cs="宋体"/>
                <w:spacing w:val="20"/>
                <w:szCs w:val="21"/>
              </w:rPr>
            </w:pPr>
          </w:p>
        </w:tc>
        <w:tc>
          <w:tcPr>
            <w:tcW w:w="2310" w:type="dxa"/>
            <w:vAlign w:val="center"/>
          </w:tcPr>
          <w:p w14:paraId="6D43D0CA">
            <w:pPr>
              <w:ind w:firstLine="0" w:firstLineChars="0"/>
              <w:jc w:val="center"/>
              <w:rPr>
                <w:rFonts w:ascii="宋体" w:hAnsi="宋体" w:cs="宋体"/>
                <w:spacing w:val="20"/>
                <w:szCs w:val="21"/>
              </w:rPr>
            </w:pPr>
          </w:p>
        </w:tc>
      </w:tr>
      <w:tr w14:paraId="40233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0FE999FC">
            <w:pPr>
              <w:ind w:firstLine="0" w:firstLineChars="0"/>
              <w:jc w:val="center"/>
              <w:rPr>
                <w:rFonts w:ascii="宋体" w:hAnsi="宋体" w:cs="宋体"/>
                <w:spacing w:val="20"/>
                <w:szCs w:val="21"/>
              </w:rPr>
            </w:pPr>
          </w:p>
        </w:tc>
        <w:tc>
          <w:tcPr>
            <w:tcW w:w="3969" w:type="dxa"/>
            <w:vAlign w:val="center"/>
          </w:tcPr>
          <w:p w14:paraId="4A322C1E">
            <w:pPr>
              <w:ind w:firstLine="0" w:firstLineChars="0"/>
              <w:jc w:val="center"/>
              <w:rPr>
                <w:rFonts w:ascii="宋体" w:hAnsi="宋体" w:cs="宋体"/>
                <w:spacing w:val="20"/>
                <w:szCs w:val="21"/>
              </w:rPr>
            </w:pPr>
          </w:p>
        </w:tc>
        <w:tc>
          <w:tcPr>
            <w:tcW w:w="4820" w:type="dxa"/>
            <w:vAlign w:val="center"/>
          </w:tcPr>
          <w:p w14:paraId="1EAD203A">
            <w:pPr>
              <w:ind w:firstLine="0" w:firstLineChars="0"/>
              <w:jc w:val="center"/>
              <w:rPr>
                <w:rFonts w:ascii="宋体" w:hAnsi="宋体" w:cs="宋体"/>
                <w:spacing w:val="20"/>
                <w:szCs w:val="21"/>
              </w:rPr>
            </w:pPr>
          </w:p>
        </w:tc>
        <w:tc>
          <w:tcPr>
            <w:tcW w:w="1522" w:type="dxa"/>
          </w:tcPr>
          <w:p w14:paraId="7D0181DD">
            <w:pPr>
              <w:ind w:firstLine="0" w:firstLineChars="0"/>
              <w:jc w:val="center"/>
              <w:rPr>
                <w:rFonts w:ascii="宋体" w:hAnsi="宋体" w:cs="宋体"/>
                <w:spacing w:val="20"/>
                <w:szCs w:val="21"/>
              </w:rPr>
            </w:pPr>
          </w:p>
        </w:tc>
        <w:tc>
          <w:tcPr>
            <w:tcW w:w="2310" w:type="dxa"/>
            <w:vAlign w:val="center"/>
          </w:tcPr>
          <w:p w14:paraId="229A3BF3">
            <w:pPr>
              <w:ind w:firstLine="0" w:firstLineChars="0"/>
              <w:jc w:val="center"/>
              <w:rPr>
                <w:rFonts w:ascii="宋体" w:hAnsi="宋体" w:cs="宋体"/>
                <w:spacing w:val="20"/>
                <w:szCs w:val="21"/>
              </w:rPr>
            </w:pPr>
          </w:p>
        </w:tc>
      </w:tr>
      <w:tr w14:paraId="2ECF9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1404EFD3">
            <w:pPr>
              <w:ind w:firstLine="0" w:firstLineChars="0"/>
              <w:jc w:val="center"/>
              <w:rPr>
                <w:rFonts w:ascii="宋体" w:hAnsi="宋体" w:cs="宋体"/>
                <w:spacing w:val="20"/>
                <w:szCs w:val="21"/>
              </w:rPr>
            </w:pPr>
          </w:p>
        </w:tc>
        <w:tc>
          <w:tcPr>
            <w:tcW w:w="3969" w:type="dxa"/>
            <w:vAlign w:val="center"/>
          </w:tcPr>
          <w:p w14:paraId="5A27F4EC">
            <w:pPr>
              <w:ind w:firstLine="0" w:firstLineChars="0"/>
              <w:jc w:val="center"/>
              <w:rPr>
                <w:rFonts w:ascii="宋体" w:hAnsi="宋体" w:cs="宋体"/>
                <w:spacing w:val="20"/>
                <w:szCs w:val="21"/>
              </w:rPr>
            </w:pPr>
          </w:p>
        </w:tc>
        <w:tc>
          <w:tcPr>
            <w:tcW w:w="4820" w:type="dxa"/>
            <w:vAlign w:val="center"/>
          </w:tcPr>
          <w:p w14:paraId="634113E9">
            <w:pPr>
              <w:ind w:firstLine="0" w:firstLineChars="0"/>
              <w:jc w:val="center"/>
              <w:rPr>
                <w:rFonts w:ascii="宋体" w:hAnsi="宋体" w:cs="宋体"/>
                <w:spacing w:val="20"/>
                <w:szCs w:val="21"/>
              </w:rPr>
            </w:pPr>
          </w:p>
        </w:tc>
        <w:tc>
          <w:tcPr>
            <w:tcW w:w="1522" w:type="dxa"/>
          </w:tcPr>
          <w:p w14:paraId="12AB6A82">
            <w:pPr>
              <w:ind w:firstLine="0" w:firstLineChars="0"/>
              <w:jc w:val="center"/>
              <w:rPr>
                <w:rFonts w:ascii="宋体" w:hAnsi="宋体" w:cs="宋体"/>
                <w:spacing w:val="20"/>
                <w:szCs w:val="21"/>
              </w:rPr>
            </w:pPr>
          </w:p>
        </w:tc>
        <w:tc>
          <w:tcPr>
            <w:tcW w:w="2310" w:type="dxa"/>
            <w:vAlign w:val="center"/>
          </w:tcPr>
          <w:p w14:paraId="375ABA8B">
            <w:pPr>
              <w:ind w:firstLine="0" w:firstLineChars="0"/>
              <w:jc w:val="center"/>
              <w:rPr>
                <w:rFonts w:ascii="宋体" w:hAnsi="宋体" w:cs="宋体"/>
                <w:spacing w:val="20"/>
                <w:szCs w:val="21"/>
              </w:rPr>
            </w:pPr>
          </w:p>
        </w:tc>
      </w:tr>
      <w:tr w14:paraId="3968C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trPr>
        <w:tc>
          <w:tcPr>
            <w:tcW w:w="1029" w:type="dxa"/>
            <w:vAlign w:val="center"/>
          </w:tcPr>
          <w:p w14:paraId="0B34120B">
            <w:pPr>
              <w:ind w:firstLine="0" w:firstLineChars="0"/>
              <w:jc w:val="center"/>
              <w:rPr>
                <w:rFonts w:ascii="宋体" w:hAnsi="宋体" w:cs="宋体"/>
                <w:spacing w:val="20"/>
                <w:szCs w:val="21"/>
              </w:rPr>
            </w:pPr>
          </w:p>
        </w:tc>
        <w:tc>
          <w:tcPr>
            <w:tcW w:w="3969" w:type="dxa"/>
            <w:vAlign w:val="center"/>
          </w:tcPr>
          <w:p w14:paraId="564878A7">
            <w:pPr>
              <w:ind w:firstLine="0" w:firstLineChars="0"/>
              <w:jc w:val="center"/>
              <w:rPr>
                <w:rFonts w:ascii="宋体" w:hAnsi="宋体" w:cs="宋体"/>
                <w:spacing w:val="20"/>
                <w:szCs w:val="21"/>
              </w:rPr>
            </w:pPr>
          </w:p>
        </w:tc>
        <w:tc>
          <w:tcPr>
            <w:tcW w:w="4820" w:type="dxa"/>
            <w:vAlign w:val="center"/>
          </w:tcPr>
          <w:p w14:paraId="2DCC72B7">
            <w:pPr>
              <w:ind w:firstLine="0" w:firstLineChars="0"/>
              <w:jc w:val="center"/>
              <w:rPr>
                <w:rFonts w:ascii="宋体" w:hAnsi="宋体" w:cs="宋体"/>
                <w:spacing w:val="20"/>
                <w:szCs w:val="21"/>
              </w:rPr>
            </w:pPr>
          </w:p>
        </w:tc>
        <w:tc>
          <w:tcPr>
            <w:tcW w:w="1522" w:type="dxa"/>
          </w:tcPr>
          <w:p w14:paraId="732EEF04">
            <w:pPr>
              <w:ind w:firstLine="0" w:firstLineChars="0"/>
              <w:jc w:val="center"/>
              <w:rPr>
                <w:rFonts w:ascii="宋体" w:hAnsi="宋体" w:cs="宋体"/>
                <w:spacing w:val="20"/>
                <w:szCs w:val="21"/>
              </w:rPr>
            </w:pPr>
          </w:p>
        </w:tc>
        <w:tc>
          <w:tcPr>
            <w:tcW w:w="2310" w:type="dxa"/>
            <w:vAlign w:val="center"/>
          </w:tcPr>
          <w:p w14:paraId="156E2FA0">
            <w:pPr>
              <w:ind w:firstLine="0" w:firstLineChars="0"/>
              <w:jc w:val="center"/>
              <w:rPr>
                <w:rFonts w:ascii="宋体" w:hAnsi="宋体" w:cs="宋体"/>
                <w:spacing w:val="20"/>
                <w:szCs w:val="21"/>
              </w:rPr>
            </w:pPr>
          </w:p>
        </w:tc>
      </w:tr>
    </w:tbl>
    <w:p w14:paraId="13C6EDA5">
      <w:pPr>
        <w:ind w:firstLine="210" w:firstLineChars="100"/>
        <w:rPr>
          <w:rFonts w:ascii="宋体" w:hAnsi="宋体" w:cs="宋体"/>
          <w:szCs w:val="21"/>
        </w:rPr>
      </w:pPr>
      <w:r>
        <w:rPr>
          <w:rFonts w:hint="eastAsia" w:ascii="宋体" w:hAnsi="宋体" w:cs="宋体"/>
          <w:szCs w:val="21"/>
        </w:rPr>
        <w:t>注：本表请供应商按照磋商文件要求填写，不填视完全响应采购文件要求。</w:t>
      </w:r>
    </w:p>
    <w:p w14:paraId="3B159FE6">
      <w:pPr>
        <w:pStyle w:val="44"/>
        <w:ind w:firstLine="210"/>
        <w:rPr>
          <w:rFonts w:ascii="宋体" w:hAnsi="宋体" w:eastAsia="宋体"/>
        </w:rPr>
      </w:pPr>
    </w:p>
    <w:p w14:paraId="657FA633">
      <w:pPr>
        <w:ind w:firstLine="210" w:firstLineChars="100"/>
        <w:rPr>
          <w:rFonts w:ascii="宋体" w:hAnsi="宋体" w:cs="宋体"/>
          <w:szCs w:val="21"/>
        </w:rPr>
      </w:pPr>
      <w:r>
        <w:rPr>
          <w:rFonts w:hint="eastAsia" w:ascii="宋体" w:hAnsi="宋体" w:cs="宋体"/>
          <w:szCs w:val="21"/>
        </w:rPr>
        <w:t xml:space="preserve">供应商全称（盖章）：                               </w:t>
      </w:r>
    </w:p>
    <w:p w14:paraId="0D123A7B">
      <w:pPr>
        <w:ind w:firstLine="210" w:firstLineChars="100"/>
        <w:rPr>
          <w:rFonts w:ascii="宋体" w:hAnsi="宋体" w:cs="宋体"/>
          <w:szCs w:val="21"/>
        </w:rPr>
      </w:pPr>
    </w:p>
    <w:p w14:paraId="4836881F">
      <w:pPr>
        <w:ind w:firstLine="210" w:firstLineChars="100"/>
        <w:rPr>
          <w:rFonts w:ascii="宋体" w:hAnsi="宋体" w:cs="宋体"/>
          <w:szCs w:val="21"/>
        </w:rPr>
      </w:pPr>
      <w:r>
        <w:rPr>
          <w:rFonts w:hint="eastAsia" w:ascii="宋体" w:hAnsi="宋体" w:cs="宋体"/>
          <w:szCs w:val="21"/>
        </w:rPr>
        <w:t xml:space="preserve">授权委托人（签字或盖章）：                        </w:t>
      </w:r>
    </w:p>
    <w:p w14:paraId="3FE25586">
      <w:pPr>
        <w:ind w:firstLine="210" w:firstLineChars="100"/>
        <w:rPr>
          <w:rFonts w:ascii="宋体" w:hAnsi="宋体" w:cs="宋体"/>
          <w:szCs w:val="21"/>
        </w:rPr>
      </w:pPr>
    </w:p>
    <w:p w14:paraId="1A6C3629">
      <w:pPr>
        <w:ind w:firstLine="210" w:firstLineChars="100"/>
        <w:rPr>
          <w:rFonts w:ascii="宋体" w:hAnsi="宋体" w:cs="宋体"/>
          <w:szCs w:val="21"/>
        </w:rPr>
      </w:pPr>
      <w:r>
        <w:rPr>
          <w:rFonts w:hint="eastAsia" w:ascii="宋体" w:hAnsi="宋体" w:cs="宋体"/>
          <w:szCs w:val="21"/>
        </w:rPr>
        <w:t>日期：</w:t>
      </w:r>
    </w:p>
    <w:p w14:paraId="39AE7FDF">
      <w:pPr>
        <w:ind w:firstLine="502"/>
        <w:rPr>
          <w:rFonts w:ascii="宋体" w:hAnsi="宋体" w:cs="宋体"/>
          <w:b/>
          <w:spacing w:val="20"/>
          <w:szCs w:val="21"/>
        </w:rPr>
        <w:sectPr>
          <w:pgSz w:w="16840" w:h="11907" w:orient="landscape"/>
          <w:pgMar w:top="1247" w:right="1304" w:bottom="1020" w:left="1304" w:header="720" w:footer="720" w:gutter="0"/>
          <w:cols w:space="720" w:num="1"/>
        </w:sectPr>
      </w:pPr>
    </w:p>
    <w:p w14:paraId="6B6FB556">
      <w:pPr>
        <w:widowControl/>
        <w:spacing w:line="240" w:lineRule="auto"/>
        <w:ind w:firstLine="0" w:firstLineChars="0"/>
        <w:jc w:val="left"/>
        <w:rPr>
          <w:rFonts w:ascii="宋体" w:hAnsi="宋体" w:cs="宋体"/>
          <w:b/>
          <w:spacing w:val="20"/>
          <w:szCs w:val="21"/>
        </w:rPr>
      </w:pPr>
    </w:p>
    <w:p w14:paraId="099C811E">
      <w:pPr>
        <w:keepNext/>
        <w:keepLines/>
        <w:ind w:firstLine="0" w:firstLineChars="0"/>
        <w:outlineLvl w:val="2"/>
        <w:rPr>
          <w:b/>
          <w:bCs/>
          <w:szCs w:val="32"/>
        </w:rPr>
      </w:pPr>
      <w:r>
        <w:rPr>
          <w:rFonts w:hint="eastAsia"/>
          <w:b/>
          <w:bCs/>
          <w:szCs w:val="32"/>
        </w:rPr>
        <w:t>附件八 服务</w:t>
      </w:r>
      <w:r>
        <w:rPr>
          <w:b/>
          <w:bCs/>
          <w:szCs w:val="32"/>
        </w:rPr>
        <w:t>内容</w:t>
      </w:r>
      <w:r>
        <w:rPr>
          <w:rFonts w:hint="eastAsia"/>
          <w:b/>
          <w:bCs/>
          <w:szCs w:val="32"/>
        </w:rPr>
        <w:t>及服务标准</w:t>
      </w:r>
    </w:p>
    <w:p w14:paraId="31EC0244">
      <w:pPr>
        <w:ind w:firstLine="420"/>
      </w:pPr>
    </w:p>
    <w:p w14:paraId="352F84C9">
      <w:pPr>
        <w:ind w:firstLine="420"/>
      </w:pPr>
      <w:r>
        <w:rPr>
          <w:rFonts w:hint="eastAsia"/>
        </w:rPr>
        <w:t>格式</w:t>
      </w:r>
      <w:r>
        <w:t>可</w:t>
      </w:r>
      <w:r>
        <w:rPr>
          <w:rFonts w:hint="eastAsia"/>
        </w:rPr>
        <w:t>由</w:t>
      </w:r>
      <w:r>
        <w:t>供应商自行</w:t>
      </w:r>
      <w:r>
        <w:rPr>
          <w:rFonts w:hint="eastAsia"/>
        </w:rPr>
        <w:t>编制</w:t>
      </w:r>
    </w:p>
    <w:tbl>
      <w:tblPr>
        <w:tblStyle w:val="46"/>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0"/>
        <w:gridCol w:w="2160"/>
        <w:gridCol w:w="1980"/>
        <w:gridCol w:w="2700"/>
      </w:tblGrid>
      <w:tr w14:paraId="7F1CC04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830" w:hRule="atLeast"/>
        </w:trPr>
        <w:tc>
          <w:tcPr>
            <w:tcW w:w="2160" w:type="dxa"/>
            <w:tcBorders>
              <w:top w:val="double" w:color="auto" w:sz="4" w:space="0"/>
            </w:tcBorders>
          </w:tcPr>
          <w:p w14:paraId="68A6F147">
            <w:pPr>
              <w:adjustRightInd w:val="0"/>
              <w:snapToGrid w:val="0"/>
              <w:spacing w:line="400" w:lineRule="atLeast"/>
              <w:ind w:firstLine="0" w:firstLineChars="0"/>
              <w:jc w:val="center"/>
              <w:rPr>
                <w:rFonts w:ascii="Arial" w:hAnsi="Arial" w:cs="Arial"/>
                <w:szCs w:val="21"/>
              </w:rPr>
            </w:pPr>
            <w:r>
              <w:rPr>
                <w:rFonts w:hint="eastAsia" w:ascii="Arial" w:hAnsi="Arial" w:cs="Arial"/>
                <w:szCs w:val="21"/>
              </w:rPr>
              <w:t>序号</w:t>
            </w:r>
          </w:p>
        </w:tc>
        <w:tc>
          <w:tcPr>
            <w:tcW w:w="2160" w:type="dxa"/>
            <w:tcBorders>
              <w:top w:val="double" w:color="auto" w:sz="4" w:space="0"/>
              <w:bottom w:val="single" w:color="auto" w:sz="4" w:space="0"/>
            </w:tcBorders>
            <w:vAlign w:val="center"/>
          </w:tcPr>
          <w:p w14:paraId="034F8E3D">
            <w:pPr>
              <w:adjustRightInd w:val="0"/>
              <w:snapToGrid w:val="0"/>
              <w:spacing w:line="400" w:lineRule="atLeast"/>
              <w:ind w:firstLine="420"/>
              <w:rPr>
                <w:rFonts w:ascii="Arial" w:hAnsi="Arial" w:cs="Arial"/>
                <w:szCs w:val="21"/>
              </w:rPr>
            </w:pPr>
            <w:r>
              <w:rPr>
                <w:rFonts w:hint="eastAsia" w:ascii="Arial" w:hAnsi="Arial" w:cs="Arial"/>
                <w:szCs w:val="21"/>
              </w:rPr>
              <w:t>服务</w:t>
            </w:r>
            <w:r>
              <w:rPr>
                <w:rFonts w:ascii="Arial" w:hAnsi="Arial" w:cs="Arial"/>
                <w:szCs w:val="21"/>
              </w:rPr>
              <w:t>项目</w:t>
            </w:r>
          </w:p>
        </w:tc>
        <w:tc>
          <w:tcPr>
            <w:tcW w:w="1980" w:type="dxa"/>
            <w:tcBorders>
              <w:top w:val="double" w:color="auto" w:sz="4" w:space="0"/>
              <w:bottom w:val="single" w:color="auto" w:sz="4" w:space="0"/>
            </w:tcBorders>
            <w:vAlign w:val="center"/>
          </w:tcPr>
          <w:p w14:paraId="59A83523">
            <w:pPr>
              <w:adjustRightInd w:val="0"/>
              <w:snapToGrid w:val="0"/>
              <w:spacing w:line="400" w:lineRule="atLeast"/>
              <w:ind w:firstLine="420"/>
              <w:rPr>
                <w:rFonts w:ascii="Arial" w:hAnsi="Arial" w:cs="Arial"/>
                <w:szCs w:val="21"/>
              </w:rPr>
            </w:pPr>
            <w:r>
              <w:rPr>
                <w:rFonts w:hint="eastAsia" w:ascii="Arial" w:hAnsi="Arial" w:cs="Arial"/>
                <w:szCs w:val="21"/>
              </w:rPr>
              <w:t>服务</w:t>
            </w:r>
            <w:r>
              <w:rPr>
                <w:rFonts w:ascii="Arial" w:hAnsi="Arial" w:cs="Arial"/>
                <w:szCs w:val="21"/>
              </w:rPr>
              <w:t>内容</w:t>
            </w:r>
          </w:p>
        </w:tc>
        <w:tc>
          <w:tcPr>
            <w:tcW w:w="2700" w:type="dxa"/>
            <w:tcBorders>
              <w:top w:val="double" w:color="auto" w:sz="4" w:space="0"/>
              <w:bottom w:val="single" w:color="auto" w:sz="4" w:space="0"/>
            </w:tcBorders>
            <w:vAlign w:val="center"/>
          </w:tcPr>
          <w:p w14:paraId="1112B0E7">
            <w:pPr>
              <w:adjustRightInd w:val="0"/>
              <w:snapToGrid w:val="0"/>
              <w:spacing w:line="400" w:lineRule="atLeast"/>
              <w:ind w:firstLine="420"/>
              <w:rPr>
                <w:rFonts w:ascii="Arial" w:hAnsi="Arial" w:cs="Arial"/>
                <w:szCs w:val="21"/>
              </w:rPr>
            </w:pPr>
            <w:r>
              <w:rPr>
                <w:rFonts w:hint="eastAsia" w:ascii="Arial" w:hAnsi="Arial" w:cs="Arial"/>
                <w:szCs w:val="21"/>
              </w:rPr>
              <w:t>服务</w:t>
            </w:r>
            <w:r>
              <w:rPr>
                <w:rFonts w:ascii="Arial" w:hAnsi="Arial" w:cs="Arial"/>
                <w:szCs w:val="21"/>
              </w:rPr>
              <w:t>标准</w:t>
            </w:r>
          </w:p>
        </w:tc>
      </w:tr>
      <w:tr w14:paraId="4BB0E00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trPr>
        <w:tc>
          <w:tcPr>
            <w:tcW w:w="2160" w:type="dxa"/>
            <w:tcBorders>
              <w:top w:val="double" w:color="auto" w:sz="4" w:space="0"/>
            </w:tcBorders>
          </w:tcPr>
          <w:p w14:paraId="0ABA8819">
            <w:pPr>
              <w:adjustRightInd w:val="0"/>
              <w:snapToGrid w:val="0"/>
              <w:spacing w:line="400" w:lineRule="atLeast"/>
              <w:ind w:firstLine="420"/>
              <w:jc w:val="center"/>
              <w:rPr>
                <w:rFonts w:ascii="Arial" w:hAnsi="Arial" w:cs="Arial"/>
                <w:szCs w:val="21"/>
              </w:rPr>
            </w:pPr>
          </w:p>
        </w:tc>
        <w:tc>
          <w:tcPr>
            <w:tcW w:w="2160" w:type="dxa"/>
            <w:tcBorders>
              <w:top w:val="double" w:color="auto" w:sz="4" w:space="0"/>
            </w:tcBorders>
            <w:vAlign w:val="center"/>
          </w:tcPr>
          <w:p w14:paraId="603EE535">
            <w:pPr>
              <w:adjustRightInd w:val="0"/>
              <w:snapToGrid w:val="0"/>
              <w:spacing w:line="400" w:lineRule="atLeast"/>
              <w:ind w:firstLine="420"/>
              <w:jc w:val="center"/>
              <w:rPr>
                <w:rFonts w:ascii="Arial" w:hAnsi="Arial" w:cs="Arial"/>
                <w:szCs w:val="21"/>
              </w:rPr>
            </w:pPr>
          </w:p>
        </w:tc>
        <w:tc>
          <w:tcPr>
            <w:tcW w:w="1980" w:type="dxa"/>
            <w:tcBorders>
              <w:top w:val="double" w:color="auto" w:sz="4" w:space="0"/>
            </w:tcBorders>
            <w:vAlign w:val="center"/>
          </w:tcPr>
          <w:p w14:paraId="2C915FC4">
            <w:pPr>
              <w:adjustRightInd w:val="0"/>
              <w:snapToGrid w:val="0"/>
              <w:spacing w:line="400" w:lineRule="atLeast"/>
              <w:ind w:firstLine="0" w:firstLineChars="0"/>
              <w:jc w:val="center"/>
              <w:rPr>
                <w:rFonts w:ascii="Arial" w:hAnsi="Arial" w:cs="Arial"/>
                <w:szCs w:val="21"/>
              </w:rPr>
            </w:pPr>
          </w:p>
        </w:tc>
        <w:tc>
          <w:tcPr>
            <w:tcW w:w="2700" w:type="dxa"/>
            <w:tcBorders>
              <w:top w:val="double" w:color="auto" w:sz="4" w:space="0"/>
            </w:tcBorders>
            <w:vAlign w:val="center"/>
          </w:tcPr>
          <w:p w14:paraId="56A1219A">
            <w:pPr>
              <w:adjustRightInd w:val="0"/>
              <w:snapToGrid w:val="0"/>
              <w:spacing w:line="400" w:lineRule="atLeast"/>
              <w:ind w:firstLine="0" w:firstLineChars="0"/>
              <w:jc w:val="center"/>
              <w:rPr>
                <w:rFonts w:ascii="Arial" w:hAnsi="Arial" w:cs="Arial"/>
                <w:szCs w:val="21"/>
              </w:rPr>
            </w:pPr>
          </w:p>
        </w:tc>
      </w:tr>
      <w:tr w14:paraId="1915A6B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trPr>
        <w:tc>
          <w:tcPr>
            <w:tcW w:w="2160" w:type="dxa"/>
          </w:tcPr>
          <w:p w14:paraId="1060355E">
            <w:pPr>
              <w:adjustRightInd w:val="0"/>
              <w:snapToGrid w:val="0"/>
              <w:spacing w:line="400" w:lineRule="atLeast"/>
              <w:ind w:firstLine="420"/>
              <w:jc w:val="center"/>
              <w:rPr>
                <w:rFonts w:ascii="Arial" w:hAnsi="Arial" w:cs="Arial"/>
                <w:szCs w:val="21"/>
              </w:rPr>
            </w:pPr>
          </w:p>
        </w:tc>
        <w:tc>
          <w:tcPr>
            <w:tcW w:w="2160" w:type="dxa"/>
            <w:vAlign w:val="center"/>
          </w:tcPr>
          <w:p w14:paraId="01A7573E">
            <w:pPr>
              <w:adjustRightInd w:val="0"/>
              <w:snapToGrid w:val="0"/>
              <w:spacing w:line="400" w:lineRule="atLeast"/>
              <w:ind w:firstLine="420"/>
              <w:jc w:val="center"/>
              <w:rPr>
                <w:rFonts w:ascii="Arial" w:hAnsi="Arial" w:cs="Arial"/>
                <w:szCs w:val="21"/>
              </w:rPr>
            </w:pPr>
          </w:p>
        </w:tc>
        <w:tc>
          <w:tcPr>
            <w:tcW w:w="1980" w:type="dxa"/>
            <w:vAlign w:val="center"/>
          </w:tcPr>
          <w:p w14:paraId="35DB74A2">
            <w:pPr>
              <w:adjustRightInd w:val="0"/>
              <w:snapToGrid w:val="0"/>
              <w:spacing w:line="400" w:lineRule="atLeast"/>
              <w:ind w:firstLine="420"/>
              <w:jc w:val="center"/>
              <w:rPr>
                <w:rFonts w:ascii="Arial" w:hAnsi="Arial" w:cs="Arial"/>
                <w:szCs w:val="21"/>
              </w:rPr>
            </w:pPr>
          </w:p>
        </w:tc>
        <w:tc>
          <w:tcPr>
            <w:tcW w:w="2700" w:type="dxa"/>
            <w:vAlign w:val="center"/>
          </w:tcPr>
          <w:p w14:paraId="2FBB6902">
            <w:pPr>
              <w:adjustRightInd w:val="0"/>
              <w:snapToGrid w:val="0"/>
              <w:spacing w:line="400" w:lineRule="atLeast"/>
              <w:ind w:firstLine="420"/>
              <w:jc w:val="center"/>
              <w:rPr>
                <w:rFonts w:ascii="Arial" w:hAnsi="Arial" w:cs="Arial"/>
                <w:szCs w:val="21"/>
              </w:rPr>
            </w:pPr>
          </w:p>
        </w:tc>
      </w:tr>
      <w:tr w14:paraId="6951E28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2160" w:type="dxa"/>
          </w:tcPr>
          <w:p w14:paraId="6CCA3E84">
            <w:pPr>
              <w:adjustRightInd w:val="0"/>
              <w:snapToGrid w:val="0"/>
              <w:spacing w:line="400" w:lineRule="atLeast"/>
              <w:ind w:firstLine="420"/>
              <w:jc w:val="center"/>
              <w:rPr>
                <w:rFonts w:ascii="Arial" w:hAnsi="Arial" w:cs="Arial"/>
                <w:szCs w:val="21"/>
              </w:rPr>
            </w:pPr>
          </w:p>
        </w:tc>
        <w:tc>
          <w:tcPr>
            <w:tcW w:w="2160" w:type="dxa"/>
            <w:vAlign w:val="center"/>
          </w:tcPr>
          <w:p w14:paraId="2AD767B8">
            <w:pPr>
              <w:adjustRightInd w:val="0"/>
              <w:snapToGrid w:val="0"/>
              <w:spacing w:line="400" w:lineRule="atLeast"/>
              <w:ind w:firstLine="420"/>
              <w:jc w:val="center"/>
              <w:rPr>
                <w:rFonts w:ascii="Arial" w:hAnsi="Arial" w:cs="Arial"/>
                <w:szCs w:val="21"/>
              </w:rPr>
            </w:pPr>
          </w:p>
        </w:tc>
        <w:tc>
          <w:tcPr>
            <w:tcW w:w="1980" w:type="dxa"/>
            <w:vAlign w:val="center"/>
          </w:tcPr>
          <w:p w14:paraId="6E1134DA">
            <w:pPr>
              <w:adjustRightInd w:val="0"/>
              <w:snapToGrid w:val="0"/>
              <w:spacing w:line="400" w:lineRule="atLeast"/>
              <w:ind w:firstLine="420"/>
              <w:jc w:val="center"/>
              <w:rPr>
                <w:rFonts w:ascii="Arial" w:hAnsi="Arial" w:cs="Arial"/>
                <w:szCs w:val="21"/>
              </w:rPr>
            </w:pPr>
          </w:p>
        </w:tc>
        <w:tc>
          <w:tcPr>
            <w:tcW w:w="2700" w:type="dxa"/>
            <w:vAlign w:val="center"/>
          </w:tcPr>
          <w:p w14:paraId="1A7953C4">
            <w:pPr>
              <w:adjustRightInd w:val="0"/>
              <w:snapToGrid w:val="0"/>
              <w:spacing w:line="400" w:lineRule="atLeast"/>
              <w:ind w:firstLine="420"/>
              <w:jc w:val="center"/>
              <w:rPr>
                <w:rFonts w:ascii="Arial" w:hAnsi="Arial" w:cs="Arial"/>
                <w:szCs w:val="21"/>
              </w:rPr>
            </w:pPr>
          </w:p>
        </w:tc>
      </w:tr>
      <w:tr w14:paraId="1545FD8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2160" w:type="dxa"/>
          </w:tcPr>
          <w:p w14:paraId="277F4CCC">
            <w:pPr>
              <w:adjustRightInd w:val="0"/>
              <w:snapToGrid w:val="0"/>
              <w:spacing w:line="400" w:lineRule="atLeast"/>
              <w:ind w:firstLine="420"/>
              <w:jc w:val="center"/>
              <w:rPr>
                <w:rFonts w:ascii="Arial" w:hAnsi="Arial" w:cs="Arial"/>
                <w:szCs w:val="21"/>
              </w:rPr>
            </w:pPr>
          </w:p>
        </w:tc>
        <w:tc>
          <w:tcPr>
            <w:tcW w:w="2160" w:type="dxa"/>
            <w:vAlign w:val="center"/>
          </w:tcPr>
          <w:p w14:paraId="4FE297C2">
            <w:pPr>
              <w:adjustRightInd w:val="0"/>
              <w:snapToGrid w:val="0"/>
              <w:spacing w:line="400" w:lineRule="atLeast"/>
              <w:ind w:firstLine="420"/>
              <w:jc w:val="center"/>
              <w:rPr>
                <w:rFonts w:ascii="Arial" w:hAnsi="Arial" w:cs="Arial"/>
                <w:szCs w:val="21"/>
              </w:rPr>
            </w:pPr>
          </w:p>
        </w:tc>
        <w:tc>
          <w:tcPr>
            <w:tcW w:w="1980" w:type="dxa"/>
            <w:vAlign w:val="center"/>
          </w:tcPr>
          <w:p w14:paraId="3C012C30">
            <w:pPr>
              <w:adjustRightInd w:val="0"/>
              <w:snapToGrid w:val="0"/>
              <w:spacing w:line="400" w:lineRule="atLeast"/>
              <w:ind w:firstLine="420"/>
              <w:jc w:val="center"/>
              <w:rPr>
                <w:rFonts w:ascii="Arial" w:hAnsi="Arial" w:cs="Arial"/>
                <w:szCs w:val="21"/>
              </w:rPr>
            </w:pPr>
          </w:p>
        </w:tc>
        <w:tc>
          <w:tcPr>
            <w:tcW w:w="2700" w:type="dxa"/>
            <w:vAlign w:val="center"/>
          </w:tcPr>
          <w:p w14:paraId="4469BE7D">
            <w:pPr>
              <w:adjustRightInd w:val="0"/>
              <w:snapToGrid w:val="0"/>
              <w:spacing w:line="400" w:lineRule="atLeast"/>
              <w:ind w:firstLine="420"/>
              <w:jc w:val="center"/>
              <w:rPr>
                <w:rFonts w:ascii="Arial" w:hAnsi="Arial" w:cs="Arial"/>
                <w:szCs w:val="21"/>
              </w:rPr>
            </w:pPr>
          </w:p>
        </w:tc>
      </w:tr>
      <w:tr w14:paraId="60E1E29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3" w:hRule="atLeast"/>
        </w:trPr>
        <w:tc>
          <w:tcPr>
            <w:tcW w:w="2160" w:type="dxa"/>
          </w:tcPr>
          <w:p w14:paraId="2C5EC4A7">
            <w:pPr>
              <w:adjustRightInd w:val="0"/>
              <w:snapToGrid w:val="0"/>
              <w:spacing w:line="400" w:lineRule="atLeast"/>
              <w:ind w:firstLine="420"/>
              <w:jc w:val="center"/>
              <w:rPr>
                <w:rFonts w:ascii="Arial" w:hAnsi="Arial" w:cs="Arial"/>
                <w:szCs w:val="21"/>
              </w:rPr>
            </w:pPr>
          </w:p>
        </w:tc>
        <w:tc>
          <w:tcPr>
            <w:tcW w:w="2160" w:type="dxa"/>
            <w:vAlign w:val="center"/>
          </w:tcPr>
          <w:p w14:paraId="4A59C462">
            <w:pPr>
              <w:adjustRightInd w:val="0"/>
              <w:snapToGrid w:val="0"/>
              <w:spacing w:line="400" w:lineRule="atLeast"/>
              <w:ind w:firstLine="420"/>
              <w:jc w:val="center"/>
              <w:rPr>
                <w:rFonts w:ascii="Arial" w:hAnsi="Arial" w:cs="Arial"/>
                <w:szCs w:val="21"/>
              </w:rPr>
            </w:pPr>
          </w:p>
        </w:tc>
        <w:tc>
          <w:tcPr>
            <w:tcW w:w="1980" w:type="dxa"/>
            <w:vAlign w:val="center"/>
          </w:tcPr>
          <w:p w14:paraId="389E0A85">
            <w:pPr>
              <w:adjustRightInd w:val="0"/>
              <w:snapToGrid w:val="0"/>
              <w:spacing w:line="400" w:lineRule="atLeast"/>
              <w:ind w:firstLine="420"/>
              <w:jc w:val="center"/>
              <w:rPr>
                <w:rFonts w:ascii="Arial" w:hAnsi="Arial" w:cs="Arial"/>
                <w:szCs w:val="21"/>
              </w:rPr>
            </w:pPr>
          </w:p>
        </w:tc>
        <w:tc>
          <w:tcPr>
            <w:tcW w:w="2700" w:type="dxa"/>
            <w:vAlign w:val="center"/>
          </w:tcPr>
          <w:p w14:paraId="78E2531D">
            <w:pPr>
              <w:adjustRightInd w:val="0"/>
              <w:snapToGrid w:val="0"/>
              <w:spacing w:line="400" w:lineRule="atLeast"/>
              <w:ind w:firstLine="420"/>
              <w:jc w:val="center"/>
              <w:rPr>
                <w:rFonts w:ascii="Arial" w:hAnsi="Arial" w:cs="Arial"/>
                <w:szCs w:val="21"/>
              </w:rPr>
            </w:pPr>
          </w:p>
        </w:tc>
      </w:tr>
      <w:tr w14:paraId="6B2B5CA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trPr>
        <w:tc>
          <w:tcPr>
            <w:tcW w:w="2160" w:type="dxa"/>
          </w:tcPr>
          <w:p w14:paraId="265B01FE">
            <w:pPr>
              <w:adjustRightInd w:val="0"/>
              <w:snapToGrid w:val="0"/>
              <w:spacing w:line="400" w:lineRule="atLeast"/>
              <w:ind w:firstLine="420"/>
              <w:jc w:val="center"/>
              <w:rPr>
                <w:rFonts w:ascii="Arial" w:hAnsi="Arial" w:cs="Arial"/>
                <w:szCs w:val="21"/>
              </w:rPr>
            </w:pPr>
          </w:p>
        </w:tc>
        <w:tc>
          <w:tcPr>
            <w:tcW w:w="2160" w:type="dxa"/>
            <w:vAlign w:val="center"/>
          </w:tcPr>
          <w:p w14:paraId="662ABA96">
            <w:pPr>
              <w:adjustRightInd w:val="0"/>
              <w:snapToGrid w:val="0"/>
              <w:spacing w:line="400" w:lineRule="atLeast"/>
              <w:ind w:firstLine="420"/>
              <w:jc w:val="center"/>
              <w:rPr>
                <w:rFonts w:ascii="Arial" w:hAnsi="Arial" w:cs="Arial"/>
                <w:szCs w:val="21"/>
              </w:rPr>
            </w:pPr>
          </w:p>
        </w:tc>
        <w:tc>
          <w:tcPr>
            <w:tcW w:w="1980" w:type="dxa"/>
            <w:vAlign w:val="center"/>
          </w:tcPr>
          <w:p w14:paraId="633C62CE">
            <w:pPr>
              <w:adjustRightInd w:val="0"/>
              <w:snapToGrid w:val="0"/>
              <w:spacing w:line="400" w:lineRule="atLeast"/>
              <w:ind w:firstLine="420"/>
              <w:jc w:val="center"/>
              <w:rPr>
                <w:rFonts w:ascii="Arial" w:hAnsi="Arial" w:cs="Arial"/>
                <w:szCs w:val="21"/>
              </w:rPr>
            </w:pPr>
          </w:p>
        </w:tc>
        <w:tc>
          <w:tcPr>
            <w:tcW w:w="2700" w:type="dxa"/>
            <w:vAlign w:val="center"/>
          </w:tcPr>
          <w:p w14:paraId="57BA8E03">
            <w:pPr>
              <w:adjustRightInd w:val="0"/>
              <w:snapToGrid w:val="0"/>
              <w:spacing w:line="400" w:lineRule="atLeast"/>
              <w:ind w:firstLine="420"/>
              <w:jc w:val="center"/>
              <w:rPr>
                <w:rFonts w:ascii="Arial" w:hAnsi="Arial" w:cs="Arial"/>
                <w:szCs w:val="21"/>
              </w:rPr>
            </w:pPr>
          </w:p>
        </w:tc>
      </w:tr>
      <w:tr w14:paraId="5F077FD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2160" w:type="dxa"/>
          </w:tcPr>
          <w:p w14:paraId="72FB7B11">
            <w:pPr>
              <w:adjustRightInd w:val="0"/>
              <w:snapToGrid w:val="0"/>
              <w:spacing w:line="400" w:lineRule="atLeast"/>
              <w:ind w:firstLine="420"/>
              <w:jc w:val="center"/>
              <w:rPr>
                <w:rFonts w:ascii="Arial" w:hAnsi="Arial" w:cs="Arial"/>
                <w:szCs w:val="21"/>
              </w:rPr>
            </w:pPr>
          </w:p>
        </w:tc>
        <w:tc>
          <w:tcPr>
            <w:tcW w:w="2160" w:type="dxa"/>
            <w:vAlign w:val="center"/>
          </w:tcPr>
          <w:p w14:paraId="3E195234">
            <w:pPr>
              <w:adjustRightInd w:val="0"/>
              <w:snapToGrid w:val="0"/>
              <w:spacing w:line="400" w:lineRule="atLeast"/>
              <w:ind w:firstLine="420"/>
              <w:jc w:val="center"/>
              <w:rPr>
                <w:rFonts w:ascii="Arial" w:hAnsi="Arial" w:cs="Arial"/>
                <w:szCs w:val="21"/>
              </w:rPr>
            </w:pPr>
          </w:p>
        </w:tc>
        <w:tc>
          <w:tcPr>
            <w:tcW w:w="1980" w:type="dxa"/>
            <w:vAlign w:val="center"/>
          </w:tcPr>
          <w:p w14:paraId="033F86E1">
            <w:pPr>
              <w:adjustRightInd w:val="0"/>
              <w:snapToGrid w:val="0"/>
              <w:spacing w:line="400" w:lineRule="atLeast"/>
              <w:ind w:firstLine="420"/>
              <w:jc w:val="center"/>
              <w:rPr>
                <w:rFonts w:ascii="Arial" w:hAnsi="Arial" w:cs="Arial"/>
                <w:szCs w:val="21"/>
              </w:rPr>
            </w:pPr>
          </w:p>
        </w:tc>
        <w:tc>
          <w:tcPr>
            <w:tcW w:w="2700" w:type="dxa"/>
            <w:vAlign w:val="center"/>
          </w:tcPr>
          <w:p w14:paraId="43604274">
            <w:pPr>
              <w:adjustRightInd w:val="0"/>
              <w:snapToGrid w:val="0"/>
              <w:spacing w:line="400" w:lineRule="atLeast"/>
              <w:ind w:firstLine="420"/>
              <w:jc w:val="center"/>
              <w:rPr>
                <w:rFonts w:ascii="Arial" w:hAnsi="Arial" w:cs="Arial"/>
                <w:szCs w:val="21"/>
              </w:rPr>
            </w:pPr>
          </w:p>
        </w:tc>
      </w:tr>
      <w:tr w14:paraId="3A6DB62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2160" w:type="dxa"/>
          </w:tcPr>
          <w:p w14:paraId="75359612">
            <w:pPr>
              <w:adjustRightInd w:val="0"/>
              <w:snapToGrid w:val="0"/>
              <w:spacing w:line="400" w:lineRule="atLeast"/>
              <w:ind w:firstLine="420"/>
              <w:jc w:val="center"/>
              <w:rPr>
                <w:rFonts w:ascii="Arial" w:hAnsi="Arial" w:cs="Arial"/>
                <w:szCs w:val="21"/>
              </w:rPr>
            </w:pPr>
          </w:p>
        </w:tc>
        <w:tc>
          <w:tcPr>
            <w:tcW w:w="2160" w:type="dxa"/>
            <w:vAlign w:val="center"/>
          </w:tcPr>
          <w:p w14:paraId="65D3E9E5">
            <w:pPr>
              <w:adjustRightInd w:val="0"/>
              <w:snapToGrid w:val="0"/>
              <w:spacing w:line="400" w:lineRule="atLeast"/>
              <w:ind w:firstLine="420"/>
              <w:jc w:val="center"/>
              <w:rPr>
                <w:rFonts w:ascii="Arial" w:hAnsi="Arial" w:cs="Arial"/>
                <w:szCs w:val="21"/>
              </w:rPr>
            </w:pPr>
          </w:p>
        </w:tc>
        <w:tc>
          <w:tcPr>
            <w:tcW w:w="1980" w:type="dxa"/>
            <w:vAlign w:val="center"/>
          </w:tcPr>
          <w:p w14:paraId="04658C5E">
            <w:pPr>
              <w:adjustRightInd w:val="0"/>
              <w:snapToGrid w:val="0"/>
              <w:spacing w:line="400" w:lineRule="atLeast"/>
              <w:ind w:firstLine="420"/>
              <w:jc w:val="center"/>
              <w:rPr>
                <w:rFonts w:ascii="Arial" w:hAnsi="Arial" w:cs="Arial"/>
                <w:szCs w:val="21"/>
              </w:rPr>
            </w:pPr>
          </w:p>
        </w:tc>
        <w:tc>
          <w:tcPr>
            <w:tcW w:w="2700" w:type="dxa"/>
            <w:vAlign w:val="center"/>
          </w:tcPr>
          <w:p w14:paraId="0A31F69E">
            <w:pPr>
              <w:adjustRightInd w:val="0"/>
              <w:snapToGrid w:val="0"/>
              <w:spacing w:line="400" w:lineRule="atLeast"/>
              <w:ind w:firstLine="420"/>
              <w:jc w:val="center"/>
              <w:rPr>
                <w:rFonts w:ascii="Arial" w:hAnsi="Arial" w:cs="Arial"/>
                <w:szCs w:val="21"/>
              </w:rPr>
            </w:pPr>
          </w:p>
        </w:tc>
      </w:tr>
      <w:tr w14:paraId="7094F30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trPr>
        <w:tc>
          <w:tcPr>
            <w:tcW w:w="2160" w:type="dxa"/>
          </w:tcPr>
          <w:p w14:paraId="14DF0C9C">
            <w:pPr>
              <w:adjustRightInd w:val="0"/>
              <w:snapToGrid w:val="0"/>
              <w:spacing w:line="400" w:lineRule="atLeast"/>
              <w:ind w:firstLine="420"/>
              <w:jc w:val="center"/>
              <w:rPr>
                <w:rFonts w:ascii="Arial" w:hAnsi="Arial" w:cs="Arial"/>
                <w:szCs w:val="21"/>
              </w:rPr>
            </w:pPr>
          </w:p>
        </w:tc>
        <w:tc>
          <w:tcPr>
            <w:tcW w:w="2160" w:type="dxa"/>
            <w:vAlign w:val="center"/>
          </w:tcPr>
          <w:p w14:paraId="351A4DFB">
            <w:pPr>
              <w:adjustRightInd w:val="0"/>
              <w:snapToGrid w:val="0"/>
              <w:spacing w:line="400" w:lineRule="atLeast"/>
              <w:ind w:firstLine="420"/>
              <w:jc w:val="center"/>
              <w:rPr>
                <w:rFonts w:ascii="Arial" w:hAnsi="Arial" w:cs="Arial"/>
                <w:szCs w:val="21"/>
              </w:rPr>
            </w:pPr>
          </w:p>
        </w:tc>
        <w:tc>
          <w:tcPr>
            <w:tcW w:w="1980" w:type="dxa"/>
            <w:vAlign w:val="center"/>
          </w:tcPr>
          <w:p w14:paraId="61C5FC37">
            <w:pPr>
              <w:adjustRightInd w:val="0"/>
              <w:snapToGrid w:val="0"/>
              <w:spacing w:line="400" w:lineRule="atLeast"/>
              <w:ind w:firstLine="420"/>
              <w:jc w:val="center"/>
              <w:rPr>
                <w:rFonts w:ascii="Arial" w:hAnsi="Arial" w:cs="Arial"/>
                <w:szCs w:val="21"/>
              </w:rPr>
            </w:pPr>
          </w:p>
        </w:tc>
        <w:tc>
          <w:tcPr>
            <w:tcW w:w="2700" w:type="dxa"/>
            <w:vAlign w:val="center"/>
          </w:tcPr>
          <w:p w14:paraId="6619D293">
            <w:pPr>
              <w:adjustRightInd w:val="0"/>
              <w:snapToGrid w:val="0"/>
              <w:spacing w:line="400" w:lineRule="atLeast"/>
              <w:ind w:firstLine="420"/>
              <w:jc w:val="center"/>
              <w:rPr>
                <w:rFonts w:ascii="Arial" w:hAnsi="Arial" w:cs="Arial"/>
                <w:szCs w:val="21"/>
              </w:rPr>
            </w:pPr>
          </w:p>
        </w:tc>
      </w:tr>
    </w:tbl>
    <w:p w14:paraId="69AA1F43">
      <w:pPr>
        <w:ind w:firstLine="210" w:firstLineChars="100"/>
        <w:rPr>
          <w:rFonts w:ascii="宋体" w:hAnsi="宋体"/>
          <w:szCs w:val="21"/>
        </w:rPr>
      </w:pPr>
    </w:p>
    <w:p w14:paraId="6B468DCA">
      <w:pPr>
        <w:ind w:firstLine="210" w:firstLineChars="100"/>
        <w:rPr>
          <w:rFonts w:ascii="宋体" w:hAnsi="宋体"/>
          <w:szCs w:val="21"/>
        </w:rPr>
      </w:pPr>
    </w:p>
    <w:p w14:paraId="6D5A1693">
      <w:pPr>
        <w:ind w:firstLine="420"/>
      </w:pPr>
      <w:r>
        <w:rPr>
          <w:rFonts w:hint="eastAsia"/>
        </w:rPr>
        <w:t>供应商（公章）：</w:t>
      </w:r>
    </w:p>
    <w:p w14:paraId="58B6225E">
      <w:pPr>
        <w:ind w:firstLine="420"/>
      </w:pPr>
    </w:p>
    <w:p w14:paraId="39543FD0">
      <w:pPr>
        <w:ind w:firstLine="420"/>
      </w:pPr>
      <w:r>
        <w:rPr>
          <w:rFonts w:hint="eastAsia"/>
        </w:rPr>
        <w:t>法定代表人或授权委托人（签字）：</w:t>
      </w:r>
    </w:p>
    <w:p w14:paraId="00CC842B">
      <w:pPr>
        <w:ind w:firstLine="420"/>
      </w:pPr>
    </w:p>
    <w:p w14:paraId="62DCB8CC">
      <w:pPr>
        <w:ind w:firstLine="420"/>
      </w:pPr>
      <w:r>
        <w:rPr>
          <w:rFonts w:hint="eastAsia"/>
        </w:rPr>
        <w:t>日 期：    年   月   日</w:t>
      </w:r>
    </w:p>
    <w:p w14:paraId="5D6517EB">
      <w:pPr>
        <w:ind w:firstLine="199" w:firstLineChars="95"/>
      </w:pPr>
    </w:p>
    <w:p w14:paraId="62632C8B">
      <w:pPr>
        <w:ind w:firstLine="420"/>
      </w:pPr>
    </w:p>
    <w:p w14:paraId="038181F6">
      <w:pPr>
        <w:keepNext/>
        <w:keepLines/>
        <w:ind w:firstLine="0" w:firstLineChars="0"/>
        <w:outlineLvl w:val="2"/>
        <w:rPr>
          <w:b/>
          <w:bCs/>
          <w:szCs w:val="32"/>
        </w:rPr>
      </w:pPr>
      <w:r>
        <w:rPr>
          <w:b/>
          <w:bCs/>
          <w:szCs w:val="32"/>
        </w:rPr>
        <w:br w:type="page"/>
      </w:r>
      <w:r>
        <w:rPr>
          <w:rFonts w:hint="eastAsia"/>
          <w:b/>
          <w:bCs/>
          <w:szCs w:val="32"/>
        </w:rPr>
        <w:t xml:space="preserve">附件九 </w:t>
      </w:r>
      <w:r>
        <w:rPr>
          <w:b/>
          <w:bCs/>
          <w:szCs w:val="32"/>
        </w:rPr>
        <w:t>服务期间所需配备的各种设备、设施、工具列表</w:t>
      </w:r>
    </w:p>
    <w:p w14:paraId="614BB8FD">
      <w:pPr>
        <w:ind w:firstLine="420"/>
      </w:pPr>
    </w:p>
    <w:tbl>
      <w:tblPr>
        <w:tblStyle w:val="4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02"/>
        <w:gridCol w:w="1388"/>
        <w:gridCol w:w="1163"/>
        <w:gridCol w:w="1704"/>
        <w:gridCol w:w="2199"/>
      </w:tblGrid>
      <w:tr w14:paraId="3433F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vAlign w:val="center"/>
          </w:tcPr>
          <w:p w14:paraId="6E2E0350">
            <w:pPr>
              <w:adjustRightInd w:val="0"/>
              <w:snapToGrid w:val="0"/>
              <w:spacing w:line="400" w:lineRule="atLeast"/>
              <w:ind w:firstLine="0" w:firstLineChars="0"/>
              <w:jc w:val="center"/>
              <w:rPr>
                <w:rFonts w:ascii="Arial" w:hAnsi="Arial" w:cs="Arial"/>
                <w:szCs w:val="21"/>
              </w:rPr>
            </w:pPr>
            <w:r>
              <w:rPr>
                <w:rFonts w:ascii="Arial" w:hAnsi="Arial" w:cs="Arial"/>
                <w:szCs w:val="21"/>
              </w:rPr>
              <w:t>名称</w:t>
            </w:r>
          </w:p>
        </w:tc>
        <w:tc>
          <w:tcPr>
            <w:tcW w:w="1388" w:type="dxa"/>
            <w:vAlign w:val="center"/>
          </w:tcPr>
          <w:p w14:paraId="16D5D956">
            <w:pPr>
              <w:adjustRightInd w:val="0"/>
              <w:snapToGrid w:val="0"/>
              <w:spacing w:line="400" w:lineRule="atLeast"/>
              <w:ind w:firstLine="0" w:firstLineChars="0"/>
              <w:jc w:val="center"/>
              <w:rPr>
                <w:rFonts w:ascii="Arial" w:hAnsi="Arial" w:cs="Arial"/>
                <w:szCs w:val="21"/>
              </w:rPr>
            </w:pPr>
            <w:r>
              <w:rPr>
                <w:rFonts w:hint="eastAsia" w:ascii="Arial" w:hAnsi="Arial" w:cs="Arial"/>
                <w:szCs w:val="21"/>
              </w:rPr>
              <w:t>品牌、型号</w:t>
            </w:r>
          </w:p>
        </w:tc>
        <w:tc>
          <w:tcPr>
            <w:tcW w:w="1163" w:type="dxa"/>
            <w:vAlign w:val="center"/>
          </w:tcPr>
          <w:p w14:paraId="59F87CA3">
            <w:pPr>
              <w:adjustRightInd w:val="0"/>
              <w:snapToGrid w:val="0"/>
              <w:spacing w:line="400" w:lineRule="atLeast"/>
              <w:ind w:firstLine="0" w:firstLineChars="0"/>
              <w:jc w:val="center"/>
              <w:rPr>
                <w:rFonts w:ascii="Arial" w:hAnsi="Arial" w:cs="Arial"/>
                <w:szCs w:val="21"/>
              </w:rPr>
            </w:pPr>
            <w:r>
              <w:rPr>
                <w:rFonts w:ascii="Arial" w:hAnsi="Arial" w:cs="Arial"/>
                <w:szCs w:val="21"/>
              </w:rPr>
              <w:t>数量</w:t>
            </w:r>
          </w:p>
        </w:tc>
        <w:tc>
          <w:tcPr>
            <w:tcW w:w="1704" w:type="dxa"/>
            <w:vAlign w:val="center"/>
          </w:tcPr>
          <w:p w14:paraId="32054BFA">
            <w:pPr>
              <w:adjustRightInd w:val="0"/>
              <w:snapToGrid w:val="0"/>
              <w:spacing w:line="400" w:lineRule="atLeast"/>
              <w:ind w:firstLine="0" w:firstLineChars="0"/>
              <w:jc w:val="center"/>
              <w:rPr>
                <w:rFonts w:ascii="Arial" w:hAnsi="Arial" w:cs="Arial"/>
                <w:szCs w:val="21"/>
              </w:rPr>
            </w:pPr>
            <w:r>
              <w:rPr>
                <w:rFonts w:ascii="Arial" w:hAnsi="Arial" w:cs="Arial"/>
                <w:szCs w:val="21"/>
              </w:rPr>
              <w:t>产地</w:t>
            </w:r>
          </w:p>
        </w:tc>
        <w:tc>
          <w:tcPr>
            <w:tcW w:w="2199" w:type="dxa"/>
          </w:tcPr>
          <w:p w14:paraId="6AD3F79A">
            <w:pPr>
              <w:adjustRightInd w:val="0"/>
              <w:snapToGrid w:val="0"/>
              <w:spacing w:line="400" w:lineRule="atLeast"/>
              <w:ind w:firstLine="0" w:firstLineChars="0"/>
              <w:jc w:val="center"/>
              <w:rPr>
                <w:rFonts w:ascii="Arial" w:hAnsi="Arial" w:cs="Arial"/>
                <w:szCs w:val="21"/>
              </w:rPr>
            </w:pPr>
            <w:r>
              <w:rPr>
                <w:rFonts w:hint="eastAsia" w:ascii="Arial" w:hAnsi="Arial" w:cs="Arial"/>
                <w:szCs w:val="21"/>
              </w:rPr>
              <w:t>出厂</w:t>
            </w:r>
            <w:r>
              <w:rPr>
                <w:rFonts w:ascii="Arial" w:hAnsi="Arial" w:cs="Arial"/>
                <w:szCs w:val="21"/>
              </w:rPr>
              <w:t>日期</w:t>
            </w:r>
          </w:p>
        </w:tc>
      </w:tr>
      <w:tr w14:paraId="5FDC6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44686F4C">
            <w:pPr>
              <w:adjustRightInd w:val="0"/>
              <w:snapToGrid w:val="0"/>
              <w:spacing w:line="400" w:lineRule="atLeast"/>
              <w:ind w:firstLine="420"/>
              <w:jc w:val="center"/>
              <w:rPr>
                <w:rFonts w:ascii="Arial" w:hAnsi="Arial" w:cs="Arial"/>
                <w:szCs w:val="21"/>
              </w:rPr>
            </w:pPr>
          </w:p>
        </w:tc>
        <w:tc>
          <w:tcPr>
            <w:tcW w:w="1388" w:type="dxa"/>
          </w:tcPr>
          <w:p w14:paraId="10F311CE">
            <w:pPr>
              <w:adjustRightInd w:val="0"/>
              <w:snapToGrid w:val="0"/>
              <w:spacing w:line="400" w:lineRule="atLeast"/>
              <w:ind w:firstLine="420"/>
              <w:jc w:val="center"/>
              <w:rPr>
                <w:rFonts w:ascii="Arial" w:hAnsi="Arial" w:cs="Arial"/>
                <w:szCs w:val="21"/>
              </w:rPr>
            </w:pPr>
          </w:p>
        </w:tc>
        <w:tc>
          <w:tcPr>
            <w:tcW w:w="1163" w:type="dxa"/>
          </w:tcPr>
          <w:p w14:paraId="0A29482B">
            <w:pPr>
              <w:adjustRightInd w:val="0"/>
              <w:snapToGrid w:val="0"/>
              <w:spacing w:line="400" w:lineRule="atLeast"/>
              <w:ind w:firstLine="420"/>
              <w:jc w:val="center"/>
              <w:rPr>
                <w:rFonts w:ascii="Arial" w:hAnsi="Arial" w:cs="Arial"/>
                <w:szCs w:val="21"/>
              </w:rPr>
            </w:pPr>
          </w:p>
        </w:tc>
        <w:tc>
          <w:tcPr>
            <w:tcW w:w="1704" w:type="dxa"/>
          </w:tcPr>
          <w:p w14:paraId="1688BBF3">
            <w:pPr>
              <w:adjustRightInd w:val="0"/>
              <w:snapToGrid w:val="0"/>
              <w:spacing w:line="400" w:lineRule="atLeast"/>
              <w:ind w:firstLine="420"/>
              <w:jc w:val="center"/>
              <w:rPr>
                <w:rFonts w:ascii="Arial" w:hAnsi="Arial" w:cs="Arial"/>
                <w:szCs w:val="21"/>
              </w:rPr>
            </w:pPr>
          </w:p>
        </w:tc>
        <w:tc>
          <w:tcPr>
            <w:tcW w:w="2199" w:type="dxa"/>
          </w:tcPr>
          <w:p w14:paraId="28153FE0">
            <w:pPr>
              <w:adjustRightInd w:val="0"/>
              <w:snapToGrid w:val="0"/>
              <w:spacing w:line="400" w:lineRule="atLeast"/>
              <w:ind w:firstLine="420"/>
              <w:jc w:val="center"/>
              <w:rPr>
                <w:rFonts w:ascii="Arial" w:hAnsi="Arial" w:cs="Arial"/>
                <w:szCs w:val="21"/>
              </w:rPr>
            </w:pPr>
          </w:p>
        </w:tc>
      </w:tr>
      <w:tr w14:paraId="202ED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281B40BA">
            <w:pPr>
              <w:adjustRightInd w:val="0"/>
              <w:snapToGrid w:val="0"/>
              <w:spacing w:line="400" w:lineRule="atLeast"/>
              <w:ind w:firstLine="480"/>
              <w:jc w:val="center"/>
              <w:rPr>
                <w:rFonts w:ascii="Arial" w:hAnsi="Arial" w:cs="Arial"/>
                <w:sz w:val="24"/>
              </w:rPr>
            </w:pPr>
          </w:p>
        </w:tc>
        <w:tc>
          <w:tcPr>
            <w:tcW w:w="1388" w:type="dxa"/>
          </w:tcPr>
          <w:p w14:paraId="3467479A">
            <w:pPr>
              <w:adjustRightInd w:val="0"/>
              <w:snapToGrid w:val="0"/>
              <w:spacing w:line="400" w:lineRule="atLeast"/>
              <w:ind w:firstLine="480"/>
              <w:jc w:val="center"/>
              <w:rPr>
                <w:rFonts w:ascii="Arial" w:hAnsi="Arial" w:cs="Arial"/>
                <w:sz w:val="24"/>
              </w:rPr>
            </w:pPr>
          </w:p>
        </w:tc>
        <w:tc>
          <w:tcPr>
            <w:tcW w:w="1163" w:type="dxa"/>
          </w:tcPr>
          <w:p w14:paraId="1BDDA95D">
            <w:pPr>
              <w:adjustRightInd w:val="0"/>
              <w:snapToGrid w:val="0"/>
              <w:spacing w:line="400" w:lineRule="atLeast"/>
              <w:ind w:firstLine="480"/>
              <w:jc w:val="center"/>
              <w:rPr>
                <w:rFonts w:ascii="Arial" w:hAnsi="Arial" w:cs="Arial"/>
                <w:sz w:val="24"/>
              </w:rPr>
            </w:pPr>
          </w:p>
        </w:tc>
        <w:tc>
          <w:tcPr>
            <w:tcW w:w="1704" w:type="dxa"/>
          </w:tcPr>
          <w:p w14:paraId="256E7E7C">
            <w:pPr>
              <w:adjustRightInd w:val="0"/>
              <w:snapToGrid w:val="0"/>
              <w:spacing w:line="400" w:lineRule="atLeast"/>
              <w:ind w:firstLine="480"/>
              <w:jc w:val="center"/>
              <w:rPr>
                <w:rFonts w:ascii="Arial" w:hAnsi="Arial" w:cs="Arial"/>
                <w:sz w:val="24"/>
              </w:rPr>
            </w:pPr>
          </w:p>
        </w:tc>
        <w:tc>
          <w:tcPr>
            <w:tcW w:w="2199" w:type="dxa"/>
          </w:tcPr>
          <w:p w14:paraId="24B4A0C2">
            <w:pPr>
              <w:adjustRightInd w:val="0"/>
              <w:snapToGrid w:val="0"/>
              <w:spacing w:line="400" w:lineRule="atLeast"/>
              <w:ind w:firstLine="480"/>
              <w:jc w:val="center"/>
              <w:rPr>
                <w:rFonts w:ascii="Arial" w:hAnsi="Arial" w:cs="Arial"/>
                <w:sz w:val="24"/>
              </w:rPr>
            </w:pPr>
          </w:p>
        </w:tc>
      </w:tr>
      <w:tr w14:paraId="2851D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47EDBA26">
            <w:pPr>
              <w:adjustRightInd w:val="0"/>
              <w:snapToGrid w:val="0"/>
              <w:spacing w:line="400" w:lineRule="atLeast"/>
              <w:ind w:firstLine="480"/>
              <w:jc w:val="center"/>
              <w:rPr>
                <w:rFonts w:ascii="Arial" w:hAnsi="Arial" w:cs="Arial"/>
                <w:sz w:val="24"/>
              </w:rPr>
            </w:pPr>
          </w:p>
        </w:tc>
        <w:tc>
          <w:tcPr>
            <w:tcW w:w="1388" w:type="dxa"/>
          </w:tcPr>
          <w:p w14:paraId="54E5C470">
            <w:pPr>
              <w:adjustRightInd w:val="0"/>
              <w:snapToGrid w:val="0"/>
              <w:spacing w:line="400" w:lineRule="atLeast"/>
              <w:ind w:firstLine="480"/>
              <w:jc w:val="center"/>
              <w:rPr>
                <w:rFonts w:ascii="Arial" w:hAnsi="Arial" w:cs="Arial"/>
                <w:sz w:val="24"/>
              </w:rPr>
            </w:pPr>
          </w:p>
        </w:tc>
        <w:tc>
          <w:tcPr>
            <w:tcW w:w="1163" w:type="dxa"/>
          </w:tcPr>
          <w:p w14:paraId="01FD155A">
            <w:pPr>
              <w:adjustRightInd w:val="0"/>
              <w:snapToGrid w:val="0"/>
              <w:spacing w:line="400" w:lineRule="atLeast"/>
              <w:ind w:firstLine="480"/>
              <w:jc w:val="center"/>
              <w:rPr>
                <w:rFonts w:ascii="Arial" w:hAnsi="Arial" w:cs="Arial"/>
                <w:sz w:val="24"/>
              </w:rPr>
            </w:pPr>
          </w:p>
        </w:tc>
        <w:tc>
          <w:tcPr>
            <w:tcW w:w="1704" w:type="dxa"/>
          </w:tcPr>
          <w:p w14:paraId="1AAF93A7">
            <w:pPr>
              <w:adjustRightInd w:val="0"/>
              <w:snapToGrid w:val="0"/>
              <w:spacing w:line="400" w:lineRule="atLeast"/>
              <w:ind w:firstLine="480"/>
              <w:jc w:val="center"/>
              <w:rPr>
                <w:rFonts w:ascii="Arial" w:hAnsi="Arial" w:cs="Arial"/>
                <w:sz w:val="24"/>
              </w:rPr>
            </w:pPr>
          </w:p>
        </w:tc>
        <w:tc>
          <w:tcPr>
            <w:tcW w:w="2199" w:type="dxa"/>
          </w:tcPr>
          <w:p w14:paraId="65A5792D">
            <w:pPr>
              <w:adjustRightInd w:val="0"/>
              <w:snapToGrid w:val="0"/>
              <w:spacing w:line="400" w:lineRule="atLeast"/>
              <w:ind w:firstLine="480"/>
              <w:jc w:val="center"/>
              <w:rPr>
                <w:rFonts w:ascii="Arial" w:hAnsi="Arial" w:cs="Arial"/>
                <w:sz w:val="24"/>
              </w:rPr>
            </w:pPr>
          </w:p>
        </w:tc>
      </w:tr>
      <w:tr w14:paraId="0DFDD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5D112985">
            <w:pPr>
              <w:adjustRightInd w:val="0"/>
              <w:snapToGrid w:val="0"/>
              <w:spacing w:line="400" w:lineRule="atLeast"/>
              <w:ind w:firstLine="480"/>
              <w:jc w:val="center"/>
              <w:rPr>
                <w:rFonts w:ascii="Arial" w:hAnsi="Arial" w:cs="Arial"/>
                <w:sz w:val="24"/>
              </w:rPr>
            </w:pPr>
          </w:p>
        </w:tc>
        <w:tc>
          <w:tcPr>
            <w:tcW w:w="1388" w:type="dxa"/>
          </w:tcPr>
          <w:p w14:paraId="30380F88">
            <w:pPr>
              <w:adjustRightInd w:val="0"/>
              <w:snapToGrid w:val="0"/>
              <w:spacing w:line="400" w:lineRule="atLeast"/>
              <w:ind w:firstLine="480"/>
              <w:jc w:val="center"/>
              <w:rPr>
                <w:rFonts w:ascii="Arial" w:hAnsi="Arial" w:cs="Arial"/>
                <w:sz w:val="24"/>
              </w:rPr>
            </w:pPr>
          </w:p>
        </w:tc>
        <w:tc>
          <w:tcPr>
            <w:tcW w:w="1163" w:type="dxa"/>
          </w:tcPr>
          <w:p w14:paraId="1F26E009">
            <w:pPr>
              <w:adjustRightInd w:val="0"/>
              <w:snapToGrid w:val="0"/>
              <w:spacing w:line="400" w:lineRule="atLeast"/>
              <w:ind w:firstLine="480"/>
              <w:jc w:val="center"/>
              <w:rPr>
                <w:rFonts w:ascii="Arial" w:hAnsi="Arial" w:cs="Arial"/>
                <w:sz w:val="24"/>
              </w:rPr>
            </w:pPr>
          </w:p>
        </w:tc>
        <w:tc>
          <w:tcPr>
            <w:tcW w:w="1704" w:type="dxa"/>
          </w:tcPr>
          <w:p w14:paraId="522D2AF6">
            <w:pPr>
              <w:adjustRightInd w:val="0"/>
              <w:snapToGrid w:val="0"/>
              <w:spacing w:line="400" w:lineRule="atLeast"/>
              <w:ind w:firstLine="480"/>
              <w:jc w:val="center"/>
              <w:rPr>
                <w:rFonts w:ascii="Arial" w:hAnsi="Arial" w:cs="Arial"/>
                <w:sz w:val="24"/>
              </w:rPr>
            </w:pPr>
          </w:p>
        </w:tc>
        <w:tc>
          <w:tcPr>
            <w:tcW w:w="2199" w:type="dxa"/>
          </w:tcPr>
          <w:p w14:paraId="3BFB1953">
            <w:pPr>
              <w:adjustRightInd w:val="0"/>
              <w:snapToGrid w:val="0"/>
              <w:spacing w:line="400" w:lineRule="atLeast"/>
              <w:ind w:firstLine="480"/>
              <w:jc w:val="center"/>
              <w:rPr>
                <w:rFonts w:ascii="Arial" w:hAnsi="Arial" w:cs="Arial"/>
                <w:sz w:val="24"/>
              </w:rPr>
            </w:pPr>
          </w:p>
        </w:tc>
      </w:tr>
      <w:tr w14:paraId="42A78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6B25360E">
            <w:pPr>
              <w:adjustRightInd w:val="0"/>
              <w:snapToGrid w:val="0"/>
              <w:spacing w:line="400" w:lineRule="atLeast"/>
              <w:ind w:firstLine="480"/>
              <w:jc w:val="center"/>
              <w:rPr>
                <w:rFonts w:ascii="Arial" w:hAnsi="Arial" w:cs="Arial"/>
                <w:sz w:val="24"/>
              </w:rPr>
            </w:pPr>
          </w:p>
        </w:tc>
        <w:tc>
          <w:tcPr>
            <w:tcW w:w="1388" w:type="dxa"/>
          </w:tcPr>
          <w:p w14:paraId="12F7010F">
            <w:pPr>
              <w:adjustRightInd w:val="0"/>
              <w:snapToGrid w:val="0"/>
              <w:spacing w:line="400" w:lineRule="atLeast"/>
              <w:ind w:firstLine="480"/>
              <w:jc w:val="center"/>
              <w:rPr>
                <w:rFonts w:ascii="Arial" w:hAnsi="Arial" w:cs="Arial"/>
                <w:sz w:val="24"/>
              </w:rPr>
            </w:pPr>
          </w:p>
        </w:tc>
        <w:tc>
          <w:tcPr>
            <w:tcW w:w="1163" w:type="dxa"/>
          </w:tcPr>
          <w:p w14:paraId="5D88C34E">
            <w:pPr>
              <w:adjustRightInd w:val="0"/>
              <w:snapToGrid w:val="0"/>
              <w:spacing w:line="400" w:lineRule="atLeast"/>
              <w:ind w:firstLine="480"/>
              <w:jc w:val="center"/>
              <w:rPr>
                <w:rFonts w:ascii="Arial" w:hAnsi="Arial" w:cs="Arial"/>
                <w:sz w:val="24"/>
              </w:rPr>
            </w:pPr>
          </w:p>
        </w:tc>
        <w:tc>
          <w:tcPr>
            <w:tcW w:w="1704" w:type="dxa"/>
          </w:tcPr>
          <w:p w14:paraId="48DC5113">
            <w:pPr>
              <w:adjustRightInd w:val="0"/>
              <w:snapToGrid w:val="0"/>
              <w:spacing w:line="400" w:lineRule="atLeast"/>
              <w:ind w:firstLine="480"/>
              <w:jc w:val="center"/>
              <w:rPr>
                <w:rFonts w:ascii="Arial" w:hAnsi="Arial" w:cs="Arial"/>
                <w:sz w:val="24"/>
              </w:rPr>
            </w:pPr>
          </w:p>
        </w:tc>
        <w:tc>
          <w:tcPr>
            <w:tcW w:w="2199" w:type="dxa"/>
          </w:tcPr>
          <w:p w14:paraId="29810E34">
            <w:pPr>
              <w:adjustRightInd w:val="0"/>
              <w:snapToGrid w:val="0"/>
              <w:spacing w:line="400" w:lineRule="atLeast"/>
              <w:ind w:firstLine="480"/>
              <w:jc w:val="center"/>
              <w:rPr>
                <w:rFonts w:ascii="Arial" w:hAnsi="Arial" w:cs="Arial"/>
                <w:sz w:val="24"/>
              </w:rPr>
            </w:pPr>
          </w:p>
        </w:tc>
      </w:tr>
      <w:tr w14:paraId="10086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28DD9405">
            <w:pPr>
              <w:adjustRightInd w:val="0"/>
              <w:snapToGrid w:val="0"/>
              <w:spacing w:line="400" w:lineRule="atLeast"/>
              <w:ind w:firstLine="480"/>
              <w:jc w:val="center"/>
              <w:rPr>
                <w:rFonts w:ascii="Arial" w:hAnsi="Arial" w:cs="Arial"/>
                <w:sz w:val="24"/>
              </w:rPr>
            </w:pPr>
          </w:p>
        </w:tc>
        <w:tc>
          <w:tcPr>
            <w:tcW w:w="1388" w:type="dxa"/>
          </w:tcPr>
          <w:p w14:paraId="30067602">
            <w:pPr>
              <w:adjustRightInd w:val="0"/>
              <w:snapToGrid w:val="0"/>
              <w:spacing w:line="400" w:lineRule="atLeast"/>
              <w:ind w:firstLine="480"/>
              <w:jc w:val="center"/>
              <w:rPr>
                <w:rFonts w:ascii="Arial" w:hAnsi="Arial" w:cs="Arial"/>
                <w:sz w:val="24"/>
              </w:rPr>
            </w:pPr>
          </w:p>
        </w:tc>
        <w:tc>
          <w:tcPr>
            <w:tcW w:w="1163" w:type="dxa"/>
          </w:tcPr>
          <w:p w14:paraId="5A6D69F6">
            <w:pPr>
              <w:adjustRightInd w:val="0"/>
              <w:snapToGrid w:val="0"/>
              <w:spacing w:line="400" w:lineRule="atLeast"/>
              <w:ind w:firstLine="480"/>
              <w:jc w:val="center"/>
              <w:rPr>
                <w:rFonts w:ascii="Arial" w:hAnsi="Arial" w:cs="Arial"/>
                <w:sz w:val="24"/>
              </w:rPr>
            </w:pPr>
          </w:p>
        </w:tc>
        <w:tc>
          <w:tcPr>
            <w:tcW w:w="1704" w:type="dxa"/>
          </w:tcPr>
          <w:p w14:paraId="74F42DEE">
            <w:pPr>
              <w:adjustRightInd w:val="0"/>
              <w:snapToGrid w:val="0"/>
              <w:spacing w:line="400" w:lineRule="atLeast"/>
              <w:ind w:firstLine="480"/>
              <w:jc w:val="center"/>
              <w:rPr>
                <w:rFonts w:ascii="Arial" w:hAnsi="Arial" w:cs="Arial"/>
                <w:sz w:val="24"/>
              </w:rPr>
            </w:pPr>
          </w:p>
        </w:tc>
        <w:tc>
          <w:tcPr>
            <w:tcW w:w="2199" w:type="dxa"/>
          </w:tcPr>
          <w:p w14:paraId="4D9F9C16">
            <w:pPr>
              <w:adjustRightInd w:val="0"/>
              <w:snapToGrid w:val="0"/>
              <w:spacing w:line="400" w:lineRule="atLeast"/>
              <w:ind w:firstLine="480"/>
              <w:jc w:val="center"/>
              <w:rPr>
                <w:rFonts w:ascii="Arial" w:hAnsi="Arial" w:cs="Arial"/>
                <w:sz w:val="24"/>
              </w:rPr>
            </w:pPr>
          </w:p>
        </w:tc>
      </w:tr>
      <w:tr w14:paraId="054C1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7A0E403D">
            <w:pPr>
              <w:adjustRightInd w:val="0"/>
              <w:snapToGrid w:val="0"/>
              <w:spacing w:line="400" w:lineRule="atLeast"/>
              <w:ind w:firstLine="480"/>
              <w:jc w:val="center"/>
              <w:rPr>
                <w:rFonts w:ascii="Arial" w:hAnsi="Arial" w:cs="Arial"/>
                <w:sz w:val="24"/>
              </w:rPr>
            </w:pPr>
          </w:p>
        </w:tc>
        <w:tc>
          <w:tcPr>
            <w:tcW w:w="1388" w:type="dxa"/>
          </w:tcPr>
          <w:p w14:paraId="36E39714">
            <w:pPr>
              <w:adjustRightInd w:val="0"/>
              <w:snapToGrid w:val="0"/>
              <w:spacing w:line="400" w:lineRule="atLeast"/>
              <w:ind w:firstLine="480"/>
              <w:jc w:val="center"/>
              <w:rPr>
                <w:rFonts w:ascii="Arial" w:hAnsi="Arial" w:cs="Arial"/>
                <w:sz w:val="24"/>
              </w:rPr>
            </w:pPr>
          </w:p>
        </w:tc>
        <w:tc>
          <w:tcPr>
            <w:tcW w:w="1163" w:type="dxa"/>
          </w:tcPr>
          <w:p w14:paraId="6A6EEC8B">
            <w:pPr>
              <w:adjustRightInd w:val="0"/>
              <w:snapToGrid w:val="0"/>
              <w:spacing w:line="400" w:lineRule="atLeast"/>
              <w:ind w:firstLine="480"/>
              <w:jc w:val="center"/>
              <w:rPr>
                <w:rFonts w:ascii="Arial" w:hAnsi="Arial" w:cs="Arial"/>
                <w:sz w:val="24"/>
              </w:rPr>
            </w:pPr>
          </w:p>
        </w:tc>
        <w:tc>
          <w:tcPr>
            <w:tcW w:w="1704" w:type="dxa"/>
          </w:tcPr>
          <w:p w14:paraId="64111540">
            <w:pPr>
              <w:adjustRightInd w:val="0"/>
              <w:snapToGrid w:val="0"/>
              <w:spacing w:line="400" w:lineRule="atLeast"/>
              <w:ind w:firstLine="480"/>
              <w:jc w:val="center"/>
              <w:rPr>
                <w:rFonts w:ascii="Arial" w:hAnsi="Arial" w:cs="Arial"/>
                <w:sz w:val="24"/>
              </w:rPr>
            </w:pPr>
          </w:p>
        </w:tc>
        <w:tc>
          <w:tcPr>
            <w:tcW w:w="2199" w:type="dxa"/>
          </w:tcPr>
          <w:p w14:paraId="11EB09C5">
            <w:pPr>
              <w:adjustRightInd w:val="0"/>
              <w:snapToGrid w:val="0"/>
              <w:spacing w:line="400" w:lineRule="atLeast"/>
              <w:ind w:firstLine="480"/>
              <w:jc w:val="center"/>
              <w:rPr>
                <w:rFonts w:ascii="Arial" w:hAnsi="Arial" w:cs="Arial"/>
                <w:sz w:val="24"/>
              </w:rPr>
            </w:pPr>
          </w:p>
        </w:tc>
      </w:tr>
      <w:tr w14:paraId="272FB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566EBC4F">
            <w:pPr>
              <w:adjustRightInd w:val="0"/>
              <w:snapToGrid w:val="0"/>
              <w:spacing w:line="400" w:lineRule="atLeast"/>
              <w:ind w:firstLine="480"/>
              <w:jc w:val="center"/>
              <w:rPr>
                <w:rFonts w:ascii="Arial" w:hAnsi="Arial" w:cs="Arial"/>
                <w:sz w:val="24"/>
              </w:rPr>
            </w:pPr>
          </w:p>
        </w:tc>
        <w:tc>
          <w:tcPr>
            <w:tcW w:w="1388" w:type="dxa"/>
          </w:tcPr>
          <w:p w14:paraId="27643F4A">
            <w:pPr>
              <w:adjustRightInd w:val="0"/>
              <w:snapToGrid w:val="0"/>
              <w:spacing w:line="400" w:lineRule="atLeast"/>
              <w:ind w:firstLine="480"/>
              <w:jc w:val="center"/>
              <w:rPr>
                <w:rFonts w:ascii="Arial" w:hAnsi="Arial" w:cs="Arial"/>
                <w:sz w:val="24"/>
              </w:rPr>
            </w:pPr>
          </w:p>
        </w:tc>
        <w:tc>
          <w:tcPr>
            <w:tcW w:w="1163" w:type="dxa"/>
          </w:tcPr>
          <w:p w14:paraId="04025F72">
            <w:pPr>
              <w:adjustRightInd w:val="0"/>
              <w:snapToGrid w:val="0"/>
              <w:spacing w:line="400" w:lineRule="atLeast"/>
              <w:ind w:firstLine="480"/>
              <w:jc w:val="center"/>
              <w:rPr>
                <w:rFonts w:ascii="Arial" w:hAnsi="Arial" w:cs="Arial"/>
                <w:sz w:val="24"/>
              </w:rPr>
            </w:pPr>
          </w:p>
        </w:tc>
        <w:tc>
          <w:tcPr>
            <w:tcW w:w="1704" w:type="dxa"/>
          </w:tcPr>
          <w:p w14:paraId="5C79F242">
            <w:pPr>
              <w:adjustRightInd w:val="0"/>
              <w:snapToGrid w:val="0"/>
              <w:spacing w:line="400" w:lineRule="atLeast"/>
              <w:ind w:firstLine="480"/>
              <w:jc w:val="center"/>
              <w:rPr>
                <w:rFonts w:ascii="Arial" w:hAnsi="Arial" w:cs="Arial"/>
                <w:sz w:val="24"/>
              </w:rPr>
            </w:pPr>
          </w:p>
        </w:tc>
        <w:tc>
          <w:tcPr>
            <w:tcW w:w="2199" w:type="dxa"/>
          </w:tcPr>
          <w:p w14:paraId="46089E4E">
            <w:pPr>
              <w:adjustRightInd w:val="0"/>
              <w:snapToGrid w:val="0"/>
              <w:spacing w:line="400" w:lineRule="atLeast"/>
              <w:ind w:firstLine="480"/>
              <w:jc w:val="center"/>
              <w:rPr>
                <w:rFonts w:ascii="Arial" w:hAnsi="Arial" w:cs="Arial"/>
                <w:sz w:val="24"/>
              </w:rPr>
            </w:pPr>
          </w:p>
        </w:tc>
      </w:tr>
      <w:tr w14:paraId="3CDDD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6FFA30B8">
            <w:pPr>
              <w:adjustRightInd w:val="0"/>
              <w:snapToGrid w:val="0"/>
              <w:spacing w:line="400" w:lineRule="atLeast"/>
              <w:ind w:firstLine="480"/>
              <w:jc w:val="center"/>
              <w:rPr>
                <w:rFonts w:ascii="Arial" w:hAnsi="Arial" w:cs="Arial"/>
                <w:sz w:val="24"/>
              </w:rPr>
            </w:pPr>
          </w:p>
        </w:tc>
        <w:tc>
          <w:tcPr>
            <w:tcW w:w="1388" w:type="dxa"/>
          </w:tcPr>
          <w:p w14:paraId="34C2BAF3">
            <w:pPr>
              <w:adjustRightInd w:val="0"/>
              <w:snapToGrid w:val="0"/>
              <w:spacing w:line="400" w:lineRule="atLeast"/>
              <w:ind w:firstLine="480"/>
              <w:jc w:val="center"/>
              <w:rPr>
                <w:rFonts w:ascii="Arial" w:hAnsi="Arial" w:cs="Arial"/>
                <w:sz w:val="24"/>
              </w:rPr>
            </w:pPr>
          </w:p>
        </w:tc>
        <w:tc>
          <w:tcPr>
            <w:tcW w:w="1163" w:type="dxa"/>
          </w:tcPr>
          <w:p w14:paraId="490EC89E">
            <w:pPr>
              <w:adjustRightInd w:val="0"/>
              <w:snapToGrid w:val="0"/>
              <w:spacing w:line="400" w:lineRule="atLeast"/>
              <w:ind w:firstLine="480"/>
              <w:jc w:val="center"/>
              <w:rPr>
                <w:rFonts w:ascii="Arial" w:hAnsi="Arial" w:cs="Arial"/>
                <w:sz w:val="24"/>
              </w:rPr>
            </w:pPr>
          </w:p>
        </w:tc>
        <w:tc>
          <w:tcPr>
            <w:tcW w:w="1704" w:type="dxa"/>
          </w:tcPr>
          <w:p w14:paraId="2CE792CD">
            <w:pPr>
              <w:adjustRightInd w:val="0"/>
              <w:snapToGrid w:val="0"/>
              <w:spacing w:line="400" w:lineRule="atLeast"/>
              <w:ind w:firstLine="480"/>
              <w:jc w:val="center"/>
              <w:rPr>
                <w:rFonts w:ascii="Arial" w:hAnsi="Arial" w:cs="Arial"/>
                <w:sz w:val="24"/>
              </w:rPr>
            </w:pPr>
          </w:p>
        </w:tc>
        <w:tc>
          <w:tcPr>
            <w:tcW w:w="2199" w:type="dxa"/>
          </w:tcPr>
          <w:p w14:paraId="586D759F">
            <w:pPr>
              <w:adjustRightInd w:val="0"/>
              <w:snapToGrid w:val="0"/>
              <w:spacing w:line="400" w:lineRule="atLeast"/>
              <w:ind w:firstLine="480"/>
              <w:jc w:val="center"/>
              <w:rPr>
                <w:rFonts w:ascii="Arial" w:hAnsi="Arial" w:cs="Arial"/>
                <w:sz w:val="24"/>
              </w:rPr>
            </w:pPr>
          </w:p>
        </w:tc>
      </w:tr>
      <w:tr w14:paraId="102BD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67D4B770">
            <w:pPr>
              <w:adjustRightInd w:val="0"/>
              <w:snapToGrid w:val="0"/>
              <w:spacing w:line="400" w:lineRule="atLeast"/>
              <w:ind w:firstLine="480"/>
              <w:jc w:val="center"/>
              <w:rPr>
                <w:rFonts w:ascii="Arial" w:hAnsi="Arial" w:cs="Arial"/>
                <w:sz w:val="24"/>
              </w:rPr>
            </w:pPr>
          </w:p>
        </w:tc>
        <w:tc>
          <w:tcPr>
            <w:tcW w:w="1388" w:type="dxa"/>
          </w:tcPr>
          <w:p w14:paraId="4A5E01E8">
            <w:pPr>
              <w:adjustRightInd w:val="0"/>
              <w:snapToGrid w:val="0"/>
              <w:spacing w:line="400" w:lineRule="atLeast"/>
              <w:ind w:firstLine="480"/>
              <w:jc w:val="center"/>
              <w:rPr>
                <w:rFonts w:ascii="Arial" w:hAnsi="Arial" w:cs="Arial"/>
                <w:sz w:val="24"/>
              </w:rPr>
            </w:pPr>
          </w:p>
        </w:tc>
        <w:tc>
          <w:tcPr>
            <w:tcW w:w="1163" w:type="dxa"/>
          </w:tcPr>
          <w:p w14:paraId="5CD88C38">
            <w:pPr>
              <w:adjustRightInd w:val="0"/>
              <w:snapToGrid w:val="0"/>
              <w:spacing w:line="400" w:lineRule="atLeast"/>
              <w:ind w:firstLine="480"/>
              <w:jc w:val="center"/>
              <w:rPr>
                <w:rFonts w:ascii="Arial" w:hAnsi="Arial" w:cs="Arial"/>
                <w:sz w:val="24"/>
              </w:rPr>
            </w:pPr>
          </w:p>
        </w:tc>
        <w:tc>
          <w:tcPr>
            <w:tcW w:w="1704" w:type="dxa"/>
          </w:tcPr>
          <w:p w14:paraId="452BD61A">
            <w:pPr>
              <w:adjustRightInd w:val="0"/>
              <w:snapToGrid w:val="0"/>
              <w:spacing w:line="400" w:lineRule="atLeast"/>
              <w:ind w:firstLine="480"/>
              <w:jc w:val="center"/>
              <w:rPr>
                <w:rFonts w:ascii="Arial" w:hAnsi="Arial" w:cs="Arial"/>
                <w:sz w:val="24"/>
              </w:rPr>
            </w:pPr>
          </w:p>
        </w:tc>
        <w:tc>
          <w:tcPr>
            <w:tcW w:w="2199" w:type="dxa"/>
          </w:tcPr>
          <w:p w14:paraId="67605658">
            <w:pPr>
              <w:adjustRightInd w:val="0"/>
              <w:snapToGrid w:val="0"/>
              <w:spacing w:line="400" w:lineRule="atLeast"/>
              <w:ind w:firstLine="480"/>
              <w:jc w:val="center"/>
              <w:rPr>
                <w:rFonts w:ascii="Arial" w:hAnsi="Arial" w:cs="Arial"/>
                <w:sz w:val="24"/>
              </w:rPr>
            </w:pPr>
          </w:p>
        </w:tc>
      </w:tr>
      <w:tr w14:paraId="1F652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329A20DD">
            <w:pPr>
              <w:adjustRightInd w:val="0"/>
              <w:snapToGrid w:val="0"/>
              <w:spacing w:line="400" w:lineRule="atLeast"/>
              <w:ind w:firstLine="480"/>
              <w:jc w:val="center"/>
              <w:rPr>
                <w:rFonts w:ascii="Arial" w:hAnsi="Arial" w:cs="Arial"/>
                <w:sz w:val="24"/>
              </w:rPr>
            </w:pPr>
          </w:p>
        </w:tc>
        <w:tc>
          <w:tcPr>
            <w:tcW w:w="1388" w:type="dxa"/>
          </w:tcPr>
          <w:p w14:paraId="389B0DCA">
            <w:pPr>
              <w:adjustRightInd w:val="0"/>
              <w:snapToGrid w:val="0"/>
              <w:spacing w:line="400" w:lineRule="atLeast"/>
              <w:ind w:firstLine="480"/>
              <w:jc w:val="center"/>
              <w:rPr>
                <w:rFonts w:ascii="Arial" w:hAnsi="Arial" w:cs="Arial"/>
                <w:sz w:val="24"/>
              </w:rPr>
            </w:pPr>
          </w:p>
        </w:tc>
        <w:tc>
          <w:tcPr>
            <w:tcW w:w="1163" w:type="dxa"/>
          </w:tcPr>
          <w:p w14:paraId="52DEABC6">
            <w:pPr>
              <w:adjustRightInd w:val="0"/>
              <w:snapToGrid w:val="0"/>
              <w:spacing w:line="400" w:lineRule="atLeast"/>
              <w:ind w:firstLine="480"/>
              <w:jc w:val="center"/>
              <w:rPr>
                <w:rFonts w:ascii="Arial" w:hAnsi="Arial" w:cs="Arial"/>
                <w:sz w:val="24"/>
              </w:rPr>
            </w:pPr>
          </w:p>
        </w:tc>
        <w:tc>
          <w:tcPr>
            <w:tcW w:w="1704" w:type="dxa"/>
          </w:tcPr>
          <w:p w14:paraId="13285520">
            <w:pPr>
              <w:adjustRightInd w:val="0"/>
              <w:snapToGrid w:val="0"/>
              <w:spacing w:line="400" w:lineRule="atLeast"/>
              <w:ind w:firstLine="480"/>
              <w:jc w:val="center"/>
              <w:rPr>
                <w:rFonts w:ascii="Arial" w:hAnsi="Arial" w:cs="Arial"/>
                <w:sz w:val="24"/>
              </w:rPr>
            </w:pPr>
          </w:p>
        </w:tc>
        <w:tc>
          <w:tcPr>
            <w:tcW w:w="2199" w:type="dxa"/>
          </w:tcPr>
          <w:p w14:paraId="2633109E">
            <w:pPr>
              <w:adjustRightInd w:val="0"/>
              <w:snapToGrid w:val="0"/>
              <w:spacing w:line="400" w:lineRule="atLeast"/>
              <w:ind w:firstLine="480"/>
              <w:jc w:val="center"/>
              <w:rPr>
                <w:rFonts w:ascii="Arial" w:hAnsi="Arial" w:cs="Arial"/>
                <w:sz w:val="24"/>
              </w:rPr>
            </w:pPr>
          </w:p>
        </w:tc>
      </w:tr>
      <w:tr w14:paraId="02A25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2CB44C8E">
            <w:pPr>
              <w:adjustRightInd w:val="0"/>
              <w:snapToGrid w:val="0"/>
              <w:spacing w:line="400" w:lineRule="atLeast"/>
              <w:ind w:firstLine="480"/>
              <w:jc w:val="center"/>
              <w:rPr>
                <w:rFonts w:ascii="Arial" w:hAnsi="Arial" w:cs="Arial"/>
                <w:sz w:val="24"/>
              </w:rPr>
            </w:pPr>
          </w:p>
        </w:tc>
        <w:tc>
          <w:tcPr>
            <w:tcW w:w="1388" w:type="dxa"/>
          </w:tcPr>
          <w:p w14:paraId="3EFABA56">
            <w:pPr>
              <w:adjustRightInd w:val="0"/>
              <w:snapToGrid w:val="0"/>
              <w:spacing w:line="400" w:lineRule="atLeast"/>
              <w:ind w:firstLine="480"/>
              <w:jc w:val="center"/>
              <w:rPr>
                <w:rFonts w:ascii="Arial" w:hAnsi="Arial" w:cs="Arial"/>
                <w:sz w:val="24"/>
              </w:rPr>
            </w:pPr>
          </w:p>
        </w:tc>
        <w:tc>
          <w:tcPr>
            <w:tcW w:w="1163" w:type="dxa"/>
          </w:tcPr>
          <w:p w14:paraId="10F072AB">
            <w:pPr>
              <w:adjustRightInd w:val="0"/>
              <w:snapToGrid w:val="0"/>
              <w:spacing w:line="400" w:lineRule="atLeast"/>
              <w:ind w:firstLine="480"/>
              <w:jc w:val="center"/>
              <w:rPr>
                <w:rFonts w:ascii="Arial" w:hAnsi="Arial" w:cs="Arial"/>
                <w:sz w:val="24"/>
              </w:rPr>
            </w:pPr>
          </w:p>
        </w:tc>
        <w:tc>
          <w:tcPr>
            <w:tcW w:w="1704" w:type="dxa"/>
          </w:tcPr>
          <w:p w14:paraId="6DCE184A">
            <w:pPr>
              <w:adjustRightInd w:val="0"/>
              <w:snapToGrid w:val="0"/>
              <w:spacing w:line="400" w:lineRule="atLeast"/>
              <w:ind w:firstLine="480"/>
              <w:jc w:val="center"/>
              <w:rPr>
                <w:rFonts w:ascii="Arial" w:hAnsi="Arial" w:cs="Arial"/>
                <w:sz w:val="24"/>
              </w:rPr>
            </w:pPr>
          </w:p>
        </w:tc>
        <w:tc>
          <w:tcPr>
            <w:tcW w:w="2199" w:type="dxa"/>
          </w:tcPr>
          <w:p w14:paraId="4750E743">
            <w:pPr>
              <w:adjustRightInd w:val="0"/>
              <w:snapToGrid w:val="0"/>
              <w:spacing w:line="400" w:lineRule="atLeast"/>
              <w:ind w:firstLine="480"/>
              <w:jc w:val="center"/>
              <w:rPr>
                <w:rFonts w:ascii="Arial" w:hAnsi="Arial" w:cs="Arial"/>
                <w:sz w:val="24"/>
              </w:rPr>
            </w:pPr>
          </w:p>
        </w:tc>
      </w:tr>
      <w:tr w14:paraId="232D3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56C8531C">
            <w:pPr>
              <w:adjustRightInd w:val="0"/>
              <w:snapToGrid w:val="0"/>
              <w:spacing w:line="400" w:lineRule="atLeast"/>
              <w:ind w:firstLine="480"/>
              <w:jc w:val="center"/>
              <w:rPr>
                <w:rFonts w:ascii="Arial" w:hAnsi="Arial" w:cs="Arial"/>
                <w:sz w:val="24"/>
              </w:rPr>
            </w:pPr>
          </w:p>
        </w:tc>
        <w:tc>
          <w:tcPr>
            <w:tcW w:w="1388" w:type="dxa"/>
          </w:tcPr>
          <w:p w14:paraId="6B5681F6">
            <w:pPr>
              <w:adjustRightInd w:val="0"/>
              <w:snapToGrid w:val="0"/>
              <w:spacing w:line="400" w:lineRule="atLeast"/>
              <w:ind w:firstLine="480"/>
              <w:jc w:val="center"/>
              <w:rPr>
                <w:rFonts w:ascii="Arial" w:hAnsi="Arial" w:cs="Arial"/>
                <w:sz w:val="24"/>
              </w:rPr>
            </w:pPr>
          </w:p>
        </w:tc>
        <w:tc>
          <w:tcPr>
            <w:tcW w:w="1163" w:type="dxa"/>
          </w:tcPr>
          <w:p w14:paraId="3B71AD95">
            <w:pPr>
              <w:adjustRightInd w:val="0"/>
              <w:snapToGrid w:val="0"/>
              <w:spacing w:line="400" w:lineRule="atLeast"/>
              <w:ind w:firstLine="480"/>
              <w:jc w:val="center"/>
              <w:rPr>
                <w:rFonts w:ascii="Arial" w:hAnsi="Arial" w:cs="Arial"/>
                <w:sz w:val="24"/>
              </w:rPr>
            </w:pPr>
          </w:p>
        </w:tc>
        <w:tc>
          <w:tcPr>
            <w:tcW w:w="1704" w:type="dxa"/>
          </w:tcPr>
          <w:p w14:paraId="253CDBE9">
            <w:pPr>
              <w:adjustRightInd w:val="0"/>
              <w:snapToGrid w:val="0"/>
              <w:spacing w:line="400" w:lineRule="atLeast"/>
              <w:ind w:firstLine="480"/>
              <w:jc w:val="center"/>
              <w:rPr>
                <w:rFonts w:ascii="Arial" w:hAnsi="Arial" w:cs="Arial"/>
                <w:sz w:val="24"/>
              </w:rPr>
            </w:pPr>
          </w:p>
        </w:tc>
        <w:tc>
          <w:tcPr>
            <w:tcW w:w="2199" w:type="dxa"/>
          </w:tcPr>
          <w:p w14:paraId="7086E9D1">
            <w:pPr>
              <w:adjustRightInd w:val="0"/>
              <w:snapToGrid w:val="0"/>
              <w:spacing w:line="400" w:lineRule="atLeast"/>
              <w:ind w:firstLine="480"/>
              <w:jc w:val="center"/>
              <w:rPr>
                <w:rFonts w:ascii="Arial" w:hAnsi="Arial" w:cs="Arial"/>
                <w:sz w:val="24"/>
              </w:rPr>
            </w:pPr>
          </w:p>
        </w:tc>
      </w:tr>
      <w:tr w14:paraId="76369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jc w:val="center"/>
        </w:trPr>
        <w:tc>
          <w:tcPr>
            <w:tcW w:w="2602" w:type="dxa"/>
          </w:tcPr>
          <w:p w14:paraId="31A09719">
            <w:pPr>
              <w:adjustRightInd w:val="0"/>
              <w:snapToGrid w:val="0"/>
              <w:spacing w:line="400" w:lineRule="atLeast"/>
              <w:ind w:firstLine="480"/>
              <w:jc w:val="center"/>
              <w:rPr>
                <w:rFonts w:ascii="Arial" w:hAnsi="Arial" w:cs="Arial"/>
                <w:sz w:val="24"/>
              </w:rPr>
            </w:pPr>
          </w:p>
        </w:tc>
        <w:tc>
          <w:tcPr>
            <w:tcW w:w="1388" w:type="dxa"/>
          </w:tcPr>
          <w:p w14:paraId="26F4F18E">
            <w:pPr>
              <w:adjustRightInd w:val="0"/>
              <w:snapToGrid w:val="0"/>
              <w:spacing w:line="400" w:lineRule="atLeast"/>
              <w:ind w:firstLine="480"/>
              <w:jc w:val="center"/>
              <w:rPr>
                <w:rFonts w:ascii="Arial" w:hAnsi="Arial" w:cs="Arial"/>
                <w:sz w:val="24"/>
              </w:rPr>
            </w:pPr>
          </w:p>
        </w:tc>
        <w:tc>
          <w:tcPr>
            <w:tcW w:w="1163" w:type="dxa"/>
          </w:tcPr>
          <w:p w14:paraId="78DD6D16">
            <w:pPr>
              <w:adjustRightInd w:val="0"/>
              <w:snapToGrid w:val="0"/>
              <w:spacing w:line="400" w:lineRule="atLeast"/>
              <w:ind w:firstLine="480"/>
              <w:jc w:val="center"/>
              <w:rPr>
                <w:rFonts w:ascii="Arial" w:hAnsi="Arial" w:cs="Arial"/>
                <w:sz w:val="24"/>
              </w:rPr>
            </w:pPr>
          </w:p>
        </w:tc>
        <w:tc>
          <w:tcPr>
            <w:tcW w:w="1704" w:type="dxa"/>
          </w:tcPr>
          <w:p w14:paraId="5CBD4473">
            <w:pPr>
              <w:adjustRightInd w:val="0"/>
              <w:snapToGrid w:val="0"/>
              <w:spacing w:line="400" w:lineRule="atLeast"/>
              <w:ind w:firstLine="480"/>
              <w:jc w:val="center"/>
              <w:rPr>
                <w:rFonts w:ascii="Arial" w:hAnsi="Arial" w:cs="Arial"/>
                <w:sz w:val="24"/>
              </w:rPr>
            </w:pPr>
          </w:p>
        </w:tc>
        <w:tc>
          <w:tcPr>
            <w:tcW w:w="2199" w:type="dxa"/>
          </w:tcPr>
          <w:p w14:paraId="002D5A8C">
            <w:pPr>
              <w:adjustRightInd w:val="0"/>
              <w:snapToGrid w:val="0"/>
              <w:spacing w:line="400" w:lineRule="atLeast"/>
              <w:ind w:firstLine="480"/>
              <w:jc w:val="center"/>
              <w:rPr>
                <w:rFonts w:ascii="Arial" w:hAnsi="Arial" w:cs="Arial"/>
                <w:sz w:val="24"/>
              </w:rPr>
            </w:pPr>
          </w:p>
        </w:tc>
      </w:tr>
    </w:tbl>
    <w:p w14:paraId="3970485A">
      <w:pPr>
        <w:ind w:firstLine="420"/>
      </w:pPr>
      <w:r>
        <w:rPr>
          <w:rFonts w:hint="eastAsia"/>
        </w:rPr>
        <w:t>供应商（公章）：</w:t>
      </w:r>
    </w:p>
    <w:p w14:paraId="4B006BE7">
      <w:pPr>
        <w:ind w:firstLine="420"/>
      </w:pPr>
    </w:p>
    <w:p w14:paraId="4C06E083">
      <w:pPr>
        <w:ind w:firstLine="420"/>
      </w:pPr>
      <w:r>
        <w:rPr>
          <w:rFonts w:hint="eastAsia"/>
        </w:rPr>
        <w:t>法定代表人或授权委托人（签字）：</w:t>
      </w:r>
    </w:p>
    <w:p w14:paraId="6F33A26F">
      <w:pPr>
        <w:ind w:firstLine="420"/>
      </w:pPr>
    </w:p>
    <w:p w14:paraId="4B71EF2E">
      <w:pPr>
        <w:ind w:firstLine="420"/>
      </w:pPr>
      <w:r>
        <w:rPr>
          <w:rFonts w:hint="eastAsia"/>
        </w:rPr>
        <w:t>日 期：    年   月   日</w:t>
      </w:r>
    </w:p>
    <w:p w14:paraId="7F30C63D">
      <w:pPr>
        <w:keepNext/>
        <w:keepLines/>
        <w:ind w:firstLine="422"/>
        <w:outlineLvl w:val="2"/>
        <w:rPr>
          <w:b/>
          <w:bCs/>
          <w:szCs w:val="32"/>
        </w:rPr>
      </w:pPr>
      <w:r>
        <w:rPr>
          <w:b/>
          <w:bCs/>
          <w:szCs w:val="32"/>
        </w:rPr>
        <w:br w:type="page"/>
      </w:r>
      <w:r>
        <w:rPr>
          <w:rFonts w:hint="eastAsia"/>
          <w:b/>
          <w:bCs/>
          <w:szCs w:val="32"/>
        </w:rPr>
        <w:t>附件十 服务项目负责人情况表</w:t>
      </w:r>
    </w:p>
    <w:p w14:paraId="61CB2522">
      <w:pPr>
        <w:ind w:firstLine="0" w:firstLineChars="0"/>
      </w:pPr>
    </w:p>
    <w:tbl>
      <w:tblPr>
        <w:tblStyle w:val="46"/>
        <w:tblW w:w="0" w:type="auto"/>
        <w:tblInd w:w="0" w:type="dxa"/>
        <w:tblLayout w:type="fixed"/>
        <w:tblCellMar>
          <w:top w:w="0" w:type="dxa"/>
          <w:left w:w="108" w:type="dxa"/>
          <w:bottom w:w="0" w:type="dxa"/>
          <w:right w:w="108" w:type="dxa"/>
        </w:tblCellMar>
      </w:tblPr>
      <w:tblGrid>
        <w:gridCol w:w="2061"/>
        <w:gridCol w:w="1824"/>
        <w:gridCol w:w="5402"/>
      </w:tblGrid>
      <w:tr w14:paraId="470B0D02">
        <w:tblPrEx>
          <w:tblCellMar>
            <w:top w:w="0" w:type="dxa"/>
            <w:left w:w="108" w:type="dxa"/>
            <w:bottom w:w="0" w:type="dxa"/>
            <w:right w:w="108" w:type="dxa"/>
          </w:tblCellMar>
        </w:tblPrEx>
        <w:trPr>
          <w:trHeight w:val="629" w:hRule="atLeast"/>
        </w:trPr>
        <w:tc>
          <w:tcPr>
            <w:tcW w:w="2061" w:type="dxa"/>
            <w:tcBorders>
              <w:top w:val="single" w:color="auto" w:sz="6" w:space="0"/>
              <w:left w:val="single" w:color="auto" w:sz="6" w:space="0"/>
              <w:bottom w:val="single" w:color="auto" w:sz="6" w:space="0"/>
              <w:right w:val="single" w:color="auto" w:sz="6" w:space="0"/>
            </w:tcBorders>
            <w:vAlign w:val="center"/>
          </w:tcPr>
          <w:p w14:paraId="0F36BAEF">
            <w:pPr>
              <w:adjustRightInd w:val="0"/>
              <w:snapToGrid w:val="0"/>
              <w:spacing w:line="400" w:lineRule="exact"/>
              <w:ind w:firstLine="0" w:firstLineChars="0"/>
              <w:jc w:val="center"/>
              <w:rPr>
                <w:rFonts w:ascii="Arial" w:hAnsi="Arial" w:cs="Arial"/>
              </w:rPr>
            </w:pPr>
            <w:r>
              <w:rPr>
                <w:rFonts w:ascii="Arial" w:hAnsi="Arial" w:cs="Arial"/>
                <w:lang w:val="zh-CN"/>
              </w:rPr>
              <w:t>姓名</w:t>
            </w:r>
          </w:p>
        </w:tc>
        <w:tc>
          <w:tcPr>
            <w:tcW w:w="1824" w:type="dxa"/>
            <w:tcBorders>
              <w:top w:val="single" w:color="auto" w:sz="6" w:space="0"/>
              <w:left w:val="single" w:color="auto" w:sz="6" w:space="0"/>
              <w:bottom w:val="single" w:color="auto" w:sz="6" w:space="0"/>
              <w:right w:val="single" w:color="auto" w:sz="6" w:space="0"/>
            </w:tcBorders>
            <w:vAlign w:val="center"/>
          </w:tcPr>
          <w:p w14:paraId="5A95880A">
            <w:pPr>
              <w:adjustRightInd w:val="0"/>
              <w:snapToGrid w:val="0"/>
              <w:spacing w:line="400" w:lineRule="exact"/>
              <w:ind w:firstLine="0" w:firstLineChars="0"/>
              <w:jc w:val="center"/>
              <w:rPr>
                <w:rFonts w:ascii="Arial" w:hAnsi="Arial" w:cs="Arial"/>
              </w:rPr>
            </w:pPr>
          </w:p>
        </w:tc>
        <w:tc>
          <w:tcPr>
            <w:tcW w:w="5402" w:type="dxa"/>
            <w:tcBorders>
              <w:top w:val="single" w:color="auto" w:sz="6" w:space="0"/>
              <w:left w:val="single" w:color="auto" w:sz="6" w:space="0"/>
              <w:bottom w:val="single" w:color="auto" w:sz="6" w:space="0"/>
              <w:right w:val="single" w:color="auto" w:sz="6" w:space="0"/>
            </w:tcBorders>
            <w:vAlign w:val="center"/>
          </w:tcPr>
          <w:p w14:paraId="7DF4A047">
            <w:pPr>
              <w:adjustRightInd w:val="0"/>
              <w:snapToGrid w:val="0"/>
              <w:spacing w:line="400" w:lineRule="exact"/>
              <w:ind w:firstLine="0" w:firstLineChars="0"/>
              <w:jc w:val="center"/>
              <w:rPr>
                <w:rFonts w:ascii="Arial" w:hAnsi="Arial" w:cs="Arial"/>
              </w:rPr>
            </w:pPr>
            <w:r>
              <w:rPr>
                <w:rFonts w:ascii="Arial" w:hAnsi="Arial" w:cs="Arial"/>
                <w:lang w:val="zh-CN"/>
              </w:rPr>
              <w:t>业绩及承担的主要工作情况</w:t>
            </w:r>
          </w:p>
        </w:tc>
      </w:tr>
      <w:tr w14:paraId="50D5E880">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54574B8">
            <w:pPr>
              <w:adjustRightInd w:val="0"/>
              <w:snapToGrid w:val="0"/>
              <w:spacing w:line="400" w:lineRule="exact"/>
              <w:ind w:firstLine="0" w:firstLineChars="0"/>
              <w:jc w:val="center"/>
              <w:rPr>
                <w:rFonts w:ascii="Arial" w:hAnsi="Arial" w:cs="Arial"/>
              </w:rPr>
            </w:pPr>
            <w:r>
              <w:rPr>
                <w:rFonts w:ascii="Arial" w:hAnsi="Arial" w:cs="Arial"/>
                <w:lang w:val="zh-CN"/>
              </w:rPr>
              <w:t>性别</w:t>
            </w:r>
          </w:p>
        </w:tc>
        <w:tc>
          <w:tcPr>
            <w:tcW w:w="1824" w:type="dxa"/>
            <w:tcBorders>
              <w:top w:val="single" w:color="auto" w:sz="6" w:space="0"/>
              <w:left w:val="single" w:color="auto" w:sz="6" w:space="0"/>
              <w:bottom w:val="single" w:color="auto" w:sz="6" w:space="0"/>
              <w:right w:val="single" w:color="auto" w:sz="6" w:space="0"/>
            </w:tcBorders>
            <w:vAlign w:val="center"/>
          </w:tcPr>
          <w:p w14:paraId="3E674841">
            <w:pPr>
              <w:adjustRightInd w:val="0"/>
              <w:snapToGrid w:val="0"/>
              <w:spacing w:line="400" w:lineRule="exact"/>
              <w:ind w:firstLine="0" w:firstLineChars="0"/>
              <w:jc w:val="center"/>
              <w:rPr>
                <w:rFonts w:ascii="Arial" w:hAnsi="Arial" w:cs="Arial"/>
              </w:rPr>
            </w:pPr>
          </w:p>
        </w:tc>
        <w:tc>
          <w:tcPr>
            <w:tcW w:w="5402" w:type="dxa"/>
            <w:vMerge w:val="restart"/>
            <w:tcBorders>
              <w:top w:val="single" w:color="auto" w:sz="6" w:space="0"/>
              <w:left w:val="single" w:color="auto" w:sz="6" w:space="0"/>
              <w:bottom w:val="single" w:color="auto" w:sz="6" w:space="0"/>
              <w:right w:val="single" w:color="auto" w:sz="6" w:space="0"/>
            </w:tcBorders>
            <w:vAlign w:val="center"/>
          </w:tcPr>
          <w:p w14:paraId="6BF0ADC8">
            <w:pPr>
              <w:adjustRightInd w:val="0"/>
              <w:snapToGrid w:val="0"/>
              <w:spacing w:after="120" w:afterLines="50"/>
              <w:ind w:firstLine="0" w:firstLineChars="0"/>
              <w:jc w:val="center"/>
              <w:rPr>
                <w:rFonts w:ascii="Arial" w:hAnsi="Arial" w:cs="Arial"/>
              </w:rPr>
            </w:pPr>
          </w:p>
        </w:tc>
      </w:tr>
      <w:tr w14:paraId="4EE58BAC">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vAlign w:val="center"/>
          </w:tcPr>
          <w:p w14:paraId="58974555">
            <w:pPr>
              <w:adjustRightInd w:val="0"/>
              <w:snapToGrid w:val="0"/>
              <w:spacing w:line="400" w:lineRule="exact"/>
              <w:ind w:firstLine="0" w:firstLineChars="0"/>
              <w:jc w:val="center"/>
              <w:rPr>
                <w:rFonts w:ascii="Arial" w:hAnsi="Arial" w:cs="Arial"/>
              </w:rPr>
            </w:pPr>
            <w:r>
              <w:rPr>
                <w:rFonts w:ascii="Arial" w:hAnsi="Arial" w:cs="Arial"/>
                <w:lang w:val="zh-CN"/>
              </w:rPr>
              <w:t>年龄</w:t>
            </w:r>
          </w:p>
        </w:tc>
        <w:tc>
          <w:tcPr>
            <w:tcW w:w="1824" w:type="dxa"/>
            <w:tcBorders>
              <w:top w:val="single" w:color="auto" w:sz="6" w:space="0"/>
              <w:left w:val="single" w:color="auto" w:sz="6" w:space="0"/>
              <w:bottom w:val="single" w:color="auto" w:sz="6" w:space="0"/>
              <w:right w:val="single" w:color="auto" w:sz="6" w:space="0"/>
            </w:tcBorders>
            <w:vAlign w:val="center"/>
          </w:tcPr>
          <w:p w14:paraId="71989B70">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57F4651E">
            <w:pPr>
              <w:adjustRightInd w:val="0"/>
              <w:snapToGrid w:val="0"/>
              <w:spacing w:after="120" w:afterLines="50"/>
              <w:ind w:firstLine="0" w:firstLineChars="0"/>
              <w:jc w:val="center"/>
              <w:rPr>
                <w:rFonts w:ascii="Arial" w:hAnsi="Arial" w:cs="Arial"/>
              </w:rPr>
            </w:pPr>
          </w:p>
        </w:tc>
      </w:tr>
      <w:tr w14:paraId="60CF9431">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CC87BD6">
            <w:pPr>
              <w:adjustRightInd w:val="0"/>
              <w:snapToGrid w:val="0"/>
              <w:spacing w:line="400" w:lineRule="exact"/>
              <w:ind w:firstLine="0" w:firstLineChars="0"/>
              <w:jc w:val="center"/>
              <w:rPr>
                <w:rFonts w:ascii="Arial" w:hAnsi="Arial" w:cs="Arial"/>
              </w:rPr>
            </w:pPr>
            <w:r>
              <w:rPr>
                <w:rFonts w:ascii="Arial" w:hAnsi="Arial" w:cs="Arial"/>
                <w:lang w:val="zh-CN"/>
              </w:rPr>
              <w:t>职称</w:t>
            </w:r>
          </w:p>
        </w:tc>
        <w:tc>
          <w:tcPr>
            <w:tcW w:w="1824" w:type="dxa"/>
            <w:tcBorders>
              <w:top w:val="single" w:color="auto" w:sz="6" w:space="0"/>
              <w:left w:val="single" w:color="auto" w:sz="6" w:space="0"/>
              <w:bottom w:val="single" w:color="auto" w:sz="6" w:space="0"/>
              <w:right w:val="single" w:color="auto" w:sz="6" w:space="0"/>
            </w:tcBorders>
            <w:vAlign w:val="center"/>
          </w:tcPr>
          <w:p w14:paraId="74BC8DAF">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1A2238A7">
            <w:pPr>
              <w:adjustRightInd w:val="0"/>
              <w:snapToGrid w:val="0"/>
              <w:spacing w:after="120" w:afterLines="50"/>
              <w:ind w:firstLine="0" w:firstLineChars="0"/>
              <w:jc w:val="center"/>
              <w:rPr>
                <w:rFonts w:ascii="Arial" w:hAnsi="Arial" w:cs="Arial"/>
              </w:rPr>
            </w:pPr>
          </w:p>
        </w:tc>
      </w:tr>
      <w:tr w14:paraId="5522812C">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A0911FF">
            <w:pPr>
              <w:adjustRightInd w:val="0"/>
              <w:snapToGrid w:val="0"/>
              <w:spacing w:line="400" w:lineRule="exact"/>
              <w:ind w:firstLine="0" w:firstLineChars="0"/>
              <w:jc w:val="center"/>
              <w:rPr>
                <w:rFonts w:ascii="Arial" w:hAnsi="Arial" w:cs="Arial"/>
              </w:rPr>
            </w:pPr>
            <w:r>
              <w:rPr>
                <w:rFonts w:ascii="Arial" w:hAnsi="Arial" w:cs="Arial"/>
                <w:lang w:val="zh-CN"/>
              </w:rPr>
              <w:t>毕业时间</w:t>
            </w:r>
          </w:p>
        </w:tc>
        <w:tc>
          <w:tcPr>
            <w:tcW w:w="1824" w:type="dxa"/>
            <w:tcBorders>
              <w:top w:val="single" w:color="auto" w:sz="6" w:space="0"/>
              <w:left w:val="single" w:color="auto" w:sz="6" w:space="0"/>
              <w:bottom w:val="single" w:color="auto" w:sz="6" w:space="0"/>
              <w:right w:val="single" w:color="auto" w:sz="6" w:space="0"/>
            </w:tcBorders>
            <w:vAlign w:val="center"/>
          </w:tcPr>
          <w:p w14:paraId="0380F8B2">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4DCBDCB8">
            <w:pPr>
              <w:adjustRightInd w:val="0"/>
              <w:snapToGrid w:val="0"/>
              <w:spacing w:after="120" w:afterLines="50"/>
              <w:ind w:firstLine="0" w:firstLineChars="0"/>
              <w:jc w:val="center"/>
              <w:rPr>
                <w:rFonts w:ascii="Arial" w:hAnsi="Arial" w:cs="Arial"/>
              </w:rPr>
            </w:pPr>
          </w:p>
        </w:tc>
      </w:tr>
      <w:tr w14:paraId="54D255F9">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5B896270">
            <w:pPr>
              <w:adjustRightInd w:val="0"/>
              <w:snapToGrid w:val="0"/>
              <w:spacing w:line="400" w:lineRule="exact"/>
              <w:ind w:firstLine="0" w:firstLineChars="0"/>
              <w:jc w:val="center"/>
              <w:rPr>
                <w:rFonts w:ascii="Arial" w:hAnsi="Arial" w:cs="Arial"/>
              </w:rPr>
            </w:pPr>
            <w:r>
              <w:rPr>
                <w:rFonts w:ascii="Arial" w:hAnsi="Arial" w:cs="Arial"/>
                <w:lang w:val="zh-CN"/>
              </w:rPr>
              <w:t>所学专业</w:t>
            </w:r>
          </w:p>
        </w:tc>
        <w:tc>
          <w:tcPr>
            <w:tcW w:w="1824" w:type="dxa"/>
            <w:tcBorders>
              <w:top w:val="single" w:color="auto" w:sz="6" w:space="0"/>
              <w:left w:val="single" w:color="auto" w:sz="6" w:space="0"/>
              <w:bottom w:val="single" w:color="auto" w:sz="6" w:space="0"/>
              <w:right w:val="single" w:color="auto" w:sz="6" w:space="0"/>
            </w:tcBorders>
            <w:vAlign w:val="center"/>
          </w:tcPr>
          <w:p w14:paraId="408BC8AA">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60B4A980">
            <w:pPr>
              <w:adjustRightInd w:val="0"/>
              <w:snapToGrid w:val="0"/>
              <w:spacing w:after="120" w:afterLines="50"/>
              <w:ind w:firstLine="0" w:firstLineChars="0"/>
              <w:jc w:val="center"/>
              <w:rPr>
                <w:rFonts w:ascii="Arial" w:hAnsi="Arial" w:cs="Arial"/>
              </w:rPr>
            </w:pPr>
          </w:p>
        </w:tc>
      </w:tr>
      <w:tr w14:paraId="26CAC460">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006C61F4">
            <w:pPr>
              <w:adjustRightInd w:val="0"/>
              <w:snapToGrid w:val="0"/>
              <w:spacing w:line="400" w:lineRule="exact"/>
              <w:ind w:firstLine="0" w:firstLineChars="0"/>
              <w:jc w:val="center"/>
              <w:rPr>
                <w:rFonts w:ascii="Arial" w:hAnsi="Arial" w:cs="Arial"/>
              </w:rPr>
            </w:pPr>
            <w:r>
              <w:rPr>
                <w:rFonts w:ascii="Arial" w:hAnsi="Arial" w:cs="Arial"/>
                <w:lang w:val="zh-CN"/>
              </w:rPr>
              <w:t>学历</w:t>
            </w:r>
          </w:p>
        </w:tc>
        <w:tc>
          <w:tcPr>
            <w:tcW w:w="1824" w:type="dxa"/>
            <w:tcBorders>
              <w:top w:val="single" w:color="auto" w:sz="6" w:space="0"/>
              <w:left w:val="single" w:color="auto" w:sz="6" w:space="0"/>
              <w:bottom w:val="single" w:color="auto" w:sz="6" w:space="0"/>
              <w:right w:val="single" w:color="auto" w:sz="6" w:space="0"/>
            </w:tcBorders>
            <w:vAlign w:val="center"/>
          </w:tcPr>
          <w:p w14:paraId="16A03582">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394687FF">
            <w:pPr>
              <w:adjustRightInd w:val="0"/>
              <w:snapToGrid w:val="0"/>
              <w:spacing w:after="120" w:afterLines="50"/>
              <w:ind w:firstLine="0" w:firstLineChars="0"/>
              <w:jc w:val="center"/>
              <w:rPr>
                <w:rFonts w:ascii="Arial" w:hAnsi="Arial" w:cs="Arial"/>
              </w:rPr>
            </w:pPr>
          </w:p>
        </w:tc>
      </w:tr>
      <w:tr w14:paraId="2036B268">
        <w:tblPrEx>
          <w:tblCellMar>
            <w:top w:w="0" w:type="dxa"/>
            <w:left w:w="108" w:type="dxa"/>
            <w:bottom w:w="0" w:type="dxa"/>
            <w:right w:w="108" w:type="dxa"/>
          </w:tblCellMar>
        </w:tblPrEx>
        <w:trPr>
          <w:cantSplit/>
          <w:trHeight w:val="585" w:hRule="atLeast"/>
        </w:trPr>
        <w:tc>
          <w:tcPr>
            <w:tcW w:w="2061" w:type="dxa"/>
            <w:tcBorders>
              <w:top w:val="single" w:color="auto" w:sz="6" w:space="0"/>
              <w:left w:val="single" w:color="auto" w:sz="6" w:space="0"/>
              <w:bottom w:val="single" w:color="auto" w:sz="6" w:space="0"/>
              <w:right w:val="single" w:color="auto" w:sz="6" w:space="0"/>
            </w:tcBorders>
            <w:vAlign w:val="center"/>
          </w:tcPr>
          <w:p w14:paraId="0C8FFD40">
            <w:pPr>
              <w:adjustRightInd w:val="0"/>
              <w:snapToGrid w:val="0"/>
              <w:spacing w:line="400" w:lineRule="exact"/>
              <w:ind w:firstLine="0" w:firstLineChars="0"/>
              <w:jc w:val="center"/>
              <w:rPr>
                <w:rFonts w:ascii="Arial" w:hAnsi="Arial" w:cs="Arial"/>
              </w:rPr>
            </w:pPr>
            <w:r>
              <w:rPr>
                <w:rFonts w:ascii="Arial" w:hAnsi="Arial" w:cs="Arial"/>
                <w:lang w:val="zh-CN"/>
              </w:rPr>
              <w:t>资质证书编号</w:t>
            </w:r>
            <w:r>
              <w:rPr>
                <w:rFonts w:hint="eastAsia" w:ascii="Arial" w:hAnsi="Arial" w:cs="Arial"/>
                <w:lang w:val="zh-CN"/>
              </w:rPr>
              <w:t>(如有)</w:t>
            </w:r>
          </w:p>
        </w:tc>
        <w:tc>
          <w:tcPr>
            <w:tcW w:w="1824" w:type="dxa"/>
            <w:tcBorders>
              <w:top w:val="single" w:color="auto" w:sz="6" w:space="0"/>
              <w:left w:val="single" w:color="auto" w:sz="6" w:space="0"/>
              <w:bottom w:val="single" w:color="auto" w:sz="6" w:space="0"/>
              <w:right w:val="single" w:color="auto" w:sz="6" w:space="0"/>
            </w:tcBorders>
            <w:vAlign w:val="center"/>
          </w:tcPr>
          <w:p w14:paraId="16C91885">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0BBF4B54">
            <w:pPr>
              <w:adjustRightInd w:val="0"/>
              <w:snapToGrid w:val="0"/>
              <w:spacing w:after="120" w:afterLines="50"/>
              <w:ind w:firstLine="0" w:firstLineChars="0"/>
              <w:jc w:val="center"/>
              <w:rPr>
                <w:rFonts w:ascii="Arial" w:hAnsi="Arial" w:cs="Arial"/>
              </w:rPr>
            </w:pPr>
          </w:p>
        </w:tc>
      </w:tr>
      <w:tr w14:paraId="426A648B">
        <w:tblPrEx>
          <w:tblCellMar>
            <w:top w:w="0" w:type="dxa"/>
            <w:left w:w="108" w:type="dxa"/>
            <w:bottom w:w="0" w:type="dxa"/>
            <w:right w:w="108" w:type="dxa"/>
          </w:tblCellMar>
        </w:tblPrEx>
        <w:trPr>
          <w:cantSplit/>
          <w:trHeight w:val="572" w:hRule="atLeast"/>
        </w:trPr>
        <w:tc>
          <w:tcPr>
            <w:tcW w:w="2061" w:type="dxa"/>
            <w:tcBorders>
              <w:top w:val="single" w:color="auto" w:sz="6" w:space="0"/>
              <w:left w:val="single" w:color="auto" w:sz="6" w:space="0"/>
              <w:bottom w:val="single" w:color="auto" w:sz="6" w:space="0"/>
              <w:right w:val="single" w:color="auto" w:sz="6" w:space="0"/>
            </w:tcBorders>
            <w:vAlign w:val="center"/>
          </w:tcPr>
          <w:p w14:paraId="51F62563">
            <w:pPr>
              <w:adjustRightInd w:val="0"/>
              <w:snapToGrid w:val="0"/>
              <w:spacing w:line="400" w:lineRule="exact"/>
              <w:ind w:firstLine="0" w:firstLineChars="0"/>
              <w:jc w:val="center"/>
              <w:rPr>
                <w:rFonts w:ascii="Arial" w:hAnsi="Arial" w:cs="Arial"/>
              </w:rPr>
            </w:pPr>
            <w:r>
              <w:rPr>
                <w:rFonts w:ascii="Arial" w:hAnsi="Arial" w:cs="Arial"/>
                <w:lang w:val="zh-CN"/>
              </w:rPr>
              <w:t>其他资质情况</w:t>
            </w:r>
            <w:r>
              <w:rPr>
                <w:rFonts w:hint="eastAsia" w:ascii="Arial" w:hAnsi="Arial" w:cs="Arial"/>
                <w:lang w:val="zh-CN"/>
              </w:rPr>
              <w:t>(如有)</w:t>
            </w:r>
          </w:p>
        </w:tc>
        <w:tc>
          <w:tcPr>
            <w:tcW w:w="1824" w:type="dxa"/>
            <w:tcBorders>
              <w:top w:val="single" w:color="auto" w:sz="6" w:space="0"/>
              <w:left w:val="single" w:color="auto" w:sz="6" w:space="0"/>
              <w:bottom w:val="single" w:color="auto" w:sz="6" w:space="0"/>
              <w:right w:val="single" w:color="auto" w:sz="6" w:space="0"/>
            </w:tcBorders>
            <w:vAlign w:val="center"/>
          </w:tcPr>
          <w:p w14:paraId="44B4A823">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6141BAD4">
            <w:pPr>
              <w:adjustRightInd w:val="0"/>
              <w:snapToGrid w:val="0"/>
              <w:spacing w:after="120" w:afterLines="50"/>
              <w:ind w:firstLine="0" w:firstLineChars="0"/>
              <w:jc w:val="center"/>
              <w:rPr>
                <w:rFonts w:ascii="Arial" w:hAnsi="Arial" w:cs="Arial"/>
              </w:rPr>
            </w:pPr>
          </w:p>
        </w:tc>
      </w:tr>
      <w:tr w14:paraId="1B3D7019">
        <w:tblPrEx>
          <w:tblCellMar>
            <w:top w:w="0" w:type="dxa"/>
            <w:left w:w="108" w:type="dxa"/>
            <w:bottom w:w="0" w:type="dxa"/>
            <w:right w:w="108" w:type="dxa"/>
          </w:tblCellMar>
        </w:tblPrEx>
        <w:trPr>
          <w:cantSplit/>
          <w:trHeight w:val="473" w:hRule="atLeast"/>
        </w:trPr>
        <w:tc>
          <w:tcPr>
            <w:tcW w:w="2061" w:type="dxa"/>
            <w:tcBorders>
              <w:top w:val="single" w:color="auto" w:sz="6" w:space="0"/>
              <w:left w:val="single" w:color="auto" w:sz="6" w:space="0"/>
              <w:bottom w:val="single" w:color="auto" w:sz="6" w:space="0"/>
              <w:right w:val="single" w:color="auto" w:sz="6" w:space="0"/>
            </w:tcBorders>
            <w:vAlign w:val="center"/>
          </w:tcPr>
          <w:p w14:paraId="7E463968">
            <w:pPr>
              <w:adjustRightInd w:val="0"/>
              <w:snapToGrid w:val="0"/>
              <w:spacing w:line="400" w:lineRule="exact"/>
              <w:ind w:firstLine="0" w:firstLineChars="0"/>
              <w:jc w:val="center"/>
              <w:rPr>
                <w:rFonts w:ascii="Arial" w:hAnsi="Arial" w:cs="Arial"/>
              </w:rPr>
            </w:pPr>
            <w:r>
              <w:rPr>
                <w:rFonts w:ascii="Arial" w:hAnsi="Arial" w:cs="Arial"/>
                <w:lang w:val="zh-CN"/>
              </w:rPr>
              <w:t>联系电话</w:t>
            </w:r>
          </w:p>
        </w:tc>
        <w:tc>
          <w:tcPr>
            <w:tcW w:w="1824" w:type="dxa"/>
            <w:tcBorders>
              <w:top w:val="single" w:color="auto" w:sz="6" w:space="0"/>
              <w:left w:val="single" w:color="auto" w:sz="6" w:space="0"/>
              <w:bottom w:val="single" w:color="auto" w:sz="6" w:space="0"/>
              <w:right w:val="single" w:color="auto" w:sz="6" w:space="0"/>
            </w:tcBorders>
            <w:vAlign w:val="center"/>
          </w:tcPr>
          <w:p w14:paraId="7B0F9615">
            <w:pPr>
              <w:adjustRightInd w:val="0"/>
              <w:snapToGrid w:val="0"/>
              <w:spacing w:line="400" w:lineRule="exact"/>
              <w:ind w:firstLine="0" w:firstLineChars="0"/>
              <w:jc w:val="center"/>
              <w:rPr>
                <w:rFonts w:ascii="Arial" w:hAnsi="Arial" w:cs="Arial"/>
              </w:rPr>
            </w:pPr>
          </w:p>
        </w:tc>
        <w:tc>
          <w:tcPr>
            <w:tcW w:w="5402" w:type="dxa"/>
            <w:vMerge w:val="continue"/>
            <w:tcBorders>
              <w:top w:val="single" w:color="auto" w:sz="6" w:space="0"/>
              <w:left w:val="single" w:color="auto" w:sz="6" w:space="0"/>
              <w:bottom w:val="single" w:color="auto" w:sz="6" w:space="0"/>
              <w:right w:val="single" w:color="auto" w:sz="6" w:space="0"/>
            </w:tcBorders>
            <w:vAlign w:val="center"/>
          </w:tcPr>
          <w:p w14:paraId="7307624E">
            <w:pPr>
              <w:adjustRightInd w:val="0"/>
              <w:snapToGrid w:val="0"/>
              <w:spacing w:after="120" w:afterLines="50"/>
              <w:ind w:firstLine="0" w:firstLineChars="0"/>
              <w:jc w:val="center"/>
              <w:rPr>
                <w:rFonts w:ascii="Arial" w:hAnsi="Arial" w:cs="Arial"/>
              </w:rPr>
            </w:pPr>
          </w:p>
        </w:tc>
      </w:tr>
    </w:tbl>
    <w:p w14:paraId="7C1B7E65">
      <w:pPr>
        <w:ind w:firstLine="420"/>
      </w:pPr>
      <w:r>
        <w:rPr>
          <w:rFonts w:hint="eastAsia"/>
        </w:rPr>
        <w:t>供应商（公章）：</w:t>
      </w:r>
    </w:p>
    <w:p w14:paraId="08E3D595">
      <w:pPr>
        <w:ind w:firstLine="420"/>
      </w:pPr>
    </w:p>
    <w:p w14:paraId="58E67B12">
      <w:pPr>
        <w:ind w:firstLine="420"/>
      </w:pPr>
      <w:r>
        <w:rPr>
          <w:rFonts w:hint="eastAsia"/>
        </w:rPr>
        <w:t>法定代表人或授权委托人（签字）：</w:t>
      </w:r>
    </w:p>
    <w:p w14:paraId="0D6782FC">
      <w:pPr>
        <w:ind w:firstLine="420"/>
      </w:pPr>
    </w:p>
    <w:p w14:paraId="7D0E0F84">
      <w:pPr>
        <w:ind w:firstLine="420"/>
      </w:pPr>
      <w:r>
        <w:rPr>
          <w:rFonts w:hint="eastAsia"/>
        </w:rPr>
        <w:t>日 期：    年   月   日</w:t>
      </w:r>
    </w:p>
    <w:p w14:paraId="2BCF7FE2">
      <w:pPr>
        <w:ind w:firstLine="199" w:firstLineChars="95"/>
      </w:pPr>
    </w:p>
    <w:p w14:paraId="07777B72">
      <w:pPr>
        <w:keepNext/>
        <w:keepLines/>
        <w:ind w:firstLine="422"/>
        <w:outlineLvl w:val="2"/>
        <w:rPr>
          <w:b/>
          <w:bCs/>
          <w:szCs w:val="32"/>
        </w:rPr>
      </w:pPr>
      <w:r>
        <w:rPr>
          <w:b/>
          <w:bCs/>
          <w:szCs w:val="32"/>
        </w:rPr>
        <w:br w:type="page"/>
      </w:r>
      <w:r>
        <w:rPr>
          <w:rFonts w:hint="eastAsia"/>
          <w:b/>
          <w:bCs/>
          <w:szCs w:val="32"/>
        </w:rPr>
        <w:t>附件十一 服务项目团队人员情况表</w:t>
      </w:r>
    </w:p>
    <w:p w14:paraId="055FE848">
      <w:pPr>
        <w:ind w:firstLine="420"/>
      </w:pPr>
    </w:p>
    <w:tbl>
      <w:tblPr>
        <w:tblStyle w:val="46"/>
        <w:tblW w:w="0" w:type="auto"/>
        <w:tblInd w:w="108" w:type="dxa"/>
        <w:tblLayout w:type="fixed"/>
        <w:tblCellMar>
          <w:top w:w="0" w:type="dxa"/>
          <w:left w:w="108" w:type="dxa"/>
          <w:bottom w:w="0" w:type="dxa"/>
          <w:right w:w="108" w:type="dxa"/>
        </w:tblCellMar>
      </w:tblPr>
      <w:tblGrid>
        <w:gridCol w:w="840"/>
        <w:gridCol w:w="787"/>
        <w:gridCol w:w="788"/>
        <w:gridCol w:w="840"/>
        <w:gridCol w:w="840"/>
        <w:gridCol w:w="840"/>
        <w:gridCol w:w="945"/>
        <w:gridCol w:w="1066"/>
        <w:gridCol w:w="1134"/>
        <w:gridCol w:w="1276"/>
      </w:tblGrid>
      <w:tr w14:paraId="39236D8C">
        <w:tblPrEx>
          <w:tblCellMar>
            <w:top w:w="0" w:type="dxa"/>
            <w:left w:w="108" w:type="dxa"/>
            <w:bottom w:w="0" w:type="dxa"/>
            <w:right w:w="108" w:type="dxa"/>
          </w:tblCellMar>
        </w:tblPrEx>
        <w:tc>
          <w:tcPr>
            <w:tcW w:w="840" w:type="dxa"/>
            <w:tcBorders>
              <w:top w:val="single" w:color="auto" w:sz="6" w:space="0"/>
              <w:left w:val="single" w:color="auto" w:sz="6" w:space="0"/>
              <w:bottom w:val="single" w:color="auto" w:sz="6" w:space="0"/>
              <w:right w:val="single" w:color="auto" w:sz="6" w:space="0"/>
            </w:tcBorders>
            <w:vAlign w:val="center"/>
          </w:tcPr>
          <w:p w14:paraId="4606E070">
            <w:pPr>
              <w:adjustRightInd w:val="0"/>
              <w:snapToGrid w:val="0"/>
              <w:spacing w:after="120" w:afterLines="50"/>
              <w:ind w:firstLine="0" w:firstLineChars="0"/>
              <w:jc w:val="center"/>
              <w:rPr>
                <w:rFonts w:ascii="Arial" w:hAnsi="Arial" w:cs="Arial"/>
              </w:rPr>
            </w:pPr>
            <w:r>
              <w:rPr>
                <w:rFonts w:ascii="Arial" w:hAnsi="Arial" w:cs="Arial"/>
                <w:lang w:val="zh-CN"/>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6A12092B">
            <w:pPr>
              <w:adjustRightInd w:val="0"/>
              <w:snapToGrid w:val="0"/>
              <w:spacing w:after="120" w:afterLines="50"/>
              <w:ind w:firstLine="0" w:firstLineChars="0"/>
              <w:jc w:val="center"/>
              <w:rPr>
                <w:rFonts w:ascii="Arial" w:hAnsi="Arial" w:cs="Arial"/>
              </w:rPr>
            </w:pPr>
            <w:r>
              <w:rPr>
                <w:rFonts w:ascii="Arial" w:hAnsi="Arial" w:cs="Arial"/>
                <w:lang w:val="zh-CN"/>
              </w:rPr>
              <w:t>姓名</w:t>
            </w:r>
          </w:p>
        </w:tc>
        <w:tc>
          <w:tcPr>
            <w:tcW w:w="788" w:type="dxa"/>
            <w:tcBorders>
              <w:top w:val="single" w:color="auto" w:sz="6" w:space="0"/>
              <w:left w:val="single" w:color="auto" w:sz="6" w:space="0"/>
              <w:bottom w:val="single" w:color="auto" w:sz="6" w:space="0"/>
              <w:right w:val="single" w:color="auto" w:sz="6" w:space="0"/>
            </w:tcBorders>
            <w:vAlign w:val="center"/>
          </w:tcPr>
          <w:p w14:paraId="7E7772F6">
            <w:pPr>
              <w:adjustRightInd w:val="0"/>
              <w:snapToGrid w:val="0"/>
              <w:spacing w:after="120" w:afterLines="50"/>
              <w:ind w:firstLine="0" w:firstLineChars="0"/>
              <w:jc w:val="center"/>
              <w:rPr>
                <w:rFonts w:ascii="Arial" w:hAnsi="Arial" w:cs="Arial"/>
              </w:rPr>
            </w:pPr>
            <w:r>
              <w:rPr>
                <w:rFonts w:ascii="Arial" w:hAnsi="Arial" w:cs="Arial"/>
                <w:lang w:val="zh-CN"/>
              </w:rPr>
              <w:t>性别</w:t>
            </w:r>
          </w:p>
        </w:tc>
        <w:tc>
          <w:tcPr>
            <w:tcW w:w="840" w:type="dxa"/>
            <w:tcBorders>
              <w:top w:val="single" w:color="auto" w:sz="6" w:space="0"/>
              <w:left w:val="single" w:color="auto" w:sz="6" w:space="0"/>
              <w:bottom w:val="single" w:color="auto" w:sz="6" w:space="0"/>
              <w:right w:val="single" w:color="auto" w:sz="6" w:space="0"/>
            </w:tcBorders>
            <w:vAlign w:val="center"/>
          </w:tcPr>
          <w:p w14:paraId="38595183">
            <w:pPr>
              <w:adjustRightInd w:val="0"/>
              <w:snapToGrid w:val="0"/>
              <w:spacing w:after="120" w:afterLines="50"/>
              <w:ind w:firstLine="0" w:firstLineChars="0"/>
              <w:jc w:val="center"/>
              <w:rPr>
                <w:rFonts w:ascii="Arial" w:hAnsi="Arial" w:cs="Arial"/>
              </w:rPr>
            </w:pPr>
            <w:r>
              <w:rPr>
                <w:rFonts w:ascii="Arial" w:hAnsi="Arial" w:cs="Arial"/>
                <w:lang w:val="zh-CN"/>
              </w:rPr>
              <w:t>年龄</w:t>
            </w:r>
          </w:p>
        </w:tc>
        <w:tc>
          <w:tcPr>
            <w:tcW w:w="840" w:type="dxa"/>
            <w:tcBorders>
              <w:top w:val="single" w:color="auto" w:sz="6" w:space="0"/>
              <w:left w:val="single" w:color="auto" w:sz="6" w:space="0"/>
              <w:bottom w:val="single" w:color="auto" w:sz="6" w:space="0"/>
              <w:right w:val="single" w:color="auto" w:sz="6" w:space="0"/>
            </w:tcBorders>
            <w:vAlign w:val="center"/>
          </w:tcPr>
          <w:p w14:paraId="4CE4B546">
            <w:pPr>
              <w:adjustRightInd w:val="0"/>
              <w:snapToGrid w:val="0"/>
              <w:spacing w:after="120" w:afterLines="50"/>
              <w:ind w:firstLine="0" w:firstLineChars="0"/>
              <w:jc w:val="center"/>
              <w:rPr>
                <w:rFonts w:ascii="Arial" w:hAnsi="Arial" w:cs="Arial"/>
              </w:rPr>
            </w:pPr>
            <w:r>
              <w:rPr>
                <w:rFonts w:ascii="Arial" w:hAnsi="Arial" w:cs="Arial"/>
                <w:lang w:val="zh-CN"/>
              </w:rPr>
              <w:t>学历</w:t>
            </w:r>
          </w:p>
        </w:tc>
        <w:tc>
          <w:tcPr>
            <w:tcW w:w="840" w:type="dxa"/>
            <w:tcBorders>
              <w:top w:val="single" w:color="auto" w:sz="6" w:space="0"/>
              <w:left w:val="single" w:color="auto" w:sz="6" w:space="0"/>
              <w:bottom w:val="single" w:color="auto" w:sz="6" w:space="0"/>
              <w:right w:val="single" w:color="auto" w:sz="6" w:space="0"/>
            </w:tcBorders>
            <w:vAlign w:val="center"/>
          </w:tcPr>
          <w:p w14:paraId="08CAAAE1">
            <w:pPr>
              <w:adjustRightInd w:val="0"/>
              <w:snapToGrid w:val="0"/>
              <w:spacing w:after="120" w:afterLines="50"/>
              <w:ind w:firstLine="0" w:firstLineChars="0"/>
              <w:jc w:val="center"/>
              <w:rPr>
                <w:rFonts w:ascii="Arial" w:hAnsi="Arial" w:cs="Arial"/>
              </w:rPr>
            </w:pPr>
            <w:r>
              <w:rPr>
                <w:rFonts w:ascii="Arial" w:hAnsi="Arial" w:cs="Arial"/>
                <w:lang w:val="zh-CN"/>
              </w:rPr>
              <w:t>专业</w:t>
            </w:r>
          </w:p>
        </w:tc>
        <w:tc>
          <w:tcPr>
            <w:tcW w:w="945" w:type="dxa"/>
            <w:tcBorders>
              <w:top w:val="single" w:color="auto" w:sz="6" w:space="0"/>
              <w:left w:val="single" w:color="auto" w:sz="6" w:space="0"/>
              <w:bottom w:val="single" w:color="auto" w:sz="6" w:space="0"/>
              <w:right w:val="single" w:color="auto" w:sz="6" w:space="0"/>
            </w:tcBorders>
            <w:vAlign w:val="center"/>
          </w:tcPr>
          <w:p w14:paraId="0EDD07D4">
            <w:pPr>
              <w:adjustRightInd w:val="0"/>
              <w:snapToGrid w:val="0"/>
              <w:spacing w:after="120" w:afterLines="50"/>
              <w:ind w:firstLine="0" w:firstLineChars="0"/>
              <w:jc w:val="center"/>
              <w:rPr>
                <w:rFonts w:ascii="Arial" w:hAnsi="Arial" w:cs="Arial"/>
              </w:rPr>
            </w:pPr>
            <w:r>
              <w:rPr>
                <w:rFonts w:ascii="Arial" w:hAnsi="Arial" w:cs="Arial"/>
                <w:lang w:val="zh-CN"/>
              </w:rPr>
              <w:t>职称</w:t>
            </w:r>
          </w:p>
        </w:tc>
        <w:tc>
          <w:tcPr>
            <w:tcW w:w="1066" w:type="dxa"/>
            <w:tcBorders>
              <w:top w:val="single" w:color="auto" w:sz="6" w:space="0"/>
              <w:left w:val="single" w:color="auto" w:sz="6" w:space="0"/>
              <w:bottom w:val="single" w:color="auto" w:sz="6" w:space="0"/>
              <w:right w:val="single" w:color="auto" w:sz="6" w:space="0"/>
            </w:tcBorders>
            <w:vAlign w:val="center"/>
          </w:tcPr>
          <w:p w14:paraId="0CCADF81">
            <w:pPr>
              <w:adjustRightInd w:val="0"/>
              <w:snapToGrid w:val="0"/>
              <w:spacing w:after="120" w:afterLines="50"/>
              <w:ind w:firstLine="0" w:firstLineChars="0"/>
              <w:jc w:val="center"/>
              <w:rPr>
                <w:rFonts w:ascii="Arial" w:hAnsi="Arial" w:cs="Arial"/>
              </w:rPr>
            </w:pPr>
            <w:r>
              <w:rPr>
                <w:rFonts w:ascii="Arial" w:hAnsi="Arial" w:cs="Arial"/>
                <w:lang w:val="zh-CN"/>
              </w:rPr>
              <w:t>本项目中的职责</w:t>
            </w:r>
          </w:p>
        </w:tc>
        <w:tc>
          <w:tcPr>
            <w:tcW w:w="1134" w:type="dxa"/>
            <w:tcBorders>
              <w:top w:val="single" w:color="auto" w:sz="6" w:space="0"/>
              <w:left w:val="single" w:color="auto" w:sz="6" w:space="0"/>
              <w:bottom w:val="single" w:color="auto" w:sz="6" w:space="0"/>
              <w:right w:val="single" w:color="auto" w:sz="6" w:space="0"/>
            </w:tcBorders>
            <w:vAlign w:val="center"/>
          </w:tcPr>
          <w:p w14:paraId="7129443D">
            <w:pPr>
              <w:adjustRightInd w:val="0"/>
              <w:snapToGrid w:val="0"/>
              <w:spacing w:after="120" w:afterLines="50"/>
              <w:ind w:firstLine="0" w:firstLineChars="0"/>
              <w:jc w:val="center"/>
              <w:rPr>
                <w:rFonts w:ascii="Arial" w:hAnsi="Arial" w:cs="Arial"/>
              </w:rPr>
            </w:pPr>
            <w:r>
              <w:rPr>
                <w:rFonts w:ascii="Arial" w:hAnsi="Arial" w:cs="Arial"/>
                <w:lang w:val="zh-CN"/>
              </w:rPr>
              <w:t>项目经历</w:t>
            </w:r>
          </w:p>
        </w:tc>
        <w:tc>
          <w:tcPr>
            <w:tcW w:w="1276" w:type="dxa"/>
            <w:tcBorders>
              <w:top w:val="single" w:color="auto" w:sz="6" w:space="0"/>
              <w:left w:val="single" w:color="auto" w:sz="6" w:space="0"/>
              <w:bottom w:val="single" w:color="auto" w:sz="6" w:space="0"/>
              <w:right w:val="single" w:color="auto" w:sz="6" w:space="0"/>
            </w:tcBorders>
            <w:vAlign w:val="center"/>
          </w:tcPr>
          <w:p w14:paraId="424FF3E0">
            <w:pPr>
              <w:adjustRightInd w:val="0"/>
              <w:snapToGrid w:val="0"/>
              <w:spacing w:after="120" w:afterLines="50"/>
              <w:ind w:firstLine="0" w:firstLineChars="0"/>
              <w:jc w:val="center"/>
              <w:rPr>
                <w:rFonts w:ascii="Arial" w:hAnsi="Arial" w:cs="Arial"/>
              </w:rPr>
            </w:pPr>
            <w:r>
              <w:rPr>
                <w:rFonts w:ascii="Arial" w:hAnsi="Arial" w:cs="Arial"/>
                <w:lang w:val="zh-CN"/>
              </w:rPr>
              <w:t>参与本项目的到位情况</w:t>
            </w:r>
          </w:p>
        </w:tc>
      </w:tr>
      <w:tr w14:paraId="54962D6C">
        <w:tblPrEx>
          <w:tblCellMar>
            <w:top w:w="0" w:type="dxa"/>
            <w:left w:w="108" w:type="dxa"/>
            <w:bottom w:w="0" w:type="dxa"/>
            <w:right w:w="108" w:type="dxa"/>
          </w:tblCellMar>
        </w:tblPrEx>
        <w:trPr>
          <w:trHeight w:val="607" w:hRule="atLeast"/>
        </w:trPr>
        <w:tc>
          <w:tcPr>
            <w:tcW w:w="840" w:type="dxa"/>
            <w:tcBorders>
              <w:top w:val="single" w:color="auto" w:sz="6" w:space="0"/>
              <w:left w:val="single" w:color="auto" w:sz="6" w:space="0"/>
              <w:bottom w:val="single" w:color="auto" w:sz="6" w:space="0"/>
              <w:right w:val="single" w:color="auto" w:sz="6" w:space="0"/>
            </w:tcBorders>
          </w:tcPr>
          <w:p w14:paraId="69C392B4">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7CC12FC6">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0DF1703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41054AB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58837909">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60CD0AAB">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16D2E41D">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5BCF7775">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63D0DDC9">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72D76B49">
            <w:pPr>
              <w:adjustRightInd w:val="0"/>
              <w:snapToGrid w:val="0"/>
              <w:spacing w:after="120" w:afterLines="50"/>
              <w:ind w:firstLine="420"/>
              <w:rPr>
                <w:rFonts w:ascii="Arial" w:hAnsi="Arial" w:cs="Arial"/>
              </w:rPr>
            </w:pPr>
          </w:p>
        </w:tc>
      </w:tr>
      <w:tr w14:paraId="2FC77075">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065B5362">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55E4A9FF">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0C6E8654">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3CDAAD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6C66B42D">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39261B4">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712742F4">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348F44B9">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34899140">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729DA8FA">
            <w:pPr>
              <w:adjustRightInd w:val="0"/>
              <w:snapToGrid w:val="0"/>
              <w:spacing w:after="120" w:afterLines="50"/>
              <w:ind w:firstLine="420"/>
              <w:rPr>
                <w:rFonts w:ascii="Arial" w:hAnsi="Arial" w:cs="Arial"/>
              </w:rPr>
            </w:pPr>
          </w:p>
        </w:tc>
      </w:tr>
      <w:tr w14:paraId="5EEB3F40">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1E5C7C46">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7B2CD287">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4A608416">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4D47EC1B">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6AEC75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72D150DE">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47CB284C">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08B64466">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0809215D">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1B56284F">
            <w:pPr>
              <w:adjustRightInd w:val="0"/>
              <w:snapToGrid w:val="0"/>
              <w:spacing w:after="120" w:afterLines="50"/>
              <w:ind w:firstLine="420"/>
              <w:rPr>
                <w:rFonts w:ascii="Arial" w:hAnsi="Arial" w:cs="Arial"/>
              </w:rPr>
            </w:pPr>
          </w:p>
        </w:tc>
      </w:tr>
      <w:tr w14:paraId="764546F6">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0B727514">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712131CA">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0F9E7866">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5642F7D7">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57E1EC00">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655774D">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2E6E8A0D">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161267E2">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67E92919">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52DFC2D0">
            <w:pPr>
              <w:adjustRightInd w:val="0"/>
              <w:snapToGrid w:val="0"/>
              <w:spacing w:after="120" w:afterLines="50"/>
              <w:ind w:firstLine="420"/>
              <w:rPr>
                <w:rFonts w:ascii="Arial" w:hAnsi="Arial" w:cs="Arial"/>
              </w:rPr>
            </w:pPr>
          </w:p>
        </w:tc>
      </w:tr>
      <w:tr w14:paraId="61709FD9">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544A91B2">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5A4078A3">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59A4C09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B90F9D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5505676">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0995975">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5AB89C41">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327EE166">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13DD0EA4">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41FFAF71">
            <w:pPr>
              <w:adjustRightInd w:val="0"/>
              <w:snapToGrid w:val="0"/>
              <w:spacing w:after="120" w:afterLines="50"/>
              <w:ind w:firstLine="420"/>
              <w:rPr>
                <w:rFonts w:ascii="Arial" w:hAnsi="Arial" w:cs="Arial"/>
              </w:rPr>
            </w:pPr>
          </w:p>
        </w:tc>
      </w:tr>
      <w:tr w14:paraId="58D82894">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773093B9">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3F343E27">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6D4D0AE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BD4709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4A5FC6CF">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6C25868D">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2F88A308">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09D975A3">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5C3682B1">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3B9AA4C6">
            <w:pPr>
              <w:adjustRightInd w:val="0"/>
              <w:snapToGrid w:val="0"/>
              <w:spacing w:after="120" w:afterLines="50"/>
              <w:ind w:firstLine="420"/>
              <w:rPr>
                <w:rFonts w:ascii="Arial" w:hAnsi="Arial" w:cs="Arial"/>
              </w:rPr>
            </w:pPr>
          </w:p>
        </w:tc>
      </w:tr>
      <w:tr w14:paraId="6322A596">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3B765097">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0F468D0A">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7AC60C6F">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D92A33B">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1A7628D">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5B6180D3">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45BF2471">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2E1C3C13">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512AAE19">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73A38149">
            <w:pPr>
              <w:adjustRightInd w:val="0"/>
              <w:snapToGrid w:val="0"/>
              <w:spacing w:after="120" w:afterLines="50"/>
              <w:ind w:firstLine="420"/>
              <w:rPr>
                <w:rFonts w:ascii="Arial" w:hAnsi="Arial" w:cs="Arial"/>
              </w:rPr>
            </w:pPr>
          </w:p>
        </w:tc>
      </w:tr>
      <w:tr w14:paraId="2CC54F1F">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7B8832B0">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0D5297DA">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2EC371D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7A4BE07">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3E5AD5D">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71A53403">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45C303B3">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46E87EE6">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427BABA3">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39577C3A">
            <w:pPr>
              <w:adjustRightInd w:val="0"/>
              <w:snapToGrid w:val="0"/>
              <w:spacing w:after="120" w:afterLines="50"/>
              <w:ind w:firstLine="420"/>
              <w:rPr>
                <w:rFonts w:ascii="Arial" w:hAnsi="Arial" w:cs="Arial"/>
              </w:rPr>
            </w:pPr>
          </w:p>
        </w:tc>
      </w:tr>
      <w:tr w14:paraId="412808D1">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25909557">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7D9C2CC7">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7626BAA7">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D37EF9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5ABFFF7A">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3A90745">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0FFE28F4">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5CB147D8">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0FD9F280">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4AF13447">
            <w:pPr>
              <w:adjustRightInd w:val="0"/>
              <w:snapToGrid w:val="0"/>
              <w:spacing w:after="120" w:afterLines="50"/>
              <w:ind w:firstLine="420"/>
              <w:rPr>
                <w:rFonts w:ascii="Arial" w:hAnsi="Arial" w:cs="Arial"/>
              </w:rPr>
            </w:pPr>
          </w:p>
        </w:tc>
      </w:tr>
      <w:tr w14:paraId="0B627C9E">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30A90ABC">
            <w:pPr>
              <w:adjustRightInd w:val="0"/>
              <w:snapToGrid w:val="0"/>
              <w:spacing w:after="120" w:afterLines="50"/>
              <w:ind w:firstLine="420"/>
              <w:jc w:val="center"/>
              <w:rPr>
                <w:rFonts w:ascii="Arial" w:hAnsi="Arial" w:cs="Arial"/>
              </w:rPr>
            </w:pPr>
          </w:p>
          <w:p w14:paraId="234B6BC5">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1E3AC9DC">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5E6E15EB">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5E50A7B7">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3B90B414">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6D38F89B">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6D709584">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67CBCABC">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07337A9A">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3D8B8D77">
            <w:pPr>
              <w:adjustRightInd w:val="0"/>
              <w:snapToGrid w:val="0"/>
              <w:spacing w:after="120" w:afterLines="50"/>
              <w:ind w:firstLine="420"/>
              <w:rPr>
                <w:rFonts w:ascii="Arial" w:hAnsi="Arial" w:cs="Arial"/>
              </w:rPr>
            </w:pPr>
          </w:p>
        </w:tc>
      </w:tr>
      <w:tr w14:paraId="55FE7D28">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726B6E02">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5C6658E9">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13ABC318">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793EBBFC">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21A4180">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901D7BA">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37ADEC19">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00FD320A">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3DE7388B">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50F15BA6">
            <w:pPr>
              <w:adjustRightInd w:val="0"/>
              <w:snapToGrid w:val="0"/>
              <w:spacing w:after="120" w:afterLines="50"/>
              <w:ind w:firstLine="420"/>
              <w:rPr>
                <w:rFonts w:ascii="Arial" w:hAnsi="Arial" w:cs="Arial"/>
              </w:rPr>
            </w:pPr>
          </w:p>
        </w:tc>
      </w:tr>
      <w:tr w14:paraId="0EF5A23A">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346D8025">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1650BC92">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0C141393">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190092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DBC933F">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9C9FF05">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75221B6D">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3F5E59FF">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7CF5DE1D">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6E2843DD">
            <w:pPr>
              <w:adjustRightInd w:val="0"/>
              <w:snapToGrid w:val="0"/>
              <w:spacing w:after="120" w:afterLines="50"/>
              <w:ind w:firstLine="420"/>
              <w:rPr>
                <w:rFonts w:ascii="Arial" w:hAnsi="Arial" w:cs="Arial"/>
              </w:rPr>
            </w:pPr>
          </w:p>
        </w:tc>
      </w:tr>
      <w:tr w14:paraId="666BAB3D">
        <w:tblPrEx>
          <w:tblCellMar>
            <w:top w:w="0" w:type="dxa"/>
            <w:left w:w="108" w:type="dxa"/>
            <w:bottom w:w="0" w:type="dxa"/>
            <w:right w:w="108" w:type="dxa"/>
          </w:tblCellMar>
        </w:tblPrEx>
        <w:trPr>
          <w:trHeight w:val="595" w:hRule="atLeast"/>
        </w:trPr>
        <w:tc>
          <w:tcPr>
            <w:tcW w:w="840" w:type="dxa"/>
            <w:tcBorders>
              <w:top w:val="single" w:color="auto" w:sz="6" w:space="0"/>
              <w:left w:val="single" w:color="auto" w:sz="6" w:space="0"/>
              <w:bottom w:val="single" w:color="auto" w:sz="6" w:space="0"/>
              <w:right w:val="single" w:color="auto" w:sz="6" w:space="0"/>
            </w:tcBorders>
          </w:tcPr>
          <w:p w14:paraId="54C2D30B">
            <w:pPr>
              <w:adjustRightInd w:val="0"/>
              <w:snapToGrid w:val="0"/>
              <w:spacing w:after="120" w:afterLines="50"/>
              <w:ind w:firstLine="420"/>
              <w:jc w:val="center"/>
              <w:rPr>
                <w:rFonts w:ascii="Arial" w:hAnsi="Arial" w:cs="Arial"/>
              </w:rPr>
            </w:pPr>
          </w:p>
        </w:tc>
        <w:tc>
          <w:tcPr>
            <w:tcW w:w="787" w:type="dxa"/>
            <w:tcBorders>
              <w:top w:val="single" w:color="auto" w:sz="6" w:space="0"/>
              <w:left w:val="single" w:color="auto" w:sz="6" w:space="0"/>
              <w:bottom w:val="single" w:color="auto" w:sz="6" w:space="0"/>
              <w:right w:val="single" w:color="auto" w:sz="6" w:space="0"/>
            </w:tcBorders>
          </w:tcPr>
          <w:p w14:paraId="2FA9F7C4">
            <w:pPr>
              <w:adjustRightInd w:val="0"/>
              <w:snapToGrid w:val="0"/>
              <w:spacing w:after="120" w:afterLines="50"/>
              <w:ind w:firstLine="420"/>
              <w:rPr>
                <w:rFonts w:ascii="Arial" w:hAnsi="Arial" w:cs="Arial"/>
              </w:rPr>
            </w:pPr>
          </w:p>
        </w:tc>
        <w:tc>
          <w:tcPr>
            <w:tcW w:w="788" w:type="dxa"/>
            <w:tcBorders>
              <w:top w:val="single" w:color="auto" w:sz="6" w:space="0"/>
              <w:left w:val="single" w:color="auto" w:sz="6" w:space="0"/>
              <w:bottom w:val="single" w:color="auto" w:sz="6" w:space="0"/>
              <w:right w:val="single" w:color="auto" w:sz="6" w:space="0"/>
            </w:tcBorders>
          </w:tcPr>
          <w:p w14:paraId="07991D7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2419F862">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058E31B7">
            <w:pPr>
              <w:adjustRightInd w:val="0"/>
              <w:snapToGrid w:val="0"/>
              <w:spacing w:after="120" w:afterLines="50"/>
              <w:ind w:firstLine="420"/>
              <w:rPr>
                <w:rFonts w:ascii="Arial" w:hAnsi="Arial" w:cs="Arial"/>
              </w:rPr>
            </w:pPr>
          </w:p>
        </w:tc>
        <w:tc>
          <w:tcPr>
            <w:tcW w:w="840" w:type="dxa"/>
            <w:tcBorders>
              <w:top w:val="single" w:color="auto" w:sz="6" w:space="0"/>
              <w:left w:val="single" w:color="auto" w:sz="6" w:space="0"/>
              <w:bottom w:val="single" w:color="auto" w:sz="6" w:space="0"/>
              <w:right w:val="single" w:color="auto" w:sz="6" w:space="0"/>
            </w:tcBorders>
          </w:tcPr>
          <w:p w14:paraId="7B545BDE">
            <w:pPr>
              <w:adjustRightInd w:val="0"/>
              <w:snapToGrid w:val="0"/>
              <w:spacing w:after="120" w:afterLines="50"/>
              <w:ind w:firstLine="420"/>
              <w:rPr>
                <w:rFonts w:ascii="Arial" w:hAnsi="Arial" w:cs="Arial"/>
              </w:rPr>
            </w:pPr>
          </w:p>
        </w:tc>
        <w:tc>
          <w:tcPr>
            <w:tcW w:w="945" w:type="dxa"/>
            <w:tcBorders>
              <w:top w:val="single" w:color="auto" w:sz="6" w:space="0"/>
              <w:left w:val="single" w:color="auto" w:sz="6" w:space="0"/>
              <w:bottom w:val="single" w:color="auto" w:sz="6" w:space="0"/>
              <w:right w:val="single" w:color="auto" w:sz="6" w:space="0"/>
            </w:tcBorders>
          </w:tcPr>
          <w:p w14:paraId="0EFB4B14">
            <w:pPr>
              <w:adjustRightInd w:val="0"/>
              <w:snapToGrid w:val="0"/>
              <w:spacing w:after="120" w:afterLines="50"/>
              <w:ind w:firstLine="420"/>
              <w:rPr>
                <w:rFonts w:ascii="Arial" w:hAnsi="Arial" w:cs="Arial"/>
              </w:rPr>
            </w:pPr>
          </w:p>
        </w:tc>
        <w:tc>
          <w:tcPr>
            <w:tcW w:w="1066" w:type="dxa"/>
            <w:tcBorders>
              <w:top w:val="single" w:color="auto" w:sz="6" w:space="0"/>
              <w:left w:val="single" w:color="auto" w:sz="6" w:space="0"/>
              <w:bottom w:val="single" w:color="auto" w:sz="6" w:space="0"/>
              <w:right w:val="single" w:color="auto" w:sz="6" w:space="0"/>
            </w:tcBorders>
          </w:tcPr>
          <w:p w14:paraId="5D111AAC">
            <w:pPr>
              <w:adjustRightInd w:val="0"/>
              <w:snapToGrid w:val="0"/>
              <w:spacing w:after="120" w:afterLines="50"/>
              <w:ind w:firstLine="420"/>
              <w:rPr>
                <w:rFonts w:ascii="Arial" w:hAnsi="Arial" w:cs="Arial"/>
              </w:rPr>
            </w:pPr>
          </w:p>
        </w:tc>
        <w:tc>
          <w:tcPr>
            <w:tcW w:w="1134" w:type="dxa"/>
            <w:tcBorders>
              <w:top w:val="single" w:color="auto" w:sz="6" w:space="0"/>
              <w:left w:val="single" w:color="auto" w:sz="6" w:space="0"/>
              <w:bottom w:val="single" w:color="auto" w:sz="6" w:space="0"/>
              <w:right w:val="single" w:color="auto" w:sz="6" w:space="0"/>
            </w:tcBorders>
          </w:tcPr>
          <w:p w14:paraId="307F34A6">
            <w:pPr>
              <w:adjustRightInd w:val="0"/>
              <w:snapToGrid w:val="0"/>
              <w:spacing w:after="120" w:afterLines="50"/>
              <w:ind w:firstLine="420"/>
              <w:rPr>
                <w:rFonts w:ascii="Arial" w:hAnsi="Arial" w:cs="Arial"/>
              </w:rPr>
            </w:pPr>
          </w:p>
        </w:tc>
        <w:tc>
          <w:tcPr>
            <w:tcW w:w="1276" w:type="dxa"/>
            <w:tcBorders>
              <w:top w:val="single" w:color="auto" w:sz="6" w:space="0"/>
              <w:left w:val="single" w:color="auto" w:sz="6" w:space="0"/>
              <w:bottom w:val="single" w:color="auto" w:sz="6" w:space="0"/>
              <w:right w:val="single" w:color="auto" w:sz="6" w:space="0"/>
            </w:tcBorders>
          </w:tcPr>
          <w:p w14:paraId="3B52624E">
            <w:pPr>
              <w:adjustRightInd w:val="0"/>
              <w:snapToGrid w:val="0"/>
              <w:spacing w:after="120" w:afterLines="50"/>
              <w:ind w:firstLine="420"/>
              <w:rPr>
                <w:rFonts w:ascii="Arial" w:hAnsi="Arial" w:cs="Arial"/>
              </w:rPr>
            </w:pPr>
          </w:p>
        </w:tc>
      </w:tr>
    </w:tbl>
    <w:p w14:paraId="5B00CA54">
      <w:pPr>
        <w:ind w:firstLine="210" w:firstLineChars="100"/>
        <w:rPr>
          <w:rFonts w:ascii="宋体" w:hAnsi="宋体"/>
          <w:szCs w:val="21"/>
        </w:rPr>
      </w:pPr>
    </w:p>
    <w:p w14:paraId="2F063DC2">
      <w:pPr>
        <w:ind w:firstLine="420"/>
      </w:pPr>
      <w:r>
        <w:rPr>
          <w:rFonts w:hint="eastAsia"/>
        </w:rPr>
        <w:t>供应商（公章）：</w:t>
      </w:r>
    </w:p>
    <w:p w14:paraId="0B0C21CD">
      <w:pPr>
        <w:ind w:firstLine="420"/>
      </w:pPr>
    </w:p>
    <w:p w14:paraId="0D4E88C7">
      <w:pPr>
        <w:ind w:firstLine="420"/>
      </w:pPr>
      <w:r>
        <w:rPr>
          <w:rFonts w:hint="eastAsia"/>
        </w:rPr>
        <w:t>法定代表人或授权委托人（签字）：</w:t>
      </w:r>
    </w:p>
    <w:p w14:paraId="484A285B">
      <w:pPr>
        <w:ind w:firstLine="420"/>
      </w:pPr>
    </w:p>
    <w:p w14:paraId="1BBEA331">
      <w:pPr>
        <w:ind w:firstLine="420"/>
      </w:pPr>
      <w:r>
        <w:rPr>
          <w:rFonts w:hint="eastAsia"/>
        </w:rPr>
        <w:t>日 期：    年   月   日</w:t>
      </w:r>
    </w:p>
    <w:p w14:paraId="502C0A16">
      <w:pPr>
        <w:pStyle w:val="4"/>
        <w:jc w:val="center"/>
        <w:rPr>
          <w:rFonts w:ascii="宋体" w:hAnsi="宋体" w:cs="宋体"/>
          <w:szCs w:val="21"/>
        </w:rPr>
        <w:sectPr>
          <w:pgSz w:w="11907" w:h="16840"/>
          <w:pgMar w:top="1247" w:right="1304" w:bottom="1021" w:left="1304" w:header="720" w:footer="720" w:gutter="0"/>
          <w:cols w:space="720" w:num="1"/>
        </w:sectPr>
      </w:pPr>
    </w:p>
    <w:p w14:paraId="46F7F687">
      <w:pPr>
        <w:pStyle w:val="2"/>
        <w:ind w:firstLine="482"/>
      </w:pPr>
      <w:bookmarkStart w:id="262" w:name="_Toc7825"/>
      <w:bookmarkStart w:id="263" w:name="_Toc450840090"/>
      <w:r>
        <w:rPr>
          <w:rFonts w:hint="eastAsia"/>
        </w:rPr>
        <w:t>第六章</w:t>
      </w:r>
      <w:r>
        <w:t xml:space="preserve"> </w:t>
      </w:r>
      <w:r>
        <w:rPr>
          <w:rFonts w:hint="eastAsia"/>
        </w:rPr>
        <w:t>评审办法</w:t>
      </w:r>
      <w:bookmarkEnd w:id="262"/>
      <w:bookmarkEnd w:id="263"/>
    </w:p>
    <w:p w14:paraId="263E5CD6">
      <w:pPr>
        <w:ind w:firstLine="420"/>
      </w:pPr>
    </w:p>
    <w:bookmarkEnd w:id="64"/>
    <w:bookmarkEnd w:id="65"/>
    <w:bookmarkEnd w:id="66"/>
    <w:bookmarkEnd w:id="67"/>
    <w:bookmarkEnd w:id="68"/>
    <w:bookmarkEnd w:id="69"/>
    <w:bookmarkEnd w:id="70"/>
    <w:bookmarkEnd w:id="71"/>
    <w:p w14:paraId="03658BE5">
      <w:pPr>
        <w:ind w:firstLine="420"/>
        <w:rPr>
          <w:rFonts w:ascii="宋体" w:hAnsi="宋体" w:cs="宋体"/>
          <w:szCs w:val="21"/>
        </w:rPr>
      </w:pPr>
      <w:r>
        <w:rPr>
          <w:rFonts w:hint="eastAsia" w:ascii="宋体" w:hAnsi="宋体" w:cs="宋体"/>
          <w:szCs w:val="21"/>
        </w:rPr>
        <w:t>本评审办法</w:t>
      </w:r>
      <w:r>
        <w:rPr>
          <w:rFonts w:hint="eastAsia" w:ascii="宋体" w:hAnsi="宋体" w:cs="宋体"/>
          <w:szCs w:val="21"/>
          <w:lang w:val="en-US" w:eastAsia="zh-CN"/>
        </w:rPr>
        <w:t>参照</w:t>
      </w:r>
      <w:r>
        <w:rPr>
          <w:rFonts w:hint="eastAsia" w:ascii="宋体" w:hAnsi="宋体" w:cs="宋体"/>
          <w:szCs w:val="21"/>
        </w:rPr>
        <w:t>《政府采购竞争性磋商采购方式管理暂行办法》（财库〔2</w:t>
      </w:r>
      <w:r>
        <w:rPr>
          <w:rFonts w:ascii="宋体" w:hAnsi="宋体" w:cs="宋体"/>
          <w:szCs w:val="21"/>
        </w:rPr>
        <w:t>014</w:t>
      </w:r>
      <w:r>
        <w:rPr>
          <w:rFonts w:hint="eastAsia" w:ascii="宋体" w:hAnsi="宋体" w:cs="宋体"/>
          <w:szCs w:val="21"/>
        </w:rPr>
        <w:t>〕2</w:t>
      </w:r>
      <w:r>
        <w:rPr>
          <w:rFonts w:ascii="宋体" w:hAnsi="宋体" w:cs="宋体"/>
          <w:szCs w:val="21"/>
        </w:rPr>
        <w:t>14</w:t>
      </w:r>
      <w:r>
        <w:rPr>
          <w:rFonts w:hint="eastAsia" w:ascii="宋体" w:hAnsi="宋体" w:cs="宋体"/>
          <w:szCs w:val="21"/>
        </w:rPr>
        <w:t>号）的有关规定，结合本项目的具体情况制定。</w:t>
      </w:r>
    </w:p>
    <w:p w14:paraId="37DCCA9C">
      <w:pPr>
        <w:pStyle w:val="3"/>
        <w:rPr>
          <w:rFonts w:ascii="宋体" w:hAnsi="宋体" w:cs="宋体"/>
          <w:szCs w:val="21"/>
        </w:rPr>
      </w:pPr>
      <w:bookmarkStart w:id="264" w:name="_Toc2078387"/>
      <w:bookmarkStart w:id="265" w:name="_Toc19109"/>
      <w:bookmarkStart w:id="266" w:name="_Toc13923"/>
      <w:bookmarkStart w:id="267" w:name="_Toc1945"/>
      <w:bookmarkStart w:id="268" w:name="_Toc8247"/>
      <w:r>
        <w:rPr>
          <w:rFonts w:hint="eastAsia" w:ascii="宋体" w:hAnsi="宋体" w:cs="宋体"/>
          <w:szCs w:val="21"/>
        </w:rPr>
        <w:t>1总则</w:t>
      </w:r>
      <w:bookmarkEnd w:id="264"/>
      <w:bookmarkEnd w:id="265"/>
      <w:bookmarkEnd w:id="266"/>
      <w:bookmarkEnd w:id="267"/>
      <w:bookmarkEnd w:id="268"/>
    </w:p>
    <w:p w14:paraId="4EFC9039">
      <w:pPr>
        <w:ind w:firstLine="420"/>
        <w:rPr>
          <w:rFonts w:ascii="宋体" w:hAnsi="宋体" w:cs="宋体"/>
          <w:szCs w:val="21"/>
        </w:rPr>
      </w:pPr>
      <w:r>
        <w:rPr>
          <w:rFonts w:hint="eastAsia" w:ascii="宋体" w:hAnsi="宋体" w:cs="宋体"/>
          <w:szCs w:val="21"/>
        </w:rPr>
        <w:t>采购工作遵循公开、公平、公正、择优和诚实信用的原则，评审人员</w:t>
      </w:r>
      <w:r>
        <w:rPr>
          <w:rFonts w:ascii="宋体" w:hAnsi="宋体"/>
          <w:spacing w:val="6"/>
          <w:szCs w:val="21"/>
        </w:rPr>
        <w:t>依据采购文件规定的办法、标准和要求，客观</w:t>
      </w:r>
      <w:r>
        <w:rPr>
          <w:rFonts w:hint="eastAsia" w:ascii="宋体" w:hAnsi="宋体"/>
          <w:spacing w:val="6"/>
          <w:szCs w:val="21"/>
        </w:rPr>
        <w:t>、</w:t>
      </w:r>
      <w:r>
        <w:rPr>
          <w:rFonts w:ascii="宋体" w:hAnsi="宋体"/>
          <w:spacing w:val="6"/>
          <w:szCs w:val="21"/>
        </w:rPr>
        <w:t>独立</w:t>
      </w:r>
      <w:r>
        <w:rPr>
          <w:rFonts w:hint="eastAsia" w:ascii="宋体" w:hAnsi="宋体"/>
          <w:spacing w:val="6"/>
          <w:szCs w:val="21"/>
        </w:rPr>
        <w:t>、审慎</w:t>
      </w:r>
      <w:r>
        <w:rPr>
          <w:rFonts w:ascii="宋体" w:hAnsi="宋体"/>
          <w:spacing w:val="6"/>
          <w:szCs w:val="21"/>
        </w:rPr>
        <w:t>地开展评审工作</w:t>
      </w:r>
      <w:r>
        <w:rPr>
          <w:rFonts w:hint="eastAsia" w:ascii="宋体" w:hAnsi="宋体" w:cs="宋体"/>
          <w:szCs w:val="21"/>
        </w:rPr>
        <w:t>，择优推荐成交候选人。在评审期间，磋商小组及相关工作人员必须严格遵守保密规定，不得泄露评审磋商的有关情况。</w:t>
      </w:r>
    </w:p>
    <w:p w14:paraId="1384C8CF">
      <w:pPr>
        <w:ind w:firstLine="420"/>
        <w:rPr>
          <w:rFonts w:ascii="宋体" w:hAnsi="宋体" w:cs="宋体"/>
          <w:szCs w:val="21"/>
        </w:rPr>
      </w:pPr>
      <w:r>
        <w:rPr>
          <w:rFonts w:hint="eastAsia" w:ascii="宋体" w:hAnsi="宋体" w:cs="宋体"/>
          <w:szCs w:val="21"/>
        </w:rPr>
        <w:t>对落标人，磋商小组不作任何落标解释。</w:t>
      </w:r>
    </w:p>
    <w:p w14:paraId="131DB2B8">
      <w:pPr>
        <w:pStyle w:val="3"/>
        <w:rPr>
          <w:rFonts w:ascii="宋体" w:hAnsi="宋体" w:cs="宋体"/>
          <w:szCs w:val="21"/>
        </w:rPr>
      </w:pPr>
      <w:bookmarkStart w:id="269" w:name="_Toc16095"/>
      <w:bookmarkStart w:id="270" w:name="_Toc2078388"/>
      <w:bookmarkStart w:id="271" w:name="_Toc3103"/>
      <w:bookmarkStart w:id="272" w:name="_Toc3577"/>
      <w:bookmarkStart w:id="273" w:name="_Toc24275"/>
      <w:r>
        <w:rPr>
          <w:rFonts w:hint="eastAsia" w:ascii="宋体" w:hAnsi="宋体" w:cs="宋体"/>
          <w:szCs w:val="21"/>
        </w:rPr>
        <w:t>2评审组织</w:t>
      </w:r>
      <w:bookmarkEnd w:id="269"/>
      <w:bookmarkEnd w:id="270"/>
      <w:bookmarkEnd w:id="271"/>
      <w:bookmarkEnd w:id="272"/>
      <w:bookmarkEnd w:id="273"/>
    </w:p>
    <w:p w14:paraId="7D2CAED8">
      <w:pPr>
        <w:ind w:firstLine="420"/>
        <w:rPr>
          <w:rFonts w:ascii="宋体" w:hAnsi="宋体" w:cs="宋体"/>
          <w:szCs w:val="21"/>
        </w:rPr>
      </w:pPr>
      <w:r>
        <w:rPr>
          <w:rFonts w:hint="eastAsia" w:ascii="宋体" w:hAnsi="宋体" w:cs="宋体"/>
          <w:szCs w:val="21"/>
        </w:rPr>
        <w:t>评审工作由采购人或采购代理机构依法组建的磋商小组负责。磋商小组负责审标、询标、评审、磋商等工作，并向采购人提出评审意见和评审报告。</w:t>
      </w:r>
    </w:p>
    <w:p w14:paraId="4D5416D6">
      <w:pPr>
        <w:pStyle w:val="3"/>
        <w:rPr>
          <w:rFonts w:ascii="宋体" w:hAnsi="宋体" w:cs="宋体"/>
          <w:szCs w:val="21"/>
        </w:rPr>
      </w:pPr>
      <w:bookmarkStart w:id="274" w:name="_Toc2078389"/>
      <w:bookmarkStart w:id="275" w:name="_Toc9020"/>
      <w:bookmarkStart w:id="276" w:name="_Toc25123"/>
      <w:bookmarkStart w:id="277" w:name="_Toc16147"/>
      <w:bookmarkStart w:id="278" w:name="_Toc21677"/>
      <w:r>
        <w:rPr>
          <w:rFonts w:hint="eastAsia" w:ascii="宋体" w:hAnsi="宋体" w:cs="宋体"/>
          <w:szCs w:val="21"/>
        </w:rPr>
        <w:t>3评审程序和内容</w:t>
      </w:r>
      <w:bookmarkEnd w:id="274"/>
      <w:bookmarkEnd w:id="275"/>
      <w:bookmarkEnd w:id="276"/>
      <w:bookmarkEnd w:id="277"/>
      <w:bookmarkEnd w:id="278"/>
    </w:p>
    <w:p w14:paraId="625D7B6C">
      <w:pPr>
        <w:ind w:firstLine="420"/>
        <w:rPr>
          <w:rFonts w:ascii="宋体" w:hAnsi="宋体" w:cs="宋体"/>
          <w:szCs w:val="21"/>
        </w:rPr>
      </w:pPr>
      <w:r>
        <w:rPr>
          <w:rFonts w:hint="eastAsia" w:ascii="宋体" w:hAnsi="宋体" w:cs="宋体"/>
          <w:szCs w:val="21"/>
        </w:rPr>
        <w:t>评审的一般程序为：</w:t>
      </w:r>
    </w:p>
    <w:p w14:paraId="12D7ED0B">
      <w:pPr>
        <w:numPr>
          <w:ilvl w:val="0"/>
          <w:numId w:val="6"/>
        </w:numPr>
        <w:ind w:firstLineChars="0"/>
        <w:rPr>
          <w:rFonts w:ascii="宋体" w:hAnsi="宋体" w:cs="宋体"/>
          <w:szCs w:val="21"/>
        </w:rPr>
      </w:pPr>
      <w:r>
        <w:rPr>
          <w:rFonts w:hint="eastAsia" w:ascii="宋体" w:hAnsi="宋体" w:cs="宋体"/>
          <w:szCs w:val="21"/>
        </w:rPr>
        <w:t>熟悉磋商文件和评审办法；</w:t>
      </w:r>
    </w:p>
    <w:p w14:paraId="5D9C4A77">
      <w:pPr>
        <w:numPr>
          <w:ilvl w:val="0"/>
          <w:numId w:val="6"/>
        </w:numPr>
        <w:ind w:firstLineChars="0"/>
        <w:rPr>
          <w:rFonts w:ascii="宋体" w:hAnsi="宋体" w:cs="宋体"/>
          <w:szCs w:val="21"/>
        </w:rPr>
      </w:pPr>
      <w:r>
        <w:rPr>
          <w:rFonts w:hint="eastAsia" w:ascii="宋体" w:hAnsi="宋体" w:cs="宋体"/>
          <w:szCs w:val="21"/>
        </w:rPr>
        <w:t>响应文件的资格审查（先进行资格审查，通过之后进入符合性审查及后续程序）；</w:t>
      </w:r>
    </w:p>
    <w:p w14:paraId="74F57853">
      <w:pPr>
        <w:numPr>
          <w:ilvl w:val="0"/>
          <w:numId w:val="6"/>
        </w:numPr>
        <w:ind w:firstLineChars="0"/>
        <w:rPr>
          <w:rFonts w:ascii="宋体" w:hAnsi="宋体" w:cs="宋体"/>
          <w:szCs w:val="21"/>
        </w:rPr>
      </w:pPr>
      <w:r>
        <w:rPr>
          <w:rFonts w:hint="eastAsia" w:ascii="宋体" w:hAnsi="宋体" w:cs="宋体"/>
          <w:szCs w:val="21"/>
        </w:rPr>
        <w:t>响应文件的符合性审查；</w:t>
      </w:r>
    </w:p>
    <w:p w14:paraId="5B5BA179">
      <w:pPr>
        <w:numPr>
          <w:ilvl w:val="0"/>
          <w:numId w:val="6"/>
        </w:numPr>
        <w:ind w:firstLineChars="0"/>
        <w:rPr>
          <w:rFonts w:ascii="宋体" w:hAnsi="宋体" w:cs="宋体"/>
          <w:szCs w:val="21"/>
        </w:rPr>
      </w:pPr>
      <w:r>
        <w:rPr>
          <w:rFonts w:hint="eastAsia" w:ascii="宋体" w:hAnsi="宋体" w:cs="宋体"/>
          <w:szCs w:val="21"/>
        </w:rPr>
        <w:t>询标澄清响应文件的疑问；</w:t>
      </w:r>
    </w:p>
    <w:p w14:paraId="0359A538">
      <w:pPr>
        <w:numPr>
          <w:ilvl w:val="0"/>
          <w:numId w:val="6"/>
        </w:numPr>
        <w:ind w:firstLineChars="0"/>
        <w:rPr>
          <w:rFonts w:ascii="宋体" w:hAnsi="宋体" w:cs="宋体"/>
          <w:szCs w:val="21"/>
        </w:rPr>
      </w:pPr>
      <w:r>
        <w:rPr>
          <w:rFonts w:hint="eastAsia" w:ascii="宋体" w:hAnsi="宋体" w:cs="宋体"/>
          <w:szCs w:val="21"/>
        </w:rPr>
        <w:t>经与供应商磋商，改变磋商文件中的技术和服务需求，或者合同草案条款，并接受供应商的调整后的磋商响应文件和报价（如需要）</w:t>
      </w:r>
    </w:p>
    <w:p w14:paraId="35C8F361">
      <w:pPr>
        <w:numPr>
          <w:ilvl w:val="0"/>
          <w:numId w:val="6"/>
        </w:numPr>
        <w:ind w:firstLineChars="0"/>
        <w:rPr>
          <w:rFonts w:ascii="宋体" w:hAnsi="宋体" w:cs="宋体"/>
          <w:szCs w:val="21"/>
        </w:rPr>
      </w:pPr>
      <w:r>
        <w:rPr>
          <w:rFonts w:hint="eastAsia" w:ascii="宋体" w:hAnsi="宋体" w:cs="宋体"/>
          <w:szCs w:val="21"/>
        </w:rPr>
        <w:t>响应文件（包括调整后的磋商响应文件）的商务技术文件评审及评分；</w:t>
      </w:r>
    </w:p>
    <w:p w14:paraId="78C628EF">
      <w:pPr>
        <w:numPr>
          <w:ilvl w:val="0"/>
          <w:numId w:val="6"/>
        </w:numPr>
        <w:ind w:firstLineChars="0"/>
        <w:rPr>
          <w:rFonts w:ascii="宋体" w:hAnsi="宋体" w:cs="宋体"/>
          <w:szCs w:val="21"/>
        </w:rPr>
      </w:pPr>
      <w:r>
        <w:rPr>
          <w:rFonts w:hint="eastAsia" w:ascii="宋体" w:hAnsi="宋体" w:cs="宋体"/>
          <w:szCs w:val="21"/>
        </w:rPr>
        <w:t>对供应商最终报价文件进行评审及评分；</w:t>
      </w:r>
    </w:p>
    <w:p w14:paraId="2723574F">
      <w:pPr>
        <w:numPr>
          <w:ilvl w:val="0"/>
          <w:numId w:val="6"/>
        </w:numPr>
        <w:ind w:firstLineChars="0"/>
        <w:rPr>
          <w:rFonts w:ascii="宋体" w:hAnsi="宋体" w:cs="宋体"/>
          <w:szCs w:val="21"/>
        </w:rPr>
      </w:pPr>
      <w:r>
        <w:rPr>
          <w:rFonts w:hint="eastAsia" w:ascii="宋体" w:hAnsi="宋体" w:cs="宋体"/>
          <w:szCs w:val="21"/>
        </w:rPr>
        <w:t>完成评审报告，推荐成交候选人。</w:t>
      </w:r>
    </w:p>
    <w:p w14:paraId="40FBBDEA">
      <w:pPr>
        <w:pStyle w:val="3"/>
        <w:rPr>
          <w:rFonts w:ascii="宋体" w:hAnsi="宋体" w:cs="宋体"/>
          <w:szCs w:val="21"/>
        </w:rPr>
      </w:pPr>
      <w:bookmarkStart w:id="279" w:name="_Toc27828"/>
      <w:bookmarkStart w:id="280" w:name="_Toc28562"/>
      <w:bookmarkStart w:id="281" w:name="_Toc18434"/>
      <w:bookmarkStart w:id="282" w:name="_Toc2078390"/>
      <w:bookmarkStart w:id="283" w:name="_Toc8665"/>
      <w:r>
        <w:rPr>
          <w:rFonts w:hint="eastAsia" w:ascii="宋体" w:hAnsi="宋体" w:cs="宋体"/>
          <w:szCs w:val="21"/>
        </w:rPr>
        <w:t>4响应文件的审查</w:t>
      </w:r>
      <w:bookmarkEnd w:id="279"/>
      <w:bookmarkEnd w:id="280"/>
      <w:bookmarkEnd w:id="281"/>
      <w:bookmarkEnd w:id="282"/>
      <w:bookmarkEnd w:id="283"/>
    </w:p>
    <w:p w14:paraId="62582D23">
      <w:pPr>
        <w:ind w:firstLine="420"/>
        <w:rPr>
          <w:rFonts w:ascii="宋体" w:hAnsi="宋体" w:cs="宋体"/>
          <w:szCs w:val="21"/>
        </w:rPr>
      </w:pPr>
      <w:r>
        <w:rPr>
          <w:rFonts w:hint="eastAsia" w:ascii="宋体" w:hAnsi="宋体" w:cs="宋体"/>
          <w:szCs w:val="21"/>
        </w:rPr>
        <w:t>磋商小组应当首先对供应商的资格进行审查，再对通过资格审查的供应商的响应文件进行符合性审查，以确定其是否满足磋商文件的实质性要求。如果响应文件实质上不满足磋商文件的要求，磋商小组将予以拒绝，并且不允许通过修正或撤消不符合要求的差异或保留，使之成为实质性满足的响应文件。</w:t>
      </w:r>
    </w:p>
    <w:p w14:paraId="1ECAB3C9">
      <w:pPr>
        <w:ind w:firstLine="422"/>
        <w:rPr>
          <w:rFonts w:ascii="宋体" w:hAnsi="宋体" w:cs="宋体"/>
          <w:b/>
          <w:szCs w:val="21"/>
        </w:rPr>
      </w:pPr>
      <w:r>
        <w:rPr>
          <w:rFonts w:hint="eastAsia" w:ascii="宋体" w:hAnsi="宋体" w:cs="宋体"/>
          <w:b/>
          <w:szCs w:val="21"/>
        </w:rPr>
        <w:t>4.3无效投标</w:t>
      </w:r>
    </w:p>
    <w:p w14:paraId="2CC38354">
      <w:pPr>
        <w:ind w:firstLine="422"/>
        <w:rPr>
          <w:rFonts w:ascii="宋体" w:hAnsi="宋体" w:cs="宋体"/>
          <w:b/>
          <w:szCs w:val="21"/>
        </w:rPr>
      </w:pPr>
      <w:r>
        <w:rPr>
          <w:rFonts w:hint="eastAsia" w:ascii="宋体" w:hAnsi="宋体" w:cs="宋体"/>
          <w:b/>
          <w:szCs w:val="21"/>
        </w:rPr>
        <w:t>4.3.1响应文件属下列情况之一的，应当在资格性检查时按照无效投标处理：</w:t>
      </w:r>
    </w:p>
    <w:p w14:paraId="326E225C">
      <w:pPr>
        <w:ind w:firstLine="420"/>
        <w:rPr>
          <w:rFonts w:ascii="宋体" w:hAnsi="宋体" w:cs="宋体"/>
          <w:szCs w:val="21"/>
        </w:rPr>
      </w:pPr>
      <w:r>
        <w:rPr>
          <w:rFonts w:hint="eastAsia" w:ascii="宋体" w:hAnsi="宋体" w:cs="宋体"/>
          <w:szCs w:val="21"/>
        </w:rPr>
        <w:t>资格证明文件不全的，或者不符合磋商文件标明的资格要求的。</w:t>
      </w:r>
    </w:p>
    <w:p w14:paraId="15F564FC">
      <w:pPr>
        <w:ind w:firstLine="422"/>
        <w:rPr>
          <w:rFonts w:ascii="宋体" w:hAnsi="宋体" w:cs="宋体"/>
          <w:b/>
          <w:szCs w:val="21"/>
        </w:rPr>
      </w:pPr>
      <w:r>
        <w:rPr>
          <w:rFonts w:hint="eastAsia" w:ascii="宋体" w:hAnsi="宋体" w:cs="宋体"/>
          <w:b/>
          <w:szCs w:val="21"/>
        </w:rPr>
        <w:t>4.3.2响应文件属下列情况之一的，应当在符合性检查时按照无效投标处理：</w:t>
      </w:r>
    </w:p>
    <w:p w14:paraId="5A9E322A">
      <w:pPr>
        <w:ind w:firstLine="420"/>
        <w:rPr>
          <w:rFonts w:ascii="宋体" w:hAnsi="宋体" w:cs="宋体"/>
          <w:szCs w:val="21"/>
        </w:rPr>
      </w:pPr>
      <w:r>
        <w:rPr>
          <w:rFonts w:hint="eastAsia" w:ascii="宋体" w:hAnsi="宋体" w:cs="宋体"/>
          <w:szCs w:val="21"/>
        </w:rPr>
        <w:t>（1）首次提交的响应文件未按照磋商文件规定要求签署、盖章的；</w:t>
      </w:r>
    </w:p>
    <w:p w14:paraId="4828EC08">
      <w:pPr>
        <w:ind w:firstLine="420"/>
        <w:rPr>
          <w:rFonts w:ascii="宋体" w:hAnsi="宋体" w:cs="宋体"/>
          <w:szCs w:val="21"/>
        </w:rPr>
      </w:pPr>
      <w:r>
        <w:rPr>
          <w:rFonts w:hint="eastAsia" w:ascii="宋体" w:hAnsi="宋体" w:cs="宋体"/>
          <w:szCs w:val="21"/>
        </w:rPr>
        <w:t>（2）磋商有效期短于供应商须知前附表规定期限的响应文件；</w:t>
      </w:r>
    </w:p>
    <w:p w14:paraId="6F4E8C5D">
      <w:pPr>
        <w:ind w:firstLine="420"/>
        <w:rPr>
          <w:rFonts w:ascii="宋体" w:hAnsi="宋体" w:cs="宋体"/>
          <w:szCs w:val="21"/>
        </w:rPr>
      </w:pPr>
      <w:r>
        <w:rPr>
          <w:rFonts w:hint="eastAsia" w:ascii="宋体" w:hAnsi="宋体" w:cs="宋体"/>
          <w:szCs w:val="21"/>
        </w:rPr>
        <w:t>（3）未响应磋商文件实质性要求（磋商文件中带“▲”条款要求）；</w:t>
      </w:r>
      <w:bookmarkStart w:id="284" w:name="_Hlk8685816"/>
    </w:p>
    <w:bookmarkEnd w:id="284"/>
    <w:p w14:paraId="24203A28">
      <w:pPr>
        <w:ind w:firstLine="420"/>
        <w:rPr>
          <w:rFonts w:ascii="宋体" w:hAnsi="宋体" w:cs="宋体"/>
          <w:szCs w:val="21"/>
        </w:rPr>
      </w:pPr>
      <w:r>
        <w:rPr>
          <w:rFonts w:hint="eastAsia" w:ascii="宋体" w:hAnsi="宋体" w:cs="宋体"/>
          <w:szCs w:val="21"/>
        </w:rPr>
        <w:t>（4）供应商存在串通行为或虚假投标的；</w:t>
      </w:r>
    </w:p>
    <w:p w14:paraId="7B9E13B0">
      <w:pPr>
        <w:ind w:firstLine="420"/>
        <w:rPr>
          <w:rFonts w:ascii="宋体" w:hAnsi="宋体" w:cs="宋体"/>
          <w:szCs w:val="21"/>
        </w:rPr>
      </w:pPr>
      <w:r>
        <w:rPr>
          <w:rFonts w:hint="eastAsia" w:ascii="宋体" w:hAnsi="宋体" w:cs="宋体"/>
          <w:szCs w:val="21"/>
        </w:rPr>
        <w:t>（5）响应文件含有采购人不能接受的附加条件的；</w:t>
      </w:r>
    </w:p>
    <w:p w14:paraId="04E5B473">
      <w:pPr>
        <w:ind w:firstLine="420"/>
        <w:rPr>
          <w:rFonts w:ascii="宋体" w:hAnsi="宋体" w:cs="宋体"/>
          <w:szCs w:val="21"/>
        </w:rPr>
      </w:pPr>
      <w:r>
        <w:rPr>
          <w:rFonts w:hint="eastAsia" w:ascii="宋体" w:hAnsi="宋体" w:cs="宋体"/>
          <w:szCs w:val="21"/>
        </w:rPr>
        <w:t>（6）法律、法规和磋商文件规定的其他无效情形的。</w:t>
      </w:r>
    </w:p>
    <w:p w14:paraId="7D5C46ED">
      <w:pPr>
        <w:ind w:firstLine="422"/>
        <w:rPr>
          <w:rFonts w:ascii="宋体" w:hAnsi="宋体" w:cs="宋体"/>
          <w:b/>
          <w:szCs w:val="21"/>
        </w:rPr>
      </w:pPr>
      <w:r>
        <w:rPr>
          <w:rFonts w:hint="eastAsia" w:ascii="宋体" w:hAnsi="宋体" w:cs="宋体"/>
          <w:b/>
          <w:szCs w:val="21"/>
        </w:rPr>
        <w:t>4.3.3在报价评审时，如发现下列情形之一的，报价文件将被视为无效，不再进入报价评审环节：</w:t>
      </w:r>
    </w:p>
    <w:p w14:paraId="698966F4">
      <w:pPr>
        <w:ind w:firstLine="420"/>
        <w:rPr>
          <w:rFonts w:ascii="宋体" w:hAnsi="宋体" w:cs="宋体"/>
          <w:szCs w:val="21"/>
        </w:rPr>
      </w:pPr>
      <w:r>
        <w:rPr>
          <w:rFonts w:hint="eastAsia" w:ascii="宋体" w:hAnsi="宋体" w:cs="宋体"/>
          <w:szCs w:val="21"/>
        </w:rPr>
        <w:t>（1）报价超出最高限价，或者超出采购预算金额，采购人不能支付的；</w:t>
      </w:r>
    </w:p>
    <w:p w14:paraId="7293C964">
      <w:pPr>
        <w:ind w:firstLine="420"/>
        <w:rPr>
          <w:rFonts w:ascii="宋体" w:hAnsi="宋体" w:cs="宋体"/>
          <w:szCs w:val="21"/>
        </w:rPr>
      </w:pPr>
      <w:r>
        <w:rPr>
          <w:rFonts w:hint="eastAsia" w:ascii="宋体" w:hAnsi="宋体" w:cs="宋体"/>
          <w:szCs w:val="21"/>
        </w:rPr>
        <w:t>（2）报价具有选择性；</w:t>
      </w:r>
    </w:p>
    <w:p w14:paraId="02670EB3">
      <w:pPr>
        <w:ind w:firstLine="420"/>
        <w:rPr>
          <w:rFonts w:ascii="宋体" w:hAnsi="宋体" w:cs="宋体"/>
          <w:szCs w:val="21"/>
        </w:rPr>
      </w:pPr>
      <w:r>
        <w:rPr>
          <w:rFonts w:hint="eastAsia" w:ascii="宋体" w:hAnsi="宋体" w:cs="宋体"/>
          <w:szCs w:val="21"/>
        </w:rPr>
        <w:t>（3）不符合磋商文件规定要求进行报价的；</w:t>
      </w:r>
    </w:p>
    <w:p w14:paraId="07247200">
      <w:pPr>
        <w:pStyle w:val="44"/>
        <w:spacing w:after="0" w:line="360" w:lineRule="auto"/>
        <w:ind w:firstLine="422" w:firstLineChars="200"/>
        <w:rPr>
          <w:rFonts w:ascii="宋体" w:hAnsi="宋体" w:eastAsia="宋体" w:cs="宋体"/>
          <w:b/>
          <w:bCs/>
          <w:szCs w:val="21"/>
        </w:rPr>
      </w:pPr>
      <w:bookmarkStart w:id="285" w:name="_Hlk8250502"/>
      <w:r>
        <w:rPr>
          <w:rFonts w:hint="eastAsia" w:ascii="宋体" w:hAnsi="宋体" w:eastAsia="宋体" w:cs="宋体"/>
          <w:b/>
          <w:bCs/>
          <w:szCs w:val="21"/>
        </w:rPr>
        <w:t>4.</w:t>
      </w:r>
      <w:r>
        <w:rPr>
          <w:rFonts w:ascii="宋体" w:hAnsi="宋体" w:eastAsia="宋体" w:cs="宋体"/>
          <w:b/>
          <w:bCs/>
          <w:szCs w:val="21"/>
        </w:rPr>
        <w:t>4</w:t>
      </w:r>
      <w:r>
        <w:rPr>
          <w:rFonts w:hint="eastAsia" w:ascii="宋体" w:hAnsi="宋体" w:eastAsia="宋体" w:cs="宋体"/>
          <w:b/>
          <w:bCs/>
          <w:szCs w:val="21"/>
        </w:rPr>
        <w:t>串通投标情形认定</w:t>
      </w:r>
    </w:p>
    <w:p w14:paraId="6E80B93E">
      <w:pPr>
        <w:ind w:firstLine="422"/>
        <w:rPr>
          <w:rFonts w:ascii="宋体" w:hAnsi="宋体" w:cs="宋体"/>
          <w:b/>
          <w:szCs w:val="21"/>
        </w:rPr>
      </w:pPr>
      <w:r>
        <w:rPr>
          <w:rFonts w:hint="eastAsia" w:ascii="宋体" w:hAnsi="宋体" w:cs="宋体"/>
          <w:b/>
          <w:szCs w:val="21"/>
        </w:rPr>
        <w:t>4.</w:t>
      </w:r>
      <w:r>
        <w:rPr>
          <w:rFonts w:ascii="宋体" w:hAnsi="宋体" w:cs="宋体"/>
          <w:b/>
          <w:szCs w:val="21"/>
        </w:rPr>
        <w:t>4</w:t>
      </w:r>
      <w:r>
        <w:rPr>
          <w:rFonts w:hint="eastAsia" w:ascii="宋体" w:hAnsi="宋体" w:cs="宋体"/>
          <w:b/>
          <w:szCs w:val="21"/>
        </w:rPr>
        <w:t>.1供应商有下列情形之一的，视为供应商串通投标，其投标无效：</w:t>
      </w:r>
    </w:p>
    <w:p w14:paraId="2A35B92B">
      <w:pPr>
        <w:ind w:firstLine="420"/>
        <w:rPr>
          <w:rFonts w:ascii="宋体" w:hAnsi="宋体" w:cs="宋体"/>
          <w:szCs w:val="21"/>
        </w:rPr>
      </w:pPr>
      <w:r>
        <w:rPr>
          <w:rFonts w:hint="eastAsia" w:ascii="宋体" w:hAnsi="宋体" w:cs="宋体"/>
          <w:szCs w:val="21"/>
        </w:rPr>
        <w:t>（1）不同供应商的响应文件由同一单位或者个人编制；</w:t>
      </w:r>
    </w:p>
    <w:p w14:paraId="1AB434BA">
      <w:pPr>
        <w:ind w:firstLine="420"/>
        <w:rPr>
          <w:rFonts w:ascii="宋体" w:hAnsi="宋体" w:cs="宋体"/>
          <w:szCs w:val="21"/>
        </w:rPr>
      </w:pPr>
      <w:r>
        <w:rPr>
          <w:rFonts w:hint="eastAsia" w:ascii="宋体" w:hAnsi="宋体" w:cs="宋体"/>
          <w:szCs w:val="21"/>
        </w:rPr>
        <w:t>（2）不同供应商委托同一单位或者个人办理投标事宜；</w:t>
      </w:r>
    </w:p>
    <w:p w14:paraId="48DDA259">
      <w:pPr>
        <w:ind w:firstLine="420"/>
        <w:rPr>
          <w:rFonts w:ascii="宋体" w:hAnsi="宋体" w:cs="宋体"/>
          <w:szCs w:val="21"/>
        </w:rPr>
      </w:pPr>
      <w:r>
        <w:rPr>
          <w:rFonts w:hint="eastAsia" w:ascii="宋体" w:hAnsi="宋体" w:cs="宋体"/>
          <w:szCs w:val="21"/>
        </w:rPr>
        <w:t>（3）不同供应商的响应文件载明的项目管理成员或者联系人员为同一人；</w:t>
      </w:r>
    </w:p>
    <w:p w14:paraId="2E0FD1EC">
      <w:pPr>
        <w:ind w:firstLine="420"/>
        <w:rPr>
          <w:rFonts w:ascii="宋体" w:hAnsi="宋体" w:cs="宋体"/>
          <w:szCs w:val="21"/>
        </w:rPr>
      </w:pPr>
      <w:r>
        <w:rPr>
          <w:rFonts w:hint="eastAsia" w:ascii="宋体" w:hAnsi="宋体" w:cs="宋体"/>
          <w:szCs w:val="21"/>
        </w:rPr>
        <w:t>（4）不同供应商的响应文件异常一致或者投标报价呈规律性差异；</w:t>
      </w:r>
    </w:p>
    <w:p w14:paraId="21CE7954">
      <w:pPr>
        <w:ind w:firstLine="420"/>
        <w:rPr>
          <w:rFonts w:ascii="宋体" w:hAnsi="宋体" w:cs="宋体"/>
          <w:szCs w:val="21"/>
        </w:rPr>
      </w:pPr>
      <w:r>
        <w:rPr>
          <w:rFonts w:hint="eastAsia" w:ascii="宋体" w:hAnsi="宋体" w:cs="宋体"/>
          <w:szCs w:val="21"/>
        </w:rPr>
        <w:t>（5）不同供应商的响应文件相互混装；</w:t>
      </w:r>
    </w:p>
    <w:p w14:paraId="4ABE43B6">
      <w:pPr>
        <w:ind w:firstLine="420"/>
        <w:rPr>
          <w:rFonts w:ascii="宋体" w:hAnsi="宋体" w:cs="宋体"/>
          <w:szCs w:val="21"/>
        </w:rPr>
      </w:pPr>
      <w:r>
        <w:rPr>
          <w:rFonts w:hint="eastAsia" w:ascii="宋体" w:hAnsi="宋体" w:cs="宋体"/>
          <w:szCs w:val="21"/>
        </w:rPr>
        <w:t>（6）不同供应商的磋商保证金从同一单位或者个人的账户转出。</w:t>
      </w:r>
    </w:p>
    <w:p w14:paraId="7B3B4793">
      <w:pPr>
        <w:ind w:firstLine="422"/>
        <w:rPr>
          <w:rFonts w:ascii="宋体" w:hAnsi="宋体"/>
          <w:b/>
        </w:rPr>
      </w:pPr>
      <w:r>
        <w:rPr>
          <w:rFonts w:hint="eastAsia" w:ascii="宋体" w:hAnsi="宋体"/>
          <w:b/>
        </w:rPr>
        <w:t>4.</w:t>
      </w:r>
      <w:r>
        <w:rPr>
          <w:rFonts w:ascii="宋体" w:hAnsi="宋体"/>
          <w:b/>
        </w:rPr>
        <w:t>4</w:t>
      </w:r>
      <w:r>
        <w:rPr>
          <w:rFonts w:hint="eastAsia" w:ascii="宋体" w:hAnsi="宋体"/>
          <w:b/>
        </w:rPr>
        <w:t>.2供应商有下列情形之一的，属于恶意串通，其投标无效：</w:t>
      </w:r>
    </w:p>
    <w:p w14:paraId="6CC6763E">
      <w:pPr>
        <w:ind w:firstLine="420"/>
        <w:rPr>
          <w:rFonts w:ascii="宋体" w:hAnsi="宋体"/>
        </w:rPr>
      </w:pPr>
      <w:r>
        <w:rPr>
          <w:rFonts w:hint="eastAsia" w:ascii="宋体" w:hAnsi="宋体"/>
        </w:rPr>
        <w:t>（1）供应商直接或者间接从采购人或者采购代理机构处获得其他供应商的相关情况并修改其响应文件或者响应文件；</w:t>
      </w:r>
    </w:p>
    <w:p w14:paraId="6C4DCE84">
      <w:pPr>
        <w:ind w:firstLine="420"/>
        <w:rPr>
          <w:rFonts w:ascii="宋体" w:hAnsi="宋体"/>
        </w:rPr>
      </w:pPr>
      <w:r>
        <w:rPr>
          <w:rFonts w:hint="eastAsia" w:ascii="宋体" w:hAnsi="宋体"/>
        </w:rPr>
        <w:t>（2）供应商按照采购人或者采购代理机构的授意撤换、修改投标文件或者响应文件；</w:t>
      </w:r>
    </w:p>
    <w:p w14:paraId="200D7743">
      <w:pPr>
        <w:ind w:firstLine="420"/>
        <w:rPr>
          <w:rFonts w:ascii="宋体" w:hAnsi="宋体"/>
        </w:rPr>
      </w:pPr>
      <w:r>
        <w:rPr>
          <w:rFonts w:hint="eastAsia" w:ascii="宋体" w:hAnsi="宋体"/>
        </w:rPr>
        <w:t>（3）供应商之间协商报价、技术方案等投标文件或者响应文件的实质性内容；</w:t>
      </w:r>
    </w:p>
    <w:p w14:paraId="17FA5B72">
      <w:pPr>
        <w:ind w:firstLine="420"/>
        <w:rPr>
          <w:rFonts w:ascii="宋体" w:hAnsi="宋体"/>
        </w:rPr>
      </w:pPr>
      <w:r>
        <w:rPr>
          <w:rFonts w:hint="eastAsia" w:ascii="宋体" w:hAnsi="宋体"/>
        </w:rPr>
        <w:t>（4）属于同一集团、协会、商会等组织成员的供应商按照该组织要求协同参加采购活动；</w:t>
      </w:r>
    </w:p>
    <w:p w14:paraId="5134DE19">
      <w:pPr>
        <w:ind w:firstLine="420"/>
        <w:rPr>
          <w:rFonts w:ascii="宋体" w:hAnsi="宋体"/>
        </w:rPr>
      </w:pPr>
      <w:r>
        <w:rPr>
          <w:rFonts w:hint="eastAsia" w:ascii="宋体" w:hAnsi="宋体"/>
        </w:rPr>
        <w:t>（5）供应商之间事先约定由某一特定供应商中标、成交；</w:t>
      </w:r>
    </w:p>
    <w:p w14:paraId="11960437">
      <w:pPr>
        <w:ind w:firstLine="420"/>
        <w:rPr>
          <w:rFonts w:ascii="宋体" w:hAnsi="宋体"/>
        </w:rPr>
      </w:pPr>
      <w:r>
        <w:rPr>
          <w:rFonts w:hint="eastAsia" w:ascii="宋体" w:hAnsi="宋体"/>
        </w:rPr>
        <w:t>（6）供应商之间商定部分供应商放弃参加采购活动或者放弃中标、成交；</w:t>
      </w:r>
    </w:p>
    <w:p w14:paraId="3EFF45EB">
      <w:pPr>
        <w:ind w:firstLine="420"/>
        <w:rPr>
          <w:rFonts w:ascii="宋体" w:hAnsi="宋体"/>
        </w:rPr>
      </w:pPr>
      <w:r>
        <w:rPr>
          <w:rFonts w:hint="eastAsia" w:ascii="宋体" w:hAnsi="宋体"/>
        </w:rPr>
        <w:t>（7）供应商与采购人或者采购代理机构之间、供应商相互之间，为谋求特定供应商中标、成交或者排斥其他供应商的其他串通行为。</w:t>
      </w:r>
    </w:p>
    <w:p w14:paraId="08BCE7E4">
      <w:pPr>
        <w:ind w:firstLine="420"/>
        <w:rPr>
          <w:rFonts w:ascii="宋体" w:hAnsi="宋体"/>
        </w:rPr>
      </w:pPr>
      <w:r>
        <w:rPr>
          <w:rFonts w:hint="eastAsia" w:ascii="宋体" w:hAnsi="宋体"/>
        </w:rPr>
        <w:t>经查实有上述4</w:t>
      </w:r>
      <w:r>
        <w:rPr>
          <w:rFonts w:ascii="宋体" w:hAnsi="宋体"/>
        </w:rPr>
        <w:t>.4.1</w:t>
      </w:r>
      <w:r>
        <w:rPr>
          <w:rFonts w:hint="eastAsia" w:ascii="宋体" w:hAnsi="宋体"/>
        </w:rPr>
        <w:t>和4</w:t>
      </w:r>
      <w:r>
        <w:rPr>
          <w:rFonts w:ascii="宋体" w:hAnsi="宋体"/>
        </w:rPr>
        <w:t>.4.2</w:t>
      </w:r>
      <w:r>
        <w:rPr>
          <w:rFonts w:hint="eastAsia" w:ascii="宋体" w:hAnsi="宋体"/>
        </w:rPr>
        <w:t>行为的，采购人或采购代理机构将依法向采购监管部门报告，由监管部门依法处理。</w:t>
      </w:r>
    </w:p>
    <w:bookmarkEnd w:id="285"/>
    <w:p w14:paraId="15E6D1A5">
      <w:pPr>
        <w:ind w:firstLine="422"/>
        <w:rPr>
          <w:rFonts w:ascii="宋体" w:hAnsi="宋体" w:cs="宋体"/>
          <w:b/>
          <w:szCs w:val="21"/>
        </w:rPr>
      </w:pPr>
      <w:r>
        <w:rPr>
          <w:rFonts w:hint="eastAsia" w:ascii="宋体" w:hAnsi="宋体" w:cs="宋体"/>
          <w:b/>
          <w:szCs w:val="21"/>
        </w:rPr>
        <w:t>4.</w:t>
      </w:r>
      <w:r>
        <w:rPr>
          <w:rFonts w:ascii="宋体" w:hAnsi="宋体" w:cs="宋体"/>
          <w:b/>
          <w:szCs w:val="21"/>
        </w:rPr>
        <w:t>5</w:t>
      </w:r>
      <w:r>
        <w:rPr>
          <w:rFonts w:hint="eastAsia" w:ascii="宋体" w:hAnsi="宋体" w:cs="宋体"/>
          <w:b/>
          <w:szCs w:val="21"/>
        </w:rPr>
        <w:t>废标</w:t>
      </w:r>
    </w:p>
    <w:p w14:paraId="73739783">
      <w:pPr>
        <w:ind w:firstLine="420"/>
        <w:rPr>
          <w:rFonts w:ascii="宋体" w:hAnsi="宋体" w:cs="宋体"/>
          <w:szCs w:val="21"/>
        </w:rPr>
      </w:pPr>
      <w:r>
        <w:rPr>
          <w:rFonts w:hint="eastAsia" w:ascii="宋体" w:hAnsi="宋体" w:cs="宋体"/>
          <w:szCs w:val="21"/>
          <w:lang w:val="en-US" w:eastAsia="zh-CN"/>
        </w:rPr>
        <w:t>参照</w:t>
      </w:r>
      <w:r>
        <w:rPr>
          <w:rFonts w:hint="eastAsia" w:ascii="宋体" w:hAnsi="宋体" w:cs="宋体"/>
          <w:szCs w:val="21"/>
        </w:rPr>
        <w:t>《中华人民共和国政府采购法》第三十六条之规定，在采购中，出现下列情况之一的，应予以废标：</w:t>
      </w:r>
    </w:p>
    <w:p w14:paraId="15950ECA">
      <w:pPr>
        <w:ind w:firstLine="420"/>
        <w:rPr>
          <w:rFonts w:ascii="宋体" w:hAnsi="宋体" w:cs="宋体"/>
          <w:szCs w:val="21"/>
        </w:rPr>
      </w:pPr>
      <w:r>
        <w:rPr>
          <w:rFonts w:hint="eastAsia" w:ascii="宋体" w:hAnsi="宋体" w:cs="宋体"/>
          <w:szCs w:val="21"/>
        </w:rPr>
        <w:t>（1）符合专业条件的供应商或者对磋商文件作实质响应的供应商不足3家的</w:t>
      </w:r>
      <w:r>
        <w:rPr>
          <w:rFonts w:hint="eastAsia" w:ascii="宋体" w:hAnsi="宋体"/>
        </w:rPr>
        <w:t>（市场竞争不充分的科研项目、需要扶持的科技成果转化项目、政府购买服务项目、政府与社会资本合作项目，供应商可以是2家，但不得少于2家。）</w:t>
      </w:r>
      <w:r>
        <w:rPr>
          <w:rFonts w:hint="eastAsia" w:ascii="宋体" w:hAnsi="宋体" w:cs="宋体"/>
          <w:szCs w:val="21"/>
        </w:rPr>
        <w:t>；</w:t>
      </w:r>
    </w:p>
    <w:p w14:paraId="61D40551">
      <w:pPr>
        <w:ind w:firstLine="420"/>
        <w:rPr>
          <w:rFonts w:ascii="宋体" w:hAnsi="宋体" w:cs="宋体"/>
          <w:szCs w:val="21"/>
        </w:rPr>
      </w:pPr>
      <w:r>
        <w:rPr>
          <w:rFonts w:hint="eastAsia" w:ascii="宋体" w:hAnsi="宋体" w:cs="宋体"/>
          <w:szCs w:val="21"/>
        </w:rPr>
        <w:t>（2）出现影响采购公正的违法、违规行为的；</w:t>
      </w:r>
    </w:p>
    <w:p w14:paraId="0FE082B8">
      <w:pPr>
        <w:ind w:firstLine="420"/>
        <w:rPr>
          <w:rFonts w:ascii="宋体" w:hAnsi="宋体" w:cs="宋体"/>
          <w:szCs w:val="21"/>
        </w:rPr>
      </w:pPr>
      <w:r>
        <w:rPr>
          <w:rFonts w:hint="eastAsia" w:ascii="宋体" w:hAnsi="宋体" w:cs="宋体"/>
          <w:szCs w:val="21"/>
        </w:rPr>
        <w:t>（</w:t>
      </w:r>
      <w:r>
        <w:rPr>
          <w:rFonts w:ascii="宋体" w:hAnsi="宋体" w:cs="宋体"/>
          <w:szCs w:val="21"/>
        </w:rPr>
        <w:t>3</w:t>
      </w:r>
      <w:r>
        <w:rPr>
          <w:rFonts w:hint="eastAsia" w:ascii="宋体" w:hAnsi="宋体" w:cs="宋体"/>
          <w:szCs w:val="21"/>
        </w:rPr>
        <w:t>）供应商的报价均超过了采购预算，采购人不能支付的；</w:t>
      </w:r>
    </w:p>
    <w:p w14:paraId="4DF6E7E4">
      <w:pPr>
        <w:ind w:firstLine="420"/>
        <w:rPr>
          <w:rFonts w:ascii="宋体" w:hAnsi="宋体" w:cs="宋体"/>
          <w:szCs w:val="21"/>
        </w:rPr>
      </w:pPr>
      <w:r>
        <w:rPr>
          <w:rFonts w:hint="eastAsia" w:ascii="宋体" w:hAnsi="宋体" w:cs="宋体"/>
          <w:szCs w:val="21"/>
        </w:rPr>
        <w:t>（</w:t>
      </w:r>
      <w:r>
        <w:rPr>
          <w:rFonts w:ascii="宋体" w:hAnsi="宋体" w:cs="宋体"/>
          <w:szCs w:val="21"/>
        </w:rPr>
        <w:t>4</w:t>
      </w:r>
      <w:r>
        <w:rPr>
          <w:rFonts w:hint="eastAsia" w:ascii="宋体" w:hAnsi="宋体" w:cs="宋体"/>
          <w:szCs w:val="21"/>
        </w:rPr>
        <w:t>）因重大变故，采购任务取消的。</w:t>
      </w:r>
    </w:p>
    <w:p w14:paraId="2F6F35F2">
      <w:pPr>
        <w:ind w:firstLine="420"/>
        <w:rPr>
          <w:rFonts w:ascii="宋体" w:hAnsi="宋体" w:cs="宋体"/>
          <w:szCs w:val="21"/>
        </w:rPr>
      </w:pPr>
      <w:r>
        <w:rPr>
          <w:rFonts w:hint="eastAsia" w:ascii="宋体" w:hAnsi="宋体" w:cs="宋体"/>
          <w:szCs w:val="21"/>
        </w:rPr>
        <w:t>废标后，采购代理机构应当将废标理由通知所有供应商。</w:t>
      </w:r>
    </w:p>
    <w:p w14:paraId="42FD4377">
      <w:pPr>
        <w:pStyle w:val="3"/>
        <w:rPr>
          <w:rFonts w:ascii="宋体" w:hAnsi="宋体" w:cs="宋体"/>
          <w:szCs w:val="21"/>
        </w:rPr>
      </w:pPr>
      <w:bookmarkStart w:id="286" w:name="_Toc28673"/>
      <w:bookmarkStart w:id="287" w:name="_Toc16640"/>
      <w:bookmarkStart w:id="288" w:name="_Toc3003"/>
      <w:bookmarkStart w:id="289" w:name="_Toc7377"/>
      <w:r>
        <w:rPr>
          <w:rFonts w:hint="eastAsia" w:ascii="宋体" w:hAnsi="宋体" w:cs="宋体"/>
          <w:szCs w:val="21"/>
        </w:rPr>
        <w:t>5评审磋商</w:t>
      </w:r>
      <w:bookmarkEnd w:id="286"/>
      <w:bookmarkEnd w:id="287"/>
      <w:bookmarkEnd w:id="288"/>
      <w:bookmarkEnd w:id="289"/>
    </w:p>
    <w:p w14:paraId="37398FD5">
      <w:pPr>
        <w:ind w:firstLine="420"/>
        <w:rPr>
          <w:rFonts w:ascii="宋体" w:hAnsi="宋体"/>
        </w:rPr>
      </w:pPr>
      <w:r>
        <w:rPr>
          <w:rFonts w:hint="eastAsia" w:ascii="宋体" w:hAnsi="宋体"/>
        </w:rPr>
        <w:t>5</w:t>
      </w:r>
      <w:r>
        <w:rPr>
          <w:rFonts w:ascii="宋体" w:hAnsi="宋体"/>
        </w:rPr>
        <w:t>.1</w:t>
      </w:r>
      <w:r>
        <w:rPr>
          <w:rFonts w:hint="eastAsia" w:ascii="宋体" w:hAnsi="宋体"/>
        </w:rPr>
        <w:t>磋商小组对供应商资格证明文件进行查验、核实，资格审查不通过的，不再进行后续评审及磋商程序。</w:t>
      </w:r>
    </w:p>
    <w:p w14:paraId="73EF0ABB">
      <w:pPr>
        <w:ind w:firstLine="420"/>
        <w:rPr>
          <w:rFonts w:ascii="宋体" w:hAnsi="宋体"/>
        </w:rPr>
      </w:pPr>
      <w:r>
        <w:rPr>
          <w:rFonts w:hint="eastAsia" w:ascii="宋体" w:hAnsi="宋体"/>
        </w:rPr>
        <w:t>5</w:t>
      </w:r>
      <w:r>
        <w:rPr>
          <w:rFonts w:ascii="宋体" w:hAnsi="宋体"/>
        </w:rPr>
        <w:t>.2</w:t>
      </w:r>
      <w:r>
        <w:rPr>
          <w:rFonts w:hint="eastAsia" w:ascii="宋体" w:hAnsi="宋体"/>
        </w:rPr>
        <w:t>磋商小组对通过资格审查的响应文件资信、商务、技术部分，以及初次报价的符合性进行评审。</w:t>
      </w:r>
    </w:p>
    <w:p w14:paraId="011AE336">
      <w:pPr>
        <w:ind w:firstLine="420"/>
        <w:rPr>
          <w:rFonts w:ascii="宋体" w:hAnsi="宋体"/>
        </w:rPr>
      </w:pPr>
      <w:r>
        <w:rPr>
          <w:rFonts w:hint="eastAsia" w:ascii="宋体" w:hAnsi="宋体"/>
        </w:rPr>
        <w:t>5</w:t>
      </w:r>
      <w:r>
        <w:rPr>
          <w:rFonts w:ascii="宋体" w:hAnsi="宋体"/>
        </w:rPr>
        <w:t>.3</w:t>
      </w:r>
      <w:r>
        <w:rPr>
          <w:rFonts w:hint="eastAsia" w:ascii="宋体" w:hAnsi="宋体"/>
        </w:rPr>
        <w:t>磋商文件不能详细列明采购标的的技术、服务要求，需经磋商由供应商提供最终设计方案或解决方案的，磋商小组可以结合磋商文件明确的在磋商过程中可能实质性变动的内容确定磋商要点，变动的内容包括采购需求中的技术、服务要求以及合同草案条款，但不得变动磋商文件中的其他内容。</w:t>
      </w:r>
    </w:p>
    <w:p w14:paraId="40B26197">
      <w:pPr>
        <w:ind w:firstLine="420"/>
        <w:rPr>
          <w:rFonts w:ascii="宋体" w:hAnsi="宋体"/>
        </w:rPr>
      </w:pPr>
      <w:r>
        <w:rPr>
          <w:rFonts w:hint="eastAsia" w:ascii="宋体" w:hAnsi="宋体"/>
        </w:rPr>
        <w:t>5</w:t>
      </w:r>
      <w:r>
        <w:rPr>
          <w:rFonts w:ascii="宋体" w:hAnsi="宋体"/>
        </w:rPr>
        <w:t>.4</w:t>
      </w:r>
      <w:r>
        <w:rPr>
          <w:rFonts w:hint="eastAsia" w:ascii="宋体" w:hAnsi="宋体"/>
        </w:rPr>
        <w:t>磋商小组按供应商先到后谈顺序逐一就可能实质性变动的内容与供应商进行磋商，磋商小组所有成员应当集中与单一供应商分别进行磋商，并给予所有参加磋商的供应商平等的磋商机会。</w:t>
      </w:r>
    </w:p>
    <w:p w14:paraId="7867BBE6">
      <w:pPr>
        <w:ind w:firstLine="420"/>
        <w:rPr>
          <w:rFonts w:ascii="宋体" w:hAnsi="宋体"/>
        </w:rPr>
      </w:pPr>
      <w:r>
        <w:rPr>
          <w:rFonts w:hint="eastAsia" w:ascii="宋体" w:hAnsi="宋体"/>
        </w:rPr>
        <w:t>5</w:t>
      </w:r>
      <w:r>
        <w:rPr>
          <w:rFonts w:ascii="宋体" w:hAnsi="宋体"/>
        </w:rPr>
        <w:t>.5</w:t>
      </w:r>
      <w:r>
        <w:rPr>
          <w:rFonts w:hint="eastAsia" w:ascii="宋体" w:hAnsi="宋体"/>
        </w:rPr>
        <w:t>经磋商，磋商小组请采购人代表就需要实质性改变磋商文件的相关条款予以确认。</w:t>
      </w:r>
      <w:r>
        <w:rPr>
          <w:rFonts w:ascii="宋体" w:hAnsi="宋体"/>
        </w:rPr>
        <w:t>对磋商文件作出的实质性变动</w:t>
      </w:r>
      <w:r>
        <w:rPr>
          <w:rFonts w:hint="eastAsia" w:ascii="宋体" w:hAnsi="宋体"/>
        </w:rPr>
        <w:t>的内容</w:t>
      </w:r>
      <w:r>
        <w:rPr>
          <w:rFonts w:ascii="宋体" w:hAnsi="宋体"/>
        </w:rPr>
        <w:t>是磋商文件的有效组成部分</w:t>
      </w:r>
      <w:r>
        <w:rPr>
          <w:rFonts w:hint="eastAsia" w:ascii="宋体" w:hAnsi="宋体"/>
        </w:rPr>
        <w:t>。</w:t>
      </w:r>
    </w:p>
    <w:p w14:paraId="78B4F29E">
      <w:pPr>
        <w:ind w:firstLine="420"/>
        <w:rPr>
          <w:rFonts w:ascii="宋体" w:hAnsi="宋体"/>
        </w:rPr>
      </w:pPr>
      <w:r>
        <w:rPr>
          <w:rFonts w:hint="eastAsia" w:ascii="宋体" w:hAnsi="宋体"/>
        </w:rPr>
        <w:t>5</w:t>
      </w:r>
      <w:r>
        <w:rPr>
          <w:rFonts w:ascii="宋体" w:hAnsi="宋体"/>
        </w:rPr>
        <w:t>.6</w:t>
      </w:r>
      <w:r>
        <w:rPr>
          <w:rFonts w:hint="eastAsia" w:ascii="宋体" w:hAnsi="宋体"/>
        </w:rPr>
        <w:t>磋商小组以书面形式将实质性改变的磋商文件相关条款、由代理机构工作人员通知供应商，要求供应商在规定时间内作出书面响应。</w:t>
      </w:r>
    </w:p>
    <w:p w14:paraId="273CB638">
      <w:pPr>
        <w:ind w:firstLine="420"/>
        <w:rPr>
          <w:rFonts w:ascii="宋体" w:hAnsi="宋体"/>
        </w:rPr>
      </w:pPr>
      <w:r>
        <w:rPr>
          <w:rFonts w:ascii="宋体" w:hAnsi="宋体"/>
        </w:rPr>
        <w:t>5.7供应商应当按照</w:t>
      </w:r>
      <w:r>
        <w:rPr>
          <w:rFonts w:hint="eastAsia" w:ascii="宋体" w:hAnsi="宋体"/>
        </w:rPr>
        <w:t>磋商小组的书面通知内容</w:t>
      </w:r>
      <w:r>
        <w:rPr>
          <w:rFonts w:ascii="宋体" w:hAnsi="宋体"/>
        </w:rPr>
        <w:t>和磋商小组的要求</w:t>
      </w:r>
      <w:r>
        <w:rPr>
          <w:rFonts w:hint="eastAsia" w:ascii="宋体" w:hAnsi="宋体"/>
        </w:rPr>
        <w:t>针对变动条款提交书面响应</w:t>
      </w:r>
      <w:r>
        <w:rPr>
          <w:rFonts w:ascii="宋体" w:hAnsi="宋体"/>
        </w:rPr>
        <w:t>，并由其法定代表人或授权代表签字或者加盖公章。</w:t>
      </w:r>
    </w:p>
    <w:p w14:paraId="315B74F5">
      <w:pPr>
        <w:ind w:firstLine="420"/>
        <w:rPr>
          <w:rFonts w:ascii="宋体" w:hAnsi="宋体"/>
        </w:rPr>
      </w:pPr>
      <w:r>
        <w:rPr>
          <w:rFonts w:hint="eastAsia" w:ascii="宋体" w:hAnsi="宋体"/>
        </w:rPr>
        <w:t>5</w:t>
      </w:r>
      <w:r>
        <w:rPr>
          <w:rFonts w:ascii="宋体" w:hAnsi="宋体"/>
        </w:rPr>
        <w:t>.8</w:t>
      </w:r>
      <w:r>
        <w:rPr>
          <w:rFonts w:hint="eastAsia" w:ascii="宋体" w:hAnsi="宋体"/>
        </w:rPr>
        <w:t>磋商小组对响应文件（包括针对变动条款提交的书面响应）进行商务技术评审评分，资信（不得补正）评审评分。</w:t>
      </w:r>
    </w:p>
    <w:p w14:paraId="63FD83A1">
      <w:pPr>
        <w:ind w:firstLine="420"/>
        <w:rPr>
          <w:rFonts w:ascii="宋体" w:hAnsi="宋体"/>
        </w:rPr>
      </w:pPr>
      <w:r>
        <w:rPr>
          <w:rFonts w:hint="eastAsia" w:ascii="宋体" w:hAnsi="宋体"/>
        </w:rPr>
        <w:t>5</w:t>
      </w:r>
      <w:r>
        <w:rPr>
          <w:rFonts w:ascii="宋体" w:hAnsi="宋体"/>
        </w:rPr>
        <w:t>.9</w:t>
      </w:r>
      <w:r>
        <w:rPr>
          <w:rFonts w:hint="eastAsia" w:ascii="宋体" w:hAnsi="宋体"/>
        </w:rPr>
        <w:t>代理机构工作人员通知同意继续参加磋商的合格供应商在规定时间内进行最终书面报价。分以下两种情形：</w:t>
      </w:r>
    </w:p>
    <w:p w14:paraId="596DC14A">
      <w:pPr>
        <w:ind w:firstLine="420"/>
        <w:rPr>
          <w:rFonts w:ascii="宋体" w:hAnsi="宋体"/>
        </w:rPr>
      </w:pPr>
      <w:r>
        <w:rPr>
          <w:rFonts w:hint="eastAsia" w:ascii="宋体" w:hAnsi="宋体"/>
        </w:rPr>
        <w:t>（1）磋商文件能够详细列明采购标的的技术、服务要求的，磋商结束后，磋商小组应当要求所有实质性响应的供应商在规定时间内提交最后报价，提交最后报价的供应商不得少于3家。</w:t>
      </w:r>
    </w:p>
    <w:p w14:paraId="447141E4">
      <w:pPr>
        <w:ind w:firstLine="420"/>
        <w:rPr>
          <w:rFonts w:ascii="宋体" w:hAnsi="宋体"/>
        </w:rPr>
      </w:pPr>
      <w:r>
        <w:rPr>
          <w:rFonts w:hint="eastAsia" w:ascii="宋体" w:hAnsi="宋体"/>
        </w:rPr>
        <w:t>（2）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24FECE9E">
      <w:pPr>
        <w:pStyle w:val="44"/>
        <w:spacing w:line="360" w:lineRule="auto"/>
        <w:ind w:firstLineChars="200"/>
        <w:rPr>
          <w:rFonts w:ascii="宋体" w:hAnsi="宋体" w:eastAsia="宋体"/>
        </w:rPr>
      </w:pPr>
      <w:r>
        <w:rPr>
          <w:rFonts w:hint="eastAsia" w:ascii="宋体" w:hAnsi="宋体" w:eastAsia="宋体"/>
        </w:rPr>
        <w:t>市场竞争不充分的科研项目、需要扶持的科技成果转化项目、政府购买服务项目、政府与社会资本合作项目，进入最终报价的供应商可以是2家，但不得少于2家。</w:t>
      </w:r>
    </w:p>
    <w:p w14:paraId="7D1FDC8E">
      <w:pPr>
        <w:ind w:firstLine="420"/>
        <w:rPr>
          <w:rFonts w:ascii="宋体" w:hAnsi="宋体"/>
        </w:rPr>
      </w:pPr>
      <w:r>
        <w:rPr>
          <w:rFonts w:hint="eastAsia" w:ascii="宋体" w:hAnsi="宋体"/>
        </w:rPr>
        <w:t>在</w:t>
      </w:r>
      <w:r>
        <w:rPr>
          <w:rFonts w:ascii="宋体" w:hAnsi="宋体"/>
        </w:rPr>
        <w:t>不增加采购需求的前提下，下一轮报价不得高于上一轮报价。</w:t>
      </w:r>
    </w:p>
    <w:p w14:paraId="6CF2A88F">
      <w:pPr>
        <w:ind w:firstLine="420"/>
        <w:rPr>
          <w:rFonts w:ascii="宋体" w:hAnsi="宋体"/>
        </w:rPr>
      </w:pPr>
      <w:r>
        <w:rPr>
          <w:rFonts w:hint="eastAsia" w:ascii="宋体" w:hAnsi="宋体"/>
        </w:rPr>
        <w:t>已提交响应文件的供应商在提交最终报价之前，可以根据磋商情况退出磋商。</w:t>
      </w:r>
    </w:p>
    <w:p w14:paraId="2E28CB71">
      <w:pPr>
        <w:ind w:firstLine="420"/>
        <w:rPr>
          <w:rFonts w:ascii="宋体" w:hAnsi="宋体"/>
        </w:rPr>
      </w:pPr>
      <w:r>
        <w:rPr>
          <w:rFonts w:hint="eastAsia" w:ascii="宋体" w:hAnsi="宋体"/>
        </w:rPr>
        <w:t>5</w:t>
      </w:r>
      <w:r>
        <w:rPr>
          <w:rFonts w:ascii="宋体" w:hAnsi="宋体"/>
        </w:rPr>
        <w:t>.10</w:t>
      </w:r>
      <w:r>
        <w:rPr>
          <w:rFonts w:hint="eastAsia" w:ascii="宋体" w:hAnsi="宋体"/>
        </w:rPr>
        <w:t>磋商小组根据磋商文件规定的评分细则对最终报价进行评分，汇总资信、商务、技术、报价分值，得出评审总分。</w:t>
      </w:r>
    </w:p>
    <w:p w14:paraId="7ADD1B84">
      <w:pPr>
        <w:ind w:firstLine="420"/>
        <w:rPr>
          <w:rFonts w:ascii="宋体" w:hAnsi="宋体"/>
        </w:rPr>
      </w:pPr>
      <w:r>
        <w:rPr>
          <w:rFonts w:hint="eastAsia" w:ascii="宋体" w:hAnsi="宋体"/>
        </w:rPr>
        <w:t>5</w:t>
      </w:r>
      <w:r>
        <w:rPr>
          <w:rFonts w:ascii="宋体" w:hAnsi="宋体"/>
        </w:rPr>
        <w:t>.11</w:t>
      </w:r>
      <w:r>
        <w:rPr>
          <w:rFonts w:hint="eastAsia" w:ascii="宋体" w:hAnsi="宋体"/>
        </w:rPr>
        <w:t>磋商小组根据综合评分情况，按照评审总得分由高到低顺序推荐3名以上成交候选供应商，并编写评审报告。（市场竞争不充分的科研项目、需要扶持的科技成果转化项目、政府购买服务项目，政府与社会资本合作项目可以推荐2名。）</w:t>
      </w:r>
    </w:p>
    <w:p w14:paraId="7277FA89">
      <w:pPr>
        <w:pStyle w:val="3"/>
        <w:rPr>
          <w:rFonts w:ascii="宋体" w:hAnsi="宋体" w:cs="宋体"/>
          <w:szCs w:val="21"/>
        </w:rPr>
      </w:pPr>
      <w:bookmarkStart w:id="290" w:name="_Toc6573"/>
      <w:bookmarkStart w:id="291" w:name="_Toc3217"/>
      <w:bookmarkStart w:id="292" w:name="_Toc2600"/>
      <w:bookmarkStart w:id="293" w:name="_Toc30482"/>
      <w:r>
        <w:rPr>
          <w:rFonts w:ascii="宋体" w:hAnsi="宋体" w:cs="宋体"/>
          <w:szCs w:val="21"/>
        </w:rPr>
        <w:t>6</w:t>
      </w:r>
      <w:r>
        <w:rPr>
          <w:rFonts w:hint="eastAsia" w:ascii="宋体" w:hAnsi="宋体" w:cs="宋体"/>
          <w:szCs w:val="21"/>
        </w:rPr>
        <w:t>评分细则</w:t>
      </w:r>
      <w:bookmarkEnd w:id="290"/>
      <w:bookmarkEnd w:id="291"/>
      <w:bookmarkEnd w:id="292"/>
      <w:bookmarkEnd w:id="293"/>
    </w:p>
    <w:p w14:paraId="04B3DBCF">
      <w:pPr>
        <w:ind w:firstLine="415" w:firstLineChars="198"/>
        <w:rPr>
          <w:rFonts w:ascii="宋体" w:hAnsi="宋体" w:cs="宋体"/>
          <w:szCs w:val="21"/>
        </w:rPr>
      </w:pPr>
      <w:r>
        <w:rPr>
          <w:rFonts w:hint="eastAsia" w:ascii="宋体" w:hAnsi="宋体" w:cs="宋体"/>
          <w:szCs w:val="21"/>
        </w:rPr>
        <w:t>本次评审采用综合评分法，磋商小组</w:t>
      </w:r>
      <w:r>
        <w:rPr>
          <w:rFonts w:hint="eastAsia" w:ascii="宋体" w:hAnsi="宋体"/>
          <w:szCs w:val="21"/>
        </w:rPr>
        <w:t>按照磋商文件及其评审办法规定的方法、评审因素、标准和程序，</w:t>
      </w:r>
      <w:r>
        <w:rPr>
          <w:rFonts w:hint="eastAsia" w:ascii="宋体" w:hAnsi="宋体" w:cs="宋体"/>
          <w:szCs w:val="21"/>
        </w:rPr>
        <w:t>对供应商的报价、综合实力、技术（服务）、信誉、业绩和售后服务等方面进行审核评价。磋商小组根据评审细则，对各供应商的报价进行统一打分，对各供应商的资信、商务及技术（服务）由磋商小组成员在分值范围内进行独立打分。所有分值均在小数点后保留2位小数。</w:t>
      </w:r>
    </w:p>
    <w:p w14:paraId="5E57A04D">
      <w:pPr>
        <w:ind w:firstLine="420"/>
        <w:rPr>
          <w:rFonts w:ascii="宋体" w:hAnsi="宋体" w:cs="宋体"/>
          <w:szCs w:val="21"/>
        </w:rPr>
      </w:pPr>
      <w:r>
        <w:rPr>
          <w:rFonts w:hint="eastAsia" w:ascii="宋体" w:hAnsi="宋体" w:cs="宋体"/>
          <w:szCs w:val="21"/>
        </w:rPr>
        <w:t>每个供应商最终得分=投标报价分+资信分+技术分</w:t>
      </w:r>
    </w:p>
    <w:p w14:paraId="4D2B515B">
      <w:pPr>
        <w:ind w:firstLine="420"/>
        <w:rPr>
          <w:rFonts w:ascii="宋体" w:hAnsi="宋体"/>
        </w:rPr>
      </w:pPr>
      <w:r>
        <w:rPr>
          <w:rFonts w:hint="eastAsia" w:ascii="宋体" w:hAnsi="宋体"/>
        </w:rPr>
        <w:t>磋商小组推荐得分最高的供应商为第一成交候选人、得分次高的供应商为第二成交候选人。如果得分相同，则按供应商报价从低到高顺序推荐为成交候选人，如果报价也相同，则按供应商技术得分从高到低顺序推荐成交候选人，如果报价和技术得分都相同则</w:t>
      </w:r>
      <w:r>
        <w:rPr>
          <w:rFonts w:hint="eastAsia" w:ascii="宋体" w:hAnsi="宋体" w:cs="宋体"/>
          <w:kern w:val="0"/>
          <w:szCs w:val="21"/>
          <w:lang w:bidi="ar"/>
        </w:rPr>
        <w:t>采取随机抽取方式确定</w:t>
      </w:r>
      <w:r>
        <w:rPr>
          <w:rFonts w:hint="eastAsia" w:ascii="宋体" w:hAnsi="宋体"/>
        </w:rPr>
        <w:t>。</w:t>
      </w:r>
    </w:p>
    <w:p w14:paraId="4FFE3B99">
      <w:pPr>
        <w:pStyle w:val="4"/>
        <w:rPr>
          <w:rFonts w:ascii="宋体" w:hAnsi="宋体" w:cs="宋体"/>
          <w:szCs w:val="21"/>
        </w:rPr>
      </w:pPr>
      <w:bookmarkStart w:id="294" w:name="_Toc9023"/>
      <w:bookmarkStart w:id="295" w:name="_Hlk8251304"/>
      <w:r>
        <w:rPr>
          <w:rFonts w:ascii="宋体" w:hAnsi="宋体" w:cs="宋体"/>
          <w:szCs w:val="21"/>
        </w:rPr>
        <w:t>6</w:t>
      </w:r>
      <w:r>
        <w:rPr>
          <w:rFonts w:hint="eastAsia" w:ascii="宋体" w:hAnsi="宋体" w:cs="宋体"/>
          <w:szCs w:val="21"/>
        </w:rPr>
        <w:t>.1磋商报价分</w:t>
      </w:r>
      <w:r>
        <w:rPr>
          <w:rFonts w:hint="eastAsia" w:ascii="宋体" w:hAnsi="宋体" w:cs="宋体"/>
          <w:szCs w:val="21"/>
          <w:lang w:val="en-US" w:eastAsia="zh-CN"/>
        </w:rPr>
        <w:t>3</w:t>
      </w:r>
      <w:r>
        <w:rPr>
          <w:rFonts w:hint="eastAsia" w:ascii="宋体" w:hAnsi="宋体" w:cs="宋体"/>
          <w:szCs w:val="21"/>
        </w:rPr>
        <w:t>0分</w:t>
      </w:r>
    </w:p>
    <w:p w14:paraId="24E0601B">
      <w:pPr>
        <w:widowControl/>
        <w:ind w:firstLine="420"/>
        <w:jc w:val="left"/>
      </w:pPr>
      <w:r>
        <w:rPr>
          <w:rFonts w:hint="eastAsia"/>
        </w:rPr>
        <w:t>磋商报价评分将在有效供应商范围内进行，小数点后保留2位小数。满足磋商文件要求且磋商报价最低的磋商报价为评审基准价，其磋商报价分为满分。其他供应商的报价分按照下列公式计算：</w:t>
      </w:r>
    </w:p>
    <w:p w14:paraId="0054A005">
      <w:pPr>
        <w:widowControl/>
        <w:ind w:firstLine="420"/>
        <w:jc w:val="left"/>
      </w:pPr>
      <w:r>
        <w:rPr>
          <w:rFonts w:hint="eastAsia"/>
        </w:rPr>
        <w:t>报价得分=（评审基准价/最后报价）*</w:t>
      </w:r>
      <w:r>
        <w:rPr>
          <w:rFonts w:hint="eastAsia"/>
          <w:lang w:val="en-US" w:eastAsia="zh-CN"/>
        </w:rPr>
        <w:t>3</w:t>
      </w:r>
      <w:r>
        <w:rPr>
          <w:rFonts w:hint="eastAsia"/>
        </w:rPr>
        <w:t>0</w:t>
      </w:r>
    </w:p>
    <w:p w14:paraId="60C7D808">
      <w:pPr>
        <w:widowControl/>
        <w:ind w:firstLine="420"/>
        <w:jc w:val="left"/>
      </w:pPr>
      <w:r>
        <w:rPr>
          <w:rFonts w:hint="eastAsia"/>
        </w:rPr>
        <w:t>此项由磋商小组集体核实后统一打分。</w:t>
      </w:r>
    </w:p>
    <w:p w14:paraId="49A3B0A4">
      <w:pPr>
        <w:pStyle w:val="4"/>
        <w:rPr>
          <w:rFonts w:ascii="宋体" w:hAnsi="宋体" w:cs="宋体"/>
          <w:szCs w:val="21"/>
        </w:rPr>
      </w:pPr>
      <w:r>
        <w:rPr>
          <w:rFonts w:ascii="宋体" w:hAnsi="宋体" w:cs="宋体"/>
          <w:szCs w:val="21"/>
        </w:rPr>
        <w:t>6</w:t>
      </w:r>
      <w:r>
        <w:rPr>
          <w:rFonts w:hint="eastAsia" w:ascii="宋体" w:hAnsi="宋体" w:cs="宋体"/>
          <w:szCs w:val="21"/>
        </w:rPr>
        <w:t>.2资信评分</w:t>
      </w:r>
      <w:r>
        <w:rPr>
          <w:rFonts w:hint="eastAsia" w:ascii="宋体" w:hAnsi="宋体" w:cs="宋体"/>
          <w:szCs w:val="21"/>
          <w:lang w:val="en-US" w:eastAsia="zh-CN"/>
        </w:rPr>
        <w:t>6</w:t>
      </w:r>
      <w:r>
        <w:rPr>
          <w:rFonts w:hint="eastAsia" w:ascii="宋体" w:hAnsi="宋体" w:cs="宋体"/>
          <w:szCs w:val="21"/>
        </w:rPr>
        <w:t>分</w:t>
      </w:r>
    </w:p>
    <w:p w14:paraId="5A00D8DE">
      <w:pPr>
        <w:widowControl/>
        <w:ind w:firstLine="420"/>
        <w:jc w:val="left"/>
        <w:rPr>
          <w:rFonts w:hint="eastAsia"/>
        </w:rPr>
      </w:pPr>
      <w:r>
        <w:rPr>
          <w:rFonts w:hint="eastAsia"/>
        </w:rPr>
        <w:t>6.2.1供应商自202</w:t>
      </w:r>
      <w:r>
        <w:rPr>
          <w:rFonts w:hint="eastAsia"/>
          <w:lang w:val="en-US" w:eastAsia="zh-CN"/>
        </w:rPr>
        <w:t>2</w:t>
      </w:r>
      <w:r>
        <w:rPr>
          <w:rFonts w:hint="eastAsia"/>
        </w:rPr>
        <w:t>年0</w:t>
      </w:r>
      <w:r>
        <w:rPr>
          <w:rFonts w:hint="eastAsia"/>
          <w:lang w:val="en-US" w:eastAsia="zh-CN"/>
        </w:rPr>
        <w:t>4</w:t>
      </w:r>
      <w:r>
        <w:rPr>
          <w:rFonts w:hint="eastAsia"/>
        </w:rPr>
        <w:t>月份以来同类项目业绩，每个得0.5分，最高得</w:t>
      </w:r>
      <w:r>
        <w:rPr>
          <w:rFonts w:hint="eastAsia"/>
          <w:lang w:val="en-US" w:eastAsia="zh-CN"/>
        </w:rPr>
        <w:t>3</w:t>
      </w:r>
      <w:r>
        <w:rPr>
          <w:rFonts w:hint="eastAsia"/>
        </w:rPr>
        <w:t>分；（业绩必须提供合同复印件，时间以合同签订时间为准）</w:t>
      </w:r>
    </w:p>
    <w:p w14:paraId="4EA4C17B">
      <w:pPr>
        <w:widowControl/>
        <w:ind w:firstLine="420"/>
        <w:jc w:val="left"/>
      </w:pPr>
      <w:r>
        <w:rPr>
          <w:rFonts w:hint="eastAsia" w:ascii="Times New Roman" w:hAnsi="Times New Roman" w:eastAsia="宋体" w:cs="Times New Roman"/>
          <w:b w:val="0"/>
          <w:bCs w:val="0"/>
          <w:kern w:val="2"/>
          <w:sz w:val="21"/>
          <w:szCs w:val="24"/>
          <w:lang w:val="en-US" w:eastAsia="zh-CN"/>
        </w:rPr>
        <w:t>6.2.2供应商具有</w:t>
      </w:r>
      <w:r>
        <w:rPr>
          <w:rFonts w:hint="eastAsia" w:ascii="Times New Roman" w:hAnsi="Times New Roman" w:eastAsia="宋体" w:cs="Times New Roman"/>
          <w:b w:val="0"/>
          <w:bCs w:val="0"/>
          <w:kern w:val="2"/>
          <w:sz w:val="21"/>
          <w:szCs w:val="24"/>
        </w:rPr>
        <w:t>质量管理体系认证、环境管理体系认证、职业健康安全管理认证，且在有效期内的</w:t>
      </w:r>
      <w:r>
        <w:rPr>
          <w:rFonts w:hint="eastAsia" w:ascii="Times New Roman" w:hAnsi="Times New Roman" w:eastAsia="宋体" w:cs="Times New Roman"/>
          <w:b w:val="0"/>
          <w:bCs w:val="0"/>
          <w:kern w:val="2"/>
          <w:sz w:val="21"/>
          <w:szCs w:val="24"/>
          <w:lang w:eastAsia="zh-CN"/>
        </w:rPr>
        <w:t>，</w:t>
      </w:r>
      <w:r>
        <w:rPr>
          <w:rFonts w:hint="eastAsia" w:ascii="Times New Roman" w:hAnsi="Times New Roman" w:eastAsia="宋体" w:cs="Times New Roman"/>
          <w:b w:val="0"/>
          <w:bCs w:val="0"/>
          <w:kern w:val="2"/>
          <w:sz w:val="21"/>
          <w:szCs w:val="24"/>
          <w:lang w:val="en-US" w:eastAsia="zh-CN"/>
        </w:rPr>
        <w:t>每提供一个得1分，最高得3分，提供证明材料，未提供不得分。</w:t>
      </w:r>
    </w:p>
    <w:p w14:paraId="4A57ACB2">
      <w:pPr>
        <w:pStyle w:val="4"/>
        <w:rPr>
          <w:rFonts w:ascii="宋体" w:hAnsi="宋体" w:cs="宋体"/>
          <w:szCs w:val="21"/>
        </w:rPr>
      </w:pPr>
      <w:r>
        <w:rPr>
          <w:rFonts w:hint="eastAsia" w:ascii="宋体" w:hAnsi="宋体" w:cs="宋体"/>
          <w:szCs w:val="21"/>
        </w:rPr>
        <w:t>6.3技术分</w:t>
      </w:r>
      <w:r>
        <w:rPr>
          <w:rFonts w:hint="eastAsia" w:ascii="宋体" w:hAnsi="宋体" w:cs="宋体"/>
          <w:szCs w:val="21"/>
          <w:lang w:val="en-US" w:eastAsia="zh-CN"/>
        </w:rPr>
        <w:t>64</w:t>
      </w:r>
      <w:r>
        <w:rPr>
          <w:rFonts w:hint="eastAsia" w:ascii="宋体" w:hAnsi="宋体" w:cs="宋体"/>
          <w:szCs w:val="21"/>
        </w:rPr>
        <w:t>分</w:t>
      </w:r>
    </w:p>
    <w:tbl>
      <w:tblPr>
        <w:tblStyle w:val="46"/>
        <w:tblW w:w="8892" w:type="dxa"/>
        <w:tblInd w:w="-22" w:type="dxa"/>
        <w:tblLayout w:type="fixed"/>
        <w:tblCellMar>
          <w:top w:w="0" w:type="dxa"/>
          <w:left w:w="0" w:type="dxa"/>
          <w:bottom w:w="0" w:type="dxa"/>
          <w:right w:w="0" w:type="dxa"/>
        </w:tblCellMar>
      </w:tblPr>
      <w:tblGrid>
        <w:gridCol w:w="667"/>
        <w:gridCol w:w="6113"/>
        <w:gridCol w:w="1016"/>
        <w:gridCol w:w="1096"/>
      </w:tblGrid>
      <w:tr w14:paraId="5A084850">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23B49D2">
            <w:pPr>
              <w:widowControl/>
              <w:ind w:firstLine="0" w:firstLineChars="0"/>
              <w:jc w:val="center"/>
              <w:rPr>
                <w:rFonts w:hint="eastAsia" w:ascii="宋体" w:hAnsi="宋体" w:eastAsia="宋体" w:cs="宋体"/>
                <w:sz w:val="24"/>
              </w:rPr>
            </w:pPr>
            <w:r>
              <w:rPr>
                <w:rFonts w:hint="eastAsia" w:ascii="宋体" w:hAnsi="宋体" w:eastAsia="宋体" w:cs="宋体"/>
                <w:sz w:val="24"/>
              </w:rPr>
              <w:t>序号</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C74FA51">
            <w:pPr>
              <w:widowControl/>
              <w:ind w:firstLine="0" w:firstLineChars="0"/>
              <w:jc w:val="left"/>
              <w:rPr>
                <w:rFonts w:hint="eastAsia" w:ascii="宋体" w:hAnsi="宋体" w:eastAsia="宋体" w:cs="宋体"/>
                <w:sz w:val="24"/>
              </w:rPr>
            </w:pPr>
            <w:r>
              <w:rPr>
                <w:rFonts w:hint="eastAsia" w:ascii="宋体" w:hAnsi="宋体" w:eastAsia="宋体" w:cs="宋体"/>
                <w:sz w:val="24"/>
              </w:rPr>
              <w:t>评分标准</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1356D98">
            <w:pPr>
              <w:widowControl/>
              <w:ind w:firstLine="0" w:firstLineChars="0"/>
              <w:jc w:val="center"/>
              <w:rPr>
                <w:rFonts w:hint="eastAsia" w:ascii="宋体" w:hAnsi="宋体" w:eastAsia="宋体" w:cs="宋体"/>
                <w:sz w:val="24"/>
              </w:rPr>
            </w:pPr>
            <w:r>
              <w:rPr>
                <w:rFonts w:hint="eastAsia" w:ascii="宋体" w:hAnsi="宋体" w:eastAsia="宋体" w:cs="宋体"/>
                <w:sz w:val="24"/>
              </w:rPr>
              <w:t>分值</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5ED53C24">
            <w:pPr>
              <w:widowControl/>
              <w:ind w:firstLine="0" w:firstLineChars="0"/>
              <w:jc w:val="center"/>
              <w:rPr>
                <w:rFonts w:hint="eastAsia" w:ascii="宋体" w:hAnsi="宋体" w:eastAsia="宋体" w:cs="宋体"/>
                <w:sz w:val="24"/>
              </w:rPr>
            </w:pPr>
            <w:r>
              <w:rPr>
                <w:rFonts w:hint="eastAsia" w:ascii="宋体" w:hAnsi="宋体" w:eastAsia="宋体" w:cs="宋体"/>
                <w:sz w:val="24"/>
              </w:rPr>
              <w:t>评分类型</w:t>
            </w:r>
          </w:p>
        </w:tc>
      </w:tr>
      <w:tr w14:paraId="2A31D72F">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E589489">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1</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6BB2DAF7">
            <w:pPr>
              <w:widowControl/>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项目需求的分析理解0-5分（评分范围：5，4，3，2，1，0）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D6F35DC">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0-5分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CA23655">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主观分</w:t>
            </w:r>
          </w:p>
        </w:tc>
      </w:tr>
      <w:tr w14:paraId="7E13C9E4">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4428281F">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2</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372EB31">
            <w:pPr>
              <w:widowControl/>
              <w:ind w:firstLine="480" w:firstLineChars="200"/>
              <w:jc w:val="left"/>
              <w:rPr>
                <w:rFonts w:hint="eastAsia" w:ascii="宋体" w:hAnsi="宋体" w:eastAsia="宋体" w:cs="宋体"/>
                <w:sz w:val="24"/>
              </w:rPr>
            </w:pPr>
            <w:r>
              <w:rPr>
                <w:rFonts w:hint="eastAsia" w:ascii="宋体" w:hAnsi="宋体" w:eastAsia="宋体" w:cs="宋体"/>
                <w:sz w:val="24"/>
                <w:szCs w:val="24"/>
              </w:rPr>
              <w:t>特点和难点进行分析，提出解决问题的措施</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624D8BE3">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0-5分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747492FA">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主观分</w:t>
            </w:r>
          </w:p>
        </w:tc>
      </w:tr>
      <w:tr w14:paraId="3D60DCE6">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15A82D6">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3</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F3D5099">
            <w:pPr>
              <w:widowControl/>
              <w:ind w:firstLine="420"/>
              <w:jc w:val="left"/>
              <w:rPr>
                <w:rFonts w:hint="eastAsia" w:ascii="宋体" w:hAnsi="宋体" w:eastAsia="宋体" w:cs="宋体"/>
                <w:sz w:val="24"/>
              </w:rPr>
            </w:pPr>
            <w:r>
              <w:rPr>
                <w:rFonts w:hint="eastAsia" w:ascii="宋体" w:hAnsi="宋体" w:eastAsia="宋体" w:cs="宋体"/>
                <w:sz w:val="24"/>
              </w:rPr>
              <w:t>整体</w:t>
            </w:r>
            <w:r>
              <w:rPr>
                <w:rFonts w:hint="eastAsia" w:ascii="宋体" w:hAnsi="宋体" w:eastAsia="宋体" w:cs="宋体"/>
                <w:sz w:val="24"/>
                <w:lang w:val="en-US" w:eastAsia="zh-CN"/>
              </w:rPr>
              <w:t>赛事运行</w:t>
            </w:r>
            <w:r>
              <w:rPr>
                <w:rFonts w:hint="eastAsia" w:ascii="宋体" w:hAnsi="宋体" w:eastAsia="宋体" w:cs="宋体"/>
                <w:sz w:val="24"/>
              </w:rPr>
              <w:t>服务方案</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3E616E7">
            <w:pPr>
              <w:widowControl/>
              <w:ind w:firstLine="0" w:firstLineChars="0"/>
              <w:jc w:val="center"/>
              <w:rPr>
                <w:rFonts w:hint="eastAsia" w:ascii="宋体" w:hAnsi="宋体" w:eastAsia="宋体" w:cs="宋体"/>
                <w:sz w:val="24"/>
              </w:rPr>
            </w:pPr>
            <w:r>
              <w:rPr>
                <w:rFonts w:hint="eastAsia" w:ascii="宋体" w:hAnsi="宋体" w:eastAsia="宋体" w:cs="宋体"/>
                <w:sz w:val="24"/>
              </w:rPr>
              <w:t>0-5分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0991308">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6C696B5C">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DBF02CD">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4</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EDEB87C">
            <w:pPr>
              <w:widowControl/>
              <w:ind w:firstLine="420"/>
              <w:jc w:val="left"/>
              <w:rPr>
                <w:rFonts w:hint="eastAsia" w:ascii="宋体" w:hAnsi="宋体" w:eastAsia="宋体" w:cs="宋体"/>
                <w:sz w:val="24"/>
              </w:rPr>
            </w:pPr>
            <w:r>
              <w:rPr>
                <w:rFonts w:hint="eastAsia" w:ascii="宋体" w:hAnsi="宋体" w:eastAsia="宋体" w:cs="宋体"/>
                <w:sz w:val="24"/>
              </w:rPr>
              <w:t>活动现场的宣传氛围布置方案</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0A8A2F2">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0-5分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9137119">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主观分</w:t>
            </w:r>
          </w:p>
        </w:tc>
      </w:tr>
      <w:tr w14:paraId="5972B1F7">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D0E3E31">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5</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6E603CAF">
            <w:pPr>
              <w:widowControl/>
              <w:numPr>
                <w:ilvl w:val="255"/>
                <w:numId w:val="0"/>
              </w:numPr>
              <w:ind w:firstLine="420"/>
              <w:jc w:val="left"/>
              <w:rPr>
                <w:rFonts w:hint="eastAsia" w:ascii="宋体" w:hAnsi="宋体" w:eastAsia="宋体" w:cs="宋体"/>
                <w:sz w:val="24"/>
              </w:rPr>
            </w:pPr>
            <w:r>
              <w:rPr>
                <w:rFonts w:hint="eastAsia" w:ascii="宋体" w:hAnsi="宋体" w:eastAsia="宋体" w:cs="宋体"/>
                <w:sz w:val="24"/>
              </w:rPr>
              <w:t>赛事进度计划方案</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76243A0">
            <w:pPr>
              <w:widowControl/>
              <w:ind w:firstLine="0" w:firstLineChars="0"/>
              <w:jc w:val="center"/>
              <w:rPr>
                <w:rFonts w:hint="eastAsia" w:ascii="宋体" w:hAnsi="宋体" w:eastAsia="宋体" w:cs="宋体"/>
                <w:sz w:val="24"/>
              </w:rPr>
            </w:pPr>
            <w:r>
              <w:rPr>
                <w:rFonts w:hint="eastAsia" w:ascii="宋体" w:hAnsi="宋体" w:eastAsia="宋体" w:cs="宋体"/>
                <w:sz w:val="24"/>
              </w:rPr>
              <w:t>0-5分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D3A6759">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0B2D4C45">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15F5620">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6</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E33D164">
            <w:pPr>
              <w:widowControl/>
              <w:numPr>
                <w:ilvl w:val="255"/>
                <w:numId w:val="0"/>
              </w:numPr>
              <w:ind w:firstLine="480" w:firstLineChars="200"/>
              <w:jc w:val="left"/>
              <w:rPr>
                <w:rFonts w:hint="eastAsia" w:ascii="宋体" w:hAnsi="宋体" w:eastAsia="宋体" w:cs="宋体"/>
                <w:sz w:val="24"/>
              </w:rPr>
            </w:pPr>
            <w:r>
              <w:rPr>
                <w:rFonts w:hint="eastAsia" w:ascii="宋体" w:hAnsi="宋体" w:eastAsia="宋体" w:cs="宋体"/>
                <w:sz w:val="24"/>
              </w:rPr>
              <w:t>赛事后勤保障方案方案</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867C30B">
            <w:pPr>
              <w:widowControl/>
              <w:numPr>
                <w:ilvl w:val="255"/>
                <w:numId w:val="0"/>
              </w:numPr>
              <w:jc w:val="center"/>
              <w:rPr>
                <w:rFonts w:hint="eastAsia" w:ascii="宋体" w:hAnsi="宋体" w:eastAsia="宋体" w:cs="宋体"/>
                <w:sz w:val="24"/>
              </w:rPr>
            </w:pPr>
            <w:r>
              <w:rPr>
                <w:rFonts w:hint="eastAsia" w:ascii="宋体" w:hAnsi="宋体" w:eastAsia="宋体" w:cs="宋体"/>
                <w:sz w:val="24"/>
              </w:rPr>
              <w:t>0-</w:t>
            </w:r>
            <w:r>
              <w:rPr>
                <w:rFonts w:hint="eastAsia" w:ascii="宋体" w:hAnsi="宋体" w:eastAsia="宋体" w:cs="宋体"/>
                <w:sz w:val="24"/>
                <w:lang w:val="en-US" w:eastAsia="zh-CN"/>
              </w:rPr>
              <w:t>5</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E8CF9B5">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3AC017F3">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492C3A5">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7</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3364738">
            <w:pPr>
              <w:widowControl/>
              <w:numPr>
                <w:ilvl w:val="255"/>
                <w:numId w:val="0"/>
              </w:numPr>
              <w:ind w:firstLine="480" w:firstLineChars="200"/>
              <w:jc w:val="left"/>
              <w:rPr>
                <w:rFonts w:hint="eastAsia" w:ascii="宋体" w:hAnsi="宋体" w:eastAsia="宋体" w:cs="宋体"/>
                <w:sz w:val="24"/>
              </w:rPr>
            </w:pPr>
            <w:r>
              <w:rPr>
                <w:rFonts w:hint="eastAsia" w:ascii="宋体" w:hAnsi="宋体" w:eastAsia="宋体" w:cs="宋体"/>
                <w:sz w:val="24"/>
              </w:rPr>
              <w:t>赛事安保方案</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5C992295">
            <w:pPr>
              <w:widowControl/>
              <w:ind w:firstLine="0" w:firstLineChars="0"/>
              <w:jc w:val="center"/>
              <w:rPr>
                <w:rFonts w:hint="eastAsia" w:ascii="宋体" w:hAnsi="宋体" w:eastAsia="宋体" w:cs="宋体"/>
                <w:sz w:val="24"/>
              </w:rPr>
            </w:pPr>
            <w:r>
              <w:rPr>
                <w:rFonts w:hint="eastAsia" w:ascii="宋体" w:hAnsi="宋体" w:eastAsia="宋体" w:cs="宋体"/>
                <w:sz w:val="24"/>
              </w:rPr>
              <w:t>0-</w:t>
            </w:r>
            <w:r>
              <w:rPr>
                <w:rFonts w:hint="eastAsia" w:ascii="宋体" w:hAnsi="宋体" w:eastAsia="宋体" w:cs="宋体"/>
                <w:sz w:val="24"/>
                <w:lang w:val="en-US" w:eastAsia="zh-CN"/>
              </w:rPr>
              <w:t>5</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91F2503">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1FD8DCC2">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E63AF78">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8</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5B68A4E">
            <w:pPr>
              <w:widowControl/>
              <w:numPr>
                <w:ilvl w:val="255"/>
                <w:numId w:val="0"/>
              </w:numPr>
              <w:ind w:firstLine="480" w:firstLineChars="200"/>
              <w:jc w:val="left"/>
              <w:rPr>
                <w:rFonts w:hint="eastAsia" w:ascii="宋体" w:hAnsi="宋体" w:eastAsia="宋体" w:cs="宋体"/>
                <w:sz w:val="24"/>
              </w:rPr>
            </w:pPr>
            <w:r>
              <w:rPr>
                <w:rFonts w:hint="eastAsia" w:ascii="宋体" w:hAnsi="宋体" w:eastAsia="宋体" w:cs="宋体"/>
                <w:sz w:val="24"/>
              </w:rPr>
              <w:t>突发事件</w:t>
            </w:r>
            <w:r>
              <w:rPr>
                <w:rFonts w:hint="eastAsia" w:ascii="宋体" w:hAnsi="宋体" w:eastAsia="宋体" w:cs="宋体"/>
                <w:sz w:val="24"/>
                <w:lang w:val="en-US" w:eastAsia="zh-CN"/>
              </w:rPr>
              <w:t>及</w:t>
            </w:r>
            <w:r>
              <w:rPr>
                <w:rFonts w:hint="eastAsia" w:ascii="宋体" w:hAnsi="宋体" w:eastAsia="宋体" w:cs="宋体"/>
                <w:sz w:val="24"/>
              </w:rPr>
              <w:t>安全应急预案</w:t>
            </w:r>
            <w:r>
              <w:rPr>
                <w:rFonts w:hint="eastAsia" w:ascii="宋体" w:hAnsi="宋体" w:eastAsia="宋体" w:cs="宋体"/>
                <w:sz w:val="24"/>
                <w:lang w:val="en-US" w:eastAsia="zh-CN"/>
              </w:rPr>
              <w:t>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1885919">
            <w:pPr>
              <w:widowControl/>
              <w:ind w:firstLine="0" w:firstLineChars="0"/>
              <w:jc w:val="center"/>
              <w:rPr>
                <w:rFonts w:hint="eastAsia" w:ascii="宋体" w:hAnsi="宋体" w:eastAsia="宋体" w:cs="宋体"/>
                <w:sz w:val="24"/>
              </w:rPr>
            </w:pPr>
            <w:r>
              <w:rPr>
                <w:rFonts w:hint="eastAsia" w:ascii="宋体" w:hAnsi="宋体" w:eastAsia="宋体" w:cs="宋体"/>
                <w:sz w:val="24"/>
              </w:rPr>
              <w:t>0-</w:t>
            </w:r>
            <w:r>
              <w:rPr>
                <w:rFonts w:hint="eastAsia" w:ascii="宋体" w:hAnsi="宋体" w:eastAsia="宋体" w:cs="宋体"/>
                <w:sz w:val="24"/>
                <w:lang w:val="en-US" w:eastAsia="zh-CN"/>
              </w:rPr>
              <w:t>5</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F3C5BE0">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71263F6F">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70A5331F">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9</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441514B">
            <w:pPr>
              <w:widowControl/>
              <w:numPr>
                <w:ilvl w:val="-1"/>
                <w:numId w:val="0"/>
              </w:numPr>
              <w:ind w:firstLine="480" w:firstLineChars="200"/>
              <w:jc w:val="both"/>
              <w:rPr>
                <w:rFonts w:hint="eastAsia" w:ascii="宋体" w:hAnsi="宋体" w:eastAsia="宋体" w:cs="宋体"/>
                <w:sz w:val="24"/>
                <w:lang w:val="en-US" w:eastAsia="zh-CN"/>
              </w:rPr>
            </w:pPr>
            <w:r>
              <w:rPr>
                <w:rFonts w:hint="eastAsia" w:ascii="宋体" w:hAnsi="宋体" w:eastAsia="宋体" w:cs="宋体"/>
                <w:sz w:val="24"/>
                <w:szCs w:val="24"/>
              </w:rPr>
              <w:t>赛事期间保险保额</w:t>
            </w:r>
            <w:r>
              <w:rPr>
                <w:rFonts w:hint="eastAsia" w:ascii="宋体" w:hAnsi="宋体" w:eastAsia="宋体" w:cs="宋体"/>
                <w:sz w:val="24"/>
                <w:szCs w:val="24"/>
                <w:lang w:val="en-US" w:eastAsia="zh-CN"/>
              </w:rPr>
              <w:t>承诺情况</w:t>
            </w:r>
            <w:r>
              <w:rPr>
                <w:rFonts w:hint="eastAsia" w:ascii="宋体" w:hAnsi="宋体" w:eastAsia="宋体" w:cs="宋体"/>
                <w:sz w:val="24"/>
                <w:lang w:val="en-US" w:eastAsia="zh-CN"/>
              </w:rPr>
              <w:t>0-3分（评分范围：3，2，1，0）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0EE3294">
            <w:pPr>
              <w:widowControl/>
              <w:ind w:firstLine="0" w:firstLineChars="0"/>
              <w:jc w:val="center"/>
              <w:rPr>
                <w:rFonts w:hint="eastAsia" w:ascii="宋体" w:hAnsi="宋体" w:eastAsia="宋体" w:cs="宋体"/>
                <w:sz w:val="24"/>
              </w:rPr>
            </w:pPr>
            <w:r>
              <w:rPr>
                <w:rFonts w:hint="eastAsia" w:ascii="宋体" w:hAnsi="宋体" w:eastAsia="宋体" w:cs="宋体"/>
                <w:sz w:val="24"/>
              </w:rPr>
              <w:t>0-</w:t>
            </w:r>
            <w:r>
              <w:rPr>
                <w:rFonts w:hint="eastAsia" w:ascii="宋体" w:hAnsi="宋体" w:eastAsia="宋体" w:cs="宋体"/>
                <w:sz w:val="24"/>
                <w:lang w:val="en-US" w:eastAsia="zh-CN"/>
              </w:rPr>
              <w:t>3</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43A3EC1C">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4BC874FA">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55534E79">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10</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751BFC2C">
            <w:pPr>
              <w:widowControl/>
              <w:numPr>
                <w:ilvl w:val="255"/>
                <w:numId w:val="0"/>
              </w:numPr>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项目质量保障方案0-5分（评分范围：5，4，3，2，1，0）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642E1164">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0-</w:t>
            </w:r>
            <w:r>
              <w:rPr>
                <w:rFonts w:hint="eastAsia" w:ascii="宋体" w:hAnsi="宋体" w:eastAsia="宋体" w:cs="宋体"/>
                <w:sz w:val="24"/>
                <w:lang w:val="en-US" w:eastAsia="zh-CN"/>
              </w:rPr>
              <w:t>5</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79DC2D3B">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主观分</w:t>
            </w:r>
          </w:p>
        </w:tc>
      </w:tr>
      <w:tr w14:paraId="47DA529B">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5A2C225D">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11</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466B00FF">
            <w:pPr>
              <w:ind w:firstLine="0" w:firstLineChars="0"/>
              <w:jc w:val="left"/>
              <w:rPr>
                <w:rFonts w:hint="eastAsia" w:ascii="宋体" w:hAnsi="宋体" w:eastAsia="宋体" w:cs="宋体"/>
                <w:sz w:val="24"/>
              </w:rPr>
            </w:pPr>
            <w:r>
              <w:rPr>
                <w:rFonts w:hint="eastAsia" w:ascii="宋体" w:hAnsi="宋体" w:eastAsia="宋体" w:cs="宋体"/>
                <w:sz w:val="24"/>
              </w:rPr>
              <w:t>服务团队情况：</w:t>
            </w:r>
          </w:p>
          <w:p w14:paraId="671E59FD">
            <w:pPr>
              <w:numPr>
                <w:ilvl w:val="-1"/>
                <w:numId w:val="0"/>
              </w:numPr>
              <w:ind w:firstLine="0" w:firstLineChars="0"/>
              <w:jc w:val="left"/>
              <w:rPr>
                <w:rFonts w:hint="eastAsia" w:ascii="宋体" w:hAnsi="宋体" w:eastAsia="宋体" w:cs="宋体"/>
                <w:sz w:val="24"/>
                <w:szCs w:val="24"/>
              </w:rPr>
            </w:pPr>
            <w:r>
              <w:rPr>
                <w:rFonts w:hint="eastAsia" w:ascii="宋体" w:hAnsi="宋体" w:eastAsia="宋体" w:cs="宋体"/>
                <w:sz w:val="24"/>
                <w:szCs w:val="24"/>
                <w:lang w:val="en-US" w:eastAsia="zh-CN"/>
              </w:rPr>
              <w:t>1）拟派项目负责人情况</w:t>
            </w:r>
            <w:r>
              <w:rPr>
                <w:rFonts w:hint="eastAsia" w:ascii="宋体" w:hAnsi="宋体" w:eastAsia="宋体" w:cs="宋体"/>
                <w:sz w:val="24"/>
                <w:lang w:val="en-US" w:eastAsia="zh-CN"/>
              </w:rPr>
              <w:t>0-3分（评分范围：3，2，1，0）</w:t>
            </w:r>
          </w:p>
          <w:p w14:paraId="4063712D">
            <w:pPr>
              <w:numPr>
                <w:ilvl w:val="-1"/>
                <w:numId w:val="0"/>
              </w:numPr>
              <w:ind w:firstLine="0" w:firstLineChars="0"/>
              <w:jc w:val="left"/>
              <w:rPr>
                <w:rFonts w:hint="eastAsia" w:ascii="宋体" w:hAnsi="宋体" w:eastAsia="宋体" w:cs="宋体"/>
                <w:sz w:val="24"/>
                <w:szCs w:val="24"/>
              </w:rPr>
            </w:pPr>
            <w:r>
              <w:rPr>
                <w:rFonts w:hint="eastAsia" w:ascii="宋体" w:hAnsi="宋体" w:eastAsia="宋体" w:cs="宋体"/>
                <w:sz w:val="24"/>
                <w:szCs w:val="24"/>
                <w:lang w:val="en-US" w:eastAsia="zh-CN"/>
              </w:rPr>
              <w:t>2）拟派项目团队人员情况（除项目负责人外）：</w:t>
            </w:r>
          </w:p>
          <w:p w14:paraId="6179431F">
            <w:pPr>
              <w:widowControl/>
              <w:numPr>
                <w:ilvl w:val="-1"/>
                <w:numId w:val="0"/>
              </w:numPr>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人员人数</w:t>
            </w:r>
            <w:r>
              <w:rPr>
                <w:rFonts w:hint="eastAsia" w:ascii="宋体" w:hAnsi="宋体" w:eastAsia="宋体" w:cs="宋体"/>
                <w:sz w:val="24"/>
                <w:lang w:val="en-US" w:eastAsia="zh-CN"/>
              </w:rPr>
              <w:t>0-3分（评分范围：3，2，1，0）</w:t>
            </w:r>
          </w:p>
          <w:p w14:paraId="1069E9C9">
            <w:pPr>
              <w:widowControl/>
              <w:numPr>
                <w:ilvl w:val="-1"/>
                <w:numId w:val="0"/>
              </w:numPr>
              <w:ind w:firstLine="480" w:firstLineChars="200"/>
              <w:jc w:val="left"/>
              <w:rPr>
                <w:rFonts w:hint="eastAsia" w:ascii="宋体" w:hAnsi="宋体" w:eastAsia="宋体" w:cs="宋体"/>
                <w:sz w:val="24"/>
              </w:rPr>
            </w:pPr>
            <w:r>
              <w:rPr>
                <w:rFonts w:hint="eastAsia" w:ascii="宋体" w:hAnsi="宋体" w:eastAsia="宋体" w:cs="宋体"/>
                <w:sz w:val="24"/>
                <w:szCs w:val="24"/>
                <w:lang w:val="en-US" w:eastAsia="zh-CN"/>
              </w:rPr>
              <w:t>人员分工、岗位职责情况</w:t>
            </w:r>
            <w:r>
              <w:rPr>
                <w:rFonts w:hint="eastAsia" w:ascii="宋体" w:hAnsi="宋体" w:eastAsia="宋体" w:cs="宋体"/>
                <w:sz w:val="24"/>
                <w:lang w:val="en-US" w:eastAsia="zh-CN"/>
              </w:rPr>
              <w:t>0-3分（评分范围：3，2，1，0）</w:t>
            </w:r>
          </w:p>
          <w:p w14:paraId="6675B509">
            <w:pPr>
              <w:widowControl/>
              <w:numPr>
                <w:ilvl w:val="-1"/>
                <w:numId w:val="0"/>
              </w:numPr>
              <w:ind w:firstLine="480" w:firstLineChars="200"/>
              <w:jc w:val="left"/>
              <w:rPr>
                <w:rFonts w:hint="eastAsia" w:ascii="宋体" w:hAnsi="宋体" w:eastAsia="宋体" w:cs="宋体"/>
                <w:sz w:val="24"/>
                <w:lang w:val="en-US" w:eastAsia="zh-CN"/>
              </w:rPr>
            </w:pPr>
            <w:r>
              <w:rPr>
                <w:rFonts w:hint="eastAsia" w:ascii="宋体" w:hAnsi="宋体" w:eastAsia="宋体" w:cs="宋体"/>
                <w:sz w:val="24"/>
                <w:lang w:val="en-US" w:eastAsia="zh-CN"/>
              </w:rPr>
              <w:t xml:space="preserve">人员素质、经验情况0-3分（评分范围：3，2，1，0） </w:t>
            </w:r>
          </w:p>
          <w:p w14:paraId="545E2A7F">
            <w:pPr>
              <w:widowControl/>
              <w:ind w:firstLine="0" w:firstLineChars="0"/>
              <w:jc w:val="left"/>
              <w:rPr>
                <w:rFonts w:hint="eastAsia" w:ascii="宋体" w:hAnsi="宋体" w:eastAsia="宋体" w:cs="宋体"/>
                <w:sz w:val="24"/>
              </w:rPr>
            </w:pPr>
            <w:r>
              <w:rPr>
                <w:rFonts w:hint="eastAsia" w:ascii="宋体" w:hAnsi="宋体" w:eastAsia="宋体" w:cs="宋体"/>
                <w:sz w:val="24"/>
                <w:szCs w:val="24"/>
              </w:rPr>
              <w:t>注：以上人员需提供相关证书证明材料及</w:t>
            </w:r>
            <w:r>
              <w:rPr>
                <w:rFonts w:hint="eastAsia" w:ascii="宋体" w:hAnsi="宋体" w:eastAsia="宋体" w:cs="宋体"/>
                <w:kern w:val="0"/>
                <w:sz w:val="24"/>
              </w:rPr>
              <w:t>人员在本单位缴纳的近3个月</w:t>
            </w:r>
            <w:r>
              <w:rPr>
                <w:rFonts w:hint="eastAsia" w:ascii="宋体" w:hAnsi="宋体" w:eastAsia="宋体" w:cs="宋体"/>
                <w:kern w:val="0"/>
                <w:sz w:val="24"/>
                <w:lang w:val="en-US" w:eastAsia="zh-CN"/>
              </w:rPr>
              <w:t>中任意一个月的</w:t>
            </w:r>
            <w:r>
              <w:rPr>
                <w:rFonts w:hint="eastAsia" w:ascii="宋体" w:hAnsi="宋体" w:eastAsia="宋体" w:cs="宋体"/>
                <w:kern w:val="0"/>
                <w:sz w:val="24"/>
              </w:rPr>
              <w:t>社保证明</w:t>
            </w:r>
            <w:r>
              <w:rPr>
                <w:rFonts w:hint="eastAsia" w:ascii="宋体" w:hAnsi="宋体" w:eastAsia="宋体" w:cs="宋体"/>
                <w:sz w:val="24"/>
                <w:szCs w:val="24"/>
              </w:rPr>
              <w:t>，</w:t>
            </w:r>
            <w:r>
              <w:rPr>
                <w:rFonts w:hint="eastAsia" w:ascii="宋体" w:hAnsi="宋体" w:eastAsia="宋体" w:cs="宋体"/>
                <w:sz w:val="24"/>
                <w:szCs w:val="24"/>
                <w:lang w:val="en-US" w:eastAsia="zh-CN"/>
              </w:rPr>
              <w:t>无社保</w:t>
            </w:r>
            <w:r>
              <w:rPr>
                <w:rFonts w:hint="eastAsia" w:ascii="宋体" w:hAnsi="宋体" w:eastAsia="宋体" w:cs="宋体"/>
                <w:sz w:val="24"/>
                <w:szCs w:val="24"/>
              </w:rPr>
              <w:t>不得分。</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42231E7A">
            <w:pPr>
              <w:widowControl/>
              <w:ind w:firstLine="0" w:firstLineChars="0"/>
              <w:jc w:val="center"/>
              <w:rPr>
                <w:rFonts w:hint="eastAsia" w:ascii="宋体" w:hAnsi="宋体" w:eastAsia="宋体" w:cs="宋体"/>
                <w:sz w:val="24"/>
              </w:rPr>
            </w:pPr>
            <w:r>
              <w:rPr>
                <w:rFonts w:hint="eastAsia" w:ascii="宋体" w:hAnsi="宋体" w:eastAsia="宋体" w:cs="宋体"/>
                <w:sz w:val="24"/>
              </w:rPr>
              <w:t>0-</w:t>
            </w:r>
            <w:r>
              <w:rPr>
                <w:rFonts w:hint="eastAsia" w:ascii="宋体" w:hAnsi="宋体" w:eastAsia="宋体" w:cs="宋体"/>
                <w:sz w:val="24"/>
                <w:lang w:val="en-US" w:eastAsia="zh-CN"/>
              </w:rPr>
              <w:t>12</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707BBA75">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6A15A43F">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3662DC14">
            <w:pPr>
              <w:widowControl/>
              <w:ind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12</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79D41A5">
            <w:pPr>
              <w:pStyle w:val="44"/>
              <w:ind w:firstLine="0" w:firstLineChars="0"/>
              <w:rPr>
                <w:rFonts w:hint="eastAsia" w:ascii="宋体" w:hAnsi="宋体" w:eastAsia="宋体" w:cs="宋体"/>
                <w:sz w:val="24"/>
              </w:rPr>
            </w:pPr>
            <w:r>
              <w:rPr>
                <w:rFonts w:hint="eastAsia" w:ascii="宋体" w:hAnsi="宋体" w:eastAsia="宋体" w:cs="宋体"/>
                <w:sz w:val="24"/>
                <w:szCs w:val="24"/>
              </w:rPr>
              <w:t>保证人员稳定措施</w:t>
            </w:r>
            <w:r>
              <w:rPr>
                <w:rFonts w:hint="eastAsia" w:ascii="宋体" w:hAnsi="宋体" w:eastAsia="宋体" w:cs="宋体"/>
                <w:sz w:val="24"/>
                <w:lang w:val="en-US" w:eastAsia="zh-CN"/>
              </w:rPr>
              <w:t>0-2分（评分范围：2，1，0.5，0）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2C16D60">
            <w:pPr>
              <w:widowControl/>
              <w:ind w:firstLine="0" w:firstLineChars="0"/>
              <w:jc w:val="center"/>
              <w:rPr>
                <w:rFonts w:hint="eastAsia" w:ascii="宋体" w:hAnsi="宋体" w:eastAsia="宋体" w:cs="宋体"/>
                <w:sz w:val="24"/>
              </w:rPr>
            </w:pPr>
            <w:r>
              <w:rPr>
                <w:rFonts w:hint="eastAsia" w:ascii="宋体" w:hAnsi="宋体" w:eastAsia="宋体" w:cs="宋体"/>
                <w:sz w:val="24"/>
              </w:rPr>
              <w:t>0-</w:t>
            </w:r>
            <w:r>
              <w:rPr>
                <w:rFonts w:hint="eastAsia" w:ascii="宋体" w:hAnsi="宋体" w:eastAsia="宋体" w:cs="宋体"/>
                <w:sz w:val="24"/>
                <w:lang w:val="en-US" w:eastAsia="zh-CN"/>
              </w:rPr>
              <w:t>2</w:t>
            </w:r>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4FC7DD6D">
            <w:pPr>
              <w:widowControl/>
              <w:ind w:firstLine="0" w:firstLineChars="0"/>
              <w:jc w:val="center"/>
              <w:rPr>
                <w:rFonts w:hint="eastAsia" w:ascii="宋体" w:hAnsi="宋体" w:eastAsia="宋体" w:cs="宋体"/>
                <w:sz w:val="24"/>
              </w:rPr>
            </w:pPr>
            <w:r>
              <w:rPr>
                <w:rFonts w:hint="eastAsia" w:ascii="宋体" w:hAnsi="宋体" w:eastAsia="宋体" w:cs="宋体"/>
                <w:sz w:val="24"/>
              </w:rPr>
              <w:t>主观分</w:t>
            </w:r>
          </w:p>
        </w:tc>
      </w:tr>
      <w:tr w14:paraId="20967E52">
        <w:tblPrEx>
          <w:tblCellMar>
            <w:top w:w="0" w:type="dxa"/>
            <w:left w:w="0" w:type="dxa"/>
            <w:bottom w:w="0" w:type="dxa"/>
            <w:right w:w="0" w:type="dxa"/>
          </w:tblCellMar>
        </w:tblPrEx>
        <w:trPr>
          <w:trHeight w:val="300" w:hRule="atLeast"/>
        </w:trPr>
        <w:tc>
          <w:tcPr>
            <w:tcW w:w="66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712B290A">
            <w:pPr>
              <w:widowControl/>
              <w:ind w:firstLine="0" w:firstLineChars="0"/>
              <w:jc w:val="center"/>
              <w:rPr>
                <w:rFonts w:hint="eastAsia" w:ascii="宋体" w:hAnsi="宋体" w:eastAsia="宋体" w:cs="宋体"/>
                <w:sz w:val="24"/>
                <w:lang w:val="en-US" w:eastAsia="zh-CN"/>
              </w:rPr>
            </w:pPr>
            <w:r>
              <w:rPr>
                <w:rFonts w:hint="eastAsia" w:ascii="宋体" w:hAnsi="宋体" w:eastAsia="宋体" w:cs="宋体"/>
                <w:sz w:val="24"/>
                <w:lang w:val="en-US" w:eastAsia="zh-CN"/>
              </w:rPr>
              <w:t>13</w:t>
            </w:r>
          </w:p>
        </w:tc>
        <w:tc>
          <w:tcPr>
            <w:tcW w:w="6113"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1DF0CE32">
            <w:pPr>
              <w:pStyle w:val="44"/>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增值服务承诺</w:t>
            </w:r>
            <w:r>
              <w:rPr>
                <w:rFonts w:hint="eastAsia" w:ascii="宋体" w:hAnsi="宋体" w:eastAsia="宋体" w:cs="宋体"/>
                <w:sz w:val="24"/>
                <w:lang w:val="en-US" w:eastAsia="zh-CN"/>
              </w:rPr>
              <w:t>0-2分（评分范围：2，1，0.5，0）</w:t>
            </w:r>
          </w:p>
        </w:tc>
        <w:tc>
          <w:tcPr>
            <w:tcW w:w="101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02A435D4">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0-</w:t>
            </w:r>
            <w:r>
              <w:rPr>
                <w:rFonts w:hint="eastAsia" w:ascii="宋体" w:hAnsi="宋体" w:eastAsia="宋体" w:cs="宋体"/>
                <w:sz w:val="24"/>
                <w:lang w:val="en-US" w:eastAsia="zh-CN"/>
              </w:rPr>
              <w:t>2</w:t>
            </w:r>
            <w:bookmarkStart w:id="299" w:name="_GoBack"/>
            <w:bookmarkEnd w:id="299"/>
            <w:r>
              <w:rPr>
                <w:rFonts w:hint="eastAsia" w:ascii="宋体" w:hAnsi="宋体" w:eastAsia="宋体" w:cs="宋体"/>
                <w:sz w:val="24"/>
              </w:rPr>
              <w:t>分</w:t>
            </w:r>
          </w:p>
        </w:tc>
        <w:tc>
          <w:tcPr>
            <w:tcW w:w="1096"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5006E821">
            <w:pPr>
              <w:widowControl/>
              <w:ind w:firstLine="0" w:firstLineChars="0"/>
              <w:jc w:val="center"/>
              <w:rPr>
                <w:rFonts w:hint="eastAsia" w:ascii="宋体" w:hAnsi="宋体" w:eastAsia="宋体" w:cs="宋体"/>
                <w:kern w:val="2"/>
                <w:sz w:val="24"/>
                <w:szCs w:val="24"/>
                <w:lang w:val="en-US" w:eastAsia="zh-CN" w:bidi="ar-SA"/>
              </w:rPr>
            </w:pPr>
            <w:r>
              <w:rPr>
                <w:rFonts w:hint="eastAsia" w:ascii="宋体" w:hAnsi="宋体" w:eastAsia="宋体" w:cs="宋体"/>
                <w:sz w:val="24"/>
              </w:rPr>
              <w:t>主观分</w:t>
            </w:r>
          </w:p>
        </w:tc>
      </w:tr>
    </w:tbl>
    <w:p w14:paraId="0121BAA7">
      <w:pPr>
        <w:pStyle w:val="3"/>
        <w:rPr>
          <w:rFonts w:ascii="宋体" w:hAnsi="宋体" w:cs="宋体"/>
          <w:szCs w:val="21"/>
        </w:rPr>
      </w:pPr>
    </w:p>
    <w:p w14:paraId="266ED440">
      <w:pPr>
        <w:pStyle w:val="3"/>
        <w:rPr>
          <w:rFonts w:ascii="宋体" w:hAnsi="宋体" w:cs="宋体"/>
          <w:szCs w:val="21"/>
        </w:rPr>
      </w:pPr>
      <w:bookmarkStart w:id="296" w:name="_Toc20067"/>
      <w:bookmarkStart w:id="297" w:name="_Toc2518"/>
      <w:bookmarkStart w:id="298" w:name="_Toc9007"/>
      <w:r>
        <w:rPr>
          <w:rFonts w:ascii="宋体" w:hAnsi="宋体" w:cs="宋体"/>
          <w:szCs w:val="21"/>
        </w:rPr>
        <w:t>7</w:t>
      </w:r>
      <w:r>
        <w:rPr>
          <w:rFonts w:hint="eastAsia" w:ascii="宋体" w:hAnsi="宋体" w:cs="宋体"/>
          <w:szCs w:val="21"/>
        </w:rPr>
        <w:t>.评审报告</w:t>
      </w:r>
      <w:bookmarkEnd w:id="294"/>
      <w:bookmarkEnd w:id="296"/>
      <w:bookmarkEnd w:id="297"/>
      <w:bookmarkEnd w:id="298"/>
    </w:p>
    <w:p w14:paraId="22605D18">
      <w:pPr>
        <w:ind w:firstLine="420"/>
        <w:rPr>
          <w:rFonts w:ascii="宋体" w:hAnsi="宋体" w:cs="宋体"/>
          <w:szCs w:val="21"/>
        </w:rPr>
      </w:pPr>
      <w:r>
        <w:rPr>
          <w:rFonts w:hint="eastAsia" w:ascii="宋体" w:hAnsi="宋体" w:cs="宋体"/>
          <w:szCs w:val="21"/>
        </w:rPr>
        <w:t>7.</w:t>
      </w:r>
      <w:r>
        <w:rPr>
          <w:rFonts w:ascii="宋体" w:hAnsi="宋体" w:cs="宋体"/>
          <w:szCs w:val="21"/>
        </w:rPr>
        <w:t>1</w:t>
      </w:r>
      <w:r>
        <w:rPr>
          <w:rFonts w:hint="eastAsia" w:ascii="宋体" w:hAnsi="宋体" w:cs="宋体"/>
          <w:szCs w:val="21"/>
        </w:rPr>
        <w:t>磋商小组成员应当独立、客观、公正、审慎地提出评审意见，不得带有倾向性，不得影响其他人员评审，磋商小组成员对需要共同认定的事项存在争议的，应当按照少数服从多数的原则作出结论。</w:t>
      </w:r>
    </w:p>
    <w:p w14:paraId="39C5E279">
      <w:pPr>
        <w:ind w:firstLine="420"/>
        <w:rPr>
          <w:rFonts w:ascii="宋体" w:hAnsi="宋体" w:cs="宋体"/>
          <w:szCs w:val="21"/>
        </w:rPr>
      </w:pPr>
      <w:r>
        <w:rPr>
          <w:rFonts w:hint="eastAsia" w:ascii="宋体" w:hAnsi="宋体" w:cs="宋体"/>
          <w:szCs w:val="21"/>
        </w:rPr>
        <w:t>7.</w:t>
      </w:r>
      <w:r>
        <w:rPr>
          <w:rFonts w:ascii="宋体" w:hAnsi="宋体" w:cs="宋体"/>
          <w:szCs w:val="21"/>
        </w:rPr>
        <w:t>2</w:t>
      </w:r>
      <w:r>
        <w:rPr>
          <w:rFonts w:hint="eastAsia" w:ascii="宋体" w:hAnsi="宋体" w:cs="宋体"/>
          <w:szCs w:val="21"/>
        </w:rPr>
        <w:t>评审结束后，磋商小组应当根据评审结果编写评审报告，按评审得分由高到低顺序推荐中标候选人，如排名第一的中标候选人投标报价为最高报价的，评审报告中必须对其报价的合理性等进行分析和特别说明。磋商小组全体人员对评审报告进行签字确认。如对评审报告有异议的，可以在报告中签署不同意见，并说明理由，否则视为同意。</w:t>
      </w:r>
    </w:p>
    <w:p w14:paraId="07D85FED">
      <w:pPr>
        <w:pStyle w:val="4"/>
        <w:ind w:firstLine="420" w:firstLineChars="200"/>
      </w:pPr>
      <w:r>
        <w:rPr>
          <w:rFonts w:hint="eastAsia" w:ascii="宋体" w:hAnsi="宋体" w:cs="宋体"/>
          <w:b w:val="0"/>
          <w:szCs w:val="21"/>
        </w:rPr>
        <w:t>7.</w:t>
      </w:r>
      <w:r>
        <w:rPr>
          <w:rFonts w:ascii="宋体" w:hAnsi="宋体" w:cs="宋体"/>
          <w:b w:val="0"/>
          <w:szCs w:val="21"/>
        </w:rPr>
        <w:t>3</w:t>
      </w:r>
      <w:r>
        <w:rPr>
          <w:rFonts w:hint="eastAsia" w:ascii="宋体" w:hAnsi="宋体" w:cs="宋体"/>
          <w:b w:val="0"/>
          <w:szCs w:val="21"/>
        </w:rPr>
        <w:t>磋商小组向采购人提交采购项目评审报告，评审报告是采购人确定成交供应商的合法依据。</w:t>
      </w:r>
      <w:bookmarkEnd w:id="295"/>
    </w:p>
    <w:p w14:paraId="632924F5">
      <w:pPr>
        <w:ind w:firstLine="420"/>
      </w:pPr>
    </w:p>
    <w:p w14:paraId="13EC12AF">
      <w:pPr>
        <w:ind w:firstLine="420"/>
      </w:pPr>
    </w:p>
    <w:p w14:paraId="3EA7D671">
      <w:pPr>
        <w:ind w:firstLine="420"/>
      </w:pPr>
    </w:p>
    <w:p w14:paraId="44621BA6">
      <w:pPr>
        <w:tabs>
          <w:tab w:val="left" w:pos="7116"/>
        </w:tabs>
        <w:ind w:firstLine="0" w:firstLineChars="0"/>
        <w:jc w:val="left"/>
      </w:pPr>
    </w:p>
    <w:sectPr>
      <w:pgSz w:w="11907" w:h="16840"/>
      <w:pgMar w:top="1247" w:right="1304" w:bottom="1021" w:left="1304"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auto"/>
    <w:pitch w:val="default"/>
    <w:sig w:usb0="00000000" w:usb1="00000000" w:usb2="00000000" w:usb3="00000000" w:csb0="00040000" w:csb1="00000000"/>
  </w:font>
  <w:font w:name="ˎ̥">
    <w:altName w:val="微软雅黑"/>
    <w:panose1 w:val="00000000000000000000"/>
    <w:charset w:val="00"/>
    <w:family w:val="auto"/>
    <w:pitch w:val="default"/>
    <w:sig w:usb0="00000000" w:usb1="00000000" w:usb2="00000000" w:usb3="00000000" w:csb0="00000000" w:csb1="00000000"/>
  </w:font>
  <w:font w:name="Verdana">
    <w:panose1 w:val="020B0604030504040204"/>
    <w:charset w:val="00"/>
    <w:family w:val="swiss"/>
    <w:pitch w:val="default"/>
    <w:sig w:usb0="A10006FF" w:usb1="4000205B" w:usb2="00000010" w:usb3="00000000" w:csb0="2000019F" w:csb1="00000000"/>
  </w:font>
  <w:font w:name="Arial Unicode MS">
    <w:altName w:val="Arial"/>
    <w:panose1 w:val="020B0604020202020204"/>
    <w:charset w:val="00"/>
    <w:family w:val="auto"/>
    <w:pitch w:val="default"/>
    <w:sig w:usb0="00000000" w:usb1="00000000" w:usb2="00000000" w:usb3="00000000" w:csb0="00000000" w:csb1="00000000"/>
  </w:font>
  <w:font w:name="ScalaSansLF-Regula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Helvetica Neue">
    <w:altName w:val="Times New Roman"/>
    <w:panose1 w:val="00000000000000000000"/>
    <w:charset w:val="00"/>
    <w:family w:val="auto"/>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176D3E">
    <w:pPr>
      <w:pStyle w:val="30"/>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86385" cy="196850"/>
              <wp:effectExtent l="0" t="0" r="635" b="0"/>
              <wp:wrapNone/>
              <wp:docPr id="1840217617" name="文本框 1026"/>
              <wp:cNvGraphicFramePr/>
              <a:graphic xmlns:a="http://schemas.openxmlformats.org/drawingml/2006/main">
                <a:graphicData uri="http://schemas.microsoft.com/office/word/2010/wordprocessingShape">
                  <wps:wsp>
                    <wps:cNvSpPr txBox="1">
                      <a:spLocks noChangeArrowheads="1"/>
                    </wps:cNvSpPr>
                    <wps:spPr bwMode="auto">
                      <a:xfrm>
                        <a:off x="0" y="0"/>
                        <a:ext cx="286385" cy="196850"/>
                      </a:xfrm>
                      <a:prstGeom prst="rect">
                        <a:avLst/>
                      </a:prstGeom>
                      <a:noFill/>
                      <a:ln>
                        <a:noFill/>
                      </a:ln>
                    </wps:spPr>
                    <wps:txbx>
                      <w:txbxContent>
                        <w:p w14:paraId="1753D955">
                          <w:pPr>
                            <w:pStyle w:val="30"/>
                            <w:ind w:firstLine="36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1026" o:spid="_x0000_s1026" o:spt="202" type="#_x0000_t202" style="position:absolute;left:0pt;margin-top:0pt;height:15.5pt;width:22.55pt;mso-position-horizontal:center;mso-position-horizontal-relative:margin;mso-wrap-style:none;z-index:251660288;mso-width-relative:page;mso-height-relative:page;" filled="f" stroked="f" coordsize="21600,21600" o:gfxdata="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pIxZx9EAAAADAQAADwAAAAAAAAABACAA&#10;AAAiAAAAZHJzL2Rvd25yZXYueG1sUEsBAhQAFAAAAAgAh07iQF1E0RUUAgAADgQAAA4AAAAAAAAA&#10;AQAgAAAAIAEAAGRycy9lMm9Eb2MueG1sUEsFBgAAAAAGAAYAWQEAAKYFAAAAAA==&#10;">
              <v:fill on="f" focussize="0,0"/>
              <v:stroke on="f"/>
              <v:imagedata o:title=""/>
              <o:lock v:ext="edit" aspectratio="f"/>
              <v:textbox inset="0mm,0mm,0mm,0mm" style="mso-fit-shape-to-text:t;">
                <w:txbxContent>
                  <w:p w14:paraId="1753D955">
                    <w:pPr>
                      <w:pStyle w:val="30"/>
                      <w:ind w:firstLine="360"/>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57AE7">
    <w:pPr>
      <w:pStyle w:val="30"/>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8604698" name="文本框 1027"/>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11D9F739">
                          <w:pPr>
                            <w:pStyle w:val="30"/>
                            <w:ind w:firstLine="360"/>
                          </w:pPr>
                          <w:r>
                            <w:fldChar w:fldCharType="begin"/>
                          </w:r>
                          <w:r>
                            <w:instrText xml:space="preserve"> PAGE   \* MERGEFORMAT </w:instrText>
                          </w:r>
                          <w:r>
                            <w:fldChar w:fldCharType="separate"/>
                          </w:r>
                          <w:r>
                            <w:rPr>
                              <w:lang w:val="zh-CN"/>
                            </w:rPr>
                            <w:t>2</w:t>
                          </w:r>
                          <w:r>
                            <w:fldChar w:fldCharType="end"/>
                          </w:r>
                          <w:r>
                            <w:tab/>
                          </w:r>
                          <w:r>
                            <w:rPr>
                              <w:rFonts w:hint="eastAsia"/>
                            </w:rPr>
                            <w:t>浙江信镧建设工程咨询有限公司</w:t>
                          </w:r>
                          <w:r>
                            <w:tab/>
                          </w:r>
                        </w:p>
                      </w:txbxContent>
                    </wps:txbx>
                    <wps:bodyPr rot="0" vert="horz" wrap="none" lIns="0" tIns="0" rIns="0" bIns="0" anchor="t" anchorCtr="0" upright="1">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DOqXm5zwAAAAUBAAAPAAAAAAAAAAEAIAAAACIAAABk&#10;cnMvZG93bnJldi54bWxQSwECFAAUAAAACACHTuJAP8Fptg8CAAAPBAAADgAAAAAAAAABACAAAAAe&#10;AQAAZHJzL2Uyb0RvYy54bWxQSwUGAAAAAAYABgBZAQAAnwUAAAAA&#10;">
              <v:fill on="f" focussize="0,0"/>
              <v:stroke on="f"/>
              <v:imagedata o:title=""/>
              <o:lock v:ext="edit" aspectratio="f"/>
              <v:textbox inset="0mm,0mm,0mm,0mm" style="mso-fit-shape-to-text:t;">
                <w:txbxContent>
                  <w:p w14:paraId="11D9F739">
                    <w:pPr>
                      <w:pStyle w:val="30"/>
                      <w:ind w:firstLine="360"/>
                    </w:pPr>
                    <w:r>
                      <w:fldChar w:fldCharType="begin"/>
                    </w:r>
                    <w:r>
                      <w:instrText xml:space="preserve"> PAGE   \* MERGEFORMAT </w:instrText>
                    </w:r>
                    <w:r>
                      <w:fldChar w:fldCharType="separate"/>
                    </w:r>
                    <w:r>
                      <w:rPr>
                        <w:lang w:val="zh-CN"/>
                      </w:rPr>
                      <w:t>2</w:t>
                    </w:r>
                    <w:r>
                      <w:fldChar w:fldCharType="end"/>
                    </w:r>
                    <w:r>
                      <w:tab/>
                    </w:r>
                    <w:r>
                      <w:rPr>
                        <w:rFonts w:hint="eastAsia"/>
                      </w:rPr>
                      <w:t>浙江信镧建设工程咨询有限公司</w:t>
                    </w:r>
                    <w:r>
                      <w:tab/>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E4876">
    <w:pPr>
      <w:pStyle w:val="3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06376">
    <w:pPr>
      <w:pStyle w:val="30"/>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76203597" name="文本框 1028"/>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1F8EE256">
                          <w:pPr>
                            <w:pStyle w:val="30"/>
                            <w:ind w:firstLine="360"/>
                          </w:pPr>
                          <w:r>
                            <w:tab/>
                          </w:r>
                          <w:r>
                            <w:fldChar w:fldCharType="begin"/>
                          </w:r>
                          <w:r>
                            <w:instrText xml:space="preserve"> PAGE   \* MERGEFORMAT </w:instrText>
                          </w:r>
                          <w:r>
                            <w:fldChar w:fldCharType="separate"/>
                          </w:r>
                          <w:r>
                            <w:rPr>
                              <w:lang w:val="zh-CN"/>
                            </w:rPr>
                            <w:t>3</w:t>
                          </w:r>
                          <w:r>
                            <w:fldChar w:fldCharType="end"/>
                          </w:r>
                        </w:p>
                      </w:txbxContent>
                    </wps:txbx>
                    <wps:bodyPr rot="0" vert="horz" wrap="none" lIns="0" tIns="0" rIns="0" bIns="0" anchor="t" anchorCtr="0" upright="1">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ql5uc8AAAAFAQAADwAAAAAAAAABACAAAAAiAAAA&#10;ZHJzL2Rvd25yZXYueG1sUEsBAhQAFAAAAAgAh07iQFoUpmcQAgAAEAQAAA4AAAAAAAAAAQAgAAAA&#10;HgEAAGRycy9lMm9Eb2MueG1sUEsFBgAAAAAGAAYAWQEAAKAFAAAAAA==&#10;">
              <v:fill on="f" focussize="0,0"/>
              <v:stroke on="f"/>
              <v:imagedata o:title=""/>
              <o:lock v:ext="edit" aspectratio="f"/>
              <v:textbox inset="0mm,0mm,0mm,0mm" style="mso-fit-shape-to-text:t;">
                <w:txbxContent>
                  <w:p w14:paraId="1F8EE256">
                    <w:pPr>
                      <w:pStyle w:val="30"/>
                      <w:ind w:firstLine="360"/>
                    </w:pPr>
                    <w:r>
                      <w:tab/>
                    </w:r>
                    <w:r>
                      <w:fldChar w:fldCharType="begin"/>
                    </w:r>
                    <w:r>
                      <w:instrText xml:space="preserve"> PAGE   \* MERGEFORMAT </w:instrText>
                    </w:r>
                    <w:r>
                      <w:fldChar w:fldCharType="separate"/>
                    </w:r>
                    <w:r>
                      <w:rPr>
                        <w:lang w:val="zh-CN"/>
                      </w:rPr>
                      <w:t>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21A66">
    <w:pPr>
      <w:pStyle w:val="30"/>
      <w:ind w:firstLine="36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274310" cy="196850"/>
              <wp:effectExtent l="0" t="0" r="2540" b="0"/>
              <wp:wrapNone/>
              <wp:docPr id="2138534228" name="文本框 1029"/>
              <wp:cNvGraphicFramePr/>
              <a:graphic xmlns:a="http://schemas.openxmlformats.org/drawingml/2006/main">
                <a:graphicData uri="http://schemas.microsoft.com/office/word/2010/wordprocessingShape">
                  <wps:wsp>
                    <wps:cNvSpPr txBox="1">
                      <a:spLocks noChangeArrowheads="1"/>
                    </wps:cNvSpPr>
                    <wps:spPr bwMode="auto">
                      <a:xfrm>
                        <a:off x="0" y="0"/>
                        <a:ext cx="5274310" cy="196850"/>
                      </a:xfrm>
                      <a:prstGeom prst="rect">
                        <a:avLst/>
                      </a:prstGeom>
                      <a:noFill/>
                      <a:ln>
                        <a:noFill/>
                      </a:ln>
                    </wps:spPr>
                    <wps:txbx>
                      <w:txbxContent>
                        <w:p w14:paraId="2C890A49">
                          <w:pPr>
                            <w:pStyle w:val="30"/>
                            <w:ind w:firstLine="360"/>
                          </w:pPr>
                          <w:r>
                            <w:fldChar w:fldCharType="begin"/>
                          </w:r>
                          <w:r>
                            <w:instrText xml:space="preserve"> PAGE   \* MERGEFORMAT </w:instrText>
                          </w:r>
                          <w:r>
                            <w:fldChar w:fldCharType="separate"/>
                          </w:r>
                          <w:r>
                            <w:rPr>
                              <w:lang w:val="zh-CN"/>
                            </w:rPr>
                            <w:t>18</w:t>
                          </w:r>
                          <w:r>
                            <w:fldChar w:fldCharType="end"/>
                          </w:r>
                          <w:r>
                            <w:tab/>
                          </w:r>
                          <w:r>
                            <w:tab/>
                          </w:r>
                        </w:p>
                      </w:txbxContent>
                    </wps:txbx>
                    <wps:bodyPr rot="0" vert="horz" wrap="none" lIns="0" tIns="0" rIns="0" bIns="0" anchor="t" anchorCtr="0" upright="1">
                      <a:spAutoFit/>
                    </wps:bodyPr>
                  </wps:wsp>
                </a:graphicData>
              </a:graphic>
            </wp:anchor>
          </w:drawing>
        </mc:Choice>
        <mc:Fallback>
          <w:pict>
            <v:shape id="文本框 1029" o:spid="_x0000_s1026" o:spt="202" type="#_x0000_t202" style="position:absolute;left:0pt;margin-top:0pt;height:15.5pt;width:415.3pt;mso-position-horizontal:center;mso-position-horizontal-relative:margin;mso-wrap-style:none;z-index:251662336;mso-width-relative:page;mso-height-relative:page;" filled="f" stroked="f" coordsize="21600,21600" o:gfxdata="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voKaY9IAAAAEAQAADwAAAAAAAAAB&#10;ACAAAAAiAAAAZHJzL2Rvd25yZXYueG1sUEsBAhQAFAAAAAgAh07iQKATVb0WAgAADwQAAA4AAAAA&#10;AAAAAQAgAAAAIQEAAGRycy9lMm9Eb2MueG1sUEsFBgAAAAAGAAYAWQEAAKkFAAAAAA==&#10;">
              <v:fill on="f" focussize="0,0"/>
              <v:stroke on="f"/>
              <v:imagedata o:title=""/>
              <o:lock v:ext="edit" aspectratio="f"/>
              <v:textbox inset="0mm,0mm,0mm,0mm" style="mso-fit-shape-to-text:t;">
                <w:txbxContent>
                  <w:p w14:paraId="2C890A49">
                    <w:pPr>
                      <w:pStyle w:val="30"/>
                      <w:ind w:firstLine="360"/>
                    </w:pPr>
                    <w:r>
                      <w:fldChar w:fldCharType="begin"/>
                    </w:r>
                    <w:r>
                      <w:instrText xml:space="preserve"> PAGE   \* MERGEFORMAT </w:instrText>
                    </w:r>
                    <w:r>
                      <w:fldChar w:fldCharType="separate"/>
                    </w:r>
                    <w:r>
                      <w:rPr>
                        <w:lang w:val="zh-CN"/>
                      </w:rPr>
                      <w:t>18</w:t>
                    </w:r>
                    <w:r>
                      <w:fldChar w:fldCharType="end"/>
                    </w:r>
                    <w:r>
                      <w:tab/>
                    </w:r>
                    <w:r>
                      <w:tab/>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FE6AFE">
    <w:pPr>
      <w:pStyle w:val="30"/>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86385" cy="426720"/>
              <wp:effectExtent l="0" t="0" r="0" b="0"/>
              <wp:wrapNone/>
              <wp:docPr id="4" name="文本框 1"/>
              <wp:cNvGraphicFramePr/>
              <a:graphic xmlns:a="http://schemas.openxmlformats.org/drawingml/2006/main">
                <a:graphicData uri="http://schemas.microsoft.com/office/word/2010/wordprocessingShape">
                  <wps:wsp>
                    <wps:cNvSpPr txBox="1"/>
                    <wps:spPr>
                      <a:xfrm>
                        <a:off x="0" y="0"/>
                        <a:ext cx="286385" cy="426720"/>
                      </a:xfrm>
                      <a:prstGeom prst="rect">
                        <a:avLst/>
                      </a:prstGeom>
                      <a:noFill/>
                      <a:ln w="6350">
                        <a:noFill/>
                      </a:ln>
                    </wps:spPr>
                    <wps:txbx>
                      <w:txbxContent>
                        <w:p w14:paraId="5F12D453">
                          <w:pPr>
                            <w:pStyle w:val="30"/>
                            <w:ind w:firstLine="360"/>
                            <w:jc w:val="center"/>
                          </w:pPr>
                          <w:r>
                            <w:fldChar w:fldCharType="begin"/>
                          </w:r>
                          <w:r>
                            <w:instrText xml:space="preserve">PAGE   \* MERGEFORMAT</w:instrText>
                          </w:r>
                          <w:r>
                            <w:fldChar w:fldCharType="separate"/>
                          </w:r>
                          <w:r>
                            <w:rPr>
                              <w:lang w:val="zh-CN"/>
                            </w:rPr>
                            <w:t>17</w:t>
                          </w:r>
                          <w:r>
                            <w:fldChar w:fldCharType="end"/>
                          </w:r>
                        </w:p>
                        <w:p w14:paraId="43196A20">
                          <w:pPr>
                            <w:pStyle w:val="44"/>
                            <w:ind w:firstLine="21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1" o:spid="_x0000_s1026" o:spt="202" type="#_x0000_t202" style="position:absolute;left:0pt;margin-top:0pt;height:33.6pt;width:22.55pt;mso-position-horizontal:center;mso-position-horizontal-relative:margin;mso-wrap-style:none;z-index:251659264;mso-width-relative:page;mso-height-relative:page;" filled="f" stroked="f" coordsize="21600,21600" o:gfxdata="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DqfKG0gAAAAMBAAAPAAAAAAAAAAEAIAAAACIAAABkcnMvZG93bnJldi54bWxQSwECFAAU&#10;AAAACACHTuJAe521DDACAABTBAAADgAAAAAAAAABACAAAAAhAQAAZHJzL2Uyb0RvYy54bWxQSwUG&#10;AAAAAAYABgBZAQAAwwUAAAAA&#10;">
              <v:fill on="f" focussize="0,0"/>
              <v:stroke on="f" weight="0.5pt"/>
              <v:imagedata o:title=""/>
              <o:lock v:ext="edit" aspectratio="f"/>
              <v:textbox inset="0mm,0mm,0mm,0mm" style="mso-fit-shape-to-text:t;">
                <w:txbxContent>
                  <w:p w14:paraId="5F12D453">
                    <w:pPr>
                      <w:pStyle w:val="30"/>
                      <w:ind w:firstLine="360"/>
                      <w:jc w:val="center"/>
                    </w:pPr>
                    <w:r>
                      <w:fldChar w:fldCharType="begin"/>
                    </w:r>
                    <w:r>
                      <w:instrText xml:space="preserve">PAGE   \* MERGEFORMAT</w:instrText>
                    </w:r>
                    <w:r>
                      <w:fldChar w:fldCharType="separate"/>
                    </w:r>
                    <w:r>
                      <w:rPr>
                        <w:lang w:val="zh-CN"/>
                      </w:rPr>
                      <w:t>17</w:t>
                    </w:r>
                    <w:r>
                      <w:fldChar w:fldCharType="end"/>
                    </w:r>
                  </w:p>
                  <w:p w14:paraId="43196A20">
                    <w:pPr>
                      <w:pStyle w:val="44"/>
                      <w:ind w:firstLine="210"/>
                    </w:pPr>
                  </w:p>
                </w:txbxContent>
              </v:textbox>
            </v:shape>
          </w:pict>
        </mc:Fallback>
      </mc:AlternateContent>
    </w:r>
  </w:p>
  <w:p w14:paraId="114D5E0D">
    <w:pPr>
      <w:wordWrap w:val="0"/>
      <w:ind w:firstLine="420"/>
      <w:jc w:val="righ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11DAC">
    <w:pPr>
      <w:pStyle w:val="30"/>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2948B6">
    <w:pPr>
      <w:pStyle w:val="31"/>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A0BA8">
    <w:pPr>
      <w:pStyle w:val="31"/>
      <w:ind w:firstLine="0" w:firstLineChars="0"/>
      <w:jc w:val="both"/>
    </w:pPr>
    <w:r>
      <w:rPr>
        <w:rFonts w:hint="eastAsia"/>
      </w:rPr>
      <w:t>公开 公平 公正 诚信</w:t>
    </w:r>
    <w:r>
      <w:rPr>
        <w:rFonts w:hint="eastAsia"/>
      </w:rPr>
      <w:tab/>
    </w:r>
    <w:r>
      <w:rPr>
        <w:rFonts w:hint="eastAsia"/>
      </w:rPr>
      <w:t>浙江信镧建设工程咨询有限公司</w:t>
    </w:r>
    <w:r>
      <w:rPr>
        <w:rFonts w:hint="eastAsia"/>
      </w:rPr>
      <w:tab/>
    </w:r>
    <w:r>
      <w:rPr>
        <w:rFonts w:hint="eastAsia"/>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5CCFEF">
    <w:pPr>
      <w:pStyle w:val="31"/>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E6CB8">
    <w:pPr>
      <w:pStyle w:val="31"/>
      <w:ind w:firstLineChars="111"/>
      <w:jc w:val="both"/>
    </w:pPr>
    <w:r>
      <w:rPr>
        <w:rFonts w:hint="eastAsia"/>
      </w:rPr>
      <w:t>公开 公平 公正 诚信</w:t>
    </w:r>
    <w:r>
      <w:rPr>
        <w:rFonts w:hint="eastAsia"/>
      </w:rPr>
      <w:tab/>
    </w:r>
    <w:r>
      <w:rPr>
        <w:rFonts w:hint="eastAsia"/>
      </w:rPr>
      <w:t>浙江信镧建设工程咨询有限公司</w:t>
    </w:r>
    <w:r>
      <w:rPr>
        <w:rFonts w:hint="eastAsia"/>
      </w:rPr>
      <w:tab/>
    </w:r>
    <w:r>
      <w:rPr>
        <w:rFonts w:hint="eastAsia"/>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C621EE">
    <w:pPr>
      <w:pStyle w:val="31"/>
      <w:ind w:firstLine="0" w:firstLineChars="0"/>
      <w:jc w:val="both"/>
    </w:pPr>
    <w:r>
      <w:rPr>
        <w:rFonts w:hint="eastAsia"/>
      </w:rPr>
      <w:t>公开 公平 公正 诚信</w:t>
    </w:r>
    <w:r>
      <w:rPr>
        <w:rFonts w:hint="eastAsia"/>
      </w:rPr>
      <w:tab/>
    </w:r>
    <w:r>
      <w:rPr>
        <w:rFonts w:hint="eastAsia"/>
      </w:rPr>
      <w:t>浙江信镧建设工程咨询有限公司</w:t>
    </w:r>
    <w:r>
      <w:rPr>
        <w:rFonts w:hint="eastAsia"/>
      </w:rPr>
      <w:tab/>
    </w:r>
    <w:r>
      <w:rPr>
        <w:rFonts w:hint="eastAsia"/>
      </w:rPr>
      <w:t>竞争性磋商文件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0F3646">
    <w:pPr>
      <w:pStyle w:val="3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B03604"/>
    <w:multiLevelType w:val="singleLevel"/>
    <w:tmpl w:val="A0B03604"/>
    <w:lvl w:ilvl="0" w:tentative="0">
      <w:start w:val="1"/>
      <w:numFmt w:val="decimal"/>
      <w:suff w:val="nothing"/>
      <w:lvlText w:val="（%1）"/>
      <w:lvlJc w:val="left"/>
    </w:lvl>
  </w:abstractNum>
  <w:abstractNum w:abstractNumId="1">
    <w:nsid w:val="2B1A34EB"/>
    <w:multiLevelType w:val="multilevel"/>
    <w:tmpl w:val="2B1A34EB"/>
    <w:lvl w:ilvl="0" w:tentative="0">
      <w:start w:val="1"/>
      <w:numFmt w:val="decimal"/>
      <w:lvlText w:val="%1."/>
      <w:lvlJc w:val="left"/>
      <w:pPr>
        <w:ind w:left="630" w:hanging="420"/>
      </w:pPr>
    </w:lvl>
    <w:lvl w:ilvl="1" w:tentative="0">
      <w:start w:val="1"/>
      <w:numFmt w:val="lowerLetter"/>
      <w:pStyle w:val="115"/>
      <w:lvlText w:val="%2)"/>
      <w:lvlJc w:val="left"/>
      <w:pPr>
        <w:ind w:left="840" w:hanging="420"/>
      </w:pPr>
    </w:lvl>
    <w:lvl w:ilvl="2" w:tentative="0">
      <w:start w:val="1"/>
      <w:numFmt w:val="lowerRoman"/>
      <w:pStyle w:val="162"/>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6B44F1C"/>
    <w:multiLevelType w:val="multilevel"/>
    <w:tmpl w:val="36B44F1C"/>
    <w:lvl w:ilvl="0" w:tentative="0">
      <w:start w:val="1"/>
      <w:numFmt w:val="decimal"/>
      <w:lvlText w:val="（%1）"/>
      <w:lvlJc w:val="left"/>
      <w:pPr>
        <w:ind w:left="1140" w:hanging="720"/>
      </w:pPr>
      <w:rPr>
        <w:rFonts w:hint="default" w:cs="Times New Roman"/>
      </w:rPr>
    </w:lvl>
    <w:lvl w:ilvl="1" w:tentative="0">
      <w:start w:val="1"/>
      <w:numFmt w:val="lowerLetter"/>
      <w:lvlText w:val="%2)"/>
      <w:lvlJc w:val="left"/>
      <w:pPr>
        <w:ind w:left="1260" w:hanging="420"/>
      </w:pPr>
      <w:rPr>
        <w:rFonts w:cs="Times New Roman"/>
      </w:rPr>
    </w:lvl>
    <w:lvl w:ilvl="2" w:tentative="0">
      <w:start w:val="1"/>
      <w:numFmt w:val="lowerRoman"/>
      <w:lvlText w:val="%3."/>
      <w:lvlJc w:val="right"/>
      <w:pPr>
        <w:ind w:left="1680" w:hanging="420"/>
      </w:pPr>
      <w:rPr>
        <w:rFonts w:cs="Times New Roman"/>
      </w:rPr>
    </w:lvl>
    <w:lvl w:ilvl="3" w:tentative="0">
      <w:start w:val="1"/>
      <w:numFmt w:val="decimal"/>
      <w:lvlText w:val="%4."/>
      <w:lvlJc w:val="left"/>
      <w:pPr>
        <w:ind w:left="2100" w:hanging="420"/>
      </w:pPr>
      <w:rPr>
        <w:rFonts w:cs="Times New Roman"/>
      </w:rPr>
    </w:lvl>
    <w:lvl w:ilvl="4" w:tentative="0">
      <w:start w:val="1"/>
      <w:numFmt w:val="lowerLetter"/>
      <w:lvlText w:val="%5)"/>
      <w:lvlJc w:val="left"/>
      <w:pPr>
        <w:ind w:left="2520" w:hanging="420"/>
      </w:pPr>
      <w:rPr>
        <w:rFonts w:cs="Times New Roman"/>
      </w:rPr>
    </w:lvl>
    <w:lvl w:ilvl="5" w:tentative="0">
      <w:start w:val="1"/>
      <w:numFmt w:val="lowerRoman"/>
      <w:lvlText w:val="%6."/>
      <w:lvlJc w:val="right"/>
      <w:pPr>
        <w:ind w:left="2940" w:hanging="420"/>
      </w:pPr>
      <w:rPr>
        <w:rFonts w:cs="Times New Roman"/>
      </w:rPr>
    </w:lvl>
    <w:lvl w:ilvl="6" w:tentative="0">
      <w:start w:val="1"/>
      <w:numFmt w:val="decimal"/>
      <w:lvlText w:val="%7."/>
      <w:lvlJc w:val="left"/>
      <w:pPr>
        <w:ind w:left="3360" w:hanging="420"/>
      </w:pPr>
      <w:rPr>
        <w:rFonts w:cs="Times New Roman"/>
      </w:rPr>
    </w:lvl>
    <w:lvl w:ilvl="7" w:tentative="0">
      <w:start w:val="1"/>
      <w:numFmt w:val="lowerLetter"/>
      <w:lvlText w:val="%8)"/>
      <w:lvlJc w:val="left"/>
      <w:pPr>
        <w:ind w:left="3780" w:hanging="420"/>
      </w:pPr>
      <w:rPr>
        <w:rFonts w:cs="Times New Roman"/>
      </w:rPr>
    </w:lvl>
    <w:lvl w:ilvl="8" w:tentative="0">
      <w:start w:val="1"/>
      <w:numFmt w:val="lowerRoman"/>
      <w:lvlText w:val="%9."/>
      <w:lvlJc w:val="right"/>
      <w:pPr>
        <w:ind w:left="4200" w:hanging="420"/>
      </w:pPr>
      <w:rPr>
        <w:rFonts w:cs="Times New Roman"/>
      </w:rPr>
    </w:lvl>
  </w:abstractNum>
  <w:abstractNum w:abstractNumId="3">
    <w:nsid w:val="4963130E"/>
    <w:multiLevelType w:val="singleLevel"/>
    <w:tmpl w:val="4963130E"/>
    <w:lvl w:ilvl="0" w:tentative="0">
      <w:start w:val="4"/>
      <w:numFmt w:val="chineseCounting"/>
      <w:suff w:val="nothing"/>
      <w:lvlText w:val="%1、"/>
      <w:lvlJc w:val="left"/>
      <w:rPr>
        <w:rFonts w:hint="eastAsia"/>
      </w:rPr>
    </w:lvl>
  </w:abstractNum>
  <w:abstractNum w:abstractNumId="4">
    <w:nsid w:val="641723FF"/>
    <w:multiLevelType w:val="multilevel"/>
    <w:tmpl w:val="641723FF"/>
    <w:lvl w:ilvl="0" w:tentative="0">
      <w:start w:val="1"/>
      <w:numFmt w:val="decimal"/>
      <w:pStyle w:val="14"/>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6DE11870"/>
    <w:multiLevelType w:val="multilevel"/>
    <w:tmpl w:val="6DE11870"/>
    <w:lvl w:ilvl="0" w:tentative="0">
      <w:start w:val="1"/>
      <w:numFmt w:val="decimal"/>
      <w:pStyle w:val="21"/>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4"/>
  </w:num>
  <w:num w:numId="2">
    <w:abstractNumId w:val="5"/>
  </w:num>
  <w:num w:numId="3">
    <w:abstractNumId w:val="1"/>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evenAndOddHeaders w:val="1"/>
  <w:drawingGridHorizontalSpacing w:val="10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E1YzM4N2RkZjQ1MmQwYWQ5NDFiYmU3Y2M3Yjc0ZmQifQ=="/>
  </w:docVars>
  <w:rsids>
    <w:rsidRoot w:val="00172A27"/>
    <w:rsid w:val="00001CC1"/>
    <w:rsid w:val="00005DF1"/>
    <w:rsid w:val="0001591E"/>
    <w:rsid w:val="0002100A"/>
    <w:rsid w:val="00023A5C"/>
    <w:rsid w:val="0002483D"/>
    <w:rsid w:val="00026AB8"/>
    <w:rsid w:val="00030E74"/>
    <w:rsid w:val="00030FF8"/>
    <w:rsid w:val="0003254D"/>
    <w:rsid w:val="00032E39"/>
    <w:rsid w:val="0004255F"/>
    <w:rsid w:val="00042B4E"/>
    <w:rsid w:val="00042EB3"/>
    <w:rsid w:val="00043906"/>
    <w:rsid w:val="00045487"/>
    <w:rsid w:val="000501FA"/>
    <w:rsid w:val="00051EC6"/>
    <w:rsid w:val="00053AF2"/>
    <w:rsid w:val="000559D6"/>
    <w:rsid w:val="0005637F"/>
    <w:rsid w:val="000600F6"/>
    <w:rsid w:val="00060361"/>
    <w:rsid w:val="000604C8"/>
    <w:rsid w:val="000613C9"/>
    <w:rsid w:val="00061709"/>
    <w:rsid w:val="00061751"/>
    <w:rsid w:val="00064331"/>
    <w:rsid w:val="00066E22"/>
    <w:rsid w:val="00072EF1"/>
    <w:rsid w:val="0007413C"/>
    <w:rsid w:val="0007498A"/>
    <w:rsid w:val="00074EDD"/>
    <w:rsid w:val="00085C83"/>
    <w:rsid w:val="00090D1F"/>
    <w:rsid w:val="00092647"/>
    <w:rsid w:val="000934F3"/>
    <w:rsid w:val="00094EB8"/>
    <w:rsid w:val="00097703"/>
    <w:rsid w:val="00097898"/>
    <w:rsid w:val="000979EB"/>
    <w:rsid w:val="000A1CDE"/>
    <w:rsid w:val="000A5003"/>
    <w:rsid w:val="000A587C"/>
    <w:rsid w:val="000A6756"/>
    <w:rsid w:val="000B0D89"/>
    <w:rsid w:val="000B1739"/>
    <w:rsid w:val="000B58E3"/>
    <w:rsid w:val="000B7895"/>
    <w:rsid w:val="000B7D28"/>
    <w:rsid w:val="000C1FFD"/>
    <w:rsid w:val="000C20E5"/>
    <w:rsid w:val="000C2235"/>
    <w:rsid w:val="000C250F"/>
    <w:rsid w:val="000C2DAF"/>
    <w:rsid w:val="000C47F1"/>
    <w:rsid w:val="000C6589"/>
    <w:rsid w:val="000D7CA5"/>
    <w:rsid w:val="000E1852"/>
    <w:rsid w:val="000E2F5B"/>
    <w:rsid w:val="000E77D9"/>
    <w:rsid w:val="000E7A24"/>
    <w:rsid w:val="000F12CA"/>
    <w:rsid w:val="000F444F"/>
    <w:rsid w:val="000F64D5"/>
    <w:rsid w:val="0010047F"/>
    <w:rsid w:val="00100D24"/>
    <w:rsid w:val="00111C69"/>
    <w:rsid w:val="0011506E"/>
    <w:rsid w:val="0011513F"/>
    <w:rsid w:val="001151FA"/>
    <w:rsid w:val="001200F0"/>
    <w:rsid w:val="00121B29"/>
    <w:rsid w:val="001228BB"/>
    <w:rsid w:val="00124B42"/>
    <w:rsid w:val="00127E3B"/>
    <w:rsid w:val="001372E7"/>
    <w:rsid w:val="0013792B"/>
    <w:rsid w:val="00141DB0"/>
    <w:rsid w:val="00144D9D"/>
    <w:rsid w:val="00144E22"/>
    <w:rsid w:val="00152CBC"/>
    <w:rsid w:val="00153938"/>
    <w:rsid w:val="00154462"/>
    <w:rsid w:val="00157FA4"/>
    <w:rsid w:val="001613F6"/>
    <w:rsid w:val="00161F7E"/>
    <w:rsid w:val="00162677"/>
    <w:rsid w:val="00164038"/>
    <w:rsid w:val="001649AE"/>
    <w:rsid w:val="00164B17"/>
    <w:rsid w:val="00172A27"/>
    <w:rsid w:val="00172EC6"/>
    <w:rsid w:val="00173270"/>
    <w:rsid w:val="00175B96"/>
    <w:rsid w:val="00176C19"/>
    <w:rsid w:val="00177C7C"/>
    <w:rsid w:val="00182B31"/>
    <w:rsid w:val="00183212"/>
    <w:rsid w:val="00186FFB"/>
    <w:rsid w:val="00187162"/>
    <w:rsid w:val="00187352"/>
    <w:rsid w:val="00187674"/>
    <w:rsid w:val="00194B67"/>
    <w:rsid w:val="00195532"/>
    <w:rsid w:val="00195F5B"/>
    <w:rsid w:val="001A0A45"/>
    <w:rsid w:val="001A0D63"/>
    <w:rsid w:val="001A1900"/>
    <w:rsid w:val="001A5FB3"/>
    <w:rsid w:val="001B2AC7"/>
    <w:rsid w:val="001B4607"/>
    <w:rsid w:val="001B6084"/>
    <w:rsid w:val="001B68D8"/>
    <w:rsid w:val="001C42CD"/>
    <w:rsid w:val="001C4DD1"/>
    <w:rsid w:val="001C6801"/>
    <w:rsid w:val="001C6E99"/>
    <w:rsid w:val="001D05BC"/>
    <w:rsid w:val="001D7BC2"/>
    <w:rsid w:val="001E1305"/>
    <w:rsid w:val="001F4D86"/>
    <w:rsid w:val="0020034F"/>
    <w:rsid w:val="00201004"/>
    <w:rsid w:val="002019C5"/>
    <w:rsid w:val="00206CFD"/>
    <w:rsid w:val="0021167B"/>
    <w:rsid w:val="0021216A"/>
    <w:rsid w:val="00213994"/>
    <w:rsid w:val="00213B07"/>
    <w:rsid w:val="00214C5A"/>
    <w:rsid w:val="00214FA3"/>
    <w:rsid w:val="00216736"/>
    <w:rsid w:val="00226E86"/>
    <w:rsid w:val="00227071"/>
    <w:rsid w:val="00230A4E"/>
    <w:rsid w:val="002310F5"/>
    <w:rsid w:val="0023344E"/>
    <w:rsid w:val="002342B6"/>
    <w:rsid w:val="002345CA"/>
    <w:rsid w:val="002408C8"/>
    <w:rsid w:val="0024232D"/>
    <w:rsid w:val="0024268D"/>
    <w:rsid w:val="00242AEE"/>
    <w:rsid w:val="002447B7"/>
    <w:rsid w:val="002539A2"/>
    <w:rsid w:val="00266C32"/>
    <w:rsid w:val="002676C4"/>
    <w:rsid w:val="00270528"/>
    <w:rsid w:val="00270756"/>
    <w:rsid w:val="002715EE"/>
    <w:rsid w:val="0027327B"/>
    <w:rsid w:val="00282430"/>
    <w:rsid w:val="00282B0D"/>
    <w:rsid w:val="00283A95"/>
    <w:rsid w:val="00290DAB"/>
    <w:rsid w:val="0029424C"/>
    <w:rsid w:val="00295E03"/>
    <w:rsid w:val="002A0D60"/>
    <w:rsid w:val="002A1458"/>
    <w:rsid w:val="002A1D1B"/>
    <w:rsid w:val="002A2D74"/>
    <w:rsid w:val="002A2DF2"/>
    <w:rsid w:val="002A40E4"/>
    <w:rsid w:val="002A5605"/>
    <w:rsid w:val="002B140C"/>
    <w:rsid w:val="002B4EEF"/>
    <w:rsid w:val="002B510A"/>
    <w:rsid w:val="002B5196"/>
    <w:rsid w:val="002B5982"/>
    <w:rsid w:val="002B6139"/>
    <w:rsid w:val="002C1486"/>
    <w:rsid w:val="002C55D2"/>
    <w:rsid w:val="002D73CD"/>
    <w:rsid w:val="002E2E7F"/>
    <w:rsid w:val="002E3D90"/>
    <w:rsid w:val="002E41DB"/>
    <w:rsid w:val="002E5D7F"/>
    <w:rsid w:val="002F3D28"/>
    <w:rsid w:val="002F6DED"/>
    <w:rsid w:val="0030048E"/>
    <w:rsid w:val="00301E04"/>
    <w:rsid w:val="003034D2"/>
    <w:rsid w:val="00306815"/>
    <w:rsid w:val="003116F5"/>
    <w:rsid w:val="00320D1F"/>
    <w:rsid w:val="00325647"/>
    <w:rsid w:val="00325AE9"/>
    <w:rsid w:val="00325B6A"/>
    <w:rsid w:val="0033149C"/>
    <w:rsid w:val="0033255D"/>
    <w:rsid w:val="00345C73"/>
    <w:rsid w:val="00345F39"/>
    <w:rsid w:val="0034601A"/>
    <w:rsid w:val="003510EA"/>
    <w:rsid w:val="00353396"/>
    <w:rsid w:val="00354642"/>
    <w:rsid w:val="003618CD"/>
    <w:rsid w:val="003630D0"/>
    <w:rsid w:val="00365376"/>
    <w:rsid w:val="00370482"/>
    <w:rsid w:val="003751EF"/>
    <w:rsid w:val="00375E93"/>
    <w:rsid w:val="00392F69"/>
    <w:rsid w:val="003932A5"/>
    <w:rsid w:val="003935C1"/>
    <w:rsid w:val="003962CC"/>
    <w:rsid w:val="00396667"/>
    <w:rsid w:val="00397FCB"/>
    <w:rsid w:val="003B7459"/>
    <w:rsid w:val="003C0693"/>
    <w:rsid w:val="003C1E72"/>
    <w:rsid w:val="003C430F"/>
    <w:rsid w:val="003D015C"/>
    <w:rsid w:val="003D230D"/>
    <w:rsid w:val="003D2FB5"/>
    <w:rsid w:val="003D655A"/>
    <w:rsid w:val="003D6F33"/>
    <w:rsid w:val="003E7DDF"/>
    <w:rsid w:val="003F1332"/>
    <w:rsid w:val="003F310F"/>
    <w:rsid w:val="003F5C82"/>
    <w:rsid w:val="003F6B3A"/>
    <w:rsid w:val="00412768"/>
    <w:rsid w:val="00414F39"/>
    <w:rsid w:val="0041720E"/>
    <w:rsid w:val="00420163"/>
    <w:rsid w:val="004206C9"/>
    <w:rsid w:val="004258FA"/>
    <w:rsid w:val="004310A8"/>
    <w:rsid w:val="00434685"/>
    <w:rsid w:val="004354E6"/>
    <w:rsid w:val="004364A7"/>
    <w:rsid w:val="00440195"/>
    <w:rsid w:val="00440896"/>
    <w:rsid w:val="0044198F"/>
    <w:rsid w:val="00444E85"/>
    <w:rsid w:val="004468DE"/>
    <w:rsid w:val="00454492"/>
    <w:rsid w:val="00455A25"/>
    <w:rsid w:val="00456D57"/>
    <w:rsid w:val="004574CF"/>
    <w:rsid w:val="00461281"/>
    <w:rsid w:val="00461887"/>
    <w:rsid w:val="00464C97"/>
    <w:rsid w:val="004673A3"/>
    <w:rsid w:val="0047072A"/>
    <w:rsid w:val="00471E22"/>
    <w:rsid w:val="004725F2"/>
    <w:rsid w:val="00480117"/>
    <w:rsid w:val="00482D09"/>
    <w:rsid w:val="004863C0"/>
    <w:rsid w:val="0049040C"/>
    <w:rsid w:val="0049070E"/>
    <w:rsid w:val="00492413"/>
    <w:rsid w:val="00492C6B"/>
    <w:rsid w:val="00492E09"/>
    <w:rsid w:val="0049328C"/>
    <w:rsid w:val="00495E2B"/>
    <w:rsid w:val="00496F19"/>
    <w:rsid w:val="004A08A1"/>
    <w:rsid w:val="004A2105"/>
    <w:rsid w:val="004A2701"/>
    <w:rsid w:val="004B5EC6"/>
    <w:rsid w:val="004B6762"/>
    <w:rsid w:val="004C16D5"/>
    <w:rsid w:val="004C3684"/>
    <w:rsid w:val="004C4505"/>
    <w:rsid w:val="004D0206"/>
    <w:rsid w:val="004D05D3"/>
    <w:rsid w:val="004D0855"/>
    <w:rsid w:val="004D150A"/>
    <w:rsid w:val="004D7553"/>
    <w:rsid w:val="004D7C4C"/>
    <w:rsid w:val="004E0F9A"/>
    <w:rsid w:val="004E2573"/>
    <w:rsid w:val="004F06E2"/>
    <w:rsid w:val="004F0B26"/>
    <w:rsid w:val="004F202B"/>
    <w:rsid w:val="004F496F"/>
    <w:rsid w:val="004F5477"/>
    <w:rsid w:val="004F557B"/>
    <w:rsid w:val="004F5E9D"/>
    <w:rsid w:val="004F6F86"/>
    <w:rsid w:val="004F7FE8"/>
    <w:rsid w:val="00504E09"/>
    <w:rsid w:val="0051551C"/>
    <w:rsid w:val="00521C7F"/>
    <w:rsid w:val="00526755"/>
    <w:rsid w:val="00526781"/>
    <w:rsid w:val="00526F36"/>
    <w:rsid w:val="00530BB1"/>
    <w:rsid w:val="00537959"/>
    <w:rsid w:val="00541BD0"/>
    <w:rsid w:val="00541BEB"/>
    <w:rsid w:val="00543072"/>
    <w:rsid w:val="0054491A"/>
    <w:rsid w:val="005450F6"/>
    <w:rsid w:val="00546175"/>
    <w:rsid w:val="00551758"/>
    <w:rsid w:val="00557FFD"/>
    <w:rsid w:val="00560AF7"/>
    <w:rsid w:val="00561DC5"/>
    <w:rsid w:val="00563931"/>
    <w:rsid w:val="005661C0"/>
    <w:rsid w:val="005701DE"/>
    <w:rsid w:val="005705D5"/>
    <w:rsid w:val="0057492F"/>
    <w:rsid w:val="00582489"/>
    <w:rsid w:val="005827EF"/>
    <w:rsid w:val="00587A0D"/>
    <w:rsid w:val="005902DF"/>
    <w:rsid w:val="005964EA"/>
    <w:rsid w:val="005A002A"/>
    <w:rsid w:val="005A130D"/>
    <w:rsid w:val="005A1ACF"/>
    <w:rsid w:val="005A2916"/>
    <w:rsid w:val="005A7C49"/>
    <w:rsid w:val="005B6142"/>
    <w:rsid w:val="005C0129"/>
    <w:rsid w:val="005C19C0"/>
    <w:rsid w:val="005C34DD"/>
    <w:rsid w:val="005C42F6"/>
    <w:rsid w:val="005D7FA5"/>
    <w:rsid w:val="005E0735"/>
    <w:rsid w:val="005E1C60"/>
    <w:rsid w:val="005E3D45"/>
    <w:rsid w:val="005E654C"/>
    <w:rsid w:val="005E7132"/>
    <w:rsid w:val="005F598C"/>
    <w:rsid w:val="005F6C39"/>
    <w:rsid w:val="005F731F"/>
    <w:rsid w:val="0060067A"/>
    <w:rsid w:val="00602E21"/>
    <w:rsid w:val="0060545C"/>
    <w:rsid w:val="00606DF0"/>
    <w:rsid w:val="00607AAE"/>
    <w:rsid w:val="0061083B"/>
    <w:rsid w:val="0061316D"/>
    <w:rsid w:val="006153CB"/>
    <w:rsid w:val="0062425C"/>
    <w:rsid w:val="006262D0"/>
    <w:rsid w:val="00626C87"/>
    <w:rsid w:val="00627C7B"/>
    <w:rsid w:val="00634BDD"/>
    <w:rsid w:val="00635A21"/>
    <w:rsid w:val="00637C98"/>
    <w:rsid w:val="00640C70"/>
    <w:rsid w:val="00642E3F"/>
    <w:rsid w:val="006431A3"/>
    <w:rsid w:val="00644AED"/>
    <w:rsid w:val="006457E3"/>
    <w:rsid w:val="0065006B"/>
    <w:rsid w:val="0065067F"/>
    <w:rsid w:val="00652FD2"/>
    <w:rsid w:val="006531B2"/>
    <w:rsid w:val="006566B1"/>
    <w:rsid w:val="00656D96"/>
    <w:rsid w:val="0065776D"/>
    <w:rsid w:val="00663FA4"/>
    <w:rsid w:val="00664BDC"/>
    <w:rsid w:val="0067579B"/>
    <w:rsid w:val="00682742"/>
    <w:rsid w:val="00690F83"/>
    <w:rsid w:val="00692540"/>
    <w:rsid w:val="006938F3"/>
    <w:rsid w:val="00695A03"/>
    <w:rsid w:val="00695C46"/>
    <w:rsid w:val="00696604"/>
    <w:rsid w:val="00697CE6"/>
    <w:rsid w:val="006A31FD"/>
    <w:rsid w:val="006A46C9"/>
    <w:rsid w:val="006A482E"/>
    <w:rsid w:val="006A4BD5"/>
    <w:rsid w:val="006A7262"/>
    <w:rsid w:val="006A75DE"/>
    <w:rsid w:val="006A778E"/>
    <w:rsid w:val="006B036A"/>
    <w:rsid w:val="006B1CA2"/>
    <w:rsid w:val="006B4ECD"/>
    <w:rsid w:val="006B605D"/>
    <w:rsid w:val="006C47A0"/>
    <w:rsid w:val="006D3640"/>
    <w:rsid w:val="006D64A1"/>
    <w:rsid w:val="006D72E9"/>
    <w:rsid w:val="006E086A"/>
    <w:rsid w:val="006E4E59"/>
    <w:rsid w:val="006E5367"/>
    <w:rsid w:val="006F033A"/>
    <w:rsid w:val="006F2165"/>
    <w:rsid w:val="006F5547"/>
    <w:rsid w:val="006F7256"/>
    <w:rsid w:val="00701BD2"/>
    <w:rsid w:val="00701FE5"/>
    <w:rsid w:val="0070413B"/>
    <w:rsid w:val="00704CDE"/>
    <w:rsid w:val="00705997"/>
    <w:rsid w:val="007066D4"/>
    <w:rsid w:val="00706F94"/>
    <w:rsid w:val="00711281"/>
    <w:rsid w:val="0071168F"/>
    <w:rsid w:val="00711EAD"/>
    <w:rsid w:val="007128C4"/>
    <w:rsid w:val="0071607F"/>
    <w:rsid w:val="00716992"/>
    <w:rsid w:val="007237DA"/>
    <w:rsid w:val="00723EF3"/>
    <w:rsid w:val="00726930"/>
    <w:rsid w:val="00742819"/>
    <w:rsid w:val="007454AA"/>
    <w:rsid w:val="00746A56"/>
    <w:rsid w:val="00751D77"/>
    <w:rsid w:val="00752715"/>
    <w:rsid w:val="0075277B"/>
    <w:rsid w:val="0075359F"/>
    <w:rsid w:val="00754AB3"/>
    <w:rsid w:val="00757BA9"/>
    <w:rsid w:val="007647EC"/>
    <w:rsid w:val="00770034"/>
    <w:rsid w:val="0077051C"/>
    <w:rsid w:val="007725F2"/>
    <w:rsid w:val="00774A01"/>
    <w:rsid w:val="007805C7"/>
    <w:rsid w:val="0078149F"/>
    <w:rsid w:val="0078362A"/>
    <w:rsid w:val="0079082D"/>
    <w:rsid w:val="00792C98"/>
    <w:rsid w:val="007949C9"/>
    <w:rsid w:val="007A0B2E"/>
    <w:rsid w:val="007A1E93"/>
    <w:rsid w:val="007A3CB2"/>
    <w:rsid w:val="007A6BEF"/>
    <w:rsid w:val="007B00D5"/>
    <w:rsid w:val="007B0B00"/>
    <w:rsid w:val="007B2A97"/>
    <w:rsid w:val="007B65D8"/>
    <w:rsid w:val="007C2C88"/>
    <w:rsid w:val="007C3B8F"/>
    <w:rsid w:val="007C4458"/>
    <w:rsid w:val="007C4D0F"/>
    <w:rsid w:val="007C505D"/>
    <w:rsid w:val="007C6DEE"/>
    <w:rsid w:val="007C77C2"/>
    <w:rsid w:val="007D16D5"/>
    <w:rsid w:val="007D40E3"/>
    <w:rsid w:val="007D491D"/>
    <w:rsid w:val="007D4C78"/>
    <w:rsid w:val="007E0B54"/>
    <w:rsid w:val="007E0CC3"/>
    <w:rsid w:val="007E175B"/>
    <w:rsid w:val="007E410D"/>
    <w:rsid w:val="007E59B5"/>
    <w:rsid w:val="007F77CB"/>
    <w:rsid w:val="007F7FBD"/>
    <w:rsid w:val="00801E1B"/>
    <w:rsid w:val="00804608"/>
    <w:rsid w:val="00805F16"/>
    <w:rsid w:val="00817952"/>
    <w:rsid w:val="00821882"/>
    <w:rsid w:val="00821A84"/>
    <w:rsid w:val="00825638"/>
    <w:rsid w:val="00827282"/>
    <w:rsid w:val="008300FC"/>
    <w:rsid w:val="00834967"/>
    <w:rsid w:val="00835A5B"/>
    <w:rsid w:val="0084004A"/>
    <w:rsid w:val="00841B4E"/>
    <w:rsid w:val="00841F1F"/>
    <w:rsid w:val="0084414B"/>
    <w:rsid w:val="008447E2"/>
    <w:rsid w:val="0084746F"/>
    <w:rsid w:val="008507AF"/>
    <w:rsid w:val="00852693"/>
    <w:rsid w:val="00852A18"/>
    <w:rsid w:val="008540D8"/>
    <w:rsid w:val="00854DBF"/>
    <w:rsid w:val="00856D3F"/>
    <w:rsid w:val="00860099"/>
    <w:rsid w:val="00863205"/>
    <w:rsid w:val="00863AA6"/>
    <w:rsid w:val="0086405A"/>
    <w:rsid w:val="00865708"/>
    <w:rsid w:val="00866030"/>
    <w:rsid w:val="00867E98"/>
    <w:rsid w:val="00873F7F"/>
    <w:rsid w:val="00875A3F"/>
    <w:rsid w:val="008767C2"/>
    <w:rsid w:val="008774D9"/>
    <w:rsid w:val="00881A2C"/>
    <w:rsid w:val="0088691B"/>
    <w:rsid w:val="00887D37"/>
    <w:rsid w:val="008A128D"/>
    <w:rsid w:val="008A35CC"/>
    <w:rsid w:val="008A389F"/>
    <w:rsid w:val="008A52F9"/>
    <w:rsid w:val="008A631E"/>
    <w:rsid w:val="008A75E3"/>
    <w:rsid w:val="008B0813"/>
    <w:rsid w:val="008B3EE4"/>
    <w:rsid w:val="008B4E9A"/>
    <w:rsid w:val="008B4E9D"/>
    <w:rsid w:val="008B7AAC"/>
    <w:rsid w:val="008B7CD5"/>
    <w:rsid w:val="008C1C39"/>
    <w:rsid w:val="008C22E2"/>
    <w:rsid w:val="008D1AB9"/>
    <w:rsid w:val="008D27EE"/>
    <w:rsid w:val="008D2B04"/>
    <w:rsid w:val="008D4A85"/>
    <w:rsid w:val="008E071B"/>
    <w:rsid w:val="008E2D2C"/>
    <w:rsid w:val="008E6E8E"/>
    <w:rsid w:val="008F21CE"/>
    <w:rsid w:val="008F2466"/>
    <w:rsid w:val="008F2CC1"/>
    <w:rsid w:val="0090119A"/>
    <w:rsid w:val="00901E6E"/>
    <w:rsid w:val="00902820"/>
    <w:rsid w:val="009039D1"/>
    <w:rsid w:val="00903BE2"/>
    <w:rsid w:val="00904632"/>
    <w:rsid w:val="0090571D"/>
    <w:rsid w:val="009073E3"/>
    <w:rsid w:val="009073FB"/>
    <w:rsid w:val="0090749C"/>
    <w:rsid w:val="0091114A"/>
    <w:rsid w:val="00916072"/>
    <w:rsid w:val="00920E1B"/>
    <w:rsid w:val="00921EB3"/>
    <w:rsid w:val="0092282C"/>
    <w:rsid w:val="00923A58"/>
    <w:rsid w:val="009249F8"/>
    <w:rsid w:val="00944249"/>
    <w:rsid w:val="00944741"/>
    <w:rsid w:val="009456D4"/>
    <w:rsid w:val="00945D62"/>
    <w:rsid w:val="00946A18"/>
    <w:rsid w:val="00950CAF"/>
    <w:rsid w:val="009554FF"/>
    <w:rsid w:val="0095737E"/>
    <w:rsid w:val="00957F04"/>
    <w:rsid w:val="00962AB4"/>
    <w:rsid w:val="00966CEF"/>
    <w:rsid w:val="009708B2"/>
    <w:rsid w:val="00971572"/>
    <w:rsid w:val="00973467"/>
    <w:rsid w:val="0097360F"/>
    <w:rsid w:val="00973C25"/>
    <w:rsid w:val="00974FBE"/>
    <w:rsid w:val="009766A1"/>
    <w:rsid w:val="009774D1"/>
    <w:rsid w:val="00977871"/>
    <w:rsid w:val="00980747"/>
    <w:rsid w:val="0098153A"/>
    <w:rsid w:val="00983278"/>
    <w:rsid w:val="00983485"/>
    <w:rsid w:val="0098366F"/>
    <w:rsid w:val="00984782"/>
    <w:rsid w:val="009872F8"/>
    <w:rsid w:val="009924EF"/>
    <w:rsid w:val="009934E6"/>
    <w:rsid w:val="009946C9"/>
    <w:rsid w:val="009A1381"/>
    <w:rsid w:val="009A4A6F"/>
    <w:rsid w:val="009A627B"/>
    <w:rsid w:val="009A707F"/>
    <w:rsid w:val="009B22B7"/>
    <w:rsid w:val="009B393E"/>
    <w:rsid w:val="009B7FA6"/>
    <w:rsid w:val="009C6AB8"/>
    <w:rsid w:val="009D0232"/>
    <w:rsid w:val="009D052C"/>
    <w:rsid w:val="009D216B"/>
    <w:rsid w:val="009D60F3"/>
    <w:rsid w:val="009D75DD"/>
    <w:rsid w:val="009E09CB"/>
    <w:rsid w:val="009E497D"/>
    <w:rsid w:val="009E6073"/>
    <w:rsid w:val="009F1FFF"/>
    <w:rsid w:val="009F4DCC"/>
    <w:rsid w:val="00A02EBE"/>
    <w:rsid w:val="00A05938"/>
    <w:rsid w:val="00A06D5A"/>
    <w:rsid w:val="00A07964"/>
    <w:rsid w:val="00A1043F"/>
    <w:rsid w:val="00A12827"/>
    <w:rsid w:val="00A151C0"/>
    <w:rsid w:val="00A15FDB"/>
    <w:rsid w:val="00A16CEF"/>
    <w:rsid w:val="00A31392"/>
    <w:rsid w:val="00A374FE"/>
    <w:rsid w:val="00A37618"/>
    <w:rsid w:val="00A37663"/>
    <w:rsid w:val="00A41BBE"/>
    <w:rsid w:val="00A420BA"/>
    <w:rsid w:val="00A438FA"/>
    <w:rsid w:val="00A47C14"/>
    <w:rsid w:val="00A50F48"/>
    <w:rsid w:val="00A541CD"/>
    <w:rsid w:val="00A6086B"/>
    <w:rsid w:val="00A61AF3"/>
    <w:rsid w:val="00A7114B"/>
    <w:rsid w:val="00A72D91"/>
    <w:rsid w:val="00A74DEF"/>
    <w:rsid w:val="00A7529E"/>
    <w:rsid w:val="00A777AA"/>
    <w:rsid w:val="00A82F39"/>
    <w:rsid w:val="00A8640C"/>
    <w:rsid w:val="00A87F9D"/>
    <w:rsid w:val="00A93771"/>
    <w:rsid w:val="00A941EE"/>
    <w:rsid w:val="00A97026"/>
    <w:rsid w:val="00AA682F"/>
    <w:rsid w:val="00AB1D75"/>
    <w:rsid w:val="00AB590A"/>
    <w:rsid w:val="00AB6F47"/>
    <w:rsid w:val="00AC3E46"/>
    <w:rsid w:val="00AC44A1"/>
    <w:rsid w:val="00AC44F6"/>
    <w:rsid w:val="00AC6830"/>
    <w:rsid w:val="00AC698C"/>
    <w:rsid w:val="00AD495A"/>
    <w:rsid w:val="00AD71F6"/>
    <w:rsid w:val="00AE00BB"/>
    <w:rsid w:val="00AE44AF"/>
    <w:rsid w:val="00AE45F5"/>
    <w:rsid w:val="00AE73AD"/>
    <w:rsid w:val="00AF18E5"/>
    <w:rsid w:val="00AF3DB1"/>
    <w:rsid w:val="00AF3E73"/>
    <w:rsid w:val="00AF63FB"/>
    <w:rsid w:val="00AF6D81"/>
    <w:rsid w:val="00AF70AD"/>
    <w:rsid w:val="00B00312"/>
    <w:rsid w:val="00B01703"/>
    <w:rsid w:val="00B063F7"/>
    <w:rsid w:val="00B064FA"/>
    <w:rsid w:val="00B06F67"/>
    <w:rsid w:val="00B07069"/>
    <w:rsid w:val="00B076F8"/>
    <w:rsid w:val="00B11630"/>
    <w:rsid w:val="00B144AF"/>
    <w:rsid w:val="00B16BAF"/>
    <w:rsid w:val="00B16F0F"/>
    <w:rsid w:val="00B211CB"/>
    <w:rsid w:val="00B21805"/>
    <w:rsid w:val="00B23F60"/>
    <w:rsid w:val="00B24D66"/>
    <w:rsid w:val="00B25637"/>
    <w:rsid w:val="00B25F15"/>
    <w:rsid w:val="00B2754A"/>
    <w:rsid w:val="00B27E1C"/>
    <w:rsid w:val="00B27E49"/>
    <w:rsid w:val="00B4006B"/>
    <w:rsid w:val="00B40165"/>
    <w:rsid w:val="00B40995"/>
    <w:rsid w:val="00B440A3"/>
    <w:rsid w:val="00B44BD5"/>
    <w:rsid w:val="00B464FC"/>
    <w:rsid w:val="00B503D7"/>
    <w:rsid w:val="00B627FD"/>
    <w:rsid w:val="00B70D02"/>
    <w:rsid w:val="00B72636"/>
    <w:rsid w:val="00B74E07"/>
    <w:rsid w:val="00B757B0"/>
    <w:rsid w:val="00B76262"/>
    <w:rsid w:val="00B81525"/>
    <w:rsid w:val="00B8205F"/>
    <w:rsid w:val="00B82627"/>
    <w:rsid w:val="00B84D2E"/>
    <w:rsid w:val="00B85004"/>
    <w:rsid w:val="00B85C38"/>
    <w:rsid w:val="00B955E2"/>
    <w:rsid w:val="00BA1774"/>
    <w:rsid w:val="00BB0733"/>
    <w:rsid w:val="00BB2CD1"/>
    <w:rsid w:val="00BB3033"/>
    <w:rsid w:val="00BB6D81"/>
    <w:rsid w:val="00BC299B"/>
    <w:rsid w:val="00BC5B7E"/>
    <w:rsid w:val="00BC7B1E"/>
    <w:rsid w:val="00BD255A"/>
    <w:rsid w:val="00BD6EF0"/>
    <w:rsid w:val="00BE5D9E"/>
    <w:rsid w:val="00BE7027"/>
    <w:rsid w:val="00BF4E44"/>
    <w:rsid w:val="00C02B65"/>
    <w:rsid w:val="00C10080"/>
    <w:rsid w:val="00C12ED1"/>
    <w:rsid w:val="00C13BEA"/>
    <w:rsid w:val="00C1483A"/>
    <w:rsid w:val="00C15DA0"/>
    <w:rsid w:val="00C178DB"/>
    <w:rsid w:val="00C26FC4"/>
    <w:rsid w:val="00C2766D"/>
    <w:rsid w:val="00C27CFE"/>
    <w:rsid w:val="00C30EEC"/>
    <w:rsid w:val="00C36548"/>
    <w:rsid w:val="00C36C84"/>
    <w:rsid w:val="00C40049"/>
    <w:rsid w:val="00C43374"/>
    <w:rsid w:val="00C47EB3"/>
    <w:rsid w:val="00C5747E"/>
    <w:rsid w:val="00C61A37"/>
    <w:rsid w:val="00C6241E"/>
    <w:rsid w:val="00C62C73"/>
    <w:rsid w:val="00C75619"/>
    <w:rsid w:val="00C82B0E"/>
    <w:rsid w:val="00C835BC"/>
    <w:rsid w:val="00C837C9"/>
    <w:rsid w:val="00C8440C"/>
    <w:rsid w:val="00C869C2"/>
    <w:rsid w:val="00C90A69"/>
    <w:rsid w:val="00C955E8"/>
    <w:rsid w:val="00C96BA0"/>
    <w:rsid w:val="00C97FDC"/>
    <w:rsid w:val="00CA1743"/>
    <w:rsid w:val="00CA2440"/>
    <w:rsid w:val="00CA621E"/>
    <w:rsid w:val="00CA7433"/>
    <w:rsid w:val="00CB28D1"/>
    <w:rsid w:val="00CB716F"/>
    <w:rsid w:val="00CB7E3B"/>
    <w:rsid w:val="00CC1016"/>
    <w:rsid w:val="00CC378B"/>
    <w:rsid w:val="00CC38DF"/>
    <w:rsid w:val="00CC3E43"/>
    <w:rsid w:val="00CC5FC5"/>
    <w:rsid w:val="00CC686B"/>
    <w:rsid w:val="00CD0316"/>
    <w:rsid w:val="00CD134A"/>
    <w:rsid w:val="00CD14E1"/>
    <w:rsid w:val="00CD1628"/>
    <w:rsid w:val="00CD2193"/>
    <w:rsid w:val="00CD269D"/>
    <w:rsid w:val="00CD437A"/>
    <w:rsid w:val="00CD76CF"/>
    <w:rsid w:val="00CE186A"/>
    <w:rsid w:val="00CE2515"/>
    <w:rsid w:val="00CE2A93"/>
    <w:rsid w:val="00CE4AFF"/>
    <w:rsid w:val="00CE4B74"/>
    <w:rsid w:val="00CE5534"/>
    <w:rsid w:val="00CE61FB"/>
    <w:rsid w:val="00CE63DF"/>
    <w:rsid w:val="00CF1033"/>
    <w:rsid w:val="00CF1865"/>
    <w:rsid w:val="00CF1F5C"/>
    <w:rsid w:val="00D00967"/>
    <w:rsid w:val="00D00BCA"/>
    <w:rsid w:val="00D02127"/>
    <w:rsid w:val="00D02ACB"/>
    <w:rsid w:val="00D04814"/>
    <w:rsid w:val="00D0533C"/>
    <w:rsid w:val="00D05649"/>
    <w:rsid w:val="00D1050B"/>
    <w:rsid w:val="00D10DE4"/>
    <w:rsid w:val="00D1591F"/>
    <w:rsid w:val="00D1628B"/>
    <w:rsid w:val="00D17C31"/>
    <w:rsid w:val="00D22368"/>
    <w:rsid w:val="00D2489B"/>
    <w:rsid w:val="00D25596"/>
    <w:rsid w:val="00D259BA"/>
    <w:rsid w:val="00D25AC3"/>
    <w:rsid w:val="00D25D0C"/>
    <w:rsid w:val="00D27E7B"/>
    <w:rsid w:val="00D3031A"/>
    <w:rsid w:val="00D32582"/>
    <w:rsid w:val="00D331B9"/>
    <w:rsid w:val="00D33AEF"/>
    <w:rsid w:val="00D374F5"/>
    <w:rsid w:val="00D37D1D"/>
    <w:rsid w:val="00D42FF4"/>
    <w:rsid w:val="00D45B1C"/>
    <w:rsid w:val="00D45F49"/>
    <w:rsid w:val="00D46B81"/>
    <w:rsid w:val="00D51A1E"/>
    <w:rsid w:val="00D51D81"/>
    <w:rsid w:val="00D5420D"/>
    <w:rsid w:val="00D55A34"/>
    <w:rsid w:val="00D57109"/>
    <w:rsid w:val="00D57421"/>
    <w:rsid w:val="00D57EE5"/>
    <w:rsid w:val="00D672DF"/>
    <w:rsid w:val="00D70AC4"/>
    <w:rsid w:val="00D7222B"/>
    <w:rsid w:val="00D732FC"/>
    <w:rsid w:val="00D74CF3"/>
    <w:rsid w:val="00D77E6B"/>
    <w:rsid w:val="00D810D0"/>
    <w:rsid w:val="00D812BC"/>
    <w:rsid w:val="00D818E5"/>
    <w:rsid w:val="00D822A3"/>
    <w:rsid w:val="00D8342B"/>
    <w:rsid w:val="00D83B39"/>
    <w:rsid w:val="00D862A6"/>
    <w:rsid w:val="00D91A2A"/>
    <w:rsid w:val="00D93B3F"/>
    <w:rsid w:val="00DA121E"/>
    <w:rsid w:val="00DA30C4"/>
    <w:rsid w:val="00DA4CB9"/>
    <w:rsid w:val="00DA55B3"/>
    <w:rsid w:val="00DA5D97"/>
    <w:rsid w:val="00DA6CD7"/>
    <w:rsid w:val="00DB0732"/>
    <w:rsid w:val="00DB1DE1"/>
    <w:rsid w:val="00DB34B5"/>
    <w:rsid w:val="00DB45A5"/>
    <w:rsid w:val="00DB5C8D"/>
    <w:rsid w:val="00DC1200"/>
    <w:rsid w:val="00DC4019"/>
    <w:rsid w:val="00DC4CD2"/>
    <w:rsid w:val="00DC64BC"/>
    <w:rsid w:val="00DD0004"/>
    <w:rsid w:val="00DD0250"/>
    <w:rsid w:val="00DE0130"/>
    <w:rsid w:val="00DE2326"/>
    <w:rsid w:val="00DE2D30"/>
    <w:rsid w:val="00DE338A"/>
    <w:rsid w:val="00DF6A10"/>
    <w:rsid w:val="00E01C80"/>
    <w:rsid w:val="00E043DE"/>
    <w:rsid w:val="00E05D5F"/>
    <w:rsid w:val="00E06491"/>
    <w:rsid w:val="00E06CCA"/>
    <w:rsid w:val="00E116B6"/>
    <w:rsid w:val="00E14B5F"/>
    <w:rsid w:val="00E1516B"/>
    <w:rsid w:val="00E16F67"/>
    <w:rsid w:val="00E17DF9"/>
    <w:rsid w:val="00E31973"/>
    <w:rsid w:val="00E40655"/>
    <w:rsid w:val="00E40758"/>
    <w:rsid w:val="00E40784"/>
    <w:rsid w:val="00E429F9"/>
    <w:rsid w:val="00E4341D"/>
    <w:rsid w:val="00E43766"/>
    <w:rsid w:val="00E51EBA"/>
    <w:rsid w:val="00E521C8"/>
    <w:rsid w:val="00E5232A"/>
    <w:rsid w:val="00E569CA"/>
    <w:rsid w:val="00E617CE"/>
    <w:rsid w:val="00E6675B"/>
    <w:rsid w:val="00E66EA3"/>
    <w:rsid w:val="00E67979"/>
    <w:rsid w:val="00E714B1"/>
    <w:rsid w:val="00E71A1E"/>
    <w:rsid w:val="00E73277"/>
    <w:rsid w:val="00E74B73"/>
    <w:rsid w:val="00E8068A"/>
    <w:rsid w:val="00E80FFA"/>
    <w:rsid w:val="00E81F85"/>
    <w:rsid w:val="00E842FA"/>
    <w:rsid w:val="00E84C31"/>
    <w:rsid w:val="00E8502D"/>
    <w:rsid w:val="00E8545D"/>
    <w:rsid w:val="00E864DD"/>
    <w:rsid w:val="00E96A93"/>
    <w:rsid w:val="00EA3335"/>
    <w:rsid w:val="00EA3A6C"/>
    <w:rsid w:val="00EA773C"/>
    <w:rsid w:val="00EB16A5"/>
    <w:rsid w:val="00EC00ED"/>
    <w:rsid w:val="00EC2C7A"/>
    <w:rsid w:val="00EC3B45"/>
    <w:rsid w:val="00EC5011"/>
    <w:rsid w:val="00EC5F12"/>
    <w:rsid w:val="00ED09BD"/>
    <w:rsid w:val="00ED17F5"/>
    <w:rsid w:val="00ED2145"/>
    <w:rsid w:val="00ED22F0"/>
    <w:rsid w:val="00ED270B"/>
    <w:rsid w:val="00EE261A"/>
    <w:rsid w:val="00EE4578"/>
    <w:rsid w:val="00EF03B8"/>
    <w:rsid w:val="00EF0786"/>
    <w:rsid w:val="00EF78A8"/>
    <w:rsid w:val="00F006BD"/>
    <w:rsid w:val="00F04B35"/>
    <w:rsid w:val="00F055AB"/>
    <w:rsid w:val="00F072CE"/>
    <w:rsid w:val="00F10401"/>
    <w:rsid w:val="00F15C84"/>
    <w:rsid w:val="00F16CB9"/>
    <w:rsid w:val="00F16E6E"/>
    <w:rsid w:val="00F20EFD"/>
    <w:rsid w:val="00F253E2"/>
    <w:rsid w:val="00F32AE3"/>
    <w:rsid w:val="00F32DF7"/>
    <w:rsid w:val="00F33890"/>
    <w:rsid w:val="00F33B48"/>
    <w:rsid w:val="00F418DF"/>
    <w:rsid w:val="00F46FC2"/>
    <w:rsid w:val="00F47B14"/>
    <w:rsid w:val="00F512A9"/>
    <w:rsid w:val="00F51A4B"/>
    <w:rsid w:val="00F524F2"/>
    <w:rsid w:val="00F57ED1"/>
    <w:rsid w:val="00F61FDA"/>
    <w:rsid w:val="00F655E3"/>
    <w:rsid w:val="00F721E7"/>
    <w:rsid w:val="00F722D5"/>
    <w:rsid w:val="00F766D2"/>
    <w:rsid w:val="00F77980"/>
    <w:rsid w:val="00F800AE"/>
    <w:rsid w:val="00F82AF1"/>
    <w:rsid w:val="00F83187"/>
    <w:rsid w:val="00F84082"/>
    <w:rsid w:val="00F86BA5"/>
    <w:rsid w:val="00F9084E"/>
    <w:rsid w:val="00F947E4"/>
    <w:rsid w:val="00F97536"/>
    <w:rsid w:val="00F97D52"/>
    <w:rsid w:val="00FA0014"/>
    <w:rsid w:val="00FA5CD7"/>
    <w:rsid w:val="00FA60E0"/>
    <w:rsid w:val="00FA704D"/>
    <w:rsid w:val="00FA7D95"/>
    <w:rsid w:val="00FB570F"/>
    <w:rsid w:val="00FB5BD3"/>
    <w:rsid w:val="00FC0C92"/>
    <w:rsid w:val="00FC1CE6"/>
    <w:rsid w:val="00FC3A91"/>
    <w:rsid w:val="00FD1990"/>
    <w:rsid w:val="00FD3D4E"/>
    <w:rsid w:val="00FD529C"/>
    <w:rsid w:val="00FD6E47"/>
    <w:rsid w:val="00FD7DA1"/>
    <w:rsid w:val="00FE166B"/>
    <w:rsid w:val="00FE1A60"/>
    <w:rsid w:val="00FE6CE4"/>
    <w:rsid w:val="00FF1B75"/>
    <w:rsid w:val="00FF2A23"/>
    <w:rsid w:val="00FF5002"/>
    <w:rsid w:val="00FF62E6"/>
    <w:rsid w:val="0108280C"/>
    <w:rsid w:val="01100101"/>
    <w:rsid w:val="011F2E1E"/>
    <w:rsid w:val="01231863"/>
    <w:rsid w:val="01330F2C"/>
    <w:rsid w:val="013C76D0"/>
    <w:rsid w:val="01523305"/>
    <w:rsid w:val="018E7169"/>
    <w:rsid w:val="01925AFA"/>
    <w:rsid w:val="01B3005D"/>
    <w:rsid w:val="01D4014F"/>
    <w:rsid w:val="01F3645E"/>
    <w:rsid w:val="01F64877"/>
    <w:rsid w:val="01F742A4"/>
    <w:rsid w:val="02037493"/>
    <w:rsid w:val="021C408E"/>
    <w:rsid w:val="027B4286"/>
    <w:rsid w:val="027E3CF2"/>
    <w:rsid w:val="030B2301"/>
    <w:rsid w:val="035D3711"/>
    <w:rsid w:val="036D11D5"/>
    <w:rsid w:val="039748B7"/>
    <w:rsid w:val="039C1183"/>
    <w:rsid w:val="03A46D0B"/>
    <w:rsid w:val="03B14FF8"/>
    <w:rsid w:val="03B431D5"/>
    <w:rsid w:val="03EE33CD"/>
    <w:rsid w:val="040E138A"/>
    <w:rsid w:val="041B4E07"/>
    <w:rsid w:val="04254681"/>
    <w:rsid w:val="045F1D8B"/>
    <w:rsid w:val="046E3FE8"/>
    <w:rsid w:val="04707090"/>
    <w:rsid w:val="04782627"/>
    <w:rsid w:val="0481685B"/>
    <w:rsid w:val="04973BB9"/>
    <w:rsid w:val="04C5174D"/>
    <w:rsid w:val="04C51E86"/>
    <w:rsid w:val="04DD3B9E"/>
    <w:rsid w:val="04FD5643"/>
    <w:rsid w:val="054F2105"/>
    <w:rsid w:val="057F6ABB"/>
    <w:rsid w:val="0581700A"/>
    <w:rsid w:val="058B32BD"/>
    <w:rsid w:val="0590604A"/>
    <w:rsid w:val="05B44410"/>
    <w:rsid w:val="05DD03FF"/>
    <w:rsid w:val="05EC7301"/>
    <w:rsid w:val="06126375"/>
    <w:rsid w:val="06127B0E"/>
    <w:rsid w:val="06427136"/>
    <w:rsid w:val="065F3931"/>
    <w:rsid w:val="06613B41"/>
    <w:rsid w:val="06691180"/>
    <w:rsid w:val="06896D75"/>
    <w:rsid w:val="069366A8"/>
    <w:rsid w:val="06945604"/>
    <w:rsid w:val="069965D7"/>
    <w:rsid w:val="06B42C65"/>
    <w:rsid w:val="06C9702A"/>
    <w:rsid w:val="06E91807"/>
    <w:rsid w:val="06FF2F66"/>
    <w:rsid w:val="071329FE"/>
    <w:rsid w:val="071A19B7"/>
    <w:rsid w:val="072C27CB"/>
    <w:rsid w:val="07321693"/>
    <w:rsid w:val="07541E73"/>
    <w:rsid w:val="07A453E3"/>
    <w:rsid w:val="07A56E1D"/>
    <w:rsid w:val="07F629E6"/>
    <w:rsid w:val="0807599D"/>
    <w:rsid w:val="081C5B0F"/>
    <w:rsid w:val="084B50B2"/>
    <w:rsid w:val="08692FE5"/>
    <w:rsid w:val="0879662A"/>
    <w:rsid w:val="087A6B18"/>
    <w:rsid w:val="0891753F"/>
    <w:rsid w:val="08BA3654"/>
    <w:rsid w:val="08BB352A"/>
    <w:rsid w:val="08C42A68"/>
    <w:rsid w:val="08DF729C"/>
    <w:rsid w:val="08EF5DD6"/>
    <w:rsid w:val="08F17779"/>
    <w:rsid w:val="08FD2E27"/>
    <w:rsid w:val="09370BEB"/>
    <w:rsid w:val="094B6F52"/>
    <w:rsid w:val="09533FA6"/>
    <w:rsid w:val="095F6BCD"/>
    <w:rsid w:val="0970347A"/>
    <w:rsid w:val="09707481"/>
    <w:rsid w:val="09850BA8"/>
    <w:rsid w:val="09A876C2"/>
    <w:rsid w:val="09CF324B"/>
    <w:rsid w:val="09E95151"/>
    <w:rsid w:val="0A005504"/>
    <w:rsid w:val="0A02487C"/>
    <w:rsid w:val="0A040CDD"/>
    <w:rsid w:val="0A142F6C"/>
    <w:rsid w:val="0A2756BA"/>
    <w:rsid w:val="0A3A714D"/>
    <w:rsid w:val="0A41496A"/>
    <w:rsid w:val="0A612E6B"/>
    <w:rsid w:val="0A8F5D00"/>
    <w:rsid w:val="0A913826"/>
    <w:rsid w:val="0AAB2BAD"/>
    <w:rsid w:val="0AAC34F1"/>
    <w:rsid w:val="0AB84923"/>
    <w:rsid w:val="0ABE037B"/>
    <w:rsid w:val="0AC03206"/>
    <w:rsid w:val="0ACA473F"/>
    <w:rsid w:val="0AD26949"/>
    <w:rsid w:val="0AD30BF5"/>
    <w:rsid w:val="0AFE02B0"/>
    <w:rsid w:val="0B1D5D71"/>
    <w:rsid w:val="0B1F69D2"/>
    <w:rsid w:val="0B253543"/>
    <w:rsid w:val="0B2813C4"/>
    <w:rsid w:val="0B3077CD"/>
    <w:rsid w:val="0B4F3B3C"/>
    <w:rsid w:val="0B8C0205"/>
    <w:rsid w:val="0BA00A3F"/>
    <w:rsid w:val="0BAC0139"/>
    <w:rsid w:val="0BAC3704"/>
    <w:rsid w:val="0BB967FA"/>
    <w:rsid w:val="0BC8219B"/>
    <w:rsid w:val="0BDF129F"/>
    <w:rsid w:val="0C5965C6"/>
    <w:rsid w:val="0C655B84"/>
    <w:rsid w:val="0C6B7590"/>
    <w:rsid w:val="0C6D60CA"/>
    <w:rsid w:val="0C717666"/>
    <w:rsid w:val="0C920697"/>
    <w:rsid w:val="0C9419D6"/>
    <w:rsid w:val="0CA735DA"/>
    <w:rsid w:val="0CB230EA"/>
    <w:rsid w:val="0CC80AAF"/>
    <w:rsid w:val="0CCD791F"/>
    <w:rsid w:val="0CD734A6"/>
    <w:rsid w:val="0CD93CD6"/>
    <w:rsid w:val="0CE5622B"/>
    <w:rsid w:val="0D0D24C5"/>
    <w:rsid w:val="0D10747F"/>
    <w:rsid w:val="0D1215F3"/>
    <w:rsid w:val="0D1349C7"/>
    <w:rsid w:val="0D352B8F"/>
    <w:rsid w:val="0D474B6E"/>
    <w:rsid w:val="0D6F610A"/>
    <w:rsid w:val="0D912908"/>
    <w:rsid w:val="0D9453FB"/>
    <w:rsid w:val="0D946C90"/>
    <w:rsid w:val="0D974726"/>
    <w:rsid w:val="0D9B6035"/>
    <w:rsid w:val="0DE17083"/>
    <w:rsid w:val="0DE50471"/>
    <w:rsid w:val="0DE54F84"/>
    <w:rsid w:val="0DF77BA5"/>
    <w:rsid w:val="0E0638F7"/>
    <w:rsid w:val="0E294C51"/>
    <w:rsid w:val="0E5A6B08"/>
    <w:rsid w:val="0E5E1D65"/>
    <w:rsid w:val="0E635BBC"/>
    <w:rsid w:val="0E660070"/>
    <w:rsid w:val="0EA2194C"/>
    <w:rsid w:val="0EA84E05"/>
    <w:rsid w:val="0EA94C9B"/>
    <w:rsid w:val="0EAB3959"/>
    <w:rsid w:val="0EAB3E3B"/>
    <w:rsid w:val="0EC73DE7"/>
    <w:rsid w:val="0EE36CBE"/>
    <w:rsid w:val="0EFA2483"/>
    <w:rsid w:val="0F0E18EA"/>
    <w:rsid w:val="0F0F7B23"/>
    <w:rsid w:val="0F121258"/>
    <w:rsid w:val="0F157254"/>
    <w:rsid w:val="0F1D004C"/>
    <w:rsid w:val="0F450B78"/>
    <w:rsid w:val="0FBC1384"/>
    <w:rsid w:val="0FE3289E"/>
    <w:rsid w:val="0FE92323"/>
    <w:rsid w:val="0FF045FA"/>
    <w:rsid w:val="0FF049C8"/>
    <w:rsid w:val="10452598"/>
    <w:rsid w:val="105175B8"/>
    <w:rsid w:val="10684D7C"/>
    <w:rsid w:val="109B410B"/>
    <w:rsid w:val="109B467C"/>
    <w:rsid w:val="10C90914"/>
    <w:rsid w:val="10CC4113"/>
    <w:rsid w:val="10CD6958"/>
    <w:rsid w:val="10DA0344"/>
    <w:rsid w:val="10DD3FAC"/>
    <w:rsid w:val="10E64C0E"/>
    <w:rsid w:val="10E77F11"/>
    <w:rsid w:val="11012800"/>
    <w:rsid w:val="110354E1"/>
    <w:rsid w:val="11173D99"/>
    <w:rsid w:val="114D77DB"/>
    <w:rsid w:val="1166595A"/>
    <w:rsid w:val="117F5224"/>
    <w:rsid w:val="1182443C"/>
    <w:rsid w:val="11934632"/>
    <w:rsid w:val="119B08DC"/>
    <w:rsid w:val="11A16AA0"/>
    <w:rsid w:val="11A20302"/>
    <w:rsid w:val="11AD2EC7"/>
    <w:rsid w:val="11B843F8"/>
    <w:rsid w:val="11CF1626"/>
    <w:rsid w:val="11DD3A5B"/>
    <w:rsid w:val="11EC7B85"/>
    <w:rsid w:val="121629B3"/>
    <w:rsid w:val="122477D7"/>
    <w:rsid w:val="12257769"/>
    <w:rsid w:val="12300AE6"/>
    <w:rsid w:val="12362BF3"/>
    <w:rsid w:val="1277597B"/>
    <w:rsid w:val="12A44C97"/>
    <w:rsid w:val="12B441D9"/>
    <w:rsid w:val="12C25271"/>
    <w:rsid w:val="12D03F92"/>
    <w:rsid w:val="12D8657F"/>
    <w:rsid w:val="12DC26D4"/>
    <w:rsid w:val="13105911"/>
    <w:rsid w:val="13413BCC"/>
    <w:rsid w:val="13480898"/>
    <w:rsid w:val="134B536D"/>
    <w:rsid w:val="138541AE"/>
    <w:rsid w:val="13930515"/>
    <w:rsid w:val="139E7FCD"/>
    <w:rsid w:val="139F6141"/>
    <w:rsid w:val="13B32164"/>
    <w:rsid w:val="13C4701B"/>
    <w:rsid w:val="13E060A2"/>
    <w:rsid w:val="13E74F6B"/>
    <w:rsid w:val="14053756"/>
    <w:rsid w:val="14310F66"/>
    <w:rsid w:val="144F387B"/>
    <w:rsid w:val="14531D16"/>
    <w:rsid w:val="147C2354"/>
    <w:rsid w:val="14896346"/>
    <w:rsid w:val="14905B10"/>
    <w:rsid w:val="149759F9"/>
    <w:rsid w:val="14A8696F"/>
    <w:rsid w:val="14B54F91"/>
    <w:rsid w:val="14D42165"/>
    <w:rsid w:val="14D507B4"/>
    <w:rsid w:val="14E07884"/>
    <w:rsid w:val="15294991"/>
    <w:rsid w:val="15310FEA"/>
    <w:rsid w:val="15486AFE"/>
    <w:rsid w:val="154F0782"/>
    <w:rsid w:val="156963DF"/>
    <w:rsid w:val="15877007"/>
    <w:rsid w:val="15993A3F"/>
    <w:rsid w:val="15C919EC"/>
    <w:rsid w:val="15FA75B1"/>
    <w:rsid w:val="160F77CA"/>
    <w:rsid w:val="16155524"/>
    <w:rsid w:val="161C327B"/>
    <w:rsid w:val="16243DCE"/>
    <w:rsid w:val="1639673A"/>
    <w:rsid w:val="165435B0"/>
    <w:rsid w:val="16617EEF"/>
    <w:rsid w:val="167F3FFC"/>
    <w:rsid w:val="169B2145"/>
    <w:rsid w:val="16B26E88"/>
    <w:rsid w:val="16E21E0B"/>
    <w:rsid w:val="16E6626A"/>
    <w:rsid w:val="17584224"/>
    <w:rsid w:val="175B1A56"/>
    <w:rsid w:val="175C49E9"/>
    <w:rsid w:val="17813E90"/>
    <w:rsid w:val="17B221CE"/>
    <w:rsid w:val="17B45529"/>
    <w:rsid w:val="17BB0BD2"/>
    <w:rsid w:val="17C52D61"/>
    <w:rsid w:val="17DD53A6"/>
    <w:rsid w:val="17EA27B8"/>
    <w:rsid w:val="180A2698"/>
    <w:rsid w:val="180D129A"/>
    <w:rsid w:val="1836464E"/>
    <w:rsid w:val="183F54BB"/>
    <w:rsid w:val="184B3E69"/>
    <w:rsid w:val="185B7BF1"/>
    <w:rsid w:val="186A0DAD"/>
    <w:rsid w:val="186D7034"/>
    <w:rsid w:val="18914ED6"/>
    <w:rsid w:val="18BF6A43"/>
    <w:rsid w:val="18C31758"/>
    <w:rsid w:val="18DE1E17"/>
    <w:rsid w:val="191A172C"/>
    <w:rsid w:val="191B6AE8"/>
    <w:rsid w:val="1924132E"/>
    <w:rsid w:val="192716D7"/>
    <w:rsid w:val="1935779B"/>
    <w:rsid w:val="19366623"/>
    <w:rsid w:val="193919B0"/>
    <w:rsid w:val="193B0D0C"/>
    <w:rsid w:val="193C719D"/>
    <w:rsid w:val="19682E4E"/>
    <w:rsid w:val="196E3DE8"/>
    <w:rsid w:val="19877E4C"/>
    <w:rsid w:val="1993023F"/>
    <w:rsid w:val="199D2325"/>
    <w:rsid w:val="19A85F22"/>
    <w:rsid w:val="19C675E2"/>
    <w:rsid w:val="19C67890"/>
    <w:rsid w:val="19CE1F3B"/>
    <w:rsid w:val="19CF084F"/>
    <w:rsid w:val="19DE0CC1"/>
    <w:rsid w:val="1A243E59"/>
    <w:rsid w:val="1A25366D"/>
    <w:rsid w:val="1A265FDC"/>
    <w:rsid w:val="1A267BCC"/>
    <w:rsid w:val="1A4E081C"/>
    <w:rsid w:val="1A714942"/>
    <w:rsid w:val="1A86028D"/>
    <w:rsid w:val="1A916DAE"/>
    <w:rsid w:val="1A9758E4"/>
    <w:rsid w:val="1AB2706A"/>
    <w:rsid w:val="1AC75042"/>
    <w:rsid w:val="1AC969C1"/>
    <w:rsid w:val="1AD91AE7"/>
    <w:rsid w:val="1B0606B8"/>
    <w:rsid w:val="1B500CDD"/>
    <w:rsid w:val="1B5D7219"/>
    <w:rsid w:val="1B614350"/>
    <w:rsid w:val="1B8B2E3B"/>
    <w:rsid w:val="1B987FE2"/>
    <w:rsid w:val="1BC343F5"/>
    <w:rsid w:val="1BD2046D"/>
    <w:rsid w:val="1BEC7293"/>
    <w:rsid w:val="1C202C5C"/>
    <w:rsid w:val="1C2857DC"/>
    <w:rsid w:val="1C626AB9"/>
    <w:rsid w:val="1C7D53DC"/>
    <w:rsid w:val="1C985FFB"/>
    <w:rsid w:val="1C9A4F68"/>
    <w:rsid w:val="1CC54EE3"/>
    <w:rsid w:val="1CC96091"/>
    <w:rsid w:val="1CD56109"/>
    <w:rsid w:val="1CD73BD4"/>
    <w:rsid w:val="1CF434D7"/>
    <w:rsid w:val="1D077787"/>
    <w:rsid w:val="1D281E1B"/>
    <w:rsid w:val="1D2B1BB9"/>
    <w:rsid w:val="1D3724F5"/>
    <w:rsid w:val="1D3E7A33"/>
    <w:rsid w:val="1D4604A0"/>
    <w:rsid w:val="1D8411CA"/>
    <w:rsid w:val="1DA46132"/>
    <w:rsid w:val="1DA97C19"/>
    <w:rsid w:val="1DB0632A"/>
    <w:rsid w:val="1DEF0716"/>
    <w:rsid w:val="1E0C4B45"/>
    <w:rsid w:val="1E1139D0"/>
    <w:rsid w:val="1E1E49D4"/>
    <w:rsid w:val="1E294405"/>
    <w:rsid w:val="1E4877F5"/>
    <w:rsid w:val="1E626A8D"/>
    <w:rsid w:val="1E965458"/>
    <w:rsid w:val="1EA07D66"/>
    <w:rsid w:val="1EBB32D3"/>
    <w:rsid w:val="1EC6412D"/>
    <w:rsid w:val="1ED61FBB"/>
    <w:rsid w:val="1EE340C4"/>
    <w:rsid w:val="1F087C85"/>
    <w:rsid w:val="1F1B2920"/>
    <w:rsid w:val="1F2004A9"/>
    <w:rsid w:val="1FAB0A6C"/>
    <w:rsid w:val="1FB45389"/>
    <w:rsid w:val="1FC02804"/>
    <w:rsid w:val="1FC26296"/>
    <w:rsid w:val="1FC63DF0"/>
    <w:rsid w:val="20010A82"/>
    <w:rsid w:val="200F7BB5"/>
    <w:rsid w:val="203D599E"/>
    <w:rsid w:val="20536115"/>
    <w:rsid w:val="205B5B8F"/>
    <w:rsid w:val="20664B60"/>
    <w:rsid w:val="209D4F98"/>
    <w:rsid w:val="20CB1596"/>
    <w:rsid w:val="20DE0E27"/>
    <w:rsid w:val="20F07721"/>
    <w:rsid w:val="2111739E"/>
    <w:rsid w:val="212A6070"/>
    <w:rsid w:val="213B1B76"/>
    <w:rsid w:val="213C682E"/>
    <w:rsid w:val="21465B8C"/>
    <w:rsid w:val="21497629"/>
    <w:rsid w:val="216F14A1"/>
    <w:rsid w:val="217A6ACD"/>
    <w:rsid w:val="21813B6C"/>
    <w:rsid w:val="2182494E"/>
    <w:rsid w:val="21985E32"/>
    <w:rsid w:val="219E6D5B"/>
    <w:rsid w:val="21CB2CE7"/>
    <w:rsid w:val="21E7234F"/>
    <w:rsid w:val="22002517"/>
    <w:rsid w:val="22053188"/>
    <w:rsid w:val="22116F4E"/>
    <w:rsid w:val="22215DD0"/>
    <w:rsid w:val="22217306"/>
    <w:rsid w:val="222A65F2"/>
    <w:rsid w:val="223A695F"/>
    <w:rsid w:val="22485EE8"/>
    <w:rsid w:val="226150E2"/>
    <w:rsid w:val="22647DB5"/>
    <w:rsid w:val="22674943"/>
    <w:rsid w:val="22702A54"/>
    <w:rsid w:val="22975052"/>
    <w:rsid w:val="22B84CCF"/>
    <w:rsid w:val="22E52AB3"/>
    <w:rsid w:val="2313388B"/>
    <w:rsid w:val="233619F8"/>
    <w:rsid w:val="23404171"/>
    <w:rsid w:val="23457680"/>
    <w:rsid w:val="234D7F5B"/>
    <w:rsid w:val="235275F8"/>
    <w:rsid w:val="235E521F"/>
    <w:rsid w:val="237713E6"/>
    <w:rsid w:val="23941C9B"/>
    <w:rsid w:val="23A0122C"/>
    <w:rsid w:val="23A21DA3"/>
    <w:rsid w:val="23A945C8"/>
    <w:rsid w:val="23AD7C32"/>
    <w:rsid w:val="23B75C54"/>
    <w:rsid w:val="23DB3FA4"/>
    <w:rsid w:val="23E20BAA"/>
    <w:rsid w:val="240A0335"/>
    <w:rsid w:val="243E4D91"/>
    <w:rsid w:val="246D56AC"/>
    <w:rsid w:val="248324CA"/>
    <w:rsid w:val="248D7862"/>
    <w:rsid w:val="248F4E23"/>
    <w:rsid w:val="249536D1"/>
    <w:rsid w:val="24984724"/>
    <w:rsid w:val="24B21167"/>
    <w:rsid w:val="24CC7123"/>
    <w:rsid w:val="24DE7E9C"/>
    <w:rsid w:val="24E14183"/>
    <w:rsid w:val="24E35AD3"/>
    <w:rsid w:val="24EA6027"/>
    <w:rsid w:val="24F06DEA"/>
    <w:rsid w:val="2501307F"/>
    <w:rsid w:val="25140749"/>
    <w:rsid w:val="251F6B4C"/>
    <w:rsid w:val="253D1247"/>
    <w:rsid w:val="254F0545"/>
    <w:rsid w:val="255F4D69"/>
    <w:rsid w:val="258C2852"/>
    <w:rsid w:val="258C37E4"/>
    <w:rsid w:val="25C633E3"/>
    <w:rsid w:val="25C73BEA"/>
    <w:rsid w:val="25D80104"/>
    <w:rsid w:val="25DE2994"/>
    <w:rsid w:val="25DF62E9"/>
    <w:rsid w:val="25EA003C"/>
    <w:rsid w:val="25EE2C36"/>
    <w:rsid w:val="25F47FBF"/>
    <w:rsid w:val="261C2866"/>
    <w:rsid w:val="261E313A"/>
    <w:rsid w:val="262E6FC5"/>
    <w:rsid w:val="26336919"/>
    <w:rsid w:val="263F2A91"/>
    <w:rsid w:val="263F3409"/>
    <w:rsid w:val="26776ED3"/>
    <w:rsid w:val="267910FD"/>
    <w:rsid w:val="267976D7"/>
    <w:rsid w:val="267A0D60"/>
    <w:rsid w:val="26A1030E"/>
    <w:rsid w:val="26B46681"/>
    <w:rsid w:val="26BE1046"/>
    <w:rsid w:val="26CA6D25"/>
    <w:rsid w:val="26FF4B96"/>
    <w:rsid w:val="27062668"/>
    <w:rsid w:val="27670D69"/>
    <w:rsid w:val="276B4E91"/>
    <w:rsid w:val="27940008"/>
    <w:rsid w:val="27A13CA7"/>
    <w:rsid w:val="27AE15B0"/>
    <w:rsid w:val="27B345E7"/>
    <w:rsid w:val="27C8545C"/>
    <w:rsid w:val="27FA417F"/>
    <w:rsid w:val="27FD1591"/>
    <w:rsid w:val="28027565"/>
    <w:rsid w:val="28052E1F"/>
    <w:rsid w:val="280D4123"/>
    <w:rsid w:val="2817567F"/>
    <w:rsid w:val="281F4F3B"/>
    <w:rsid w:val="28304692"/>
    <w:rsid w:val="28335C7E"/>
    <w:rsid w:val="283870BB"/>
    <w:rsid w:val="283A6368"/>
    <w:rsid w:val="288737E1"/>
    <w:rsid w:val="2899688E"/>
    <w:rsid w:val="289A3365"/>
    <w:rsid w:val="28AA1BF2"/>
    <w:rsid w:val="28B07116"/>
    <w:rsid w:val="28B173B3"/>
    <w:rsid w:val="28C212C1"/>
    <w:rsid w:val="28D05E28"/>
    <w:rsid w:val="28F367C8"/>
    <w:rsid w:val="28F42E82"/>
    <w:rsid w:val="290222E0"/>
    <w:rsid w:val="290850AF"/>
    <w:rsid w:val="29267189"/>
    <w:rsid w:val="29280E7D"/>
    <w:rsid w:val="292B4265"/>
    <w:rsid w:val="292C5CA3"/>
    <w:rsid w:val="292F1D36"/>
    <w:rsid w:val="29352F96"/>
    <w:rsid w:val="29395249"/>
    <w:rsid w:val="295D3B26"/>
    <w:rsid w:val="2965033E"/>
    <w:rsid w:val="296B3E2A"/>
    <w:rsid w:val="29744758"/>
    <w:rsid w:val="29AD1225"/>
    <w:rsid w:val="29B95A16"/>
    <w:rsid w:val="29D45132"/>
    <w:rsid w:val="29EE2574"/>
    <w:rsid w:val="29F30801"/>
    <w:rsid w:val="2A0031BB"/>
    <w:rsid w:val="2A2509CD"/>
    <w:rsid w:val="2A3860DA"/>
    <w:rsid w:val="2A4A7AE8"/>
    <w:rsid w:val="2A632EAA"/>
    <w:rsid w:val="2A6F6E0C"/>
    <w:rsid w:val="2A942D63"/>
    <w:rsid w:val="2A9A546B"/>
    <w:rsid w:val="2AAA0DB8"/>
    <w:rsid w:val="2AB54EB7"/>
    <w:rsid w:val="2AC25DC3"/>
    <w:rsid w:val="2AD44DB4"/>
    <w:rsid w:val="2AE11800"/>
    <w:rsid w:val="2AF9353B"/>
    <w:rsid w:val="2B1D09D7"/>
    <w:rsid w:val="2B247306"/>
    <w:rsid w:val="2B3520EC"/>
    <w:rsid w:val="2B777FC9"/>
    <w:rsid w:val="2B8E25C8"/>
    <w:rsid w:val="2B8E5AE7"/>
    <w:rsid w:val="2B9C36DB"/>
    <w:rsid w:val="2BB90399"/>
    <w:rsid w:val="2BEB646C"/>
    <w:rsid w:val="2C0C3ABE"/>
    <w:rsid w:val="2C2C059B"/>
    <w:rsid w:val="2C6727E4"/>
    <w:rsid w:val="2C7C6E65"/>
    <w:rsid w:val="2C8B2ED9"/>
    <w:rsid w:val="2C8B3BC8"/>
    <w:rsid w:val="2C9C75B1"/>
    <w:rsid w:val="2CD07F91"/>
    <w:rsid w:val="2CDE6947"/>
    <w:rsid w:val="2D014517"/>
    <w:rsid w:val="2D060728"/>
    <w:rsid w:val="2D083B7D"/>
    <w:rsid w:val="2D172033"/>
    <w:rsid w:val="2D176DEA"/>
    <w:rsid w:val="2D284B4B"/>
    <w:rsid w:val="2D497D93"/>
    <w:rsid w:val="2DC95A32"/>
    <w:rsid w:val="2E127121"/>
    <w:rsid w:val="2E1717CF"/>
    <w:rsid w:val="2E406EC6"/>
    <w:rsid w:val="2E651346"/>
    <w:rsid w:val="2E8447EF"/>
    <w:rsid w:val="2E8839B6"/>
    <w:rsid w:val="2E885D73"/>
    <w:rsid w:val="2E8E7D6C"/>
    <w:rsid w:val="2E9D0E14"/>
    <w:rsid w:val="2EA26963"/>
    <w:rsid w:val="2EBE77A0"/>
    <w:rsid w:val="2EC92CDF"/>
    <w:rsid w:val="2ECF72ED"/>
    <w:rsid w:val="2EFC21CC"/>
    <w:rsid w:val="2F116B51"/>
    <w:rsid w:val="2F483F93"/>
    <w:rsid w:val="2F495C8D"/>
    <w:rsid w:val="2F4A33CA"/>
    <w:rsid w:val="2F65659C"/>
    <w:rsid w:val="2FA6628F"/>
    <w:rsid w:val="2FBF14FD"/>
    <w:rsid w:val="2FD91D21"/>
    <w:rsid w:val="2FFC7AF5"/>
    <w:rsid w:val="2FFD1401"/>
    <w:rsid w:val="30377DF5"/>
    <w:rsid w:val="303E6F61"/>
    <w:rsid w:val="30472606"/>
    <w:rsid w:val="305E0538"/>
    <w:rsid w:val="305E2474"/>
    <w:rsid w:val="30664369"/>
    <w:rsid w:val="3067764A"/>
    <w:rsid w:val="306A383A"/>
    <w:rsid w:val="30856EE9"/>
    <w:rsid w:val="30B023A9"/>
    <w:rsid w:val="3124222B"/>
    <w:rsid w:val="313B5D42"/>
    <w:rsid w:val="314E3EA3"/>
    <w:rsid w:val="315A0A22"/>
    <w:rsid w:val="316313FD"/>
    <w:rsid w:val="316D4301"/>
    <w:rsid w:val="31804A80"/>
    <w:rsid w:val="31864AF7"/>
    <w:rsid w:val="31DD3334"/>
    <w:rsid w:val="31EE15CA"/>
    <w:rsid w:val="32007CE6"/>
    <w:rsid w:val="3205487A"/>
    <w:rsid w:val="32370611"/>
    <w:rsid w:val="328F30CE"/>
    <w:rsid w:val="32A35190"/>
    <w:rsid w:val="32AC501F"/>
    <w:rsid w:val="32B777F8"/>
    <w:rsid w:val="3307064A"/>
    <w:rsid w:val="33087ABC"/>
    <w:rsid w:val="33164434"/>
    <w:rsid w:val="33525999"/>
    <w:rsid w:val="33601687"/>
    <w:rsid w:val="337422CF"/>
    <w:rsid w:val="33807FB1"/>
    <w:rsid w:val="33AF28C7"/>
    <w:rsid w:val="33D60378"/>
    <w:rsid w:val="33F57FBD"/>
    <w:rsid w:val="34041F96"/>
    <w:rsid w:val="340C1577"/>
    <w:rsid w:val="34284BDA"/>
    <w:rsid w:val="343074B4"/>
    <w:rsid w:val="34342BAD"/>
    <w:rsid w:val="344C4BA9"/>
    <w:rsid w:val="34704EBF"/>
    <w:rsid w:val="34B42D7E"/>
    <w:rsid w:val="34BF45DA"/>
    <w:rsid w:val="34CA4949"/>
    <w:rsid w:val="34D92ACD"/>
    <w:rsid w:val="34E832BB"/>
    <w:rsid w:val="353607CC"/>
    <w:rsid w:val="355111E9"/>
    <w:rsid w:val="3551344F"/>
    <w:rsid w:val="35873DC8"/>
    <w:rsid w:val="3588764B"/>
    <w:rsid w:val="359D43E3"/>
    <w:rsid w:val="35A02AEA"/>
    <w:rsid w:val="35B13D5D"/>
    <w:rsid w:val="35C13ED2"/>
    <w:rsid w:val="35D34BCE"/>
    <w:rsid w:val="35E705B3"/>
    <w:rsid w:val="360B7F7D"/>
    <w:rsid w:val="361A51C1"/>
    <w:rsid w:val="36273ADD"/>
    <w:rsid w:val="363729AA"/>
    <w:rsid w:val="363F0BDD"/>
    <w:rsid w:val="365E75EA"/>
    <w:rsid w:val="36985A31"/>
    <w:rsid w:val="36A0287F"/>
    <w:rsid w:val="36AD1D4A"/>
    <w:rsid w:val="36BC5E9F"/>
    <w:rsid w:val="36C60B17"/>
    <w:rsid w:val="36DF5E4B"/>
    <w:rsid w:val="36E671A9"/>
    <w:rsid w:val="371D1E1A"/>
    <w:rsid w:val="372A766A"/>
    <w:rsid w:val="375208F9"/>
    <w:rsid w:val="377E1C43"/>
    <w:rsid w:val="37806AF0"/>
    <w:rsid w:val="378644A3"/>
    <w:rsid w:val="37953A1E"/>
    <w:rsid w:val="37AB2A59"/>
    <w:rsid w:val="37C62B64"/>
    <w:rsid w:val="37CB12A4"/>
    <w:rsid w:val="37E04E7D"/>
    <w:rsid w:val="380068C8"/>
    <w:rsid w:val="38180E94"/>
    <w:rsid w:val="38257677"/>
    <w:rsid w:val="38266CA6"/>
    <w:rsid w:val="384811FF"/>
    <w:rsid w:val="3852361B"/>
    <w:rsid w:val="386046B4"/>
    <w:rsid w:val="386D24F4"/>
    <w:rsid w:val="38713892"/>
    <w:rsid w:val="38730C46"/>
    <w:rsid w:val="387F4959"/>
    <w:rsid w:val="38882C42"/>
    <w:rsid w:val="389946EE"/>
    <w:rsid w:val="38A84B6E"/>
    <w:rsid w:val="38B260AB"/>
    <w:rsid w:val="38BF5015"/>
    <w:rsid w:val="38CB66F7"/>
    <w:rsid w:val="38FB0A34"/>
    <w:rsid w:val="39077337"/>
    <w:rsid w:val="39105BA9"/>
    <w:rsid w:val="39123387"/>
    <w:rsid w:val="391B765A"/>
    <w:rsid w:val="391C36D4"/>
    <w:rsid w:val="3920255E"/>
    <w:rsid w:val="39540487"/>
    <w:rsid w:val="39665CFB"/>
    <w:rsid w:val="39757C51"/>
    <w:rsid w:val="39797DEF"/>
    <w:rsid w:val="398D52C3"/>
    <w:rsid w:val="399F15A3"/>
    <w:rsid w:val="39CF4D4E"/>
    <w:rsid w:val="39CF7ACE"/>
    <w:rsid w:val="39E7232D"/>
    <w:rsid w:val="3A25290A"/>
    <w:rsid w:val="3A315E86"/>
    <w:rsid w:val="3A32542E"/>
    <w:rsid w:val="3A511B7A"/>
    <w:rsid w:val="3A661C98"/>
    <w:rsid w:val="3A6E4561"/>
    <w:rsid w:val="3AB53070"/>
    <w:rsid w:val="3AC53C51"/>
    <w:rsid w:val="3AF23583"/>
    <w:rsid w:val="3AF30803"/>
    <w:rsid w:val="3B003039"/>
    <w:rsid w:val="3B07330A"/>
    <w:rsid w:val="3B1E3CB2"/>
    <w:rsid w:val="3B424696"/>
    <w:rsid w:val="3B4830D7"/>
    <w:rsid w:val="3B4A08CC"/>
    <w:rsid w:val="3B4F009D"/>
    <w:rsid w:val="3B546541"/>
    <w:rsid w:val="3B7851B9"/>
    <w:rsid w:val="3B8D1908"/>
    <w:rsid w:val="3B967732"/>
    <w:rsid w:val="3BA16916"/>
    <w:rsid w:val="3BA2072D"/>
    <w:rsid w:val="3BA22F51"/>
    <w:rsid w:val="3BC629ED"/>
    <w:rsid w:val="3BCA5460"/>
    <w:rsid w:val="3BE43B6D"/>
    <w:rsid w:val="3BEC7564"/>
    <w:rsid w:val="3C0D27C5"/>
    <w:rsid w:val="3C381A4B"/>
    <w:rsid w:val="3C3B6A6F"/>
    <w:rsid w:val="3C723B02"/>
    <w:rsid w:val="3C7F2680"/>
    <w:rsid w:val="3CC62746"/>
    <w:rsid w:val="3CE43E56"/>
    <w:rsid w:val="3D025676"/>
    <w:rsid w:val="3D0A2FD0"/>
    <w:rsid w:val="3D1837B0"/>
    <w:rsid w:val="3D211D9E"/>
    <w:rsid w:val="3D751018"/>
    <w:rsid w:val="3DAE693C"/>
    <w:rsid w:val="3DB17760"/>
    <w:rsid w:val="3DC35246"/>
    <w:rsid w:val="3DD00F4C"/>
    <w:rsid w:val="3E143E51"/>
    <w:rsid w:val="3E267149"/>
    <w:rsid w:val="3E2F5C55"/>
    <w:rsid w:val="3E340D69"/>
    <w:rsid w:val="3E364780"/>
    <w:rsid w:val="3E4E52A5"/>
    <w:rsid w:val="3E603AA5"/>
    <w:rsid w:val="3E6804A6"/>
    <w:rsid w:val="3E7F31FF"/>
    <w:rsid w:val="3E8E1B58"/>
    <w:rsid w:val="3E95089B"/>
    <w:rsid w:val="3EBE207C"/>
    <w:rsid w:val="3ED1099D"/>
    <w:rsid w:val="3EE475BE"/>
    <w:rsid w:val="3EEE23C6"/>
    <w:rsid w:val="3EF61C0D"/>
    <w:rsid w:val="3EFB1F5D"/>
    <w:rsid w:val="3F014DE6"/>
    <w:rsid w:val="3F0558EB"/>
    <w:rsid w:val="3F294B98"/>
    <w:rsid w:val="3F2F74BA"/>
    <w:rsid w:val="3F503D7B"/>
    <w:rsid w:val="3F5F376B"/>
    <w:rsid w:val="3F9C2E57"/>
    <w:rsid w:val="3FA511A5"/>
    <w:rsid w:val="3FB205F0"/>
    <w:rsid w:val="3FBA11D8"/>
    <w:rsid w:val="3FE708A9"/>
    <w:rsid w:val="3FF84A53"/>
    <w:rsid w:val="3FFB3897"/>
    <w:rsid w:val="3FFD0A3B"/>
    <w:rsid w:val="400E0228"/>
    <w:rsid w:val="400F45DB"/>
    <w:rsid w:val="40161AFD"/>
    <w:rsid w:val="4017165B"/>
    <w:rsid w:val="402C784B"/>
    <w:rsid w:val="403A01FE"/>
    <w:rsid w:val="40441439"/>
    <w:rsid w:val="404E6A88"/>
    <w:rsid w:val="40520CFB"/>
    <w:rsid w:val="40553544"/>
    <w:rsid w:val="40712CE2"/>
    <w:rsid w:val="407D6195"/>
    <w:rsid w:val="40871ECE"/>
    <w:rsid w:val="408D2678"/>
    <w:rsid w:val="40BF5803"/>
    <w:rsid w:val="40C22066"/>
    <w:rsid w:val="40CC2A8C"/>
    <w:rsid w:val="40D2713E"/>
    <w:rsid w:val="40DD270C"/>
    <w:rsid w:val="40E74E9C"/>
    <w:rsid w:val="40EB45AB"/>
    <w:rsid w:val="40F861F9"/>
    <w:rsid w:val="40FC4327"/>
    <w:rsid w:val="410D7829"/>
    <w:rsid w:val="413A38C0"/>
    <w:rsid w:val="413E6249"/>
    <w:rsid w:val="41472283"/>
    <w:rsid w:val="415A7759"/>
    <w:rsid w:val="415D619F"/>
    <w:rsid w:val="41661B57"/>
    <w:rsid w:val="416A1D66"/>
    <w:rsid w:val="416F5FE8"/>
    <w:rsid w:val="417606E8"/>
    <w:rsid w:val="41926335"/>
    <w:rsid w:val="419B1D72"/>
    <w:rsid w:val="419F7173"/>
    <w:rsid w:val="41B36082"/>
    <w:rsid w:val="41B60967"/>
    <w:rsid w:val="41F31FCB"/>
    <w:rsid w:val="41FF6052"/>
    <w:rsid w:val="423E7E1D"/>
    <w:rsid w:val="425A38A8"/>
    <w:rsid w:val="425A4D1B"/>
    <w:rsid w:val="426564A7"/>
    <w:rsid w:val="426C1EA8"/>
    <w:rsid w:val="427C15FC"/>
    <w:rsid w:val="4286740D"/>
    <w:rsid w:val="429105B4"/>
    <w:rsid w:val="42916D1A"/>
    <w:rsid w:val="42936649"/>
    <w:rsid w:val="42AC264A"/>
    <w:rsid w:val="42D76F09"/>
    <w:rsid w:val="42DA6F19"/>
    <w:rsid w:val="4311747C"/>
    <w:rsid w:val="43894715"/>
    <w:rsid w:val="439809B2"/>
    <w:rsid w:val="439927FA"/>
    <w:rsid w:val="43AF7FEE"/>
    <w:rsid w:val="43B52C91"/>
    <w:rsid w:val="43B81ADD"/>
    <w:rsid w:val="43B96371"/>
    <w:rsid w:val="43DF18FC"/>
    <w:rsid w:val="441A5C0C"/>
    <w:rsid w:val="442404CB"/>
    <w:rsid w:val="442856DD"/>
    <w:rsid w:val="44540481"/>
    <w:rsid w:val="44700315"/>
    <w:rsid w:val="4477605C"/>
    <w:rsid w:val="44837D9E"/>
    <w:rsid w:val="44925BCC"/>
    <w:rsid w:val="44AF173A"/>
    <w:rsid w:val="44B00EB7"/>
    <w:rsid w:val="44B0176E"/>
    <w:rsid w:val="44CE3AFD"/>
    <w:rsid w:val="44D56D09"/>
    <w:rsid w:val="44E667AC"/>
    <w:rsid w:val="44F047D5"/>
    <w:rsid w:val="44FA35FD"/>
    <w:rsid w:val="44FB7243"/>
    <w:rsid w:val="45086C5E"/>
    <w:rsid w:val="4509683F"/>
    <w:rsid w:val="451A5FFC"/>
    <w:rsid w:val="45557F50"/>
    <w:rsid w:val="45586854"/>
    <w:rsid w:val="45686E19"/>
    <w:rsid w:val="45732062"/>
    <w:rsid w:val="4580237A"/>
    <w:rsid w:val="4589334B"/>
    <w:rsid w:val="458A2053"/>
    <w:rsid w:val="45A1798B"/>
    <w:rsid w:val="45BA4501"/>
    <w:rsid w:val="45C4749C"/>
    <w:rsid w:val="45ED782B"/>
    <w:rsid w:val="45EF076E"/>
    <w:rsid w:val="45F04BD0"/>
    <w:rsid w:val="45FC0BBD"/>
    <w:rsid w:val="461A3FFF"/>
    <w:rsid w:val="461C14F9"/>
    <w:rsid w:val="462A5A20"/>
    <w:rsid w:val="4635577B"/>
    <w:rsid w:val="465A7317"/>
    <w:rsid w:val="467E1616"/>
    <w:rsid w:val="469001D4"/>
    <w:rsid w:val="469C240F"/>
    <w:rsid w:val="46A15762"/>
    <w:rsid w:val="46B11A6D"/>
    <w:rsid w:val="46B7061A"/>
    <w:rsid w:val="46B849F2"/>
    <w:rsid w:val="46D52E48"/>
    <w:rsid w:val="46F959ED"/>
    <w:rsid w:val="470C70B3"/>
    <w:rsid w:val="47211146"/>
    <w:rsid w:val="472C18A1"/>
    <w:rsid w:val="47375FE9"/>
    <w:rsid w:val="473828E7"/>
    <w:rsid w:val="473A2575"/>
    <w:rsid w:val="474852CC"/>
    <w:rsid w:val="477A17E0"/>
    <w:rsid w:val="47931CD0"/>
    <w:rsid w:val="47BE0DCB"/>
    <w:rsid w:val="47C23243"/>
    <w:rsid w:val="47F21A32"/>
    <w:rsid w:val="480B40F7"/>
    <w:rsid w:val="480D3D4C"/>
    <w:rsid w:val="481E2DB6"/>
    <w:rsid w:val="482E3D58"/>
    <w:rsid w:val="485D651B"/>
    <w:rsid w:val="487E346D"/>
    <w:rsid w:val="487E4132"/>
    <w:rsid w:val="48A04659"/>
    <w:rsid w:val="48A604EA"/>
    <w:rsid w:val="48BC5F2A"/>
    <w:rsid w:val="48EF076D"/>
    <w:rsid w:val="49035A1D"/>
    <w:rsid w:val="49091ED0"/>
    <w:rsid w:val="490A6693"/>
    <w:rsid w:val="491A075C"/>
    <w:rsid w:val="493932F7"/>
    <w:rsid w:val="496F353E"/>
    <w:rsid w:val="497D482D"/>
    <w:rsid w:val="498179DD"/>
    <w:rsid w:val="49DB4D5E"/>
    <w:rsid w:val="49FD0054"/>
    <w:rsid w:val="4A23264C"/>
    <w:rsid w:val="4A2B36E0"/>
    <w:rsid w:val="4A457751"/>
    <w:rsid w:val="4A57222C"/>
    <w:rsid w:val="4A896897"/>
    <w:rsid w:val="4A9639D6"/>
    <w:rsid w:val="4AA971EE"/>
    <w:rsid w:val="4AAB4B63"/>
    <w:rsid w:val="4AB371D1"/>
    <w:rsid w:val="4AB56953"/>
    <w:rsid w:val="4AB95B0E"/>
    <w:rsid w:val="4ABD30AA"/>
    <w:rsid w:val="4AD475D2"/>
    <w:rsid w:val="4AD7116F"/>
    <w:rsid w:val="4AE55063"/>
    <w:rsid w:val="4AFC4C6E"/>
    <w:rsid w:val="4B3D37F7"/>
    <w:rsid w:val="4B4B0D17"/>
    <w:rsid w:val="4B65287D"/>
    <w:rsid w:val="4B7D6AED"/>
    <w:rsid w:val="4B867B65"/>
    <w:rsid w:val="4B944CC5"/>
    <w:rsid w:val="4BAC1736"/>
    <w:rsid w:val="4BB249AD"/>
    <w:rsid w:val="4BCB29E6"/>
    <w:rsid w:val="4BCF3B3F"/>
    <w:rsid w:val="4BE042CB"/>
    <w:rsid w:val="4C1030AC"/>
    <w:rsid w:val="4C35495A"/>
    <w:rsid w:val="4C373527"/>
    <w:rsid w:val="4C657C2E"/>
    <w:rsid w:val="4C663BFC"/>
    <w:rsid w:val="4C801CA2"/>
    <w:rsid w:val="4C955377"/>
    <w:rsid w:val="4CA9415D"/>
    <w:rsid w:val="4CDC7357"/>
    <w:rsid w:val="4D1256F8"/>
    <w:rsid w:val="4D2E5D95"/>
    <w:rsid w:val="4D394799"/>
    <w:rsid w:val="4DC803F7"/>
    <w:rsid w:val="4DCD70E5"/>
    <w:rsid w:val="4DF72F6D"/>
    <w:rsid w:val="4E18677F"/>
    <w:rsid w:val="4E1F3141"/>
    <w:rsid w:val="4E2A43C1"/>
    <w:rsid w:val="4E4A7BCF"/>
    <w:rsid w:val="4E783DD0"/>
    <w:rsid w:val="4E926977"/>
    <w:rsid w:val="4E994959"/>
    <w:rsid w:val="4EA06604"/>
    <w:rsid w:val="4EB35D3B"/>
    <w:rsid w:val="4EC0504E"/>
    <w:rsid w:val="4ECE488C"/>
    <w:rsid w:val="4EDC22B6"/>
    <w:rsid w:val="4EF76391"/>
    <w:rsid w:val="4EFE4FDC"/>
    <w:rsid w:val="4F1126A7"/>
    <w:rsid w:val="4F1D2D68"/>
    <w:rsid w:val="4F303DB5"/>
    <w:rsid w:val="4F4E0DD0"/>
    <w:rsid w:val="4F746F11"/>
    <w:rsid w:val="4F856955"/>
    <w:rsid w:val="4F890D7B"/>
    <w:rsid w:val="4FA8050D"/>
    <w:rsid w:val="4FAF13D2"/>
    <w:rsid w:val="4FAF3ECD"/>
    <w:rsid w:val="4FBF0397"/>
    <w:rsid w:val="4FC06F40"/>
    <w:rsid w:val="4FE91E6B"/>
    <w:rsid w:val="4FF27E90"/>
    <w:rsid w:val="50141EB9"/>
    <w:rsid w:val="501F13DA"/>
    <w:rsid w:val="503E4727"/>
    <w:rsid w:val="503F017D"/>
    <w:rsid w:val="504409BF"/>
    <w:rsid w:val="504B097A"/>
    <w:rsid w:val="5053388F"/>
    <w:rsid w:val="506362A9"/>
    <w:rsid w:val="50751682"/>
    <w:rsid w:val="508178D0"/>
    <w:rsid w:val="50A45AD7"/>
    <w:rsid w:val="50A75F49"/>
    <w:rsid w:val="50A954F0"/>
    <w:rsid w:val="50BD12F0"/>
    <w:rsid w:val="50BE349A"/>
    <w:rsid w:val="50CA72CE"/>
    <w:rsid w:val="50ED2813"/>
    <w:rsid w:val="51584B55"/>
    <w:rsid w:val="515D4544"/>
    <w:rsid w:val="515E776D"/>
    <w:rsid w:val="51686869"/>
    <w:rsid w:val="517709F2"/>
    <w:rsid w:val="518675B6"/>
    <w:rsid w:val="51C53AC2"/>
    <w:rsid w:val="51D3481E"/>
    <w:rsid w:val="51DA3DA6"/>
    <w:rsid w:val="51E73FC5"/>
    <w:rsid w:val="52005E43"/>
    <w:rsid w:val="52131331"/>
    <w:rsid w:val="521C7E6D"/>
    <w:rsid w:val="52316665"/>
    <w:rsid w:val="525D22C2"/>
    <w:rsid w:val="526F3A1A"/>
    <w:rsid w:val="52783338"/>
    <w:rsid w:val="527C4DEE"/>
    <w:rsid w:val="529F7D51"/>
    <w:rsid w:val="52C141EA"/>
    <w:rsid w:val="52C46A54"/>
    <w:rsid w:val="52EB2AAD"/>
    <w:rsid w:val="52EE0B1F"/>
    <w:rsid w:val="53033218"/>
    <w:rsid w:val="531936C1"/>
    <w:rsid w:val="53280AA7"/>
    <w:rsid w:val="53413040"/>
    <w:rsid w:val="534E67B1"/>
    <w:rsid w:val="535D10DD"/>
    <w:rsid w:val="53792CAC"/>
    <w:rsid w:val="53847FC6"/>
    <w:rsid w:val="538B2C4B"/>
    <w:rsid w:val="539F0086"/>
    <w:rsid w:val="53BD2E9E"/>
    <w:rsid w:val="53DC425C"/>
    <w:rsid w:val="53E3516E"/>
    <w:rsid w:val="54060ED4"/>
    <w:rsid w:val="542E529F"/>
    <w:rsid w:val="543258E2"/>
    <w:rsid w:val="54386BB5"/>
    <w:rsid w:val="54386D7A"/>
    <w:rsid w:val="54391531"/>
    <w:rsid w:val="5441238B"/>
    <w:rsid w:val="545A6F1E"/>
    <w:rsid w:val="547D01EB"/>
    <w:rsid w:val="547E3ACB"/>
    <w:rsid w:val="548D03C0"/>
    <w:rsid w:val="54A6790C"/>
    <w:rsid w:val="54D1311C"/>
    <w:rsid w:val="54EC6503"/>
    <w:rsid w:val="55311E9B"/>
    <w:rsid w:val="55555A2A"/>
    <w:rsid w:val="556C2C6F"/>
    <w:rsid w:val="5598171A"/>
    <w:rsid w:val="55AC0AE1"/>
    <w:rsid w:val="55B746EC"/>
    <w:rsid w:val="55B829B7"/>
    <w:rsid w:val="55BD3F8B"/>
    <w:rsid w:val="55DB4CC3"/>
    <w:rsid w:val="55FA3C58"/>
    <w:rsid w:val="560377B5"/>
    <w:rsid w:val="56073F6A"/>
    <w:rsid w:val="5619742E"/>
    <w:rsid w:val="563D0746"/>
    <w:rsid w:val="56554E3F"/>
    <w:rsid w:val="56576C9F"/>
    <w:rsid w:val="56761527"/>
    <w:rsid w:val="56930599"/>
    <w:rsid w:val="56AB5951"/>
    <w:rsid w:val="56CA6F86"/>
    <w:rsid w:val="56CF46C5"/>
    <w:rsid w:val="56E20ACE"/>
    <w:rsid w:val="56FC4D48"/>
    <w:rsid w:val="573A016D"/>
    <w:rsid w:val="574A55DE"/>
    <w:rsid w:val="57550037"/>
    <w:rsid w:val="57562A35"/>
    <w:rsid w:val="577F7D07"/>
    <w:rsid w:val="57977A6D"/>
    <w:rsid w:val="57A113CB"/>
    <w:rsid w:val="57B84345"/>
    <w:rsid w:val="57CC2C83"/>
    <w:rsid w:val="57CC4788"/>
    <w:rsid w:val="57D1443D"/>
    <w:rsid w:val="57E358F8"/>
    <w:rsid w:val="58075BDA"/>
    <w:rsid w:val="58297CCE"/>
    <w:rsid w:val="584D1726"/>
    <w:rsid w:val="5888659B"/>
    <w:rsid w:val="589D091D"/>
    <w:rsid w:val="58AE11C7"/>
    <w:rsid w:val="58C519E4"/>
    <w:rsid w:val="58D345D7"/>
    <w:rsid w:val="58EC4AC2"/>
    <w:rsid w:val="592450AB"/>
    <w:rsid w:val="593E1DAE"/>
    <w:rsid w:val="594A5959"/>
    <w:rsid w:val="594B1696"/>
    <w:rsid w:val="595A60D4"/>
    <w:rsid w:val="597F4A82"/>
    <w:rsid w:val="59A61286"/>
    <w:rsid w:val="59A97463"/>
    <w:rsid w:val="59BA2E10"/>
    <w:rsid w:val="59C3656D"/>
    <w:rsid w:val="59D25F31"/>
    <w:rsid w:val="59D96D80"/>
    <w:rsid w:val="5A0D23E2"/>
    <w:rsid w:val="5A256068"/>
    <w:rsid w:val="5A3A1E3C"/>
    <w:rsid w:val="5A406AEE"/>
    <w:rsid w:val="5A4A4E95"/>
    <w:rsid w:val="5A670FD0"/>
    <w:rsid w:val="5A6C2C5C"/>
    <w:rsid w:val="5A70775F"/>
    <w:rsid w:val="5A951127"/>
    <w:rsid w:val="5AA40E6B"/>
    <w:rsid w:val="5AA76A4B"/>
    <w:rsid w:val="5AED7A89"/>
    <w:rsid w:val="5AF201E8"/>
    <w:rsid w:val="5AF71024"/>
    <w:rsid w:val="5AFB2AE4"/>
    <w:rsid w:val="5B0854FF"/>
    <w:rsid w:val="5B373820"/>
    <w:rsid w:val="5B720918"/>
    <w:rsid w:val="5B766DCB"/>
    <w:rsid w:val="5B822F71"/>
    <w:rsid w:val="5B9274A9"/>
    <w:rsid w:val="5B9E4E51"/>
    <w:rsid w:val="5BA154EF"/>
    <w:rsid w:val="5BB138FB"/>
    <w:rsid w:val="5BC96DB9"/>
    <w:rsid w:val="5BDB3072"/>
    <w:rsid w:val="5BDC08C5"/>
    <w:rsid w:val="5C05794E"/>
    <w:rsid w:val="5C135B67"/>
    <w:rsid w:val="5C1C1082"/>
    <w:rsid w:val="5C1D6295"/>
    <w:rsid w:val="5C1D7219"/>
    <w:rsid w:val="5C216A11"/>
    <w:rsid w:val="5C2452CD"/>
    <w:rsid w:val="5C33116E"/>
    <w:rsid w:val="5C34538D"/>
    <w:rsid w:val="5C581B06"/>
    <w:rsid w:val="5C5D1213"/>
    <w:rsid w:val="5C9852A3"/>
    <w:rsid w:val="5C992077"/>
    <w:rsid w:val="5CE3185F"/>
    <w:rsid w:val="5CE45FB5"/>
    <w:rsid w:val="5CFB048D"/>
    <w:rsid w:val="5D072221"/>
    <w:rsid w:val="5D347D3A"/>
    <w:rsid w:val="5D475AFD"/>
    <w:rsid w:val="5D641730"/>
    <w:rsid w:val="5D7953F6"/>
    <w:rsid w:val="5D846312"/>
    <w:rsid w:val="5DB24D09"/>
    <w:rsid w:val="5DCC634D"/>
    <w:rsid w:val="5DE849D2"/>
    <w:rsid w:val="5DFA499D"/>
    <w:rsid w:val="5E365CF1"/>
    <w:rsid w:val="5E5320CA"/>
    <w:rsid w:val="5E703ACB"/>
    <w:rsid w:val="5E71326C"/>
    <w:rsid w:val="5E850EFD"/>
    <w:rsid w:val="5EB56E8D"/>
    <w:rsid w:val="5EB957F5"/>
    <w:rsid w:val="5EE85055"/>
    <w:rsid w:val="5EEA6604"/>
    <w:rsid w:val="5EF973A7"/>
    <w:rsid w:val="5F2431BE"/>
    <w:rsid w:val="5F284B17"/>
    <w:rsid w:val="5F2B4038"/>
    <w:rsid w:val="5F47769C"/>
    <w:rsid w:val="5F54605D"/>
    <w:rsid w:val="5F5611D9"/>
    <w:rsid w:val="5F5C53E6"/>
    <w:rsid w:val="5F862BAC"/>
    <w:rsid w:val="5F8B7E40"/>
    <w:rsid w:val="5FB86504"/>
    <w:rsid w:val="5FD94873"/>
    <w:rsid w:val="5FDB3860"/>
    <w:rsid w:val="5FFA1DFC"/>
    <w:rsid w:val="601C0D2D"/>
    <w:rsid w:val="60255718"/>
    <w:rsid w:val="602A4AF0"/>
    <w:rsid w:val="6030685E"/>
    <w:rsid w:val="604860F0"/>
    <w:rsid w:val="60821D10"/>
    <w:rsid w:val="60867CE9"/>
    <w:rsid w:val="60934EA8"/>
    <w:rsid w:val="60957479"/>
    <w:rsid w:val="60B1433B"/>
    <w:rsid w:val="60C3468B"/>
    <w:rsid w:val="60CD73B8"/>
    <w:rsid w:val="60DA29A7"/>
    <w:rsid w:val="60E90E3C"/>
    <w:rsid w:val="60EC18F9"/>
    <w:rsid w:val="610D56BF"/>
    <w:rsid w:val="612754C0"/>
    <w:rsid w:val="612E32F0"/>
    <w:rsid w:val="613501D1"/>
    <w:rsid w:val="614D2AD3"/>
    <w:rsid w:val="617260DB"/>
    <w:rsid w:val="61C776BF"/>
    <w:rsid w:val="61CB6095"/>
    <w:rsid w:val="620E0AE4"/>
    <w:rsid w:val="621159C5"/>
    <w:rsid w:val="62214605"/>
    <w:rsid w:val="6288262E"/>
    <w:rsid w:val="62910BDC"/>
    <w:rsid w:val="62BD643E"/>
    <w:rsid w:val="62C05284"/>
    <w:rsid w:val="62CC4870"/>
    <w:rsid w:val="62D91CC1"/>
    <w:rsid w:val="62E07984"/>
    <w:rsid w:val="62E94441"/>
    <w:rsid w:val="62EA637A"/>
    <w:rsid w:val="62FF2E18"/>
    <w:rsid w:val="632A2F6A"/>
    <w:rsid w:val="633425FB"/>
    <w:rsid w:val="636A6FCC"/>
    <w:rsid w:val="63740C8E"/>
    <w:rsid w:val="63AA3DE9"/>
    <w:rsid w:val="63F21928"/>
    <w:rsid w:val="63F923D1"/>
    <w:rsid w:val="641514BE"/>
    <w:rsid w:val="641726F7"/>
    <w:rsid w:val="642A2CD6"/>
    <w:rsid w:val="64463F68"/>
    <w:rsid w:val="644D2EF0"/>
    <w:rsid w:val="649B6072"/>
    <w:rsid w:val="64AF1334"/>
    <w:rsid w:val="64B412D1"/>
    <w:rsid w:val="64C00602"/>
    <w:rsid w:val="64D47F07"/>
    <w:rsid w:val="64F00ECF"/>
    <w:rsid w:val="650E06F6"/>
    <w:rsid w:val="65137982"/>
    <w:rsid w:val="65206C7A"/>
    <w:rsid w:val="653A769C"/>
    <w:rsid w:val="654E08D3"/>
    <w:rsid w:val="6550403C"/>
    <w:rsid w:val="655A40B6"/>
    <w:rsid w:val="655F4466"/>
    <w:rsid w:val="656D1220"/>
    <w:rsid w:val="657654FB"/>
    <w:rsid w:val="659048BC"/>
    <w:rsid w:val="65AB12E7"/>
    <w:rsid w:val="65B5435F"/>
    <w:rsid w:val="65C1146D"/>
    <w:rsid w:val="65D2503E"/>
    <w:rsid w:val="65FA6CB1"/>
    <w:rsid w:val="65FF4C5D"/>
    <w:rsid w:val="663A06A9"/>
    <w:rsid w:val="664A412A"/>
    <w:rsid w:val="665054B9"/>
    <w:rsid w:val="66570B91"/>
    <w:rsid w:val="665D3E7C"/>
    <w:rsid w:val="666566DF"/>
    <w:rsid w:val="66701345"/>
    <w:rsid w:val="668F171B"/>
    <w:rsid w:val="66AB13E3"/>
    <w:rsid w:val="66B762CB"/>
    <w:rsid w:val="66BE4F1E"/>
    <w:rsid w:val="66FD420C"/>
    <w:rsid w:val="671A738E"/>
    <w:rsid w:val="67241E24"/>
    <w:rsid w:val="672C0E52"/>
    <w:rsid w:val="674652C2"/>
    <w:rsid w:val="6755389A"/>
    <w:rsid w:val="67697900"/>
    <w:rsid w:val="67902011"/>
    <w:rsid w:val="67981BCA"/>
    <w:rsid w:val="6798491F"/>
    <w:rsid w:val="67D210BC"/>
    <w:rsid w:val="67D763A2"/>
    <w:rsid w:val="67E82F3B"/>
    <w:rsid w:val="67F51444"/>
    <w:rsid w:val="686F4556"/>
    <w:rsid w:val="687376C2"/>
    <w:rsid w:val="689105C9"/>
    <w:rsid w:val="68C06CD6"/>
    <w:rsid w:val="68D45CC4"/>
    <w:rsid w:val="68D51608"/>
    <w:rsid w:val="68F903F0"/>
    <w:rsid w:val="690138CF"/>
    <w:rsid w:val="69047F82"/>
    <w:rsid w:val="692844CB"/>
    <w:rsid w:val="69380913"/>
    <w:rsid w:val="694053BE"/>
    <w:rsid w:val="69447AF8"/>
    <w:rsid w:val="6958514E"/>
    <w:rsid w:val="69585890"/>
    <w:rsid w:val="69587BD0"/>
    <w:rsid w:val="695B21AB"/>
    <w:rsid w:val="695B664F"/>
    <w:rsid w:val="69755DB6"/>
    <w:rsid w:val="6979393A"/>
    <w:rsid w:val="698F2017"/>
    <w:rsid w:val="69A71894"/>
    <w:rsid w:val="69B3401A"/>
    <w:rsid w:val="69C113CB"/>
    <w:rsid w:val="69D2133D"/>
    <w:rsid w:val="6A04672D"/>
    <w:rsid w:val="6A055A12"/>
    <w:rsid w:val="6A0A5709"/>
    <w:rsid w:val="6A0F6345"/>
    <w:rsid w:val="6A120FAC"/>
    <w:rsid w:val="6A164F6E"/>
    <w:rsid w:val="6A3927E9"/>
    <w:rsid w:val="6A5D24B0"/>
    <w:rsid w:val="6A717BA1"/>
    <w:rsid w:val="6A81275A"/>
    <w:rsid w:val="6A8D29F0"/>
    <w:rsid w:val="6AA54025"/>
    <w:rsid w:val="6AE20BF4"/>
    <w:rsid w:val="6B072184"/>
    <w:rsid w:val="6B1D11F0"/>
    <w:rsid w:val="6B1E10B7"/>
    <w:rsid w:val="6B417FB7"/>
    <w:rsid w:val="6B467D8D"/>
    <w:rsid w:val="6B4E61C8"/>
    <w:rsid w:val="6B591ED3"/>
    <w:rsid w:val="6B5F216C"/>
    <w:rsid w:val="6B837F25"/>
    <w:rsid w:val="6B9821DA"/>
    <w:rsid w:val="6BAA1AC8"/>
    <w:rsid w:val="6BD560DE"/>
    <w:rsid w:val="6BFC2C18"/>
    <w:rsid w:val="6C0150D1"/>
    <w:rsid w:val="6C103720"/>
    <w:rsid w:val="6C1D30D3"/>
    <w:rsid w:val="6C201F76"/>
    <w:rsid w:val="6C3021A8"/>
    <w:rsid w:val="6C342A1F"/>
    <w:rsid w:val="6C364953"/>
    <w:rsid w:val="6C7116D7"/>
    <w:rsid w:val="6C8D271C"/>
    <w:rsid w:val="6C995167"/>
    <w:rsid w:val="6CB01639"/>
    <w:rsid w:val="6CB70F22"/>
    <w:rsid w:val="6CB900F2"/>
    <w:rsid w:val="6CE06A81"/>
    <w:rsid w:val="6CEF0BBF"/>
    <w:rsid w:val="6D0278F6"/>
    <w:rsid w:val="6D155E82"/>
    <w:rsid w:val="6D274358"/>
    <w:rsid w:val="6D6972CE"/>
    <w:rsid w:val="6D6E3081"/>
    <w:rsid w:val="6D723F67"/>
    <w:rsid w:val="6D875A3A"/>
    <w:rsid w:val="6DDE15AF"/>
    <w:rsid w:val="6E277522"/>
    <w:rsid w:val="6E2A2B8F"/>
    <w:rsid w:val="6E4D5FE8"/>
    <w:rsid w:val="6E506402"/>
    <w:rsid w:val="6E5C3212"/>
    <w:rsid w:val="6E620943"/>
    <w:rsid w:val="6E6D692F"/>
    <w:rsid w:val="6E712470"/>
    <w:rsid w:val="6E827975"/>
    <w:rsid w:val="6EB7109D"/>
    <w:rsid w:val="6ED33787"/>
    <w:rsid w:val="6EE57B7B"/>
    <w:rsid w:val="6F01040E"/>
    <w:rsid w:val="6F26183C"/>
    <w:rsid w:val="6F2855A9"/>
    <w:rsid w:val="6F334DF3"/>
    <w:rsid w:val="6F347726"/>
    <w:rsid w:val="6F3854A8"/>
    <w:rsid w:val="6F432818"/>
    <w:rsid w:val="6F556F26"/>
    <w:rsid w:val="6F6230B0"/>
    <w:rsid w:val="6F6742AF"/>
    <w:rsid w:val="6F7522C0"/>
    <w:rsid w:val="6F8B5A0E"/>
    <w:rsid w:val="6F8F4B8F"/>
    <w:rsid w:val="6F950217"/>
    <w:rsid w:val="6F9800B3"/>
    <w:rsid w:val="6F980F34"/>
    <w:rsid w:val="6F9A13AD"/>
    <w:rsid w:val="6FBA7408"/>
    <w:rsid w:val="6FC02268"/>
    <w:rsid w:val="6FC22A01"/>
    <w:rsid w:val="6FD72E56"/>
    <w:rsid w:val="70102EE9"/>
    <w:rsid w:val="704275AB"/>
    <w:rsid w:val="70465A29"/>
    <w:rsid w:val="70870639"/>
    <w:rsid w:val="70876A9E"/>
    <w:rsid w:val="70A971BA"/>
    <w:rsid w:val="70C27993"/>
    <w:rsid w:val="70DF11DC"/>
    <w:rsid w:val="70E44E1F"/>
    <w:rsid w:val="70F63052"/>
    <w:rsid w:val="711F5BBE"/>
    <w:rsid w:val="71391CA1"/>
    <w:rsid w:val="716B17F0"/>
    <w:rsid w:val="717C4D97"/>
    <w:rsid w:val="718D67DE"/>
    <w:rsid w:val="71A6151E"/>
    <w:rsid w:val="71AC4ADD"/>
    <w:rsid w:val="71C05E4E"/>
    <w:rsid w:val="71DD1140"/>
    <w:rsid w:val="71E226FC"/>
    <w:rsid w:val="72095200"/>
    <w:rsid w:val="72391160"/>
    <w:rsid w:val="72474E23"/>
    <w:rsid w:val="729F6BAB"/>
    <w:rsid w:val="72A07DE7"/>
    <w:rsid w:val="72A46431"/>
    <w:rsid w:val="72B446BD"/>
    <w:rsid w:val="72B819B5"/>
    <w:rsid w:val="72D21C70"/>
    <w:rsid w:val="72DF3A96"/>
    <w:rsid w:val="730B522A"/>
    <w:rsid w:val="73122549"/>
    <w:rsid w:val="73293CAB"/>
    <w:rsid w:val="73380C94"/>
    <w:rsid w:val="73502192"/>
    <w:rsid w:val="73606069"/>
    <w:rsid w:val="736108B8"/>
    <w:rsid w:val="736A74FA"/>
    <w:rsid w:val="736D693E"/>
    <w:rsid w:val="73F35D88"/>
    <w:rsid w:val="74014409"/>
    <w:rsid w:val="740341CE"/>
    <w:rsid w:val="740573CE"/>
    <w:rsid w:val="740B41BB"/>
    <w:rsid w:val="740C729F"/>
    <w:rsid w:val="7419338E"/>
    <w:rsid w:val="743844B1"/>
    <w:rsid w:val="74572BE1"/>
    <w:rsid w:val="745B45C0"/>
    <w:rsid w:val="7466401D"/>
    <w:rsid w:val="74801939"/>
    <w:rsid w:val="74952886"/>
    <w:rsid w:val="74960513"/>
    <w:rsid w:val="749638CC"/>
    <w:rsid w:val="74A95B14"/>
    <w:rsid w:val="74E31AB7"/>
    <w:rsid w:val="75011C60"/>
    <w:rsid w:val="75054DF2"/>
    <w:rsid w:val="750D24F3"/>
    <w:rsid w:val="751B4191"/>
    <w:rsid w:val="75460F66"/>
    <w:rsid w:val="75671ED7"/>
    <w:rsid w:val="756A55B4"/>
    <w:rsid w:val="758A56E7"/>
    <w:rsid w:val="75952F22"/>
    <w:rsid w:val="75A549E4"/>
    <w:rsid w:val="75BB0553"/>
    <w:rsid w:val="75BB43C8"/>
    <w:rsid w:val="7600089B"/>
    <w:rsid w:val="762A58F6"/>
    <w:rsid w:val="764B2790"/>
    <w:rsid w:val="764E617A"/>
    <w:rsid w:val="766F46B5"/>
    <w:rsid w:val="767E14C7"/>
    <w:rsid w:val="768E3BFC"/>
    <w:rsid w:val="769E4AD4"/>
    <w:rsid w:val="769F11C6"/>
    <w:rsid w:val="76AA7AB7"/>
    <w:rsid w:val="773C7ABF"/>
    <w:rsid w:val="77476DC4"/>
    <w:rsid w:val="774D1C1F"/>
    <w:rsid w:val="77506D1C"/>
    <w:rsid w:val="77514D8E"/>
    <w:rsid w:val="775220E2"/>
    <w:rsid w:val="777D4BFD"/>
    <w:rsid w:val="777E3B2C"/>
    <w:rsid w:val="779860C8"/>
    <w:rsid w:val="77A957B1"/>
    <w:rsid w:val="77C35AEB"/>
    <w:rsid w:val="77E20F79"/>
    <w:rsid w:val="77EE7D8E"/>
    <w:rsid w:val="77F37C02"/>
    <w:rsid w:val="785F2C47"/>
    <w:rsid w:val="787A1039"/>
    <w:rsid w:val="78892982"/>
    <w:rsid w:val="788E4B25"/>
    <w:rsid w:val="78D34DB0"/>
    <w:rsid w:val="78D82186"/>
    <w:rsid w:val="78E66B56"/>
    <w:rsid w:val="79224E9B"/>
    <w:rsid w:val="792C76B2"/>
    <w:rsid w:val="795811E5"/>
    <w:rsid w:val="79A6481C"/>
    <w:rsid w:val="79B5691A"/>
    <w:rsid w:val="79B82E91"/>
    <w:rsid w:val="79C12A28"/>
    <w:rsid w:val="79EB38E1"/>
    <w:rsid w:val="7A3D2A8F"/>
    <w:rsid w:val="7A3E0EA6"/>
    <w:rsid w:val="7A48390B"/>
    <w:rsid w:val="7A4C0C9B"/>
    <w:rsid w:val="7A4D4A19"/>
    <w:rsid w:val="7A560748"/>
    <w:rsid w:val="7A766C4C"/>
    <w:rsid w:val="7A791CCD"/>
    <w:rsid w:val="7A7A3001"/>
    <w:rsid w:val="7A7F0A69"/>
    <w:rsid w:val="7A852DF8"/>
    <w:rsid w:val="7A8A610E"/>
    <w:rsid w:val="7A967EEC"/>
    <w:rsid w:val="7A9F62D4"/>
    <w:rsid w:val="7AB636E5"/>
    <w:rsid w:val="7AC71258"/>
    <w:rsid w:val="7AD24297"/>
    <w:rsid w:val="7AF87E03"/>
    <w:rsid w:val="7AF96570"/>
    <w:rsid w:val="7AFB11BC"/>
    <w:rsid w:val="7B00449E"/>
    <w:rsid w:val="7B207A95"/>
    <w:rsid w:val="7B520669"/>
    <w:rsid w:val="7B647462"/>
    <w:rsid w:val="7B662638"/>
    <w:rsid w:val="7B7902C7"/>
    <w:rsid w:val="7B7E44DB"/>
    <w:rsid w:val="7B9F36C0"/>
    <w:rsid w:val="7C091390"/>
    <w:rsid w:val="7C0974B2"/>
    <w:rsid w:val="7C104C76"/>
    <w:rsid w:val="7C18420B"/>
    <w:rsid w:val="7C814127"/>
    <w:rsid w:val="7C86313D"/>
    <w:rsid w:val="7C8D7FE6"/>
    <w:rsid w:val="7CAB2FF1"/>
    <w:rsid w:val="7CB63222"/>
    <w:rsid w:val="7CD60517"/>
    <w:rsid w:val="7CDB383D"/>
    <w:rsid w:val="7D046968"/>
    <w:rsid w:val="7D4136F7"/>
    <w:rsid w:val="7D4B47F2"/>
    <w:rsid w:val="7D4C151B"/>
    <w:rsid w:val="7D522807"/>
    <w:rsid w:val="7D565526"/>
    <w:rsid w:val="7D617193"/>
    <w:rsid w:val="7D7A26B8"/>
    <w:rsid w:val="7DBB7930"/>
    <w:rsid w:val="7DD77A50"/>
    <w:rsid w:val="7DD852E4"/>
    <w:rsid w:val="7DE249BA"/>
    <w:rsid w:val="7DF855E9"/>
    <w:rsid w:val="7E0963F5"/>
    <w:rsid w:val="7E0F770A"/>
    <w:rsid w:val="7E251948"/>
    <w:rsid w:val="7E29178C"/>
    <w:rsid w:val="7E2B3667"/>
    <w:rsid w:val="7E4C7BAB"/>
    <w:rsid w:val="7E874CB7"/>
    <w:rsid w:val="7EAA4CDF"/>
    <w:rsid w:val="7EAF2275"/>
    <w:rsid w:val="7EC76194"/>
    <w:rsid w:val="7EE05132"/>
    <w:rsid w:val="7EE07C9B"/>
    <w:rsid w:val="7EEB2759"/>
    <w:rsid w:val="7EFA4923"/>
    <w:rsid w:val="7F342050"/>
    <w:rsid w:val="7F373D53"/>
    <w:rsid w:val="7F3B065C"/>
    <w:rsid w:val="7F9F6E3D"/>
    <w:rsid w:val="7FAA71D4"/>
    <w:rsid w:val="7FAF5034"/>
    <w:rsid w:val="7FBE0920"/>
    <w:rsid w:val="7FBF128D"/>
    <w:rsid w:val="7FC955F1"/>
    <w:rsid w:val="7FE00371"/>
    <w:rsid w:val="A7FF6A8E"/>
    <w:rsid w:val="FDEEE8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nhideWhenUsed="0" w:uiPriority="0"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uiPriority="99"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qFormat="1" w:uiPriority="99" w:semiHidden="0"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0" w:semiHidden="0" w:name="List"/>
    <w:lsdException w:uiPriority="99" w:name="List Bullet"/>
    <w:lsdException w:uiPriority="99" w:name="List Number"/>
    <w:lsdException w:qFormat="1" w:uiPriority="0" w:semiHidden="0" w:name="List 2"/>
    <w:lsdException w:uiPriority="99" w:name="List 3"/>
    <w:lsdException w:uiPriority="99" w:name="List 4"/>
    <w:lsdException w:uiPriority="99" w:name="List 5"/>
    <w:lsdException w:qFormat="1" w:uiPriority="0" w:semiHidden="0" w:name="List Bullet 2"/>
    <w:lsdException w:qFormat="1" w:uiPriority="0" w:semiHidden="0"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iPriority="0" w:semiHidden="0" w:name="Body Text First Indent"/>
    <w:lsdException w:qFormat="1" w:unhideWhenUsed="0" w:uiPriority="0"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22" w:semiHidden="0" w:name="Strong"/>
    <w:lsdException w:qFormat="1" w:unhideWhenUsed="0" w:uiPriority="2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ind w:firstLine="200" w:firstLineChars="20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5"/>
    <w:autoRedefine/>
    <w:qFormat/>
    <w:uiPriority w:val="0"/>
    <w:pPr>
      <w:keepNext/>
      <w:keepLines/>
      <w:jc w:val="center"/>
      <w:outlineLvl w:val="0"/>
    </w:pPr>
    <w:rPr>
      <w:b/>
      <w:bCs/>
      <w:kern w:val="44"/>
      <w:sz w:val="24"/>
      <w:szCs w:val="44"/>
    </w:rPr>
  </w:style>
  <w:style w:type="paragraph" w:styleId="3">
    <w:name w:val="heading 2"/>
    <w:basedOn w:val="1"/>
    <w:next w:val="1"/>
    <w:link w:val="56"/>
    <w:autoRedefine/>
    <w:qFormat/>
    <w:uiPriority w:val="0"/>
    <w:pPr>
      <w:keepNext/>
      <w:keepLines/>
      <w:ind w:firstLine="0" w:firstLineChars="0"/>
      <w:outlineLvl w:val="1"/>
    </w:pPr>
    <w:rPr>
      <w:rFonts w:ascii="Cambria" w:hAnsi="Cambria"/>
      <w:b/>
      <w:bCs/>
      <w:szCs w:val="32"/>
    </w:rPr>
  </w:style>
  <w:style w:type="paragraph" w:styleId="4">
    <w:name w:val="heading 3"/>
    <w:basedOn w:val="1"/>
    <w:next w:val="5"/>
    <w:link w:val="57"/>
    <w:autoRedefine/>
    <w:qFormat/>
    <w:uiPriority w:val="0"/>
    <w:pPr>
      <w:keepNext/>
      <w:keepLines/>
      <w:ind w:firstLine="0" w:firstLineChars="0"/>
      <w:outlineLvl w:val="2"/>
    </w:pPr>
    <w:rPr>
      <w:b/>
      <w:bCs/>
      <w:szCs w:val="32"/>
    </w:rPr>
  </w:style>
  <w:style w:type="paragraph" w:styleId="7">
    <w:name w:val="heading 4"/>
    <w:basedOn w:val="1"/>
    <w:next w:val="1"/>
    <w:link w:val="59"/>
    <w:autoRedefine/>
    <w:qFormat/>
    <w:uiPriority w:val="9"/>
    <w:pPr>
      <w:keepNext/>
      <w:keepLines/>
      <w:outlineLvl w:val="3"/>
    </w:pPr>
    <w:rPr>
      <w:rFonts w:ascii="Cambria" w:hAnsi="Cambria"/>
      <w:b/>
      <w:bCs/>
      <w:szCs w:val="28"/>
    </w:rPr>
  </w:style>
  <w:style w:type="paragraph" w:styleId="8">
    <w:name w:val="heading 8"/>
    <w:basedOn w:val="1"/>
    <w:next w:val="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9">
    <w:name w:val="heading 9"/>
    <w:basedOn w:val="1"/>
    <w:next w:val="1"/>
    <w:autoRedefine/>
    <w:qFormat/>
    <w:uiPriority w:val="9"/>
    <w:pPr>
      <w:keepNext/>
      <w:keepLines/>
      <w:spacing w:before="240" w:after="64" w:line="320" w:lineRule="auto"/>
      <w:outlineLvl w:val="8"/>
    </w:pPr>
    <w:rPr>
      <w:rFonts w:ascii="Cambria" w:hAnsi="Cambria"/>
      <w:szCs w:val="21"/>
    </w:rPr>
  </w:style>
  <w:style w:type="character" w:default="1" w:styleId="48">
    <w:name w:val="Default Paragraph Font"/>
    <w:autoRedefine/>
    <w:semiHidden/>
    <w:unhideWhenUsed/>
    <w:qFormat/>
    <w:uiPriority w:val="1"/>
  </w:style>
  <w:style w:type="table" w:default="1" w:styleId="46">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next w:val="6"/>
    <w:link w:val="58"/>
    <w:autoRedefine/>
    <w:unhideWhenUsed/>
    <w:qFormat/>
    <w:uiPriority w:val="0"/>
    <w:pPr>
      <w:spacing w:line="240" w:lineRule="auto"/>
      <w:ind w:firstLine="420" w:firstLineChars="0"/>
    </w:pPr>
  </w:style>
  <w:style w:type="paragraph" w:customStyle="1" w:styleId="6">
    <w:name w:val="仿宋_GB2312小四正文"/>
    <w:basedOn w:val="1"/>
    <w:autoRedefine/>
    <w:qFormat/>
    <w:uiPriority w:val="0"/>
    <w:rPr>
      <w:rFonts w:ascii="仿宋" w:hAnsi="仿宋"/>
      <w:kern w:val="0"/>
      <w:sz w:val="24"/>
      <w:szCs w:val="30"/>
    </w:rPr>
  </w:style>
  <w:style w:type="paragraph" w:styleId="10">
    <w:name w:val="toc 7"/>
    <w:basedOn w:val="1"/>
    <w:next w:val="1"/>
    <w:autoRedefine/>
    <w:unhideWhenUsed/>
    <w:qFormat/>
    <w:uiPriority w:val="39"/>
    <w:pPr>
      <w:spacing w:line="240" w:lineRule="auto"/>
      <w:ind w:left="1260" w:firstLine="0" w:firstLineChars="0"/>
      <w:jc w:val="left"/>
    </w:pPr>
    <w:rPr>
      <w:szCs w:val="21"/>
    </w:rPr>
  </w:style>
  <w:style w:type="paragraph" w:styleId="11">
    <w:name w:val="Document Map"/>
    <w:basedOn w:val="1"/>
    <w:link w:val="60"/>
    <w:autoRedefine/>
    <w:unhideWhenUsed/>
    <w:qFormat/>
    <w:uiPriority w:val="0"/>
    <w:rPr>
      <w:rFonts w:ascii="宋体"/>
      <w:kern w:val="0"/>
      <w:sz w:val="18"/>
      <w:szCs w:val="18"/>
    </w:rPr>
  </w:style>
  <w:style w:type="paragraph" w:styleId="12">
    <w:name w:val="annotation text"/>
    <w:basedOn w:val="1"/>
    <w:link w:val="61"/>
    <w:autoRedefine/>
    <w:unhideWhenUsed/>
    <w:qFormat/>
    <w:uiPriority w:val="0"/>
    <w:pPr>
      <w:spacing w:line="240" w:lineRule="auto"/>
      <w:ind w:firstLine="0" w:firstLineChars="0"/>
      <w:jc w:val="left"/>
    </w:pPr>
  </w:style>
  <w:style w:type="paragraph" w:styleId="13">
    <w:name w:val="Body Text 3"/>
    <w:basedOn w:val="1"/>
    <w:link w:val="62"/>
    <w:autoRedefine/>
    <w:unhideWhenUsed/>
    <w:qFormat/>
    <w:uiPriority w:val="0"/>
    <w:pPr>
      <w:spacing w:line="440" w:lineRule="atLeast"/>
      <w:ind w:firstLine="0" w:firstLineChars="0"/>
      <w:jc w:val="center"/>
    </w:pPr>
    <w:rPr>
      <w:rFonts w:ascii="楷体_GB2312" w:eastAsia="楷体_GB2312"/>
      <w:b/>
      <w:color w:val="000000"/>
      <w:sz w:val="30"/>
    </w:rPr>
  </w:style>
  <w:style w:type="paragraph" w:styleId="14">
    <w:name w:val="List Bullet 3"/>
    <w:basedOn w:val="1"/>
    <w:autoRedefine/>
    <w:unhideWhenUsed/>
    <w:qFormat/>
    <w:uiPriority w:val="0"/>
    <w:pPr>
      <w:numPr>
        <w:ilvl w:val="0"/>
        <w:numId w:val="1"/>
      </w:numPr>
      <w:tabs>
        <w:tab w:val="left" w:pos="720"/>
      </w:tabs>
      <w:spacing w:line="240" w:lineRule="auto"/>
      <w:ind w:firstLine="0" w:firstLineChars="0"/>
    </w:pPr>
  </w:style>
  <w:style w:type="paragraph" w:styleId="15">
    <w:name w:val="Body Text"/>
    <w:basedOn w:val="1"/>
    <w:next w:val="16"/>
    <w:link w:val="63"/>
    <w:autoRedefine/>
    <w:unhideWhenUsed/>
    <w:qFormat/>
    <w:uiPriority w:val="0"/>
    <w:pPr>
      <w:adjustRightInd w:val="0"/>
      <w:spacing w:line="315" w:lineRule="atLeast"/>
      <w:ind w:firstLine="0" w:firstLineChars="0"/>
      <w:jc w:val="left"/>
    </w:pPr>
    <w:rPr>
      <w:rFonts w:ascii="仿宋_GB2312" w:eastAsia="仿宋_GB2312"/>
      <w:kern w:val="0"/>
      <w:sz w:val="28"/>
      <w:szCs w:val="20"/>
    </w:rPr>
  </w:style>
  <w:style w:type="paragraph" w:customStyle="1" w:styleId="16">
    <w:name w:val="Default"/>
    <w:next w:val="17"/>
    <w:autoRedefine/>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7">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styleId="18">
    <w:name w:val="Body Text Indent"/>
    <w:basedOn w:val="1"/>
    <w:link w:val="64"/>
    <w:autoRedefine/>
    <w:unhideWhenUsed/>
    <w:qFormat/>
    <w:uiPriority w:val="0"/>
    <w:pPr>
      <w:widowControl/>
      <w:autoSpaceDE w:val="0"/>
      <w:autoSpaceDN w:val="0"/>
      <w:snapToGrid w:val="0"/>
      <w:spacing w:before="120" w:line="400" w:lineRule="atLeast"/>
      <w:ind w:firstLine="570" w:firstLineChars="0"/>
    </w:pPr>
    <w:rPr>
      <w:rFonts w:ascii="宋体"/>
      <w:kern w:val="0"/>
      <w:sz w:val="24"/>
      <w:szCs w:val="20"/>
    </w:rPr>
  </w:style>
  <w:style w:type="paragraph" w:styleId="19">
    <w:name w:val="List 2"/>
    <w:basedOn w:val="1"/>
    <w:autoRedefine/>
    <w:unhideWhenUsed/>
    <w:qFormat/>
    <w:uiPriority w:val="0"/>
    <w:pPr>
      <w:spacing w:line="240" w:lineRule="auto"/>
      <w:ind w:left="100" w:leftChars="200" w:hanging="200" w:hangingChars="200"/>
    </w:pPr>
  </w:style>
  <w:style w:type="paragraph" w:styleId="20">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1">
    <w:name w:val="List Bullet 2"/>
    <w:basedOn w:val="1"/>
    <w:next w:val="14"/>
    <w:autoRedefine/>
    <w:unhideWhenUsed/>
    <w:qFormat/>
    <w:uiPriority w:val="0"/>
    <w:pPr>
      <w:numPr>
        <w:ilvl w:val="0"/>
        <w:numId w:val="2"/>
      </w:numPr>
      <w:tabs>
        <w:tab w:val="left" w:pos="780"/>
      </w:tabs>
      <w:spacing w:after="100" w:afterAutospacing="1" w:line="240" w:lineRule="auto"/>
      <w:ind w:firstLine="0" w:firstLineChars="0"/>
    </w:pPr>
    <w:rPr>
      <w:rFonts w:eastAsia="仿宋_GB2312"/>
    </w:rPr>
  </w:style>
  <w:style w:type="paragraph" w:styleId="22">
    <w:name w:val="toc 5"/>
    <w:basedOn w:val="1"/>
    <w:next w:val="1"/>
    <w:autoRedefine/>
    <w:unhideWhenUsed/>
    <w:qFormat/>
    <w:uiPriority w:val="39"/>
    <w:pPr>
      <w:spacing w:line="240" w:lineRule="auto"/>
      <w:ind w:left="840" w:firstLine="0" w:firstLineChars="0"/>
      <w:jc w:val="left"/>
    </w:pPr>
    <w:rPr>
      <w:szCs w:val="21"/>
    </w:rPr>
  </w:style>
  <w:style w:type="paragraph" w:styleId="23">
    <w:name w:val="toc 3"/>
    <w:basedOn w:val="1"/>
    <w:next w:val="1"/>
    <w:autoRedefine/>
    <w:unhideWhenUsed/>
    <w:qFormat/>
    <w:uiPriority w:val="39"/>
    <w:pPr>
      <w:spacing w:line="240" w:lineRule="auto"/>
      <w:ind w:left="420" w:firstLine="0" w:firstLineChars="0"/>
      <w:jc w:val="left"/>
    </w:pPr>
    <w:rPr>
      <w:i/>
      <w:iCs/>
    </w:rPr>
  </w:style>
  <w:style w:type="paragraph" w:styleId="24">
    <w:name w:val="Plain Text"/>
    <w:basedOn w:val="1"/>
    <w:next w:val="25"/>
    <w:link w:val="65"/>
    <w:autoRedefine/>
    <w:unhideWhenUsed/>
    <w:qFormat/>
    <w:uiPriority w:val="0"/>
    <w:pPr>
      <w:spacing w:line="240" w:lineRule="auto"/>
      <w:ind w:firstLine="0" w:firstLineChars="0"/>
    </w:pPr>
    <w:rPr>
      <w:rFonts w:ascii="宋体" w:hAnsi="Courier New"/>
      <w:szCs w:val="20"/>
    </w:rPr>
  </w:style>
  <w:style w:type="paragraph" w:styleId="25">
    <w:name w:val="toc 2"/>
    <w:basedOn w:val="1"/>
    <w:next w:val="1"/>
    <w:autoRedefine/>
    <w:unhideWhenUsed/>
    <w:qFormat/>
    <w:uiPriority w:val="39"/>
    <w:pPr>
      <w:tabs>
        <w:tab w:val="right" w:leader="dot" w:pos="8296"/>
      </w:tabs>
      <w:ind w:left="420" w:leftChars="200" w:firstLine="0" w:firstLineChars="0"/>
    </w:pPr>
  </w:style>
  <w:style w:type="paragraph" w:styleId="26">
    <w:name w:val="toc 8"/>
    <w:basedOn w:val="1"/>
    <w:next w:val="1"/>
    <w:autoRedefine/>
    <w:unhideWhenUsed/>
    <w:qFormat/>
    <w:uiPriority w:val="39"/>
    <w:pPr>
      <w:spacing w:line="240" w:lineRule="auto"/>
      <w:ind w:left="1470" w:firstLine="0" w:firstLineChars="0"/>
      <w:jc w:val="left"/>
    </w:pPr>
    <w:rPr>
      <w:szCs w:val="21"/>
    </w:rPr>
  </w:style>
  <w:style w:type="paragraph" w:styleId="27">
    <w:name w:val="Date"/>
    <w:basedOn w:val="1"/>
    <w:next w:val="1"/>
    <w:link w:val="66"/>
    <w:autoRedefine/>
    <w:unhideWhenUsed/>
    <w:qFormat/>
    <w:uiPriority w:val="0"/>
    <w:pPr>
      <w:spacing w:line="240" w:lineRule="auto"/>
      <w:ind w:left="100" w:leftChars="2500" w:firstLine="0" w:firstLineChars="0"/>
    </w:pPr>
    <w:rPr>
      <w:color w:val="000000"/>
      <w:sz w:val="24"/>
    </w:rPr>
  </w:style>
  <w:style w:type="paragraph" w:styleId="28">
    <w:name w:val="Body Text Indent 2"/>
    <w:basedOn w:val="1"/>
    <w:link w:val="67"/>
    <w:autoRedefine/>
    <w:unhideWhenUsed/>
    <w:qFormat/>
    <w:uiPriority w:val="0"/>
    <w:pPr>
      <w:widowControl/>
      <w:spacing w:line="480" w:lineRule="atLeast"/>
      <w:ind w:firstLine="480" w:firstLineChars="0"/>
    </w:pPr>
    <w:rPr>
      <w:rFonts w:ascii="宋体"/>
      <w:kern w:val="0"/>
      <w:sz w:val="24"/>
      <w:szCs w:val="20"/>
    </w:rPr>
  </w:style>
  <w:style w:type="paragraph" w:styleId="29">
    <w:name w:val="Balloon Text"/>
    <w:basedOn w:val="1"/>
    <w:link w:val="68"/>
    <w:autoRedefine/>
    <w:unhideWhenUsed/>
    <w:qFormat/>
    <w:uiPriority w:val="0"/>
    <w:rPr>
      <w:kern w:val="0"/>
      <w:sz w:val="18"/>
      <w:szCs w:val="18"/>
    </w:rPr>
  </w:style>
  <w:style w:type="paragraph" w:styleId="30">
    <w:name w:val="footer"/>
    <w:basedOn w:val="1"/>
    <w:link w:val="69"/>
    <w:autoRedefine/>
    <w:unhideWhenUsed/>
    <w:qFormat/>
    <w:uiPriority w:val="0"/>
    <w:pPr>
      <w:tabs>
        <w:tab w:val="center" w:pos="4153"/>
        <w:tab w:val="right" w:pos="8306"/>
      </w:tabs>
      <w:snapToGrid w:val="0"/>
      <w:jc w:val="left"/>
    </w:pPr>
    <w:rPr>
      <w:kern w:val="0"/>
      <w:sz w:val="18"/>
      <w:szCs w:val="18"/>
    </w:rPr>
  </w:style>
  <w:style w:type="paragraph" w:styleId="31">
    <w:name w:val="header"/>
    <w:basedOn w:val="1"/>
    <w:link w:val="70"/>
    <w:autoRedefine/>
    <w:unhideWhenUsed/>
    <w:qFormat/>
    <w:uiPriority w:val="0"/>
    <w:pPr>
      <w:pBdr>
        <w:bottom w:val="single" w:color="auto" w:sz="6" w:space="1"/>
      </w:pBdr>
      <w:tabs>
        <w:tab w:val="center" w:pos="4153"/>
        <w:tab w:val="right" w:pos="8306"/>
      </w:tabs>
      <w:snapToGrid w:val="0"/>
      <w:jc w:val="center"/>
    </w:pPr>
    <w:rPr>
      <w:kern w:val="0"/>
      <w:sz w:val="18"/>
      <w:szCs w:val="18"/>
    </w:rPr>
  </w:style>
  <w:style w:type="paragraph" w:styleId="32">
    <w:name w:val="toc 1"/>
    <w:basedOn w:val="1"/>
    <w:next w:val="1"/>
    <w:autoRedefine/>
    <w:unhideWhenUsed/>
    <w:qFormat/>
    <w:uiPriority w:val="39"/>
    <w:pPr>
      <w:tabs>
        <w:tab w:val="right" w:leader="dot" w:pos="8296"/>
      </w:tabs>
      <w:ind w:firstLine="0" w:firstLineChars="0"/>
    </w:pPr>
  </w:style>
  <w:style w:type="paragraph" w:styleId="33">
    <w:name w:val="toc 4"/>
    <w:basedOn w:val="1"/>
    <w:next w:val="1"/>
    <w:autoRedefine/>
    <w:unhideWhenUsed/>
    <w:qFormat/>
    <w:uiPriority w:val="39"/>
    <w:pPr>
      <w:spacing w:line="240" w:lineRule="auto"/>
      <w:ind w:left="630" w:firstLine="0" w:firstLineChars="0"/>
      <w:jc w:val="left"/>
    </w:pPr>
    <w:rPr>
      <w:szCs w:val="21"/>
    </w:rPr>
  </w:style>
  <w:style w:type="paragraph" w:styleId="34">
    <w:name w:val="List"/>
    <w:basedOn w:val="1"/>
    <w:autoRedefine/>
    <w:unhideWhenUsed/>
    <w:qFormat/>
    <w:uiPriority w:val="0"/>
    <w:pPr>
      <w:spacing w:line="240" w:lineRule="auto"/>
      <w:ind w:left="420" w:hanging="420" w:firstLineChars="0"/>
    </w:pPr>
    <w:rPr>
      <w:szCs w:val="20"/>
    </w:rPr>
  </w:style>
  <w:style w:type="paragraph" w:styleId="35">
    <w:name w:val="toc 6"/>
    <w:basedOn w:val="1"/>
    <w:next w:val="1"/>
    <w:autoRedefine/>
    <w:unhideWhenUsed/>
    <w:qFormat/>
    <w:uiPriority w:val="39"/>
    <w:pPr>
      <w:spacing w:line="240" w:lineRule="auto"/>
      <w:ind w:left="1050" w:firstLine="0" w:firstLineChars="0"/>
      <w:jc w:val="left"/>
    </w:pPr>
    <w:rPr>
      <w:szCs w:val="21"/>
    </w:rPr>
  </w:style>
  <w:style w:type="paragraph" w:styleId="36">
    <w:name w:val="Body Text Indent 3"/>
    <w:basedOn w:val="1"/>
    <w:link w:val="71"/>
    <w:autoRedefine/>
    <w:unhideWhenUsed/>
    <w:qFormat/>
    <w:uiPriority w:val="0"/>
    <w:pPr>
      <w:autoSpaceDE w:val="0"/>
      <w:autoSpaceDN w:val="0"/>
      <w:spacing w:line="400" w:lineRule="atLeast"/>
      <w:ind w:firstLine="443"/>
    </w:pPr>
    <w:rPr>
      <w:rFonts w:eastAsia="黑体"/>
      <w:color w:val="000000"/>
      <w:sz w:val="24"/>
    </w:rPr>
  </w:style>
  <w:style w:type="paragraph" w:styleId="37">
    <w:name w:val="table of figures"/>
    <w:basedOn w:val="1"/>
    <w:next w:val="1"/>
    <w:autoRedefine/>
    <w:unhideWhenUsed/>
    <w:qFormat/>
    <w:uiPriority w:val="99"/>
    <w:pPr>
      <w:ind w:left="200" w:leftChars="200" w:hanging="200" w:hangingChars="200"/>
    </w:pPr>
  </w:style>
  <w:style w:type="paragraph" w:styleId="38">
    <w:name w:val="toc 9"/>
    <w:basedOn w:val="1"/>
    <w:next w:val="1"/>
    <w:autoRedefine/>
    <w:unhideWhenUsed/>
    <w:qFormat/>
    <w:uiPriority w:val="39"/>
    <w:pPr>
      <w:spacing w:line="240" w:lineRule="auto"/>
      <w:ind w:left="1680" w:firstLine="0" w:firstLineChars="0"/>
      <w:jc w:val="left"/>
    </w:pPr>
    <w:rPr>
      <w:szCs w:val="21"/>
    </w:rPr>
  </w:style>
  <w:style w:type="paragraph" w:styleId="39">
    <w:name w:val="Body Text 2"/>
    <w:basedOn w:val="1"/>
    <w:link w:val="72"/>
    <w:autoRedefine/>
    <w:unhideWhenUsed/>
    <w:qFormat/>
    <w:uiPriority w:val="0"/>
    <w:pPr>
      <w:spacing w:line="240" w:lineRule="auto"/>
      <w:ind w:firstLine="0" w:firstLineChars="0"/>
    </w:pPr>
    <w:rPr>
      <w:b/>
      <w:bCs/>
      <w:color w:val="000000"/>
      <w:sz w:val="28"/>
    </w:rPr>
  </w:style>
  <w:style w:type="paragraph" w:styleId="40">
    <w:name w:val="HTML Preformatted"/>
    <w:basedOn w:val="1"/>
    <w:link w:val="73"/>
    <w:autoRedefine/>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宋体" w:hAnsi="宋体"/>
      <w:kern w:val="0"/>
      <w:sz w:val="24"/>
    </w:rPr>
  </w:style>
  <w:style w:type="paragraph" w:styleId="41">
    <w:name w:val="Normal (Web)"/>
    <w:basedOn w:val="1"/>
    <w:autoRedefine/>
    <w:unhideWhenUsed/>
    <w:qFormat/>
    <w:uiPriority w:val="0"/>
    <w:pPr>
      <w:widowControl/>
      <w:spacing w:before="100" w:beforeAutospacing="1" w:after="100" w:afterAutospacing="1" w:line="240" w:lineRule="auto"/>
      <w:ind w:firstLine="0" w:firstLineChars="0"/>
      <w:jc w:val="left"/>
    </w:pPr>
    <w:rPr>
      <w:rFonts w:ascii="宋体" w:hAnsi="宋体"/>
      <w:kern w:val="0"/>
      <w:sz w:val="24"/>
    </w:rPr>
  </w:style>
  <w:style w:type="paragraph" w:styleId="42">
    <w:name w:val="Title"/>
    <w:basedOn w:val="1"/>
    <w:link w:val="74"/>
    <w:autoRedefine/>
    <w:qFormat/>
    <w:uiPriority w:val="0"/>
    <w:pPr>
      <w:spacing w:line="240" w:lineRule="auto"/>
      <w:ind w:firstLine="0" w:firstLineChars="0"/>
      <w:jc w:val="center"/>
    </w:pPr>
    <w:rPr>
      <w:sz w:val="30"/>
    </w:rPr>
  </w:style>
  <w:style w:type="paragraph" w:styleId="43">
    <w:name w:val="annotation subject"/>
    <w:basedOn w:val="12"/>
    <w:next w:val="12"/>
    <w:link w:val="75"/>
    <w:autoRedefine/>
    <w:unhideWhenUsed/>
    <w:qFormat/>
    <w:uiPriority w:val="0"/>
    <w:rPr>
      <w:b/>
      <w:bCs/>
    </w:rPr>
  </w:style>
  <w:style w:type="paragraph" w:styleId="44">
    <w:name w:val="Body Text First Indent"/>
    <w:basedOn w:val="15"/>
    <w:next w:val="35"/>
    <w:link w:val="76"/>
    <w:autoRedefine/>
    <w:unhideWhenUsed/>
    <w:qFormat/>
    <w:uiPriority w:val="0"/>
    <w:pPr>
      <w:adjustRightInd/>
      <w:spacing w:after="120" w:line="240" w:lineRule="auto"/>
      <w:ind w:firstLine="420" w:firstLineChars="100"/>
      <w:jc w:val="both"/>
    </w:pPr>
    <w:rPr>
      <w:rFonts w:ascii="Times New Roman"/>
      <w:kern w:val="2"/>
      <w:sz w:val="21"/>
      <w:szCs w:val="24"/>
    </w:rPr>
  </w:style>
  <w:style w:type="paragraph" w:styleId="45">
    <w:name w:val="Body Text First Indent 2"/>
    <w:basedOn w:val="18"/>
    <w:next w:val="44"/>
    <w:autoRedefine/>
    <w:qFormat/>
    <w:uiPriority w:val="0"/>
    <w:pPr>
      <w:ind w:firstLine="420" w:firstLineChars="200"/>
    </w:pPr>
  </w:style>
  <w:style w:type="table" w:styleId="47">
    <w:name w:val="Table Grid"/>
    <w:basedOn w:val="4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autoRedefine/>
    <w:qFormat/>
    <w:uiPriority w:val="22"/>
    <w:rPr>
      <w:b/>
    </w:rPr>
  </w:style>
  <w:style w:type="character" w:styleId="50">
    <w:name w:val="FollowedHyperlink"/>
    <w:autoRedefine/>
    <w:unhideWhenUsed/>
    <w:qFormat/>
    <w:uiPriority w:val="0"/>
    <w:rPr>
      <w:color w:val="800080"/>
      <w:u w:val="single"/>
    </w:rPr>
  </w:style>
  <w:style w:type="character" w:styleId="51">
    <w:name w:val="Hyperlink"/>
    <w:basedOn w:val="48"/>
    <w:autoRedefine/>
    <w:unhideWhenUsed/>
    <w:qFormat/>
    <w:uiPriority w:val="99"/>
    <w:rPr>
      <w:color w:val="0000FF"/>
      <w:u w:val="single"/>
    </w:rPr>
  </w:style>
  <w:style w:type="character" w:styleId="52">
    <w:name w:val="annotation reference"/>
    <w:basedOn w:val="48"/>
    <w:autoRedefine/>
    <w:unhideWhenUsed/>
    <w:qFormat/>
    <w:uiPriority w:val="0"/>
    <w:rPr>
      <w:sz w:val="21"/>
      <w:szCs w:val="21"/>
    </w:rPr>
  </w:style>
  <w:style w:type="paragraph" w:customStyle="1" w:styleId="53">
    <w:name w:val="正文首行缩进 21"/>
    <w:basedOn w:val="1"/>
    <w:autoRedefine/>
    <w:qFormat/>
    <w:uiPriority w:val="0"/>
    <w:pPr>
      <w:spacing w:after="120"/>
      <w:ind w:left="420" w:leftChars="200" w:firstLine="420"/>
    </w:pPr>
    <w:rPr>
      <w:rFonts w:cs="宋体"/>
      <w:color w:val="000000"/>
      <w:szCs w:val="21"/>
    </w:rPr>
  </w:style>
  <w:style w:type="paragraph" w:customStyle="1" w:styleId="54">
    <w:name w:val="样式 正文首行缩进 2 + Arial"/>
    <w:basedOn w:val="1"/>
    <w:next w:val="1"/>
    <w:autoRedefine/>
    <w:qFormat/>
    <w:uiPriority w:val="0"/>
    <w:pPr>
      <w:spacing w:after="120" w:line="320" w:lineRule="atLeast"/>
    </w:pPr>
    <w:rPr>
      <w:rFonts w:ascii="Arial" w:hAnsi="Arial"/>
    </w:rPr>
  </w:style>
  <w:style w:type="character" w:customStyle="1" w:styleId="55">
    <w:name w:val="标题 1 字符"/>
    <w:link w:val="2"/>
    <w:autoRedefine/>
    <w:qFormat/>
    <w:uiPriority w:val="0"/>
    <w:rPr>
      <w:rFonts w:ascii="Times New Roman" w:hAnsi="Times New Roman"/>
      <w:b/>
      <w:bCs/>
      <w:kern w:val="44"/>
      <w:sz w:val="24"/>
      <w:szCs w:val="44"/>
    </w:rPr>
  </w:style>
  <w:style w:type="character" w:customStyle="1" w:styleId="56">
    <w:name w:val="标题 2 字符"/>
    <w:link w:val="3"/>
    <w:autoRedefine/>
    <w:qFormat/>
    <w:uiPriority w:val="0"/>
    <w:rPr>
      <w:rFonts w:ascii="Cambria" w:hAnsi="Cambria"/>
      <w:b/>
      <w:bCs/>
      <w:kern w:val="2"/>
      <w:sz w:val="21"/>
      <w:szCs w:val="32"/>
    </w:rPr>
  </w:style>
  <w:style w:type="character" w:customStyle="1" w:styleId="57">
    <w:name w:val="标题 3 字符"/>
    <w:link w:val="4"/>
    <w:autoRedefine/>
    <w:qFormat/>
    <w:uiPriority w:val="0"/>
    <w:rPr>
      <w:rFonts w:ascii="Times New Roman" w:hAnsi="Times New Roman"/>
      <w:b/>
      <w:bCs/>
      <w:kern w:val="2"/>
      <w:sz w:val="21"/>
      <w:szCs w:val="32"/>
    </w:rPr>
  </w:style>
  <w:style w:type="character" w:customStyle="1" w:styleId="58">
    <w:name w:val="正文缩进 字符"/>
    <w:link w:val="5"/>
    <w:autoRedefine/>
    <w:semiHidden/>
    <w:qFormat/>
    <w:locked/>
    <w:uiPriority w:val="0"/>
    <w:rPr>
      <w:kern w:val="2"/>
      <w:sz w:val="21"/>
      <w:szCs w:val="24"/>
    </w:rPr>
  </w:style>
  <w:style w:type="character" w:customStyle="1" w:styleId="59">
    <w:name w:val="标题 4 字符"/>
    <w:link w:val="7"/>
    <w:autoRedefine/>
    <w:qFormat/>
    <w:uiPriority w:val="9"/>
    <w:rPr>
      <w:rFonts w:ascii="Cambria" w:hAnsi="Cambria" w:eastAsia="宋体" w:cs="Times New Roman"/>
      <w:b/>
      <w:bCs/>
      <w:kern w:val="2"/>
      <w:sz w:val="21"/>
      <w:szCs w:val="28"/>
    </w:rPr>
  </w:style>
  <w:style w:type="character" w:customStyle="1" w:styleId="60">
    <w:name w:val="文档结构图 字符"/>
    <w:link w:val="11"/>
    <w:autoRedefine/>
    <w:semiHidden/>
    <w:qFormat/>
    <w:uiPriority w:val="0"/>
    <w:rPr>
      <w:rFonts w:ascii="宋体" w:hAnsi="Times New Roman" w:eastAsia="宋体" w:cs="Times New Roman"/>
      <w:sz w:val="18"/>
      <w:szCs w:val="18"/>
    </w:rPr>
  </w:style>
  <w:style w:type="character" w:customStyle="1" w:styleId="61">
    <w:name w:val="批注文字 字符"/>
    <w:link w:val="12"/>
    <w:autoRedefine/>
    <w:semiHidden/>
    <w:qFormat/>
    <w:uiPriority w:val="0"/>
    <w:rPr>
      <w:rFonts w:ascii="Times New Roman" w:hAnsi="Times New Roman"/>
      <w:kern w:val="2"/>
      <w:sz w:val="21"/>
      <w:szCs w:val="24"/>
    </w:rPr>
  </w:style>
  <w:style w:type="character" w:customStyle="1" w:styleId="62">
    <w:name w:val="正文文本 3 字符"/>
    <w:link w:val="13"/>
    <w:autoRedefine/>
    <w:semiHidden/>
    <w:qFormat/>
    <w:uiPriority w:val="0"/>
    <w:rPr>
      <w:rFonts w:ascii="楷体_GB2312" w:hAnsi="Times New Roman" w:eastAsia="楷体_GB2312"/>
      <w:b/>
      <w:color w:val="000000"/>
      <w:kern w:val="2"/>
      <w:sz w:val="30"/>
      <w:szCs w:val="24"/>
    </w:rPr>
  </w:style>
  <w:style w:type="character" w:customStyle="1" w:styleId="63">
    <w:name w:val="正文文本 字符"/>
    <w:link w:val="15"/>
    <w:autoRedefine/>
    <w:semiHidden/>
    <w:qFormat/>
    <w:uiPriority w:val="0"/>
    <w:rPr>
      <w:rFonts w:ascii="仿宋_GB2312" w:hAnsi="Times New Roman" w:eastAsia="仿宋_GB2312"/>
      <w:sz w:val="28"/>
    </w:rPr>
  </w:style>
  <w:style w:type="character" w:customStyle="1" w:styleId="64">
    <w:name w:val="正文文本缩进 字符"/>
    <w:link w:val="18"/>
    <w:autoRedefine/>
    <w:semiHidden/>
    <w:qFormat/>
    <w:uiPriority w:val="0"/>
    <w:rPr>
      <w:rFonts w:ascii="宋体" w:hAnsi="Times New Roman"/>
      <w:sz w:val="24"/>
    </w:rPr>
  </w:style>
  <w:style w:type="character" w:customStyle="1" w:styleId="65">
    <w:name w:val="纯文本 字符"/>
    <w:link w:val="24"/>
    <w:autoRedefine/>
    <w:qFormat/>
    <w:locked/>
    <w:uiPriority w:val="0"/>
    <w:rPr>
      <w:rFonts w:ascii="宋体" w:hAnsi="Courier New"/>
      <w:kern w:val="2"/>
      <w:sz w:val="21"/>
    </w:rPr>
  </w:style>
  <w:style w:type="character" w:customStyle="1" w:styleId="66">
    <w:name w:val="日期 字符"/>
    <w:link w:val="27"/>
    <w:autoRedefine/>
    <w:semiHidden/>
    <w:qFormat/>
    <w:uiPriority w:val="0"/>
    <w:rPr>
      <w:rFonts w:ascii="Times New Roman" w:hAnsi="Times New Roman"/>
      <w:color w:val="000000"/>
      <w:kern w:val="2"/>
      <w:sz w:val="24"/>
      <w:szCs w:val="24"/>
    </w:rPr>
  </w:style>
  <w:style w:type="character" w:customStyle="1" w:styleId="67">
    <w:name w:val="正文文本缩进 2 字符"/>
    <w:link w:val="28"/>
    <w:autoRedefine/>
    <w:semiHidden/>
    <w:qFormat/>
    <w:uiPriority w:val="0"/>
    <w:rPr>
      <w:rFonts w:ascii="宋体" w:hAnsi="Times New Roman"/>
      <w:sz w:val="24"/>
    </w:rPr>
  </w:style>
  <w:style w:type="character" w:customStyle="1" w:styleId="68">
    <w:name w:val="批注框文本 字符"/>
    <w:link w:val="29"/>
    <w:autoRedefine/>
    <w:semiHidden/>
    <w:qFormat/>
    <w:uiPriority w:val="0"/>
    <w:rPr>
      <w:rFonts w:ascii="Times New Roman" w:hAnsi="Times New Roman" w:eastAsia="宋体" w:cs="Times New Roman"/>
      <w:sz w:val="18"/>
      <w:szCs w:val="18"/>
    </w:rPr>
  </w:style>
  <w:style w:type="character" w:customStyle="1" w:styleId="69">
    <w:name w:val="页脚 字符"/>
    <w:link w:val="30"/>
    <w:autoRedefine/>
    <w:qFormat/>
    <w:uiPriority w:val="0"/>
    <w:rPr>
      <w:sz w:val="18"/>
      <w:szCs w:val="18"/>
    </w:rPr>
  </w:style>
  <w:style w:type="character" w:customStyle="1" w:styleId="70">
    <w:name w:val="页眉 字符"/>
    <w:link w:val="31"/>
    <w:autoRedefine/>
    <w:qFormat/>
    <w:uiPriority w:val="0"/>
    <w:rPr>
      <w:sz w:val="18"/>
      <w:szCs w:val="18"/>
    </w:rPr>
  </w:style>
  <w:style w:type="character" w:customStyle="1" w:styleId="71">
    <w:name w:val="正文文本缩进 3 字符"/>
    <w:link w:val="36"/>
    <w:autoRedefine/>
    <w:semiHidden/>
    <w:qFormat/>
    <w:uiPriority w:val="0"/>
    <w:rPr>
      <w:rFonts w:ascii="Times New Roman" w:hAnsi="Times New Roman" w:eastAsia="黑体"/>
      <w:color w:val="000000"/>
      <w:kern w:val="2"/>
      <w:sz w:val="24"/>
      <w:szCs w:val="24"/>
    </w:rPr>
  </w:style>
  <w:style w:type="character" w:customStyle="1" w:styleId="72">
    <w:name w:val="正文文本 2 字符"/>
    <w:link w:val="39"/>
    <w:autoRedefine/>
    <w:semiHidden/>
    <w:qFormat/>
    <w:uiPriority w:val="0"/>
    <w:rPr>
      <w:rFonts w:ascii="Times New Roman" w:hAnsi="Times New Roman"/>
      <w:b/>
      <w:bCs/>
      <w:color w:val="000000"/>
      <w:kern w:val="2"/>
      <w:sz w:val="28"/>
      <w:szCs w:val="24"/>
    </w:rPr>
  </w:style>
  <w:style w:type="character" w:customStyle="1" w:styleId="73">
    <w:name w:val="HTML 预设格式 字符"/>
    <w:link w:val="40"/>
    <w:autoRedefine/>
    <w:qFormat/>
    <w:uiPriority w:val="0"/>
    <w:rPr>
      <w:rFonts w:ascii="宋体" w:hAnsi="宋体" w:cs="宋体"/>
      <w:sz w:val="24"/>
      <w:szCs w:val="24"/>
    </w:rPr>
  </w:style>
  <w:style w:type="character" w:customStyle="1" w:styleId="74">
    <w:name w:val="标题 字符"/>
    <w:link w:val="42"/>
    <w:autoRedefine/>
    <w:qFormat/>
    <w:locked/>
    <w:uiPriority w:val="0"/>
    <w:rPr>
      <w:rFonts w:ascii="Times New Roman" w:hAnsi="Times New Roman"/>
      <w:kern w:val="2"/>
      <w:sz w:val="30"/>
      <w:szCs w:val="24"/>
    </w:rPr>
  </w:style>
  <w:style w:type="character" w:customStyle="1" w:styleId="75">
    <w:name w:val="批注主题 字符"/>
    <w:link w:val="43"/>
    <w:autoRedefine/>
    <w:semiHidden/>
    <w:qFormat/>
    <w:uiPriority w:val="0"/>
    <w:rPr>
      <w:rFonts w:ascii="Times New Roman" w:hAnsi="Times New Roman"/>
      <w:b/>
      <w:bCs/>
      <w:kern w:val="2"/>
      <w:sz w:val="21"/>
      <w:szCs w:val="24"/>
    </w:rPr>
  </w:style>
  <w:style w:type="character" w:customStyle="1" w:styleId="76">
    <w:name w:val="正文首行缩进 字符"/>
    <w:link w:val="44"/>
    <w:autoRedefine/>
    <w:semiHidden/>
    <w:qFormat/>
    <w:uiPriority w:val="0"/>
    <w:rPr>
      <w:rFonts w:ascii="Times New Roman" w:hAnsi="Times New Roman" w:eastAsia="仿宋_GB2312"/>
      <w:kern w:val="2"/>
      <w:sz w:val="21"/>
      <w:szCs w:val="24"/>
    </w:rPr>
  </w:style>
  <w:style w:type="paragraph" w:customStyle="1" w:styleId="77">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8">
    <w:name w:val="body001"/>
    <w:autoRedefine/>
    <w:qFormat/>
    <w:uiPriority w:val="0"/>
    <w:rPr>
      <w:rFonts w:hint="default" w:ascii="ˎ̥" w:hAnsi="ˎ̥"/>
      <w:color w:val="333333"/>
      <w:sz w:val="18"/>
      <w:szCs w:val="18"/>
    </w:rPr>
  </w:style>
  <w:style w:type="character" w:customStyle="1" w:styleId="79">
    <w:name w:val="button1"/>
    <w:autoRedefine/>
    <w:qFormat/>
    <w:uiPriority w:val="0"/>
    <w:rPr>
      <w:rFonts w:hint="default" w:ascii="Verdana" w:hAnsi="Verdana"/>
      <w:b/>
      <w:bCs/>
      <w:sz w:val="20"/>
      <w:szCs w:val="20"/>
    </w:rPr>
  </w:style>
  <w:style w:type="character" w:customStyle="1" w:styleId="80">
    <w:name w:val="NormalCharacter"/>
    <w:autoRedefine/>
    <w:qFormat/>
    <w:uiPriority w:val="0"/>
    <w:rPr>
      <w:rFonts w:ascii="Times New Roman" w:hAnsi="Times New Roman" w:eastAsia="宋体" w:cs="Times New Roman"/>
      <w:kern w:val="2"/>
      <w:sz w:val="21"/>
      <w:szCs w:val="24"/>
      <w:lang w:val="en-US" w:eastAsia="zh-CN" w:bidi="ar-SA"/>
    </w:rPr>
  </w:style>
  <w:style w:type="character" w:customStyle="1" w:styleId="81">
    <w:name w:val="Char Char"/>
    <w:autoRedefine/>
    <w:qFormat/>
    <w:uiPriority w:val="0"/>
    <w:rPr>
      <w:rFonts w:hint="eastAsia" w:ascii="宋体" w:hAnsi="Courier New" w:eastAsia="宋体"/>
      <w:kern w:val="2"/>
      <w:sz w:val="21"/>
      <w:lang w:val="en-US" w:eastAsia="zh-CN" w:bidi="ar-SA"/>
    </w:rPr>
  </w:style>
  <w:style w:type="character" w:customStyle="1" w:styleId="82">
    <w:name w:val="style1"/>
    <w:basedOn w:val="48"/>
    <w:autoRedefine/>
    <w:qFormat/>
    <w:uiPriority w:val="0"/>
  </w:style>
  <w:style w:type="character" w:customStyle="1" w:styleId="83">
    <w:name w:val="不明显强调1"/>
    <w:autoRedefine/>
    <w:qFormat/>
    <w:uiPriority w:val="0"/>
    <w:rPr>
      <w:i/>
      <w:iCs/>
      <w:color w:val="808080"/>
    </w:rPr>
  </w:style>
  <w:style w:type="character" w:customStyle="1" w:styleId="84">
    <w:name w:val="search_content1"/>
    <w:autoRedefine/>
    <w:qFormat/>
    <w:uiPriority w:val="0"/>
    <w:rPr>
      <w:sz w:val="20"/>
      <w:szCs w:val="20"/>
    </w:rPr>
  </w:style>
  <w:style w:type="character" w:customStyle="1" w:styleId="85">
    <w:name w:val="HTML 预设格式 Char"/>
    <w:autoRedefine/>
    <w:semiHidden/>
    <w:qFormat/>
    <w:uiPriority w:val="0"/>
    <w:rPr>
      <w:rFonts w:ascii="Arial Unicode MS" w:hAnsi="Arial Unicode MS" w:eastAsia="Arial Unicode MS" w:cs="Arial Unicode MS"/>
    </w:rPr>
  </w:style>
  <w:style w:type="character" w:customStyle="1" w:styleId="86">
    <w:name w:val="style8"/>
    <w:basedOn w:val="48"/>
    <w:autoRedefine/>
    <w:qFormat/>
    <w:uiPriority w:val="0"/>
  </w:style>
  <w:style w:type="character" w:customStyle="1" w:styleId="87">
    <w:name w:val="Char Char3"/>
    <w:autoRedefine/>
    <w:qFormat/>
    <w:uiPriority w:val="0"/>
    <w:rPr>
      <w:rFonts w:hint="eastAsia" w:ascii="宋体" w:hAnsi="Courier New" w:eastAsia="宋体"/>
      <w:kern w:val="2"/>
      <w:sz w:val="21"/>
      <w:lang w:val="en-US" w:eastAsia="zh-CN" w:bidi="ar-SA"/>
    </w:rPr>
  </w:style>
  <w:style w:type="character" w:customStyle="1" w:styleId="88">
    <w:name w:val="search_result_snap1"/>
    <w:autoRedefine/>
    <w:qFormat/>
    <w:uiPriority w:val="0"/>
    <w:rPr>
      <w:sz w:val="21"/>
      <w:szCs w:val="21"/>
    </w:rPr>
  </w:style>
  <w:style w:type="character" w:customStyle="1" w:styleId="89">
    <w:name w:val="无间隔 字符"/>
    <w:link w:val="90"/>
    <w:autoRedefine/>
    <w:qFormat/>
    <w:locked/>
    <w:uiPriority w:val="0"/>
    <w:rPr>
      <w:rFonts w:cs="Calibri"/>
      <w:kern w:val="2"/>
      <w:sz w:val="21"/>
      <w:szCs w:val="22"/>
      <w:lang w:val="en-US" w:eastAsia="zh-CN" w:bidi="ar-SA"/>
    </w:rPr>
  </w:style>
  <w:style w:type="paragraph" w:styleId="90">
    <w:name w:val="No Spacing"/>
    <w:basedOn w:val="1"/>
    <w:link w:val="89"/>
    <w:autoRedefine/>
    <w:qFormat/>
    <w:uiPriority w:val="0"/>
    <w:rPr>
      <w:rFonts w:cs="Calibri"/>
      <w:szCs w:val="22"/>
    </w:rPr>
  </w:style>
  <w:style w:type="character" w:customStyle="1" w:styleId="91">
    <w:name w:val="纯文本 Char"/>
    <w:autoRedefine/>
    <w:qFormat/>
    <w:uiPriority w:val="0"/>
    <w:rPr>
      <w:rFonts w:ascii="宋体" w:hAnsi="Courier New" w:cs="Courier New"/>
      <w:kern w:val="2"/>
      <w:sz w:val="21"/>
      <w:szCs w:val="21"/>
    </w:rPr>
  </w:style>
  <w:style w:type="character" w:customStyle="1" w:styleId="92">
    <w:name w:val="标题 Char"/>
    <w:autoRedefine/>
    <w:qFormat/>
    <w:uiPriority w:val="0"/>
    <w:rPr>
      <w:rFonts w:ascii="Cambria" w:hAnsi="Cambria" w:cs="Times New Roman"/>
      <w:b/>
      <w:bCs/>
      <w:kern w:val="2"/>
      <w:sz w:val="32"/>
      <w:szCs w:val="32"/>
    </w:rPr>
  </w:style>
  <w:style w:type="character" w:customStyle="1" w:styleId="93">
    <w:name w:val="unnamed1"/>
    <w:basedOn w:val="48"/>
    <w:autoRedefine/>
    <w:qFormat/>
    <w:uiPriority w:val="0"/>
  </w:style>
  <w:style w:type="character" w:customStyle="1" w:styleId="94">
    <w:name w:val="(aNormal) + 宋体 Char"/>
    <w:link w:val="95"/>
    <w:autoRedefine/>
    <w:qFormat/>
    <w:locked/>
    <w:uiPriority w:val="0"/>
    <w:rPr>
      <w:rFonts w:ascii="宋体" w:hAnsi="宋体"/>
      <w:lang w:val="en-GB"/>
    </w:rPr>
  </w:style>
  <w:style w:type="paragraph" w:customStyle="1" w:styleId="95">
    <w:name w:val="(aNormal) + 宋体"/>
    <w:basedOn w:val="1"/>
    <w:link w:val="94"/>
    <w:autoRedefine/>
    <w:qFormat/>
    <w:uiPriority w:val="0"/>
    <w:pPr>
      <w:widowControl/>
      <w:spacing w:before="240" w:after="120" w:line="240" w:lineRule="auto"/>
      <w:ind w:firstLine="0" w:firstLineChars="0"/>
    </w:pPr>
    <w:rPr>
      <w:rFonts w:ascii="宋体" w:hAnsi="宋体"/>
      <w:kern w:val="0"/>
      <w:sz w:val="20"/>
      <w:szCs w:val="20"/>
      <w:lang w:val="en-GB"/>
    </w:rPr>
  </w:style>
  <w:style w:type="character" w:customStyle="1" w:styleId="96">
    <w:name w:val="apple-converted-space"/>
    <w:basedOn w:val="48"/>
    <w:autoRedefine/>
    <w:qFormat/>
    <w:uiPriority w:val="0"/>
  </w:style>
  <w:style w:type="character" w:customStyle="1" w:styleId="97">
    <w:name w:val="content"/>
    <w:basedOn w:val="48"/>
    <w:autoRedefine/>
    <w:qFormat/>
    <w:uiPriority w:val="0"/>
  </w:style>
  <w:style w:type="character" w:customStyle="1" w:styleId="98">
    <w:name w:val="unnamed51"/>
    <w:autoRedefine/>
    <w:qFormat/>
    <w:uiPriority w:val="0"/>
    <w:rPr>
      <w:sz w:val="22"/>
      <w:szCs w:val="22"/>
    </w:rPr>
  </w:style>
  <w:style w:type="character" w:customStyle="1" w:styleId="99">
    <w:name w:val="l17"/>
    <w:basedOn w:val="48"/>
    <w:autoRedefine/>
    <w:qFormat/>
    <w:uiPriority w:val="0"/>
  </w:style>
  <w:style w:type="character" w:customStyle="1" w:styleId="100">
    <w:name w:val="s"/>
    <w:basedOn w:val="48"/>
    <w:autoRedefine/>
    <w:qFormat/>
    <w:uiPriority w:val="0"/>
  </w:style>
  <w:style w:type="character" w:customStyle="1" w:styleId="101">
    <w:name w:val="wz1"/>
    <w:basedOn w:val="48"/>
    <w:autoRedefine/>
    <w:qFormat/>
    <w:uiPriority w:val="0"/>
  </w:style>
  <w:style w:type="character" w:customStyle="1" w:styleId="102">
    <w:name w:val="huei12b1"/>
    <w:autoRedefine/>
    <w:qFormat/>
    <w:uiPriority w:val="0"/>
    <w:rPr>
      <w:b/>
      <w:bCs/>
      <w:color w:val="333333"/>
      <w:sz w:val="20"/>
      <w:szCs w:val="20"/>
    </w:rPr>
  </w:style>
  <w:style w:type="character" w:customStyle="1" w:styleId="103">
    <w:name w:val="Char Char2"/>
    <w:autoRedefine/>
    <w:qFormat/>
    <w:uiPriority w:val="0"/>
    <w:rPr>
      <w:rFonts w:hint="eastAsia" w:ascii="宋体" w:hAnsi="Courier New" w:eastAsia="宋体"/>
      <w:kern w:val="2"/>
      <w:sz w:val="21"/>
    </w:rPr>
  </w:style>
  <w:style w:type="character" w:customStyle="1" w:styleId="104">
    <w:name w:val="hei16b1"/>
    <w:autoRedefine/>
    <w:qFormat/>
    <w:uiPriority w:val="0"/>
    <w:rPr>
      <w:rFonts w:hint="default" w:ascii="Arial" w:hAnsi="Arial" w:cs="Arial"/>
      <w:b/>
      <w:bCs/>
      <w:color w:val="000000"/>
      <w:sz w:val="24"/>
      <w:szCs w:val="24"/>
    </w:rPr>
  </w:style>
  <w:style w:type="paragraph" w:customStyle="1" w:styleId="105">
    <w:name w:val="首行缩进"/>
    <w:basedOn w:val="1"/>
    <w:autoRedefine/>
    <w:qFormat/>
    <w:uiPriority w:val="0"/>
    <w:pPr>
      <w:ind w:firstLine="480"/>
    </w:pPr>
    <w:rPr>
      <w:rFonts w:ascii="Calibri" w:hAnsi="Calibri"/>
      <w:sz w:val="24"/>
      <w:szCs w:val="22"/>
      <w:lang w:val="zh-CN"/>
    </w:rPr>
  </w:style>
  <w:style w:type="paragraph" w:customStyle="1" w:styleId="106">
    <w:name w:val="文字"/>
    <w:basedOn w:val="1"/>
    <w:autoRedefine/>
    <w:qFormat/>
    <w:uiPriority w:val="0"/>
    <w:pPr>
      <w:tabs>
        <w:tab w:val="left" w:pos="8520"/>
      </w:tabs>
      <w:spacing w:line="312" w:lineRule="auto"/>
      <w:ind w:right="-210" w:firstLine="556" w:firstLineChars="0"/>
    </w:pPr>
    <w:rPr>
      <w:rFonts w:ascii="楷体_GB2312" w:eastAsia="楷体_GB2312"/>
      <w:sz w:val="28"/>
      <w:szCs w:val="20"/>
    </w:rPr>
  </w:style>
  <w:style w:type="paragraph" w:customStyle="1" w:styleId="107">
    <w:name w:val="正文－恩普"/>
    <w:basedOn w:val="5"/>
    <w:autoRedefine/>
    <w:qFormat/>
    <w:uiPriority w:val="0"/>
    <w:pPr>
      <w:widowControl/>
      <w:spacing w:afterLines="50" w:line="360" w:lineRule="auto"/>
      <w:ind w:firstLine="480" w:firstLineChars="200"/>
      <w:jc w:val="left"/>
    </w:pPr>
  </w:style>
  <w:style w:type="paragraph" w:customStyle="1" w:styleId="108">
    <w:name w:val="默认"/>
    <w:autoRedefine/>
    <w:qFormat/>
    <w:uiPriority w:val="0"/>
    <w:pPr>
      <w:framePr w:wrap="around" w:vAnchor="margin" w:hAnchor="text" w:yAlign="top"/>
    </w:pPr>
    <w:rPr>
      <w:rFonts w:hint="eastAsia" w:ascii="Arial Unicode MS" w:hAnsi="Arial Unicode MS" w:eastAsia="Arial Unicode MS" w:cs="Arial Unicode MS"/>
      <w:color w:val="000000"/>
      <w:sz w:val="22"/>
      <w:szCs w:val="22"/>
      <w:u w:color="000000"/>
      <w:lang w:val="zh-TW" w:eastAsia="zh-TW" w:bidi="ar-SA"/>
    </w:rPr>
  </w:style>
  <w:style w:type="paragraph" w:customStyle="1" w:styleId="109">
    <w:name w:val="_Style 40"/>
    <w:basedOn w:val="1"/>
    <w:autoRedefine/>
    <w:qFormat/>
    <w:uiPriority w:val="0"/>
    <w:pPr>
      <w:spacing w:line="240" w:lineRule="auto"/>
      <w:ind w:firstLine="0" w:firstLineChars="0"/>
    </w:pPr>
  </w:style>
  <w:style w:type="paragraph" w:customStyle="1" w:styleId="110">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b/>
      <w:bCs/>
      <w:color w:val="000000"/>
      <w:kern w:val="0"/>
      <w:sz w:val="18"/>
      <w:szCs w:val="18"/>
    </w:rPr>
  </w:style>
  <w:style w:type="paragraph" w:customStyle="1" w:styleId="111">
    <w:name w:val="Horizontal Bar"/>
    <w:basedOn w:val="1"/>
    <w:autoRedefine/>
    <w:qFormat/>
    <w:uiPriority w:val="0"/>
    <w:pPr>
      <w:kinsoku w:val="0"/>
      <w:overflowPunct w:val="0"/>
      <w:topLinePunct/>
      <w:spacing w:line="0" w:lineRule="atLeast"/>
      <w:ind w:firstLine="0" w:firstLineChars="0"/>
      <w:jc w:val="left"/>
    </w:pPr>
    <w:rPr>
      <w:rFonts w:ascii="ScalaSansLF-Regular" w:hAnsi="ScalaSansLF-Regular" w:eastAsia="ScalaSansLF-Regular" w:cs="ScalaSansLF-Regular"/>
      <w:bCs/>
      <w:sz w:val="16"/>
      <w:szCs w:val="16"/>
      <w:lang w:eastAsia="ja-JP"/>
    </w:rPr>
  </w:style>
  <w:style w:type="paragraph" w:styleId="112">
    <w:name w:val="List Paragraph"/>
    <w:basedOn w:val="1"/>
    <w:link w:val="113"/>
    <w:autoRedefine/>
    <w:qFormat/>
    <w:uiPriority w:val="34"/>
    <w:pPr>
      <w:ind w:firstLine="420"/>
    </w:pPr>
  </w:style>
  <w:style w:type="character" w:customStyle="1" w:styleId="113">
    <w:name w:val="列出段落 字符"/>
    <w:link w:val="112"/>
    <w:autoRedefine/>
    <w:qFormat/>
    <w:uiPriority w:val="34"/>
    <w:rPr>
      <w:kern w:val="2"/>
      <w:sz w:val="21"/>
      <w:szCs w:val="24"/>
    </w:rPr>
  </w:style>
  <w:style w:type="paragraph" w:customStyle="1" w:styleId="114">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color w:val="000000"/>
      <w:kern w:val="0"/>
      <w:sz w:val="18"/>
      <w:szCs w:val="18"/>
    </w:rPr>
  </w:style>
  <w:style w:type="paragraph" w:customStyle="1" w:styleId="115">
    <w:name w:val="head 1.1"/>
    <w:basedOn w:val="112"/>
    <w:autoRedefine/>
    <w:qFormat/>
    <w:uiPriority w:val="0"/>
    <w:pPr>
      <w:numPr>
        <w:ilvl w:val="1"/>
        <w:numId w:val="3"/>
      </w:numPr>
      <w:spacing w:before="260" w:after="260" w:line="240" w:lineRule="auto"/>
      <w:ind w:firstLine="0" w:firstLineChars="0"/>
    </w:pPr>
    <w:rPr>
      <w:rFonts w:ascii="宋体" w:hAnsi="宋体"/>
      <w:bCs/>
      <w:szCs w:val="22"/>
    </w:rPr>
  </w:style>
  <w:style w:type="paragraph" w:customStyle="1" w:styleId="116">
    <w:name w:val="p16"/>
    <w:basedOn w:val="1"/>
    <w:autoRedefine/>
    <w:qFormat/>
    <w:uiPriority w:val="0"/>
    <w:pPr>
      <w:widowControl/>
      <w:spacing w:line="240" w:lineRule="auto"/>
      <w:ind w:left="420" w:hanging="420" w:firstLineChars="0"/>
    </w:pPr>
    <w:rPr>
      <w:kern w:val="0"/>
      <w:szCs w:val="21"/>
    </w:rPr>
  </w:style>
  <w:style w:type="paragraph" w:customStyle="1" w:styleId="117">
    <w:name w:val="font8"/>
    <w:basedOn w:val="1"/>
    <w:autoRedefine/>
    <w:qFormat/>
    <w:uiPriority w:val="0"/>
    <w:pPr>
      <w:widowControl/>
      <w:spacing w:before="100" w:beforeAutospacing="1" w:after="100" w:afterAutospacing="1" w:line="240" w:lineRule="auto"/>
      <w:ind w:firstLine="0" w:firstLineChars="0"/>
      <w:jc w:val="left"/>
    </w:pPr>
    <w:rPr>
      <w:rFonts w:ascii="Calibri" w:hAnsi="Calibri" w:cs="宋体"/>
      <w:color w:val="000000"/>
      <w:kern w:val="0"/>
      <w:sz w:val="18"/>
      <w:szCs w:val="18"/>
    </w:rPr>
  </w:style>
  <w:style w:type="paragraph" w:customStyle="1" w:styleId="118">
    <w:name w:val="Char Char Char Char Char Char Char Char"/>
    <w:basedOn w:val="1"/>
    <w:autoRedefine/>
    <w:qFormat/>
    <w:uiPriority w:val="0"/>
    <w:pPr>
      <w:tabs>
        <w:tab w:val="left" w:pos="360"/>
      </w:tabs>
      <w:spacing w:line="240" w:lineRule="auto"/>
      <w:ind w:firstLine="0" w:firstLineChars="0"/>
    </w:pPr>
    <w:rPr>
      <w:szCs w:val="20"/>
    </w:rPr>
  </w:style>
  <w:style w:type="paragraph" w:customStyle="1" w:styleId="119">
    <w:name w:val="Char Char Char Char Char Char"/>
    <w:basedOn w:val="1"/>
    <w:autoRedefine/>
    <w:qFormat/>
    <w:uiPriority w:val="0"/>
    <w:pPr>
      <w:spacing w:line="240" w:lineRule="auto"/>
    </w:pPr>
    <w:rPr>
      <w:rFonts w:ascii="Tahoma" w:hAnsi="Tahoma"/>
      <w:sz w:val="24"/>
      <w:szCs w:val="20"/>
    </w:rPr>
  </w:style>
  <w:style w:type="paragraph" w:customStyle="1" w:styleId="120">
    <w:name w:val="font9"/>
    <w:basedOn w:val="1"/>
    <w:autoRedefine/>
    <w:qFormat/>
    <w:uiPriority w:val="0"/>
    <w:pPr>
      <w:widowControl/>
      <w:spacing w:before="100" w:beforeAutospacing="1" w:after="100" w:afterAutospacing="1" w:line="240" w:lineRule="auto"/>
      <w:ind w:firstLine="0" w:firstLineChars="0"/>
      <w:jc w:val="left"/>
    </w:pPr>
    <w:rPr>
      <w:rFonts w:ascii="Symbol" w:hAnsi="Symbol" w:cs="宋体"/>
      <w:color w:val="000000"/>
      <w:kern w:val="0"/>
      <w:sz w:val="18"/>
      <w:szCs w:val="18"/>
    </w:rPr>
  </w:style>
  <w:style w:type="paragraph" w:customStyle="1" w:styleId="121">
    <w:name w:val="_Style 2"/>
    <w:autoRedefine/>
    <w:qFormat/>
    <w:uiPriority w:val="0"/>
    <w:pPr>
      <w:widowControl w:val="0"/>
      <w:jc w:val="both"/>
    </w:pPr>
    <w:rPr>
      <w:rFonts w:ascii="Times New Roman" w:hAnsi="Times New Roman" w:eastAsia="宋体" w:cs="Calibri"/>
      <w:kern w:val="2"/>
      <w:sz w:val="21"/>
      <w:szCs w:val="22"/>
      <w:lang w:val="en-US" w:eastAsia="zh-CN" w:bidi="ar-SA"/>
    </w:rPr>
  </w:style>
  <w:style w:type="paragraph" w:customStyle="1" w:styleId="122">
    <w:name w:val="xl82"/>
    <w:basedOn w:val="1"/>
    <w:autoRedefine/>
    <w:qFormat/>
    <w:uiPriority w:val="0"/>
    <w:pPr>
      <w:widowControl/>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23">
    <w:name w:val="Char Char Char Char Char Char Char"/>
    <w:basedOn w:val="1"/>
    <w:autoRedefine/>
    <w:qFormat/>
    <w:uiPriority w:val="0"/>
    <w:pPr>
      <w:tabs>
        <w:tab w:val="left" w:pos="432"/>
      </w:tabs>
      <w:spacing w:line="240" w:lineRule="auto"/>
      <w:ind w:left="432" w:hanging="432" w:firstLineChars="0"/>
    </w:pPr>
    <w:rPr>
      <w:rFonts w:ascii="Tahoma" w:hAnsi="Tahoma"/>
      <w:sz w:val="24"/>
      <w:szCs w:val="20"/>
    </w:rPr>
  </w:style>
  <w:style w:type="paragraph" w:customStyle="1" w:styleId="124">
    <w:name w:val="正文格式"/>
    <w:basedOn w:val="1"/>
    <w:autoRedefine/>
    <w:qFormat/>
    <w:uiPriority w:val="0"/>
    <w:pPr>
      <w:widowControl/>
      <w:adjustRightInd w:val="0"/>
      <w:snapToGrid w:val="0"/>
      <w:ind w:firstLine="482" w:firstLineChars="0"/>
    </w:pPr>
    <w:rPr>
      <w:kern w:val="0"/>
      <w:sz w:val="24"/>
      <w:szCs w:val="20"/>
    </w:rPr>
  </w:style>
  <w:style w:type="paragraph" w:customStyle="1" w:styleId="125">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26">
    <w:name w:val="表格样式 2"/>
    <w:autoRedefine/>
    <w:qFormat/>
    <w:uiPriority w:val="0"/>
    <w:rPr>
      <w:rFonts w:ascii="Helvetica Neue" w:hAnsi="Helvetica Neue" w:eastAsia="Helvetica Neue" w:cs="Helvetica Neue"/>
      <w:color w:val="000000"/>
      <w:lang w:val="en-US" w:eastAsia="zh-CN" w:bidi="ar-SA"/>
    </w:rPr>
  </w:style>
  <w:style w:type="paragraph" w:customStyle="1" w:styleId="127">
    <w:name w:val="小标题2"/>
    <w:basedOn w:val="1"/>
    <w:next w:val="1"/>
    <w:autoRedefine/>
    <w:qFormat/>
    <w:uiPriority w:val="0"/>
    <w:pPr>
      <w:spacing w:beforeLines="20" w:afterLines="20" w:line="400" w:lineRule="exact"/>
    </w:pPr>
    <w:rPr>
      <w:rFonts w:eastAsia="楷体_GB2312"/>
      <w:sz w:val="24"/>
    </w:rPr>
  </w:style>
  <w:style w:type="paragraph" w:customStyle="1" w:styleId="128">
    <w:name w:val="Char1 Char Char"/>
    <w:basedOn w:val="1"/>
    <w:autoRedefine/>
    <w:qFormat/>
    <w:uiPriority w:val="0"/>
    <w:pPr>
      <w:widowControl/>
      <w:spacing w:after="160"/>
      <w:jc w:val="left"/>
    </w:pPr>
    <w:rPr>
      <w:rFonts w:ascii="Verdana" w:hAnsi="Verdana" w:eastAsia="黑体"/>
      <w:kern w:val="0"/>
      <w:szCs w:val="20"/>
      <w:lang w:eastAsia="en-US"/>
    </w:rPr>
  </w:style>
  <w:style w:type="paragraph" w:customStyle="1" w:styleId="129">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b/>
      <w:bCs/>
      <w:color w:val="000000"/>
      <w:kern w:val="0"/>
      <w:sz w:val="18"/>
      <w:szCs w:val="18"/>
    </w:rPr>
  </w:style>
  <w:style w:type="paragraph" w:customStyle="1" w:styleId="130">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color w:val="000000"/>
      <w:kern w:val="0"/>
      <w:sz w:val="18"/>
      <w:szCs w:val="18"/>
    </w:rPr>
  </w:style>
  <w:style w:type="paragraph" w:customStyle="1" w:styleId="131">
    <w:name w:val="_Style 54"/>
    <w:basedOn w:val="1"/>
    <w:autoRedefine/>
    <w:qFormat/>
    <w:uiPriority w:val="0"/>
    <w:pPr>
      <w:spacing w:line="240" w:lineRule="auto"/>
      <w:ind w:firstLine="0" w:firstLineChars="0"/>
    </w:pPr>
  </w:style>
  <w:style w:type="paragraph" w:customStyle="1" w:styleId="132">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color w:val="000000"/>
      <w:kern w:val="0"/>
      <w:sz w:val="18"/>
      <w:szCs w:val="18"/>
    </w:rPr>
  </w:style>
  <w:style w:type="paragraph" w:customStyle="1" w:styleId="133">
    <w:name w:val="四级目录 Char Char Char Char Char"/>
    <w:next w:val="1"/>
    <w:autoRedefine/>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34">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35">
    <w:name w:val="font7"/>
    <w:basedOn w:val="1"/>
    <w:autoRedefine/>
    <w:qFormat/>
    <w:uiPriority w:val="0"/>
    <w:pPr>
      <w:widowControl/>
      <w:spacing w:before="100" w:beforeAutospacing="1" w:after="100" w:afterAutospacing="1" w:line="240" w:lineRule="auto"/>
      <w:ind w:firstLine="0" w:firstLineChars="0"/>
      <w:jc w:val="left"/>
    </w:pPr>
    <w:rPr>
      <w:color w:val="000000"/>
      <w:kern w:val="0"/>
      <w:sz w:val="18"/>
      <w:szCs w:val="18"/>
    </w:rPr>
  </w:style>
  <w:style w:type="paragraph" w:customStyle="1" w:styleId="136">
    <w:name w:val="正文2"/>
    <w:basedOn w:val="1"/>
    <w:autoRedefine/>
    <w:qFormat/>
    <w:uiPriority w:val="0"/>
    <w:pPr>
      <w:spacing w:before="156"/>
      <w:ind w:firstLine="510"/>
    </w:pPr>
    <w:rPr>
      <w:sz w:val="24"/>
      <w:szCs w:val="20"/>
    </w:rPr>
  </w:style>
  <w:style w:type="paragraph" w:customStyle="1" w:styleId="137">
    <w:name w:val="p0"/>
    <w:basedOn w:val="1"/>
    <w:autoRedefine/>
    <w:qFormat/>
    <w:uiPriority w:val="0"/>
    <w:pPr>
      <w:widowControl/>
      <w:spacing w:line="240" w:lineRule="auto"/>
      <w:ind w:firstLine="0" w:firstLineChars="0"/>
    </w:pPr>
    <w:rPr>
      <w:kern w:val="0"/>
      <w:szCs w:val="21"/>
    </w:rPr>
  </w:style>
  <w:style w:type="paragraph" w:customStyle="1" w:styleId="138">
    <w:name w:val="1"/>
    <w:basedOn w:val="1"/>
    <w:next w:val="41"/>
    <w:autoRedefine/>
    <w:qFormat/>
    <w:uiPriority w:val="0"/>
    <w:pPr>
      <w:widowControl/>
      <w:spacing w:before="100" w:beforeAutospacing="1" w:after="100" w:afterAutospacing="1" w:line="240" w:lineRule="auto"/>
      <w:ind w:firstLine="0" w:firstLineChars="0"/>
      <w:jc w:val="left"/>
    </w:pPr>
    <w:rPr>
      <w:rFonts w:ascii="宋体" w:hAnsi="宋体"/>
      <w:kern w:val="0"/>
      <w:sz w:val="24"/>
    </w:rPr>
  </w:style>
  <w:style w:type="paragraph" w:customStyle="1" w:styleId="139">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Unicode MS" w:hAnsi="Arial Unicode MS" w:eastAsia="Arial Unicode MS" w:cs="Arial Unicode MS"/>
      <w:color w:val="000000"/>
      <w:kern w:val="0"/>
      <w:sz w:val="16"/>
      <w:szCs w:val="16"/>
    </w:rPr>
  </w:style>
  <w:style w:type="paragraph" w:customStyle="1" w:styleId="140">
    <w:name w:val="Char Char Char Char Char Char Char Char Char Char Char Char Char"/>
    <w:basedOn w:val="1"/>
    <w:autoRedefine/>
    <w:qFormat/>
    <w:uiPriority w:val="0"/>
    <w:pPr>
      <w:spacing w:line="240" w:lineRule="auto"/>
      <w:ind w:firstLine="0" w:firstLineChars="0"/>
    </w:pPr>
    <w:rPr>
      <w:rFonts w:ascii="Tahoma" w:hAnsi="Tahoma"/>
      <w:sz w:val="24"/>
      <w:szCs w:val="20"/>
    </w:rPr>
  </w:style>
  <w:style w:type="paragraph" w:customStyle="1" w:styleId="141">
    <w:name w:val="TOC 标题1"/>
    <w:basedOn w:val="3"/>
    <w:next w:val="1"/>
    <w:autoRedefine/>
    <w:qFormat/>
    <w:uiPriority w:val="39"/>
    <w:pPr>
      <w:widowControl/>
      <w:spacing w:line="240" w:lineRule="auto"/>
      <w:jc w:val="left"/>
      <w:outlineLvl w:val="9"/>
    </w:pPr>
    <w:rPr>
      <w:kern w:val="0"/>
      <w:szCs w:val="28"/>
    </w:rPr>
  </w:style>
  <w:style w:type="paragraph" w:customStyle="1" w:styleId="142">
    <w:name w:val="Char2"/>
    <w:basedOn w:val="1"/>
    <w:autoRedefine/>
    <w:qFormat/>
    <w:uiPriority w:val="0"/>
    <w:pPr>
      <w:spacing w:line="240" w:lineRule="auto"/>
      <w:ind w:firstLine="0" w:firstLineChars="0"/>
    </w:pPr>
    <w:rPr>
      <w:rFonts w:ascii="仿宋_GB2312" w:eastAsia="仿宋_GB2312"/>
      <w:b/>
      <w:sz w:val="32"/>
      <w:szCs w:val="32"/>
    </w:rPr>
  </w:style>
  <w:style w:type="paragraph" w:customStyle="1" w:styleId="143">
    <w:name w:val="Char1"/>
    <w:basedOn w:val="1"/>
    <w:autoRedefine/>
    <w:qFormat/>
    <w:uiPriority w:val="0"/>
    <w:rPr>
      <w:rFonts w:ascii="Tahoma" w:hAnsi="Tahoma"/>
      <w:sz w:val="24"/>
      <w:szCs w:val="20"/>
    </w:rPr>
  </w:style>
  <w:style w:type="paragraph" w:customStyle="1" w:styleId="144">
    <w:name w:val="font5"/>
    <w:basedOn w:val="1"/>
    <w:autoRedefine/>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45">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b/>
      <w:bCs/>
      <w:color w:val="000000"/>
      <w:kern w:val="0"/>
      <w:sz w:val="18"/>
      <w:szCs w:val="18"/>
    </w:rPr>
  </w:style>
  <w:style w:type="paragraph" w:customStyle="1" w:styleId="146">
    <w:name w:val="无间隔1"/>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147">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color w:val="000000"/>
      <w:kern w:val="0"/>
      <w:sz w:val="18"/>
      <w:szCs w:val="18"/>
    </w:rPr>
  </w:style>
  <w:style w:type="paragraph" w:customStyle="1" w:styleId="148">
    <w:name w:val="标题3"/>
    <w:basedOn w:val="4"/>
    <w:autoRedefine/>
    <w:qFormat/>
    <w:uiPriority w:val="0"/>
    <w:pPr>
      <w:spacing w:before="260" w:after="260" w:line="415" w:lineRule="auto"/>
    </w:pPr>
    <w:rPr>
      <w:rFonts w:ascii="宋体" w:hAnsi="宋体"/>
      <w:sz w:val="28"/>
      <w:szCs w:val="28"/>
    </w:rPr>
  </w:style>
  <w:style w:type="paragraph" w:customStyle="1" w:styleId="149">
    <w:name w:val="Char"/>
    <w:basedOn w:val="1"/>
    <w:autoRedefine/>
    <w:qFormat/>
    <w:uiPriority w:val="0"/>
    <w:pPr>
      <w:spacing w:line="240" w:lineRule="auto"/>
      <w:ind w:firstLine="0" w:firstLineChars="0"/>
    </w:pPr>
    <w:rPr>
      <w:rFonts w:ascii="仿宋_GB2312" w:eastAsia="仿宋_GB2312"/>
      <w:b/>
      <w:sz w:val="32"/>
      <w:szCs w:val="32"/>
    </w:rPr>
  </w:style>
  <w:style w:type="paragraph" w:customStyle="1" w:styleId="150">
    <w:name w:val="Char Char Char"/>
    <w:basedOn w:val="1"/>
    <w:autoRedefine/>
    <w:qFormat/>
    <w:uiPriority w:val="0"/>
    <w:pPr>
      <w:spacing w:line="240" w:lineRule="auto"/>
      <w:ind w:firstLine="0" w:firstLineChars="0"/>
    </w:pPr>
    <w:rPr>
      <w:rFonts w:ascii="Tahoma" w:hAnsi="Tahoma"/>
      <w:sz w:val="24"/>
      <w:szCs w:val="20"/>
    </w:rPr>
  </w:style>
  <w:style w:type="paragraph" w:customStyle="1" w:styleId="151">
    <w:name w:val="Proposals body"/>
    <w:basedOn w:val="1"/>
    <w:next w:val="1"/>
    <w:autoRedefine/>
    <w:qFormat/>
    <w:uiPriority w:val="0"/>
    <w:pPr>
      <w:widowControl/>
      <w:snapToGrid w:val="0"/>
      <w:ind w:firstLine="0" w:firstLineChars="0"/>
      <w:jc w:val="left"/>
    </w:pPr>
    <w:rPr>
      <w:rFonts w:ascii="宋体"/>
      <w:color w:val="000000"/>
      <w:kern w:val="0"/>
      <w:sz w:val="24"/>
      <w:szCs w:val="20"/>
    </w:rPr>
  </w:style>
  <w:style w:type="paragraph" w:customStyle="1" w:styleId="152">
    <w:name w:val="font6"/>
    <w:basedOn w:val="1"/>
    <w:autoRedefine/>
    <w:qFormat/>
    <w:uiPriority w:val="0"/>
    <w:pPr>
      <w:widowControl/>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53">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color w:val="000000"/>
      <w:kern w:val="0"/>
      <w:sz w:val="18"/>
      <w:szCs w:val="18"/>
    </w:rPr>
  </w:style>
  <w:style w:type="paragraph" w:customStyle="1" w:styleId="154">
    <w:name w:val="table_lines"/>
    <w:basedOn w:val="1"/>
    <w:autoRedefine/>
    <w:qFormat/>
    <w:uiPriority w:val="0"/>
    <w:pPr>
      <w:widowControl/>
      <w:spacing w:line="240" w:lineRule="auto"/>
      <w:ind w:firstLine="0" w:firstLineChars="0"/>
      <w:jc w:val="left"/>
    </w:pPr>
    <w:rPr>
      <w:kern w:val="0"/>
      <w:sz w:val="20"/>
      <w:szCs w:val="20"/>
      <w:lang w:val="de-DE" w:eastAsia="de-DE"/>
    </w:rPr>
  </w:style>
  <w:style w:type="paragraph" w:customStyle="1" w:styleId="155">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56">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57">
    <w:name w:val="DAS正文"/>
    <w:basedOn w:val="1"/>
    <w:autoRedefine/>
    <w:qFormat/>
    <w:uiPriority w:val="0"/>
    <w:pPr>
      <w:ind w:right="181" w:firstLine="480"/>
    </w:pPr>
    <w:rPr>
      <w:rFonts w:ascii="Verdana" w:hAnsi="Verdana"/>
      <w:sz w:val="24"/>
    </w:rPr>
  </w:style>
  <w:style w:type="paragraph" w:customStyle="1" w:styleId="158">
    <w:name w:val="Char Char Char Char"/>
    <w:basedOn w:val="1"/>
    <w:autoRedefine/>
    <w:qFormat/>
    <w:uiPriority w:val="0"/>
    <w:pPr>
      <w:widowControl/>
      <w:spacing w:after="160" w:line="240" w:lineRule="exact"/>
      <w:ind w:firstLine="0" w:firstLineChars="0"/>
      <w:jc w:val="left"/>
    </w:pPr>
    <w:rPr>
      <w:rFonts w:ascii="Arial" w:hAnsi="Arial" w:eastAsia="Times New Roman" w:cs="Verdana"/>
      <w:b/>
      <w:kern w:val="0"/>
      <w:sz w:val="24"/>
      <w:szCs w:val="20"/>
      <w:lang w:eastAsia="en-US"/>
    </w:rPr>
  </w:style>
  <w:style w:type="paragraph" w:customStyle="1" w:styleId="159">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color w:val="000000"/>
      <w:kern w:val="0"/>
      <w:sz w:val="18"/>
      <w:szCs w:val="18"/>
    </w:rPr>
  </w:style>
  <w:style w:type="paragraph" w:customStyle="1" w:styleId="160">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color w:val="000000"/>
      <w:kern w:val="0"/>
      <w:sz w:val="18"/>
      <w:szCs w:val="18"/>
    </w:rPr>
  </w:style>
  <w:style w:type="paragraph" w:customStyle="1" w:styleId="161">
    <w:name w:val="Char Char Char Char Char Char Char Char Char Char"/>
    <w:basedOn w:val="11"/>
    <w:autoRedefine/>
    <w:qFormat/>
    <w:uiPriority w:val="0"/>
    <w:pPr>
      <w:shd w:val="clear" w:color="auto" w:fill="000080"/>
      <w:spacing w:line="240" w:lineRule="auto"/>
      <w:ind w:firstLine="0" w:firstLineChars="0"/>
    </w:pPr>
    <w:rPr>
      <w:rFonts w:ascii="Tahoma" w:hAnsi="Tahoma"/>
      <w:sz w:val="24"/>
      <w:szCs w:val="24"/>
    </w:rPr>
  </w:style>
  <w:style w:type="paragraph" w:customStyle="1" w:styleId="162">
    <w:name w:val="head 1.1.1"/>
    <w:basedOn w:val="112"/>
    <w:autoRedefine/>
    <w:qFormat/>
    <w:uiPriority w:val="0"/>
    <w:pPr>
      <w:numPr>
        <w:ilvl w:val="2"/>
        <w:numId w:val="3"/>
      </w:numPr>
      <w:spacing w:line="240" w:lineRule="auto"/>
      <w:ind w:firstLine="0" w:firstLineChars="0"/>
    </w:pPr>
    <w:rPr>
      <w:rFonts w:ascii="Calibri" w:hAnsi="Calibri"/>
      <w:bCs/>
      <w:szCs w:val="22"/>
    </w:rPr>
  </w:style>
  <w:style w:type="paragraph" w:customStyle="1" w:styleId="163">
    <w:name w:val="List Paragraph1"/>
    <w:basedOn w:val="1"/>
    <w:autoRedefine/>
    <w:qFormat/>
    <w:uiPriority w:val="0"/>
    <w:pPr>
      <w:spacing w:line="240" w:lineRule="auto"/>
      <w:ind w:firstLine="420"/>
    </w:pPr>
    <w:rPr>
      <w:sz w:val="24"/>
    </w:rPr>
  </w:style>
  <w:style w:type="paragraph" w:customStyle="1" w:styleId="164">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b/>
      <w:bCs/>
      <w:color w:val="000000"/>
      <w:kern w:val="0"/>
      <w:sz w:val="18"/>
      <w:szCs w:val="18"/>
    </w:rPr>
  </w:style>
  <w:style w:type="paragraph" w:customStyle="1" w:styleId="165">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cs="宋体"/>
      <w:color w:val="000000"/>
      <w:kern w:val="0"/>
      <w:sz w:val="18"/>
      <w:szCs w:val="18"/>
    </w:rPr>
  </w:style>
  <w:style w:type="paragraph" w:customStyle="1" w:styleId="166">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color w:val="000000"/>
      <w:kern w:val="0"/>
      <w:sz w:val="18"/>
      <w:szCs w:val="18"/>
    </w:rPr>
  </w:style>
  <w:style w:type="paragraph" w:customStyle="1" w:styleId="167">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paragraph" w:customStyle="1" w:styleId="168">
    <w:name w:val="默认段落字体 Para Char"/>
    <w:basedOn w:val="1"/>
    <w:autoRedefine/>
    <w:qFormat/>
    <w:uiPriority w:val="0"/>
    <w:pPr>
      <w:spacing w:line="240" w:lineRule="auto"/>
      <w:ind w:firstLine="0" w:firstLineChars="0"/>
    </w:pPr>
    <w:rPr>
      <w:sz w:val="24"/>
    </w:rPr>
  </w:style>
  <w:style w:type="paragraph" w:customStyle="1" w:styleId="169">
    <w:name w:val="正文缩进1"/>
    <w:basedOn w:val="1"/>
    <w:next w:val="18"/>
    <w:autoRedefine/>
    <w:qFormat/>
    <w:uiPriority w:val="0"/>
    <w:pPr>
      <w:autoSpaceDE w:val="0"/>
      <w:autoSpaceDN w:val="0"/>
      <w:adjustRightInd w:val="0"/>
      <w:snapToGrid w:val="0"/>
      <w:spacing w:after="120"/>
      <w:ind w:left="420" w:firstLine="480" w:firstLineChars="0"/>
    </w:pPr>
    <w:rPr>
      <w:sz w:val="24"/>
      <w:szCs w:val="20"/>
    </w:rPr>
  </w:style>
  <w:style w:type="paragraph" w:customStyle="1" w:styleId="170">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cs="宋体"/>
      <w:color w:val="000000"/>
      <w:kern w:val="0"/>
      <w:sz w:val="18"/>
      <w:szCs w:val="18"/>
    </w:rPr>
  </w:style>
  <w:style w:type="table" w:customStyle="1" w:styleId="171">
    <w:name w:val="Table Normal"/>
    <w:autoRedefine/>
    <w:qFormat/>
    <w:uiPriority w:val="0"/>
    <w:tblPr>
      <w:tblCellMar>
        <w:top w:w="0" w:type="dxa"/>
        <w:left w:w="0" w:type="dxa"/>
        <w:bottom w:w="0" w:type="dxa"/>
        <w:right w:w="0" w:type="dxa"/>
      </w:tblCellMar>
    </w:tblPr>
  </w:style>
  <w:style w:type="character" w:customStyle="1" w:styleId="172">
    <w:name w:val="bookmark-item"/>
    <w:basedOn w:val="48"/>
    <w:autoRedefine/>
    <w:qFormat/>
    <w:uiPriority w:val="0"/>
  </w:style>
  <w:style w:type="paragraph" w:customStyle="1" w:styleId="173">
    <w:name w:val="[Normal]"/>
    <w:autoRedefine/>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174">
    <w:name w:val="无间隔3"/>
    <w:basedOn w:val="1"/>
    <w:autoRedefine/>
    <w:qFormat/>
    <w:uiPriority w:val="0"/>
    <w:pPr>
      <w:autoSpaceDE w:val="0"/>
      <w:autoSpaceDN w:val="0"/>
      <w:ind w:firstLine="0" w:firstLineChars="0"/>
      <w:jc w:val="center"/>
    </w:pPr>
    <w:rPr>
      <w:rFonts w:hint="eastAsia" w:ascii="宋体" w:hAnsi="宋体" w:cs="宋体"/>
      <w:lang w:val="zh-CN"/>
    </w:rPr>
  </w:style>
  <w:style w:type="paragraph" w:customStyle="1" w:styleId="175">
    <w:name w:val="msolistparagraph"/>
    <w:basedOn w:val="1"/>
    <w:autoRedefine/>
    <w:qFormat/>
    <w:uiPriority w:val="0"/>
    <w:pPr>
      <w:ind w:firstLine="420"/>
    </w:pPr>
    <w:rPr>
      <w:rFonts w:ascii="Calibri" w:hAnsi="Calibri"/>
      <w:szCs w:val="22"/>
    </w:rPr>
  </w:style>
  <w:style w:type="paragraph" w:customStyle="1" w:styleId="176">
    <w:name w:val="修订1"/>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77">
    <w:name w:val="U_正文2"/>
    <w:basedOn w:val="1"/>
    <w:autoRedefine/>
    <w:qFormat/>
    <w:uiPriority w:val="0"/>
    <w:pPr>
      <w:spacing w:before="10" w:beforeLines="10" w:after="10" w:afterLines="10" w:line="300" w:lineRule="auto"/>
    </w:pPr>
    <w:rPr>
      <w:szCs w:val="20"/>
    </w:rPr>
  </w:style>
  <w:style w:type="paragraph" w:customStyle="1" w:styleId="178">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17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180">
    <w:name w:val="纯文本1"/>
    <w:basedOn w:val="1"/>
    <w:autoRedefine/>
    <w:qFormat/>
    <w:uiPriority w:val="0"/>
    <w:pPr>
      <w:adjustRightInd/>
    </w:pPr>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26BA3D1-78F0-457A-BC1D-E1B03B9956A9}">
  <ds:schemaRefs/>
</ds:datastoreItem>
</file>

<file path=docProps/app.xml><?xml version="1.0" encoding="utf-8"?>
<Properties xmlns="http://schemas.openxmlformats.org/officeDocument/2006/extended-properties" xmlns:vt="http://schemas.openxmlformats.org/officeDocument/2006/docPropsVTypes">
  <Template>Normal</Template>
  <Pages>52</Pages>
  <Words>12204</Words>
  <Characters>13122</Characters>
  <Lines>205</Lines>
  <Paragraphs>57</Paragraphs>
  <TotalTime>38</TotalTime>
  <ScaleCrop>false</ScaleCrop>
  <LinksUpToDate>false</LinksUpToDate>
  <CharactersWithSpaces>13862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2024-01-25T07:42:00Z</dcterms:created>
  <dc:creator>Administrator</dc:creator>
  <cp:lastModifiedBy>代理机构</cp:lastModifiedBy>
  <cp:lastPrinted>2025-03-31T02:56:00Z</cp:lastPrinted>
  <dcterms:modified xsi:type="dcterms:W3CDTF">2025-04-01T02:40:06Z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FE6987C0734B42699D5A3D28F00B86E9_13</vt:lpwstr>
  </property>
  <property fmtid="{D5CDD505-2E9C-101B-9397-08002B2CF9AE}" pid="4" name="KSOTemplateDocerSaveRecord">
    <vt:lpwstr>eyJoZGlkIjoiZjE1YzM4N2RkZjQ1MmQwYWQ5NDFiYmU3Y2M3Yjc0ZmQiLCJ1c2VySWQiOiIxMDg4MzA2NzgwIn0=</vt:lpwstr>
  </property>
</Properties>
</file>