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8AFC3">
      <w:pPr>
        <w:pStyle w:val="10"/>
        <w:ind w:firstLine="280"/>
        <w:jc w:val="center"/>
        <w:rPr>
          <w:rFonts w:asciiTheme="minorEastAsia" w:hAnsiTheme="minorEastAsia" w:eastAsiaTheme="minorEastAsia"/>
          <w:sz w:val="28"/>
          <w:szCs w:val="28"/>
        </w:rPr>
      </w:pPr>
    </w:p>
    <w:p w14:paraId="72CA0728">
      <w:pPr>
        <w:snapToGrid w:val="0"/>
        <w:ind w:firstLine="0" w:firstLineChars="0"/>
        <w:jc w:val="center"/>
        <w:rPr>
          <w:rFonts w:cs="宋体" w:asciiTheme="minorEastAsia" w:hAnsiTheme="minorEastAsia" w:eastAsiaTheme="minorEastAsia"/>
          <w:b/>
          <w:bCs/>
          <w:sz w:val="48"/>
          <w:szCs w:val="48"/>
        </w:rPr>
      </w:pPr>
      <w:r>
        <w:rPr>
          <w:rFonts w:hint="eastAsia" w:cs="宋体" w:asciiTheme="minorEastAsia" w:hAnsiTheme="minorEastAsia" w:eastAsiaTheme="minorEastAsia"/>
          <w:b/>
          <w:bCs/>
          <w:sz w:val="48"/>
          <w:szCs w:val="48"/>
        </w:rPr>
        <w:t>浙江省生态环境监测中心</w:t>
      </w:r>
    </w:p>
    <w:p w14:paraId="2B7FDDC8">
      <w:pPr>
        <w:snapToGrid w:val="0"/>
        <w:ind w:firstLine="0" w:firstLineChars="0"/>
        <w:jc w:val="center"/>
        <w:rPr>
          <w:rFonts w:hint="eastAsia" w:cs="宋体" w:asciiTheme="minorEastAsia" w:hAnsiTheme="minorEastAsia" w:eastAsiaTheme="minorEastAsia"/>
          <w:b/>
          <w:bCs/>
          <w:sz w:val="48"/>
          <w:szCs w:val="48"/>
          <w:lang w:eastAsia="zh-CN"/>
        </w:rPr>
      </w:pPr>
      <w:r>
        <w:rPr>
          <w:rFonts w:hint="eastAsia" w:cs="宋体" w:asciiTheme="minorEastAsia" w:hAnsiTheme="minorEastAsia" w:eastAsiaTheme="minorEastAsia"/>
          <w:b/>
          <w:bCs/>
          <w:sz w:val="48"/>
          <w:szCs w:val="48"/>
          <w:lang w:eastAsia="zh-CN"/>
        </w:rPr>
        <w:t>2025年地下水环境质量监测点位采样项目</w:t>
      </w:r>
    </w:p>
    <w:p w14:paraId="2367767E">
      <w:pPr>
        <w:pStyle w:val="10"/>
        <w:ind w:firstLine="482"/>
        <w:jc w:val="center"/>
      </w:pPr>
      <w:r>
        <w:rPr>
          <w:rFonts w:hint="eastAsia" w:cs="宋体" w:asciiTheme="minorEastAsia" w:hAnsiTheme="minorEastAsia" w:eastAsiaTheme="minorEastAsia"/>
          <w:b/>
          <w:bCs/>
          <w:sz w:val="48"/>
          <w:szCs w:val="48"/>
        </w:rPr>
        <w:t>（非政府）</w:t>
      </w:r>
    </w:p>
    <w:p w14:paraId="768D6052">
      <w:pPr>
        <w:pStyle w:val="10"/>
        <w:ind w:firstLine="0" w:firstLineChars="0"/>
        <w:rPr>
          <w:rFonts w:asciiTheme="minorEastAsia" w:hAnsiTheme="minorEastAsia" w:eastAsiaTheme="minorEastAsia"/>
          <w:sz w:val="28"/>
          <w:szCs w:val="28"/>
        </w:rPr>
      </w:pPr>
    </w:p>
    <w:p w14:paraId="6745F1D0">
      <w:pPr>
        <w:pStyle w:val="10"/>
        <w:ind w:firstLine="280"/>
        <w:rPr>
          <w:rFonts w:asciiTheme="minorEastAsia" w:hAnsiTheme="minorEastAsia" w:eastAsiaTheme="minorEastAsia"/>
          <w:sz w:val="28"/>
          <w:szCs w:val="28"/>
        </w:rPr>
      </w:pPr>
    </w:p>
    <w:p w14:paraId="4C980ED9">
      <w:pPr>
        <w:pStyle w:val="10"/>
        <w:ind w:firstLine="280"/>
        <w:rPr>
          <w:rFonts w:asciiTheme="minorEastAsia" w:hAnsiTheme="minorEastAsia" w:eastAsiaTheme="minorEastAsia"/>
          <w:sz w:val="28"/>
          <w:szCs w:val="28"/>
        </w:rPr>
      </w:pPr>
    </w:p>
    <w:p w14:paraId="216801B6">
      <w:pPr>
        <w:pStyle w:val="10"/>
        <w:ind w:firstLine="280"/>
        <w:rPr>
          <w:rFonts w:asciiTheme="minorEastAsia" w:hAnsiTheme="minorEastAsia" w:eastAsiaTheme="minorEastAsia"/>
          <w:sz w:val="28"/>
          <w:szCs w:val="28"/>
        </w:rPr>
      </w:pPr>
    </w:p>
    <w:p w14:paraId="0A52AC4D">
      <w:pPr>
        <w:snapToGrid w:val="0"/>
        <w:ind w:firstLine="0" w:firstLineChars="0"/>
        <w:jc w:val="center"/>
        <w:rPr>
          <w:rFonts w:cs="宋体" w:asciiTheme="minorEastAsia" w:hAnsiTheme="minorEastAsia" w:eastAsiaTheme="minorEastAsia"/>
          <w:b/>
          <w:sz w:val="84"/>
          <w:szCs w:val="84"/>
        </w:rPr>
      </w:pPr>
      <w:r>
        <w:rPr>
          <w:rFonts w:hint="eastAsia" w:cs="宋体" w:asciiTheme="minorEastAsia" w:hAnsiTheme="minorEastAsia" w:eastAsiaTheme="minorEastAsia"/>
          <w:b/>
          <w:sz w:val="84"/>
          <w:szCs w:val="84"/>
        </w:rPr>
        <w:t>招标文件</w:t>
      </w:r>
    </w:p>
    <w:p w14:paraId="6B4B6447">
      <w:pPr>
        <w:snapToGrid w:val="0"/>
        <w:ind w:firstLine="562"/>
        <w:rPr>
          <w:rFonts w:cs="宋体" w:asciiTheme="minorEastAsia" w:hAnsiTheme="minorEastAsia" w:eastAsiaTheme="minorEastAsia"/>
          <w:b/>
          <w:sz w:val="28"/>
          <w:szCs w:val="28"/>
        </w:rPr>
      </w:pPr>
    </w:p>
    <w:p w14:paraId="63DE5E80">
      <w:pPr>
        <w:snapToGrid w:val="0"/>
        <w:ind w:firstLine="0" w:firstLineChars="0"/>
        <w:rPr>
          <w:rFonts w:cs="宋体" w:asciiTheme="minorEastAsia" w:hAnsiTheme="minorEastAsia" w:eastAsiaTheme="minorEastAsia"/>
          <w:b/>
          <w:sz w:val="28"/>
          <w:szCs w:val="28"/>
        </w:rPr>
      </w:pPr>
    </w:p>
    <w:p w14:paraId="46CD2CB6">
      <w:pPr>
        <w:pStyle w:val="10"/>
        <w:ind w:firstLine="210"/>
      </w:pPr>
    </w:p>
    <w:p w14:paraId="549BC29D">
      <w:pPr>
        <w:snapToGrid w:val="0"/>
        <w:ind w:firstLine="562"/>
        <w:rPr>
          <w:rFonts w:cs="宋体" w:asciiTheme="minorEastAsia" w:hAnsiTheme="minorEastAsia" w:eastAsiaTheme="minorEastAsia"/>
          <w:b/>
          <w:sz w:val="28"/>
          <w:szCs w:val="28"/>
        </w:rPr>
      </w:pPr>
    </w:p>
    <w:p w14:paraId="3A8C25CC">
      <w:pPr>
        <w:pStyle w:val="10"/>
        <w:ind w:firstLine="210"/>
      </w:pPr>
    </w:p>
    <w:p w14:paraId="1161CAB0">
      <w:pPr>
        <w:pStyle w:val="10"/>
        <w:ind w:firstLine="280"/>
        <w:rPr>
          <w:rFonts w:asciiTheme="minorEastAsia" w:hAnsiTheme="minorEastAsia" w:eastAsiaTheme="minorEastAsia"/>
          <w:sz w:val="28"/>
          <w:szCs w:val="28"/>
        </w:rPr>
      </w:pPr>
    </w:p>
    <w:p w14:paraId="49AD8339">
      <w:pPr>
        <w:snapToGrid w:val="0"/>
        <w:ind w:firstLine="560"/>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采购项目：</w:t>
      </w:r>
      <w:r>
        <w:rPr>
          <w:rFonts w:hint="eastAsia" w:cs="宋体" w:asciiTheme="minorEastAsia" w:hAnsiTheme="minorEastAsia" w:eastAsiaTheme="minorEastAsia"/>
          <w:sz w:val="28"/>
          <w:szCs w:val="28"/>
          <w:lang w:eastAsia="zh-CN"/>
        </w:rPr>
        <w:t>2025年地下水环境质量监测点位采样项目</w:t>
      </w:r>
    </w:p>
    <w:p w14:paraId="05992CCC">
      <w:pPr>
        <w:snapToGrid w:val="0"/>
        <w:ind w:firstLine="560"/>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采购编号：</w:t>
      </w:r>
      <w:r>
        <w:rPr>
          <w:rFonts w:hint="eastAsia" w:cs="宋体" w:asciiTheme="minorEastAsia" w:hAnsiTheme="minorEastAsia" w:eastAsiaTheme="minorEastAsia"/>
          <w:sz w:val="28"/>
          <w:szCs w:val="28"/>
          <w:lang w:eastAsia="zh-CN"/>
        </w:rPr>
        <w:t>ZJXL-STJCZX-202501A2</w:t>
      </w:r>
    </w:p>
    <w:p w14:paraId="4F72B727">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 购 人：浙江省生态环境监测中心</w:t>
      </w:r>
    </w:p>
    <w:p w14:paraId="6CAB9B00">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代理机构：浙江信镧建设工程咨询有限公司</w:t>
      </w:r>
    </w:p>
    <w:p w14:paraId="39D076AC">
      <w:pPr>
        <w:snapToGrid w:val="0"/>
        <w:ind w:firstLine="560"/>
        <w:rPr>
          <w:rFonts w:cs="宋体" w:asciiTheme="minorEastAsia" w:hAnsiTheme="minorEastAsia" w:eastAsiaTheme="minorEastAsia"/>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247" w:right="707" w:bottom="1020" w:left="1304" w:header="720" w:footer="720" w:gutter="0"/>
          <w:cols w:space="720" w:num="1"/>
          <w:docGrid w:type="lines" w:linePitch="312" w:charSpace="0"/>
        </w:sectPr>
      </w:pPr>
      <w:r>
        <w:rPr>
          <w:rFonts w:hint="eastAsia" w:cs="宋体" w:asciiTheme="minorEastAsia" w:hAnsiTheme="minorEastAsia" w:eastAsiaTheme="minorEastAsia"/>
          <w:sz w:val="28"/>
          <w:szCs w:val="28"/>
        </w:rPr>
        <w:t xml:space="preserve">日 </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期：二〇二</w:t>
      </w:r>
      <w:r>
        <w:rPr>
          <w:rFonts w:hint="eastAsia" w:cs="宋体" w:asciiTheme="minorEastAsia" w:hAnsiTheme="minorEastAsia" w:eastAsiaTheme="minorEastAsia"/>
          <w:sz w:val="28"/>
          <w:szCs w:val="28"/>
          <w:lang w:val="en-US" w:eastAsia="zh-CN"/>
        </w:rPr>
        <w:t>五</w:t>
      </w:r>
      <w:r>
        <w:rPr>
          <w:rFonts w:hint="eastAsia" w:cs="宋体" w:asciiTheme="minorEastAsia" w:hAnsiTheme="minorEastAsia" w:eastAsiaTheme="minorEastAsia"/>
          <w:sz w:val="28"/>
          <w:szCs w:val="28"/>
        </w:rPr>
        <w:t>年</w:t>
      </w:r>
      <w:r>
        <w:rPr>
          <w:rFonts w:hint="eastAsia" w:cs="宋体" w:asciiTheme="minorEastAsia" w:hAnsiTheme="minorEastAsia" w:eastAsiaTheme="minorEastAsia"/>
          <w:sz w:val="28"/>
          <w:szCs w:val="28"/>
          <w:lang w:val="en-US" w:eastAsia="zh-CN"/>
        </w:rPr>
        <w:t>二</w:t>
      </w:r>
      <w:r>
        <w:rPr>
          <w:rFonts w:hint="eastAsia" w:cs="宋体" w:asciiTheme="minorEastAsia" w:hAnsiTheme="minorEastAsia" w:eastAsiaTheme="minorEastAsia"/>
          <w:sz w:val="28"/>
          <w:szCs w:val="28"/>
        </w:rPr>
        <w:t>月</w:t>
      </w:r>
    </w:p>
    <w:p w14:paraId="7C22A4F0">
      <w:pPr>
        <w:pStyle w:val="42"/>
        <w:spacing w:line="360" w:lineRule="auto"/>
        <w:jc w:val="center"/>
        <w:rPr>
          <w:rFonts w:cs="宋体" w:asciiTheme="minorEastAsia" w:hAnsiTheme="minorEastAsia" w:eastAsiaTheme="minorEastAsia"/>
        </w:rPr>
      </w:pPr>
      <w:r>
        <w:rPr>
          <w:rFonts w:hint="eastAsia" w:cs="宋体" w:asciiTheme="minorEastAsia" w:hAnsiTheme="minorEastAsia" w:eastAsiaTheme="minorEastAsia"/>
          <w:lang w:val="zh-CN"/>
        </w:rPr>
        <w:t xml:space="preserve">目 </w:t>
      </w:r>
      <w:r>
        <w:rPr>
          <w:rFonts w:cs="宋体" w:asciiTheme="minorEastAsia" w:hAnsiTheme="minorEastAsia" w:eastAsiaTheme="minorEastAsia"/>
          <w:lang w:val="zh-CN"/>
        </w:rPr>
        <w:t xml:space="preserve"> </w:t>
      </w:r>
      <w:r>
        <w:rPr>
          <w:rFonts w:hint="eastAsia" w:cs="宋体" w:asciiTheme="minorEastAsia" w:hAnsiTheme="minorEastAsia" w:eastAsiaTheme="minorEastAsia"/>
          <w:lang w:val="zh-CN"/>
        </w:rPr>
        <w:t>录</w:t>
      </w:r>
    </w:p>
    <w:p w14:paraId="48C5F08E">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TOC \o "1-2" \h \z \u </w:instrText>
      </w:r>
      <w:r>
        <w:rPr>
          <w:rFonts w:hint="eastAsia" w:cs="宋体" w:asciiTheme="minorEastAsia" w:hAnsiTheme="minorEastAsia" w:eastAsiaTheme="minorEastAsia"/>
        </w:rPr>
        <w:fldChar w:fldCharType="separate"/>
      </w:r>
      <w:r>
        <w:fldChar w:fldCharType="begin"/>
      </w:r>
      <w:r>
        <w:instrText xml:space="preserve"> HYPERLINK \l "_Toc1918" </w:instrText>
      </w:r>
      <w:r>
        <w:fldChar w:fldCharType="separate"/>
      </w:r>
      <w:r>
        <w:rPr>
          <w:rFonts w:hint="eastAsia" w:asciiTheme="minorEastAsia" w:hAnsiTheme="minorEastAsia" w:eastAsiaTheme="minorEastAsia"/>
          <w:szCs w:val="28"/>
        </w:rPr>
        <w:t>招标公告</w:t>
      </w:r>
      <w:r>
        <w:tab/>
      </w:r>
      <w:r>
        <w:fldChar w:fldCharType="begin"/>
      </w:r>
      <w:r>
        <w:instrText xml:space="preserve"> PAGEREF _Toc1918 \h </w:instrText>
      </w:r>
      <w:r>
        <w:fldChar w:fldCharType="separate"/>
      </w:r>
      <w:r>
        <w:t>1</w:t>
      </w:r>
      <w:r>
        <w:fldChar w:fldCharType="end"/>
      </w:r>
      <w:r>
        <w:fldChar w:fldCharType="end"/>
      </w:r>
    </w:p>
    <w:p w14:paraId="38A7B7DA">
      <w:pPr>
        <w:pStyle w:val="18"/>
        <w:tabs>
          <w:tab w:val="right" w:leader="dot" w:pos="9299"/>
          <w:tab w:val="clear" w:pos="8296"/>
        </w:tabs>
      </w:pPr>
      <w:r>
        <w:fldChar w:fldCharType="begin"/>
      </w:r>
      <w:r>
        <w:instrText xml:space="preserve"> HYPERLINK \l "_Toc28044" </w:instrText>
      </w:r>
      <w: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_Toc28044 \h </w:instrText>
      </w:r>
      <w:r>
        <w:fldChar w:fldCharType="separate"/>
      </w:r>
      <w:r>
        <w:t>4</w:t>
      </w:r>
      <w:r>
        <w:fldChar w:fldCharType="end"/>
      </w:r>
      <w:r>
        <w:fldChar w:fldCharType="end"/>
      </w:r>
    </w:p>
    <w:p w14:paraId="5076F0A8">
      <w:pPr>
        <w:pStyle w:val="18"/>
        <w:tabs>
          <w:tab w:val="right" w:leader="dot" w:pos="9299"/>
          <w:tab w:val="clear" w:pos="8296"/>
        </w:tabs>
      </w:pPr>
      <w:r>
        <w:fldChar w:fldCharType="begin"/>
      </w:r>
      <w:r>
        <w:instrText xml:space="preserve"> HYPERLINK \l "_Toc5010" </w:instrText>
      </w:r>
      <w: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_Toc5010 \h </w:instrText>
      </w:r>
      <w:r>
        <w:fldChar w:fldCharType="separate"/>
      </w:r>
      <w:r>
        <w:t>16</w:t>
      </w:r>
      <w:r>
        <w:fldChar w:fldCharType="end"/>
      </w:r>
      <w:r>
        <w:fldChar w:fldCharType="end"/>
      </w:r>
    </w:p>
    <w:p w14:paraId="0DF5B234">
      <w:pPr>
        <w:pStyle w:val="18"/>
        <w:tabs>
          <w:tab w:val="right" w:leader="dot" w:pos="9299"/>
          <w:tab w:val="clear" w:pos="8296"/>
        </w:tabs>
      </w:pPr>
      <w:r>
        <w:fldChar w:fldCharType="begin"/>
      </w:r>
      <w:r>
        <w:instrText xml:space="preserve"> HYPERLINK \l "_Toc23629" </w:instrText>
      </w:r>
      <w: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_Toc23629 \h </w:instrText>
      </w:r>
      <w:r>
        <w:fldChar w:fldCharType="separate"/>
      </w:r>
      <w:r>
        <w:t>19</w:t>
      </w:r>
      <w:r>
        <w:fldChar w:fldCharType="end"/>
      </w:r>
      <w:r>
        <w:fldChar w:fldCharType="end"/>
      </w:r>
    </w:p>
    <w:p w14:paraId="5AF650E9">
      <w:pPr>
        <w:pStyle w:val="18"/>
        <w:tabs>
          <w:tab w:val="right" w:leader="dot" w:pos="9299"/>
          <w:tab w:val="clear" w:pos="8296"/>
        </w:tabs>
      </w:pPr>
      <w:r>
        <w:fldChar w:fldCharType="begin"/>
      </w:r>
      <w:r>
        <w:instrText xml:space="preserve"> HYPERLINK \l "_Toc27513" </w:instrText>
      </w:r>
      <w:r>
        <w:fldChar w:fldCharType="separate"/>
      </w:r>
      <w:r>
        <w:rPr>
          <w:rFonts w:hint="eastAsia" w:asciiTheme="minorEastAsia" w:hAnsiTheme="minorEastAsia" w:eastAsiaTheme="minorEastAsia"/>
          <w:szCs w:val="32"/>
        </w:rPr>
        <w:t>第四章 合同格式</w:t>
      </w:r>
      <w:r>
        <w:tab/>
      </w:r>
      <w:r>
        <w:fldChar w:fldCharType="begin"/>
      </w:r>
      <w:r>
        <w:instrText xml:space="preserve"> PAGEREF _Toc27513 \h </w:instrText>
      </w:r>
      <w:r>
        <w:fldChar w:fldCharType="separate"/>
      </w:r>
      <w:r>
        <w:t>20</w:t>
      </w:r>
      <w:r>
        <w:fldChar w:fldCharType="end"/>
      </w:r>
      <w:r>
        <w:fldChar w:fldCharType="end"/>
      </w:r>
    </w:p>
    <w:p w14:paraId="30690557">
      <w:pPr>
        <w:pStyle w:val="18"/>
        <w:tabs>
          <w:tab w:val="right" w:leader="dot" w:pos="9299"/>
          <w:tab w:val="clear" w:pos="8296"/>
        </w:tabs>
      </w:pPr>
      <w:r>
        <w:fldChar w:fldCharType="begin"/>
      </w:r>
      <w:r>
        <w:instrText xml:space="preserve"> HYPERLINK \l "_Toc83" </w:instrText>
      </w:r>
      <w: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_Toc83 \h </w:instrText>
      </w:r>
      <w:r>
        <w:fldChar w:fldCharType="separate"/>
      </w:r>
      <w:r>
        <w:t>23</w:t>
      </w:r>
      <w:r>
        <w:fldChar w:fldCharType="end"/>
      </w:r>
      <w:r>
        <w:fldChar w:fldCharType="end"/>
      </w:r>
    </w:p>
    <w:p w14:paraId="2EBE019E">
      <w:pPr>
        <w:pStyle w:val="18"/>
        <w:tabs>
          <w:tab w:val="right" w:leader="dot" w:pos="9299"/>
          <w:tab w:val="clear" w:pos="8296"/>
        </w:tabs>
      </w:pPr>
      <w:r>
        <w:fldChar w:fldCharType="begin"/>
      </w:r>
      <w:r>
        <w:instrText xml:space="preserve"> HYPERLINK \l "_Toc12499" </w:instrText>
      </w:r>
      <w: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_Toc12499 \h </w:instrText>
      </w:r>
      <w:r>
        <w:fldChar w:fldCharType="separate"/>
      </w:r>
      <w:r>
        <w:t>39</w:t>
      </w:r>
      <w:r>
        <w:fldChar w:fldCharType="end"/>
      </w:r>
      <w:r>
        <w:fldChar w:fldCharType="end"/>
      </w:r>
    </w:p>
    <w:p w14:paraId="07C98336">
      <w:pPr>
        <w:ind w:firstLine="420"/>
        <w:rPr>
          <w:rFonts w:cs="宋体" w:asciiTheme="minorEastAsia" w:hAnsiTheme="minorEastAsia" w:eastAsiaTheme="minorEastAsia"/>
          <w:b/>
          <w:bCs/>
        </w:rPr>
      </w:pPr>
      <w:r>
        <w:rPr>
          <w:rFonts w:hint="eastAsia" w:cs="宋体" w:asciiTheme="minorEastAsia" w:hAnsiTheme="minorEastAsia" w:eastAsiaTheme="minorEastAsia"/>
        </w:rPr>
        <w:fldChar w:fldCharType="end"/>
      </w:r>
    </w:p>
    <w:p w14:paraId="1A000FA3">
      <w:pPr>
        <w:widowControl/>
        <w:shd w:val="clear" w:color="auto" w:fill="FDFAF5"/>
        <w:ind w:firstLine="0" w:firstLineChars="0"/>
        <w:jc w:val="center"/>
        <w:rPr>
          <w:rFonts w:cs="宋体" w:asciiTheme="minorEastAsia" w:hAnsiTheme="minorEastAsia" w:eastAsiaTheme="minorEastAsia"/>
          <w:b/>
          <w:bCs/>
          <w:kern w:val="0"/>
          <w:sz w:val="24"/>
        </w:rPr>
        <w:sectPr>
          <w:headerReference r:id="rId12" w:type="first"/>
          <w:footerReference r:id="rId15" w:type="first"/>
          <w:headerReference r:id="rId11" w:type="default"/>
          <w:footerReference r:id="rId13" w:type="default"/>
          <w:footerReference r:id="rId14" w:type="even"/>
          <w:pgSz w:w="11907" w:h="16840"/>
          <w:pgMar w:top="1247" w:right="1304" w:bottom="1020" w:left="1304" w:header="720" w:footer="720" w:gutter="0"/>
          <w:pgNumType w:start="1"/>
          <w:cols w:space="0" w:num="1"/>
          <w:docGrid w:linePitch="286" w:charSpace="0"/>
        </w:sectPr>
      </w:pPr>
      <w:bookmarkStart w:id="0" w:name="_Toc452457411"/>
    </w:p>
    <w:p w14:paraId="552EEDF8">
      <w:pPr>
        <w:widowControl/>
        <w:spacing w:before="75" w:after="75"/>
        <w:ind w:firstLine="482"/>
        <w:jc w:val="center"/>
        <w:rPr>
          <w:rFonts w:ascii="宋体" w:hAnsi="宋体" w:cs="宋体"/>
          <w:b/>
          <w:bCs/>
          <w:kern w:val="0"/>
          <w:sz w:val="24"/>
        </w:rPr>
      </w:pPr>
      <w:r>
        <w:rPr>
          <w:rFonts w:hint="eastAsia" w:ascii="宋体" w:hAnsi="宋体" w:cs="宋体"/>
          <w:b/>
          <w:bCs/>
          <w:kern w:val="0"/>
          <w:sz w:val="24"/>
        </w:rPr>
        <w:t>浙江信镧建设工程咨询有限公司关于浙江省生态环境监测中心</w:t>
      </w:r>
      <w:r>
        <w:rPr>
          <w:rFonts w:hint="eastAsia" w:ascii="宋体" w:hAnsi="宋体" w:cs="宋体"/>
          <w:b/>
          <w:bCs/>
          <w:kern w:val="0"/>
          <w:sz w:val="24"/>
          <w:lang w:eastAsia="zh-CN"/>
        </w:rPr>
        <w:t>2025年地下水环境质</w:t>
      </w:r>
      <w:bookmarkStart w:id="127" w:name="_GoBack"/>
      <w:bookmarkEnd w:id="127"/>
      <w:r>
        <w:rPr>
          <w:rFonts w:hint="eastAsia" w:ascii="宋体" w:hAnsi="宋体" w:cs="宋体"/>
          <w:b/>
          <w:bCs/>
          <w:kern w:val="0"/>
          <w:sz w:val="24"/>
          <w:lang w:eastAsia="zh-CN"/>
        </w:rPr>
        <w:t>量监测点位采样项目</w:t>
      </w:r>
      <w:r>
        <w:rPr>
          <w:rFonts w:hint="eastAsia" w:ascii="宋体" w:hAnsi="宋体" w:cs="宋体"/>
          <w:b/>
          <w:bCs/>
          <w:kern w:val="0"/>
          <w:sz w:val="24"/>
        </w:rPr>
        <w:t>（非政府）的</w:t>
      </w:r>
    </w:p>
    <w:p w14:paraId="0138C20A">
      <w:pPr>
        <w:pStyle w:val="2"/>
        <w:ind w:firstLine="0" w:firstLineChars="0"/>
        <w:rPr>
          <w:rFonts w:asciiTheme="minorEastAsia" w:hAnsiTheme="minorEastAsia" w:eastAsiaTheme="minorEastAsia"/>
          <w:sz w:val="28"/>
          <w:szCs w:val="28"/>
        </w:rPr>
      </w:pPr>
      <w:bookmarkStart w:id="1" w:name="_Toc1918"/>
      <w:r>
        <w:rPr>
          <w:rFonts w:hint="eastAsia" w:asciiTheme="minorEastAsia" w:hAnsiTheme="minorEastAsia" w:eastAsiaTheme="minorEastAsia"/>
          <w:sz w:val="28"/>
          <w:szCs w:val="28"/>
        </w:rPr>
        <w:t>招标公告</w:t>
      </w:r>
      <w:bookmarkEnd w:id="1"/>
    </w:p>
    <w:p w14:paraId="07B5B93E">
      <w:pPr>
        <w:pStyle w:val="2"/>
        <w:ind w:firstLine="0" w:firstLineChars="0"/>
        <w:rPr>
          <w:rFonts w:ascii="宋体" w:hAnsi="宋体" w:cs="宋体"/>
          <w:kern w:val="0"/>
        </w:rPr>
      </w:pPr>
      <w:bookmarkStart w:id="2" w:name="B10_招标内容"/>
      <w:bookmarkEnd w:id="2"/>
    </w:p>
    <w:p w14:paraId="785E6A6E">
      <w:pPr>
        <w:pStyle w:val="3"/>
        <w:rPr>
          <w:rFonts w:ascii="宋体" w:hAnsi="宋体" w:cs="宋体"/>
          <w:kern w:val="0"/>
        </w:rPr>
      </w:pPr>
      <w:bookmarkStart w:id="3" w:name="_Toc49511126"/>
      <w:bookmarkStart w:id="4" w:name="_Toc23652"/>
      <w:bookmarkStart w:id="5" w:name="_Toc251"/>
      <w:r>
        <w:rPr>
          <w:rFonts w:hint="eastAsia" w:ascii="宋体" w:hAnsi="宋体" w:cs="宋体"/>
          <w:kern w:val="0"/>
        </w:rPr>
        <w:t>一、项目基本情况</w:t>
      </w:r>
      <w:bookmarkEnd w:id="3"/>
      <w:bookmarkEnd w:id="4"/>
      <w:bookmarkEnd w:id="5"/>
    </w:p>
    <w:p w14:paraId="7D5520DC">
      <w:pPr>
        <w:widowControl/>
        <w:spacing w:before="75" w:after="75"/>
        <w:ind w:firstLine="420"/>
        <w:jc w:val="left"/>
        <w:rPr>
          <w:rFonts w:ascii="宋体" w:hAnsi="宋体" w:cs="宋体"/>
          <w:kern w:val="0"/>
          <w:szCs w:val="21"/>
        </w:rPr>
      </w:pPr>
      <w:r>
        <w:rPr>
          <w:rFonts w:hint="eastAsia" w:ascii="宋体" w:hAnsi="宋体" w:cs="宋体"/>
          <w:kern w:val="0"/>
          <w:szCs w:val="21"/>
        </w:rPr>
        <w:t>项目编号：</w:t>
      </w:r>
      <w:r>
        <w:rPr>
          <w:rFonts w:hint="eastAsia" w:ascii="宋体" w:hAnsi="宋体" w:cs="宋体"/>
          <w:kern w:val="0"/>
          <w:szCs w:val="21"/>
          <w:lang w:eastAsia="zh-CN"/>
        </w:rPr>
        <w:t>ZJXL-STJCZX-202501A2</w:t>
      </w:r>
      <w:r>
        <w:rPr>
          <w:rFonts w:hint="eastAsia" w:ascii="宋体" w:hAnsi="宋体" w:cs="宋体"/>
          <w:kern w:val="0"/>
          <w:szCs w:val="21"/>
        </w:rPr>
        <w:t> </w:t>
      </w:r>
    </w:p>
    <w:p w14:paraId="4D3D1553">
      <w:pPr>
        <w:widowControl/>
        <w:spacing w:before="75" w:after="75"/>
        <w:ind w:firstLine="420"/>
        <w:jc w:val="left"/>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2025年地下水环境质量监测点位采样项目</w:t>
      </w:r>
      <w:r>
        <w:rPr>
          <w:rFonts w:hint="eastAsia" w:ascii="宋体" w:hAnsi="宋体" w:cs="宋体"/>
          <w:kern w:val="0"/>
          <w:szCs w:val="21"/>
        </w:rPr>
        <w:t> </w:t>
      </w:r>
    </w:p>
    <w:p w14:paraId="69815908">
      <w:pPr>
        <w:widowControl/>
        <w:spacing w:before="75" w:after="75"/>
        <w:ind w:firstLine="0" w:firstLineChars="0"/>
        <w:jc w:val="left"/>
        <w:rPr>
          <w:rFonts w:ascii="宋体" w:hAnsi="宋体" w:cs="宋体"/>
          <w:kern w:val="0"/>
          <w:szCs w:val="21"/>
        </w:rPr>
      </w:pPr>
      <w:r>
        <w:rPr>
          <w:rFonts w:hint="eastAsia" w:ascii="宋体" w:hAnsi="宋体" w:cs="宋体"/>
          <w:kern w:val="0"/>
          <w:szCs w:val="21"/>
        </w:rPr>
        <w:t>   采购方式：公开招标</w:t>
      </w:r>
    </w:p>
    <w:p w14:paraId="519DF806">
      <w:pPr>
        <w:widowControl/>
        <w:spacing w:before="75" w:after="75"/>
        <w:ind w:firstLine="0" w:firstLineChars="0"/>
        <w:jc w:val="left"/>
        <w:rPr>
          <w:rFonts w:hint="eastAsia" w:ascii="宋体" w:hAnsi="宋体" w:eastAsia="宋体" w:cs="宋体"/>
          <w:kern w:val="0"/>
          <w:szCs w:val="21"/>
          <w:lang w:eastAsia="zh-CN"/>
        </w:rPr>
      </w:pPr>
      <w:r>
        <w:rPr>
          <w:rFonts w:hint="eastAsia" w:ascii="宋体" w:hAnsi="宋体" w:cs="宋体"/>
          <w:kern w:val="0"/>
          <w:szCs w:val="21"/>
        </w:rPr>
        <w:t>   预算金额（元）：</w:t>
      </w:r>
      <w:r>
        <w:rPr>
          <w:rFonts w:hint="eastAsia" w:ascii="宋体" w:hAnsi="宋体" w:cs="宋体"/>
          <w:kern w:val="0"/>
          <w:szCs w:val="21"/>
          <w:lang w:eastAsia="zh-CN"/>
        </w:rPr>
        <w:t>1536000</w:t>
      </w:r>
    </w:p>
    <w:p w14:paraId="562BBEC8">
      <w:pPr>
        <w:widowControl/>
        <w:spacing w:before="75" w:after="75"/>
        <w:ind w:firstLine="420"/>
        <w:jc w:val="left"/>
        <w:rPr>
          <w:rFonts w:hint="eastAsia" w:ascii="宋体" w:hAnsi="宋体" w:eastAsia="宋体" w:cs="宋体"/>
          <w:kern w:val="0"/>
          <w:szCs w:val="21"/>
          <w:lang w:eastAsia="zh-CN"/>
        </w:rPr>
      </w:pPr>
      <w:r>
        <w:rPr>
          <w:rFonts w:hint="eastAsia" w:ascii="宋体" w:hAnsi="宋体" w:cs="宋体"/>
          <w:kern w:val="0"/>
          <w:szCs w:val="21"/>
        </w:rPr>
        <w:t>最高限价（元）：</w:t>
      </w:r>
      <w:r>
        <w:rPr>
          <w:rFonts w:hint="eastAsia" w:ascii="宋体" w:hAnsi="宋体" w:cs="宋体"/>
          <w:kern w:val="0"/>
          <w:szCs w:val="21"/>
          <w:lang w:val="en-US" w:eastAsia="zh-CN"/>
        </w:rPr>
        <w:t>/</w:t>
      </w:r>
    </w:p>
    <w:p w14:paraId="165E38FF">
      <w:pPr>
        <w:widowControl/>
        <w:spacing w:before="75" w:after="75"/>
        <w:ind w:firstLine="0" w:firstLineChars="0"/>
        <w:jc w:val="left"/>
        <w:rPr>
          <w:rFonts w:ascii="宋体" w:hAnsi="宋体" w:cs="宋体"/>
          <w:kern w:val="0"/>
          <w:szCs w:val="21"/>
        </w:rPr>
      </w:pPr>
      <w:r>
        <w:rPr>
          <w:rFonts w:hint="eastAsia" w:ascii="宋体" w:hAnsi="宋体" w:cs="宋体"/>
          <w:kern w:val="0"/>
          <w:szCs w:val="21"/>
        </w:rPr>
        <w:t>   采购需求：</w:t>
      </w:r>
    </w:p>
    <w:tbl>
      <w:tblPr>
        <w:tblStyle w:val="25"/>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3"/>
        <w:gridCol w:w="1844"/>
        <w:gridCol w:w="806"/>
        <w:gridCol w:w="1371"/>
        <w:gridCol w:w="761"/>
        <w:gridCol w:w="2434"/>
        <w:gridCol w:w="1316"/>
      </w:tblGrid>
      <w:tr w14:paraId="376B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tcMar>
              <w:top w:w="75" w:type="dxa"/>
              <w:left w:w="150" w:type="dxa"/>
              <w:bottom w:w="75" w:type="dxa"/>
              <w:right w:w="150" w:type="dxa"/>
            </w:tcMar>
            <w:vAlign w:val="center"/>
          </w:tcPr>
          <w:p w14:paraId="7A897D6E">
            <w:pPr>
              <w:widowControl/>
              <w:spacing w:after="150"/>
              <w:ind w:firstLine="0" w:firstLineChars="0"/>
              <w:jc w:val="center"/>
              <w:rPr>
                <w:rFonts w:ascii="宋体" w:hAnsi="宋体" w:cs="宋体"/>
                <w:kern w:val="0"/>
                <w:szCs w:val="21"/>
              </w:rPr>
            </w:pPr>
            <w:r>
              <w:rPr>
                <w:rFonts w:hint="eastAsia" w:ascii="宋体" w:hAnsi="宋体" w:cs="宋体"/>
                <w:kern w:val="0"/>
                <w:szCs w:val="21"/>
              </w:rPr>
              <w:t>标项序号</w:t>
            </w:r>
          </w:p>
        </w:tc>
        <w:tc>
          <w:tcPr>
            <w:tcW w:w="976" w:type="pct"/>
            <w:tcMar>
              <w:top w:w="75" w:type="dxa"/>
              <w:left w:w="150" w:type="dxa"/>
              <w:bottom w:w="75" w:type="dxa"/>
              <w:right w:w="150" w:type="dxa"/>
            </w:tcMar>
            <w:vAlign w:val="center"/>
          </w:tcPr>
          <w:p w14:paraId="571AF5F7">
            <w:pPr>
              <w:widowControl/>
              <w:spacing w:after="150"/>
              <w:ind w:firstLine="0" w:firstLineChars="0"/>
              <w:jc w:val="center"/>
              <w:rPr>
                <w:rFonts w:ascii="宋体" w:hAnsi="宋体" w:cs="宋体"/>
                <w:kern w:val="0"/>
                <w:szCs w:val="21"/>
              </w:rPr>
            </w:pPr>
            <w:r>
              <w:rPr>
                <w:rFonts w:hint="eastAsia" w:ascii="宋体" w:hAnsi="宋体" w:cs="宋体"/>
                <w:kern w:val="0"/>
                <w:szCs w:val="21"/>
              </w:rPr>
              <w:t>标项名称</w:t>
            </w:r>
          </w:p>
        </w:tc>
        <w:tc>
          <w:tcPr>
            <w:tcW w:w="427" w:type="pct"/>
            <w:tcMar>
              <w:top w:w="75" w:type="dxa"/>
              <w:left w:w="150" w:type="dxa"/>
              <w:bottom w:w="75" w:type="dxa"/>
              <w:right w:w="150" w:type="dxa"/>
            </w:tcMar>
            <w:vAlign w:val="center"/>
          </w:tcPr>
          <w:p w14:paraId="67F9410E">
            <w:pPr>
              <w:widowControl/>
              <w:spacing w:after="150"/>
              <w:ind w:firstLine="0" w:firstLineChars="0"/>
              <w:jc w:val="center"/>
              <w:rPr>
                <w:rFonts w:ascii="宋体" w:hAnsi="宋体" w:cs="宋体"/>
                <w:kern w:val="0"/>
                <w:szCs w:val="21"/>
              </w:rPr>
            </w:pPr>
            <w:r>
              <w:rPr>
                <w:rFonts w:hint="eastAsia" w:ascii="宋体" w:hAnsi="宋体" w:cs="宋体"/>
                <w:kern w:val="0"/>
                <w:szCs w:val="21"/>
              </w:rPr>
              <w:t>数量</w:t>
            </w:r>
          </w:p>
        </w:tc>
        <w:tc>
          <w:tcPr>
            <w:tcW w:w="726" w:type="pct"/>
            <w:tcMar>
              <w:top w:w="75" w:type="dxa"/>
              <w:left w:w="150" w:type="dxa"/>
              <w:bottom w:w="75" w:type="dxa"/>
              <w:right w:w="150" w:type="dxa"/>
            </w:tcMar>
            <w:vAlign w:val="center"/>
          </w:tcPr>
          <w:p w14:paraId="09AD7861">
            <w:pPr>
              <w:widowControl/>
              <w:spacing w:after="150"/>
              <w:ind w:firstLine="0" w:firstLineChars="0"/>
              <w:jc w:val="center"/>
              <w:rPr>
                <w:rFonts w:ascii="宋体" w:hAnsi="宋体" w:cs="宋体"/>
                <w:kern w:val="0"/>
                <w:szCs w:val="21"/>
              </w:rPr>
            </w:pPr>
            <w:r>
              <w:rPr>
                <w:rFonts w:hint="eastAsia" w:ascii="宋体" w:hAnsi="宋体" w:cs="宋体"/>
                <w:kern w:val="0"/>
                <w:szCs w:val="21"/>
              </w:rPr>
              <w:t>预算金额(元)</w:t>
            </w:r>
          </w:p>
        </w:tc>
        <w:tc>
          <w:tcPr>
            <w:tcW w:w="403" w:type="pct"/>
            <w:tcMar>
              <w:top w:w="75" w:type="dxa"/>
              <w:left w:w="150" w:type="dxa"/>
              <w:bottom w:w="75" w:type="dxa"/>
              <w:right w:w="150" w:type="dxa"/>
            </w:tcMar>
            <w:vAlign w:val="center"/>
          </w:tcPr>
          <w:p w14:paraId="1462E72F">
            <w:pPr>
              <w:widowControl/>
              <w:spacing w:after="150"/>
              <w:ind w:firstLine="0" w:firstLineChars="0"/>
              <w:jc w:val="center"/>
              <w:rPr>
                <w:rFonts w:ascii="宋体" w:hAnsi="宋体" w:cs="宋体"/>
                <w:kern w:val="0"/>
                <w:szCs w:val="21"/>
              </w:rPr>
            </w:pPr>
            <w:r>
              <w:rPr>
                <w:rFonts w:hint="eastAsia" w:ascii="宋体" w:hAnsi="宋体" w:cs="宋体"/>
                <w:kern w:val="0"/>
                <w:szCs w:val="21"/>
              </w:rPr>
              <w:t>单位</w:t>
            </w:r>
          </w:p>
        </w:tc>
        <w:tc>
          <w:tcPr>
            <w:tcW w:w="1289" w:type="pct"/>
            <w:tcMar>
              <w:top w:w="75" w:type="dxa"/>
              <w:left w:w="150" w:type="dxa"/>
              <w:bottom w:w="75" w:type="dxa"/>
              <w:right w:w="150" w:type="dxa"/>
            </w:tcMar>
            <w:vAlign w:val="center"/>
          </w:tcPr>
          <w:p w14:paraId="735DAB10">
            <w:pPr>
              <w:widowControl/>
              <w:spacing w:after="150"/>
              <w:ind w:firstLine="0" w:firstLineChars="0"/>
              <w:jc w:val="center"/>
              <w:rPr>
                <w:rFonts w:ascii="宋体" w:hAnsi="宋体" w:cs="宋体"/>
                <w:kern w:val="0"/>
                <w:szCs w:val="21"/>
              </w:rPr>
            </w:pPr>
            <w:r>
              <w:rPr>
                <w:rFonts w:hint="eastAsia" w:ascii="宋体" w:hAnsi="宋体" w:cs="宋体"/>
                <w:kern w:val="0"/>
                <w:szCs w:val="21"/>
              </w:rPr>
              <w:t>简要规格描述</w:t>
            </w:r>
          </w:p>
        </w:tc>
        <w:tc>
          <w:tcPr>
            <w:tcW w:w="696" w:type="pct"/>
            <w:tcMar>
              <w:top w:w="75" w:type="dxa"/>
              <w:left w:w="150" w:type="dxa"/>
              <w:bottom w:w="75" w:type="dxa"/>
              <w:right w:w="150" w:type="dxa"/>
            </w:tcMar>
            <w:vAlign w:val="center"/>
          </w:tcPr>
          <w:p w14:paraId="777F35D8">
            <w:pPr>
              <w:widowControl/>
              <w:spacing w:after="150"/>
              <w:ind w:firstLine="0" w:firstLineChars="0"/>
              <w:jc w:val="center"/>
              <w:rPr>
                <w:rFonts w:ascii="宋体" w:hAnsi="宋体" w:cs="宋体"/>
                <w:kern w:val="0"/>
                <w:szCs w:val="21"/>
              </w:rPr>
            </w:pPr>
            <w:r>
              <w:rPr>
                <w:rFonts w:hint="eastAsia" w:ascii="宋体" w:hAnsi="宋体" w:cs="宋体"/>
                <w:kern w:val="0"/>
                <w:szCs w:val="21"/>
              </w:rPr>
              <w:t>备注</w:t>
            </w:r>
          </w:p>
        </w:tc>
      </w:tr>
      <w:tr w14:paraId="2DF8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6" w:hRule="atLeast"/>
        </w:trPr>
        <w:tc>
          <w:tcPr>
            <w:tcW w:w="479" w:type="pct"/>
            <w:tcMar>
              <w:top w:w="75" w:type="dxa"/>
              <w:left w:w="150" w:type="dxa"/>
              <w:bottom w:w="75" w:type="dxa"/>
              <w:right w:w="150" w:type="dxa"/>
            </w:tcMar>
            <w:vAlign w:val="center"/>
          </w:tcPr>
          <w:p w14:paraId="0941B485">
            <w:pPr>
              <w:widowControl/>
              <w:spacing w:after="150"/>
              <w:ind w:firstLine="0" w:firstLineChars="0"/>
              <w:jc w:val="center"/>
              <w:rPr>
                <w:rFonts w:ascii="宋体" w:hAnsi="宋体" w:cs="宋体"/>
                <w:kern w:val="0"/>
                <w:szCs w:val="21"/>
              </w:rPr>
            </w:pPr>
            <w:r>
              <w:rPr>
                <w:rFonts w:hint="eastAsia" w:ascii="宋体" w:hAnsi="宋体" w:cs="宋体"/>
                <w:kern w:val="0"/>
                <w:szCs w:val="21"/>
              </w:rPr>
              <w:t>1</w:t>
            </w:r>
          </w:p>
        </w:tc>
        <w:tc>
          <w:tcPr>
            <w:tcW w:w="976" w:type="pct"/>
            <w:tcMar>
              <w:top w:w="75" w:type="dxa"/>
              <w:left w:w="150" w:type="dxa"/>
              <w:bottom w:w="75" w:type="dxa"/>
              <w:right w:w="150" w:type="dxa"/>
            </w:tcMar>
            <w:vAlign w:val="center"/>
          </w:tcPr>
          <w:p w14:paraId="745E5D06">
            <w:pPr>
              <w:widowControl/>
              <w:spacing w:after="150"/>
              <w:ind w:firstLine="0" w:firstLineChars="0"/>
              <w:jc w:val="center"/>
              <w:rPr>
                <w:rFonts w:hint="eastAsia" w:ascii="宋体" w:hAnsi="宋体" w:eastAsia="宋体" w:cs="宋体"/>
                <w:kern w:val="0"/>
                <w:szCs w:val="21"/>
                <w:lang w:eastAsia="zh-CN"/>
              </w:rPr>
            </w:pPr>
            <w:r>
              <w:rPr>
                <w:rFonts w:hint="eastAsia" w:ascii="宋体" w:hAnsi="宋体" w:cs="宋体"/>
                <w:kern w:val="0"/>
                <w:szCs w:val="21"/>
                <w:lang w:eastAsia="zh-CN"/>
              </w:rPr>
              <w:t>2025年地下水环境质量监测点位采样项目</w:t>
            </w:r>
          </w:p>
        </w:tc>
        <w:tc>
          <w:tcPr>
            <w:tcW w:w="427" w:type="pct"/>
            <w:tcMar>
              <w:top w:w="75" w:type="dxa"/>
              <w:left w:w="150" w:type="dxa"/>
              <w:bottom w:w="75" w:type="dxa"/>
              <w:right w:w="150" w:type="dxa"/>
            </w:tcMar>
            <w:vAlign w:val="center"/>
          </w:tcPr>
          <w:p w14:paraId="420226B7">
            <w:pPr>
              <w:widowControl/>
              <w:spacing w:after="150"/>
              <w:ind w:firstLine="0" w:firstLineChars="0"/>
              <w:jc w:val="center"/>
              <w:rPr>
                <w:rFonts w:ascii="宋体" w:hAnsi="宋体" w:cs="宋体"/>
                <w:kern w:val="0"/>
                <w:szCs w:val="21"/>
              </w:rPr>
            </w:pPr>
            <w:r>
              <w:rPr>
                <w:rFonts w:hint="eastAsia" w:ascii="宋体" w:hAnsi="宋体" w:cs="宋体"/>
                <w:kern w:val="0"/>
                <w:szCs w:val="21"/>
              </w:rPr>
              <w:t>1</w:t>
            </w:r>
          </w:p>
        </w:tc>
        <w:tc>
          <w:tcPr>
            <w:tcW w:w="726" w:type="pct"/>
            <w:tcMar>
              <w:top w:w="75" w:type="dxa"/>
              <w:left w:w="150" w:type="dxa"/>
              <w:bottom w:w="75" w:type="dxa"/>
              <w:right w:w="150" w:type="dxa"/>
            </w:tcMar>
            <w:vAlign w:val="center"/>
          </w:tcPr>
          <w:p w14:paraId="7256085D">
            <w:pPr>
              <w:widowControl/>
              <w:spacing w:after="150"/>
              <w:ind w:firstLine="0" w:firstLineChars="0"/>
              <w:jc w:val="center"/>
              <w:rPr>
                <w:rFonts w:hint="eastAsia" w:ascii="宋体" w:hAnsi="宋体" w:eastAsia="宋体" w:cs="宋体"/>
                <w:kern w:val="0"/>
                <w:szCs w:val="21"/>
                <w:lang w:eastAsia="zh-CN"/>
              </w:rPr>
            </w:pPr>
            <w:r>
              <w:rPr>
                <w:rFonts w:hint="eastAsia" w:ascii="宋体" w:hAnsi="宋体" w:cs="宋体"/>
                <w:kern w:val="0"/>
                <w:szCs w:val="21"/>
                <w:lang w:eastAsia="zh-CN"/>
              </w:rPr>
              <w:t>1536000</w:t>
            </w:r>
          </w:p>
        </w:tc>
        <w:tc>
          <w:tcPr>
            <w:tcW w:w="403" w:type="pct"/>
            <w:tcMar>
              <w:top w:w="75" w:type="dxa"/>
              <w:left w:w="150" w:type="dxa"/>
              <w:bottom w:w="75" w:type="dxa"/>
              <w:right w:w="150" w:type="dxa"/>
            </w:tcMar>
            <w:vAlign w:val="center"/>
          </w:tcPr>
          <w:p w14:paraId="28309521">
            <w:pPr>
              <w:widowControl/>
              <w:spacing w:after="150"/>
              <w:ind w:firstLine="0" w:firstLineChars="0"/>
              <w:jc w:val="center"/>
              <w:rPr>
                <w:rFonts w:ascii="宋体" w:hAnsi="宋体" w:cs="宋体"/>
                <w:kern w:val="0"/>
                <w:szCs w:val="21"/>
              </w:rPr>
            </w:pPr>
            <w:r>
              <w:rPr>
                <w:rFonts w:hint="eastAsia" w:ascii="宋体" w:hAnsi="宋体" w:cs="宋体"/>
                <w:kern w:val="0"/>
                <w:szCs w:val="21"/>
              </w:rPr>
              <w:t>项</w:t>
            </w:r>
          </w:p>
        </w:tc>
        <w:tc>
          <w:tcPr>
            <w:tcW w:w="1289" w:type="pct"/>
            <w:tcMar>
              <w:top w:w="75" w:type="dxa"/>
              <w:left w:w="150" w:type="dxa"/>
              <w:bottom w:w="75" w:type="dxa"/>
              <w:right w:w="150" w:type="dxa"/>
            </w:tcMar>
            <w:vAlign w:val="center"/>
          </w:tcPr>
          <w:p w14:paraId="429126EE">
            <w:pPr>
              <w:widowControl/>
              <w:spacing w:after="150"/>
              <w:ind w:firstLine="0" w:firstLineChars="0"/>
              <w:jc w:val="center"/>
              <w:rPr>
                <w:rFonts w:ascii="宋体" w:hAnsi="宋体" w:cs="宋体"/>
                <w:kern w:val="0"/>
                <w:szCs w:val="21"/>
              </w:rPr>
            </w:pPr>
            <w:r>
              <w:rPr>
                <w:rFonts w:hint="eastAsia" w:ascii="宋体" w:hAnsi="宋体" w:cs="宋体"/>
                <w:kern w:val="0"/>
                <w:szCs w:val="21"/>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地下水环境质量监测点位</w:t>
            </w:r>
            <w:r>
              <w:rPr>
                <w:rFonts w:hint="eastAsia" w:ascii="宋体" w:hAnsi="宋体" w:cs="宋体"/>
                <w:kern w:val="0"/>
                <w:szCs w:val="21"/>
              </w:rPr>
              <w:t>采样</w:t>
            </w:r>
            <w:r>
              <w:rPr>
                <w:rFonts w:hint="eastAsia" w:ascii="宋体" w:cs="宋体"/>
                <w:kern w:val="0"/>
                <w:szCs w:val="21"/>
              </w:rPr>
              <w:t>服务，</w:t>
            </w:r>
            <w:r>
              <w:rPr>
                <w:rFonts w:hint="eastAsia" w:ascii="宋体" w:hAnsi="宋体" w:cs="宋体"/>
                <w:kern w:val="0"/>
                <w:szCs w:val="21"/>
              </w:rPr>
              <w:t>单次监测费用最高限价3200元/次，按实结算</w:t>
            </w:r>
            <w:r>
              <w:rPr>
                <w:rFonts w:hint="eastAsia" w:ascii="宋体" w:cs="宋体"/>
                <w:kern w:val="0"/>
                <w:szCs w:val="21"/>
              </w:rPr>
              <w:t>。</w:t>
            </w:r>
          </w:p>
        </w:tc>
        <w:tc>
          <w:tcPr>
            <w:tcW w:w="696" w:type="pct"/>
            <w:tcMar>
              <w:top w:w="75" w:type="dxa"/>
              <w:left w:w="150" w:type="dxa"/>
              <w:bottom w:w="75" w:type="dxa"/>
              <w:right w:w="150" w:type="dxa"/>
            </w:tcMar>
            <w:vAlign w:val="center"/>
          </w:tcPr>
          <w:p w14:paraId="181AEB50">
            <w:pPr>
              <w:widowControl/>
              <w:spacing w:after="150"/>
              <w:ind w:firstLine="0" w:firstLineChars="0"/>
              <w:jc w:val="center"/>
              <w:rPr>
                <w:rFonts w:ascii="宋体" w:cs="宋体"/>
                <w:kern w:val="0"/>
                <w:szCs w:val="21"/>
              </w:rPr>
            </w:pPr>
          </w:p>
        </w:tc>
      </w:tr>
    </w:tbl>
    <w:p w14:paraId="53EA1F82">
      <w:pPr>
        <w:widowControl/>
        <w:ind w:firstLine="0" w:firstLineChars="0"/>
        <w:jc w:val="left"/>
        <w:rPr>
          <w:rFonts w:ascii="宋体" w:hAnsi="宋体" w:cs="宋体"/>
          <w:kern w:val="0"/>
          <w:szCs w:val="21"/>
        </w:rPr>
      </w:pPr>
      <w:r>
        <w:rPr>
          <w:rFonts w:hint="eastAsia" w:ascii="宋体" w:hAnsi="宋体" w:cs="宋体"/>
          <w:kern w:val="0"/>
          <w:szCs w:val="21"/>
        </w:rPr>
        <w:t>合同履行期限：详见采购文件要求</w:t>
      </w:r>
    </w:p>
    <w:p w14:paraId="0AAA8F99">
      <w:pPr>
        <w:widowControl/>
        <w:spacing w:before="75" w:after="75"/>
        <w:ind w:firstLine="0" w:firstLineChars="0"/>
        <w:jc w:val="left"/>
        <w:rPr>
          <w:rFonts w:ascii="宋体" w:hAnsi="宋体" w:cs="宋体"/>
          <w:kern w:val="0"/>
          <w:szCs w:val="21"/>
        </w:rPr>
      </w:pPr>
      <w:r>
        <w:rPr>
          <w:rFonts w:hint="eastAsia" w:ascii="宋体" w:hAnsi="宋体" w:cs="宋体"/>
          <w:kern w:val="0"/>
          <w:szCs w:val="21"/>
        </w:rPr>
        <w:t>   本项目（ 否 ）接受联合体。 </w:t>
      </w:r>
    </w:p>
    <w:p w14:paraId="3908F08C">
      <w:pPr>
        <w:pStyle w:val="3"/>
        <w:rPr>
          <w:rFonts w:ascii="宋体" w:hAnsi="宋体" w:cs="宋体"/>
          <w:kern w:val="0"/>
        </w:rPr>
      </w:pPr>
      <w:bookmarkStart w:id="6" w:name="_Toc874"/>
      <w:bookmarkStart w:id="7" w:name="_Toc6070"/>
      <w:bookmarkStart w:id="8" w:name="_Toc49511127"/>
      <w:r>
        <w:rPr>
          <w:rFonts w:hint="eastAsia" w:ascii="宋体" w:hAnsi="宋体" w:cs="宋体"/>
          <w:kern w:val="0"/>
        </w:rPr>
        <w:t>二、申请人的资格要求：</w:t>
      </w:r>
      <w:bookmarkEnd w:id="6"/>
      <w:bookmarkEnd w:id="7"/>
      <w:bookmarkEnd w:id="8"/>
    </w:p>
    <w:p w14:paraId="65C9DDF2">
      <w:pPr>
        <w:widowControl/>
        <w:spacing w:before="75" w:after="75"/>
        <w:ind w:firstLine="420"/>
        <w:jc w:val="left"/>
        <w:rPr>
          <w:rFonts w:ascii="宋体" w:hAnsi="宋体" w:cs="宋体"/>
          <w:kern w:val="0"/>
          <w:szCs w:val="21"/>
        </w:rPr>
      </w:pPr>
      <w:r>
        <w:rPr>
          <w:rFonts w:hint="eastAsia" w:ascii="宋体" w:hAnsi="宋体" w:cs="宋体"/>
          <w:kern w:val="0"/>
          <w:szCs w:val="21"/>
        </w:rPr>
        <w:t>1.满足《中华人民共和国政府采购法》第二十二条规定；</w:t>
      </w:r>
    </w:p>
    <w:p w14:paraId="7F1BC84E">
      <w:pPr>
        <w:ind w:firstLine="420"/>
        <w:rPr>
          <w:rFonts w:ascii="宋体" w:hAnsi="宋体" w:cs="宋体"/>
          <w:szCs w:val="21"/>
        </w:rPr>
      </w:pPr>
      <w:r>
        <w:rPr>
          <w:rFonts w:hint="eastAsia" w:ascii="宋体" w:hAnsi="宋体" w:cs="宋体"/>
          <w:szCs w:val="21"/>
        </w:rPr>
        <w:t>2.未被“信用中国”（www.creditchina.gov.cn）、中国政府采购网（www.ccgp.gov.cn）列入失信被执行人、重大税收违法案件当事人名单、政府采购严重违法失信行为记录名单。</w:t>
      </w:r>
    </w:p>
    <w:p w14:paraId="380F365B">
      <w:pPr>
        <w:ind w:firstLine="420"/>
        <w:rPr>
          <w:rFonts w:ascii="宋体" w:hAnsi="宋体" w:cs="宋体"/>
          <w:szCs w:val="21"/>
        </w:rPr>
      </w:pPr>
      <w:r>
        <w:rPr>
          <w:rFonts w:hint="eastAsia" w:ascii="宋体" w:hAnsi="宋体" w:cs="宋体"/>
          <w:szCs w:val="21"/>
        </w:rPr>
        <w:t>3.单位负责人为同一人或者存在直接控股、管理关系的不同供应商，不得参加同一合同项下的采购活动。</w:t>
      </w:r>
    </w:p>
    <w:p w14:paraId="15482C6D">
      <w:pPr>
        <w:ind w:firstLine="420"/>
        <w:rPr>
          <w:rFonts w:ascii="宋体" w:hAnsi="宋体" w:cs="宋体"/>
          <w:szCs w:val="21"/>
        </w:rPr>
      </w:pPr>
      <w:r>
        <w:rPr>
          <w:rFonts w:hint="eastAsia" w:ascii="宋体" w:hAnsi="宋体" w:cs="宋体"/>
          <w:szCs w:val="21"/>
        </w:rPr>
        <w:t>4.除单一来源采购项目外，为采购项目提供整体设计、规范编制或者项目管理、监理、检测等服务的供应商，不得再参加该采购项目投标</w:t>
      </w:r>
      <w:r>
        <w:rPr>
          <w:rFonts w:hint="eastAsia" w:ascii="宋体" w:hAnsi="宋体" w:cs="宋体"/>
        </w:rPr>
        <w:t>。</w:t>
      </w:r>
    </w:p>
    <w:p w14:paraId="066B9C44">
      <w:pPr>
        <w:widowControl/>
        <w:spacing w:before="75" w:after="75"/>
        <w:ind w:firstLine="0" w:firstLineChars="0"/>
        <w:jc w:val="left"/>
        <w:rPr>
          <w:rFonts w:ascii="宋体" w:hAnsi="宋体" w:cs="宋体"/>
          <w:kern w:val="0"/>
          <w:szCs w:val="21"/>
          <w:lang w:bidi="ar"/>
        </w:rPr>
      </w:pPr>
      <w:r>
        <w:rPr>
          <w:rFonts w:hint="eastAsia" w:ascii="宋体" w:hAnsi="宋体" w:cs="宋体"/>
          <w:kern w:val="0"/>
          <w:szCs w:val="21"/>
        </w:rPr>
        <w:t xml:space="preserve">    5.本项目的特定资格要求：具有有效期内检验检测机构资质认定证书（CMA）</w:t>
      </w:r>
    </w:p>
    <w:p w14:paraId="047B3F59">
      <w:pPr>
        <w:pStyle w:val="3"/>
        <w:rPr>
          <w:rFonts w:ascii="宋体" w:hAnsi="宋体" w:cs="宋体"/>
          <w:kern w:val="0"/>
        </w:rPr>
      </w:pPr>
      <w:bookmarkStart w:id="9" w:name="_Toc10032"/>
      <w:bookmarkStart w:id="10" w:name="_Toc8922"/>
      <w:r>
        <w:rPr>
          <w:rFonts w:hint="eastAsia" w:ascii="宋体" w:hAnsi="宋体" w:cs="宋体"/>
          <w:kern w:val="0"/>
        </w:rPr>
        <w:t>三、获取（下载）采购文件</w:t>
      </w:r>
      <w:bookmarkEnd w:id="9"/>
      <w:bookmarkEnd w:id="10"/>
    </w:p>
    <w:p w14:paraId="4F5856E0">
      <w:pPr>
        <w:ind w:firstLine="420"/>
        <w:rPr>
          <w:rFonts w:asciiTheme="minorEastAsia" w:hAnsiTheme="minorEastAsia" w:eastAsiaTheme="minorEastAsia"/>
        </w:rPr>
      </w:pPr>
      <w:r>
        <w:rPr>
          <w:rFonts w:hint="eastAsia" w:asciiTheme="minorEastAsia" w:hAnsiTheme="minorEastAsia" w:eastAsiaTheme="minorEastAsia"/>
        </w:rPr>
        <w:t>1.报名/发售时间：202</w:t>
      </w:r>
      <w:r>
        <w:rPr>
          <w:rFonts w:hint="eastAsia" w:asciiTheme="minorEastAsia" w:hAnsiTheme="minorEastAsia" w:eastAsiaTheme="minorEastAsia"/>
          <w:lang w:val="en-US" w:eastAsia="zh-CN"/>
        </w:rPr>
        <w:t>5</w:t>
      </w:r>
      <w:r>
        <w:rPr>
          <w:rFonts w:hint="eastAsia" w:asciiTheme="minorEastAsia" w:hAnsiTheme="minorEastAsia" w:eastAsiaTheme="minorEastAsia"/>
        </w:rPr>
        <w:t>年</w:t>
      </w:r>
      <w:r>
        <w:rPr>
          <w:rFonts w:hint="eastAsia" w:asciiTheme="minorEastAsia" w:hAnsiTheme="minorEastAsia" w:eastAsiaTheme="minorEastAsia"/>
          <w:lang w:val="en-US" w:eastAsia="zh-CN"/>
        </w:rPr>
        <w:t>02</w:t>
      </w:r>
      <w:r>
        <w:rPr>
          <w:rFonts w:hint="eastAsia" w:asciiTheme="minorEastAsia" w:hAnsiTheme="minorEastAsia" w:eastAsiaTheme="minorEastAsia"/>
        </w:rPr>
        <w:t>月</w:t>
      </w:r>
      <w:r>
        <w:rPr>
          <w:rFonts w:hint="eastAsia" w:asciiTheme="minorEastAsia" w:hAnsiTheme="minorEastAsia" w:eastAsiaTheme="minorEastAsia"/>
          <w:lang w:val="en-US" w:eastAsia="zh-CN"/>
        </w:rPr>
        <w:t>13</w:t>
      </w:r>
      <w:r>
        <w:rPr>
          <w:rFonts w:hint="eastAsia" w:asciiTheme="minorEastAsia" w:hAnsiTheme="minorEastAsia" w:eastAsiaTheme="minorEastAsia"/>
        </w:rPr>
        <w:t>日至202</w:t>
      </w:r>
      <w:r>
        <w:rPr>
          <w:rFonts w:hint="eastAsia" w:asciiTheme="minorEastAsia" w:hAnsiTheme="minorEastAsia" w:eastAsiaTheme="minorEastAsia"/>
          <w:lang w:val="en-US" w:eastAsia="zh-CN"/>
        </w:rPr>
        <w:t>5</w:t>
      </w:r>
      <w:r>
        <w:rPr>
          <w:rFonts w:hint="eastAsia" w:asciiTheme="minorEastAsia" w:hAnsiTheme="minorEastAsia" w:eastAsiaTheme="minorEastAsia"/>
        </w:rPr>
        <w:t>年0</w:t>
      </w:r>
      <w:r>
        <w:rPr>
          <w:rFonts w:hint="eastAsia" w:asciiTheme="minorEastAsia" w:hAnsiTheme="minorEastAsia" w:eastAsiaTheme="minorEastAsia"/>
          <w:lang w:val="en-US" w:eastAsia="zh-CN"/>
        </w:rPr>
        <w:t>3</w:t>
      </w:r>
      <w:r>
        <w:rPr>
          <w:rFonts w:hint="eastAsia" w:asciiTheme="minorEastAsia" w:hAnsiTheme="minorEastAsia" w:eastAsiaTheme="minorEastAsia"/>
        </w:rPr>
        <w:t>月</w:t>
      </w:r>
      <w:r>
        <w:rPr>
          <w:rFonts w:hint="eastAsia" w:asciiTheme="minorEastAsia" w:hAnsiTheme="minorEastAsia" w:eastAsiaTheme="minorEastAsia"/>
          <w:lang w:val="en-US" w:eastAsia="zh-CN"/>
        </w:rPr>
        <w:t>05</w:t>
      </w:r>
      <w:r>
        <w:rPr>
          <w:rFonts w:hint="eastAsia" w:asciiTheme="minorEastAsia" w:hAnsiTheme="minorEastAsia" w:eastAsiaTheme="minorEastAsia"/>
        </w:rPr>
        <w:t>日（双休日及法定节假日除外）。</w:t>
      </w:r>
    </w:p>
    <w:p w14:paraId="58CE8281">
      <w:pPr>
        <w:ind w:firstLine="420"/>
        <w:rPr>
          <w:rFonts w:asciiTheme="minorEastAsia" w:hAnsiTheme="minorEastAsia" w:eastAsiaTheme="minorEastAsia"/>
        </w:rPr>
      </w:pPr>
      <w:r>
        <w:rPr>
          <w:rFonts w:hint="eastAsia" w:asciiTheme="minorEastAsia" w:hAnsiTheme="minorEastAsia" w:eastAsiaTheme="minorEastAsia"/>
        </w:rPr>
        <w:t>上午：9:00-11:30</w:t>
      </w:r>
    </w:p>
    <w:p w14:paraId="2D98D6DE">
      <w:pPr>
        <w:ind w:firstLine="420"/>
        <w:rPr>
          <w:rFonts w:asciiTheme="minorEastAsia" w:hAnsiTheme="minorEastAsia" w:eastAsiaTheme="minorEastAsia"/>
        </w:rPr>
      </w:pPr>
      <w:r>
        <w:rPr>
          <w:rFonts w:hint="eastAsia" w:asciiTheme="minorEastAsia" w:hAnsiTheme="minorEastAsia" w:eastAsiaTheme="minorEastAsia"/>
        </w:rPr>
        <w:t>下午：14:00-17:00</w:t>
      </w:r>
    </w:p>
    <w:p w14:paraId="07C22196">
      <w:pPr>
        <w:ind w:firstLine="420"/>
        <w:rPr>
          <w:rFonts w:asciiTheme="minorEastAsia" w:hAnsiTheme="minorEastAsia" w:eastAsiaTheme="minorEastAsia"/>
        </w:rPr>
      </w:pPr>
      <w:r>
        <w:rPr>
          <w:rFonts w:hint="eastAsia" w:asciiTheme="minorEastAsia" w:hAnsiTheme="minorEastAsia" w:eastAsiaTheme="minorEastAsia"/>
        </w:rPr>
        <w:t>2.报名/发售地址：浙江省杭州市文二路391号西湖国际科技大厦 B2座1107室</w:t>
      </w:r>
    </w:p>
    <w:p w14:paraId="0F2D7C03">
      <w:pPr>
        <w:ind w:firstLine="420"/>
        <w:rPr>
          <w:rFonts w:asciiTheme="minorEastAsia" w:hAnsiTheme="minorEastAsia" w:eastAsiaTheme="minorEastAsia"/>
        </w:rPr>
      </w:pPr>
      <w:r>
        <w:rPr>
          <w:rFonts w:hint="eastAsia" w:asciiTheme="minorEastAsia" w:hAnsiTheme="minorEastAsia" w:eastAsiaTheme="minorEastAsia"/>
        </w:rPr>
        <w:t>3.标书售价(元)：每本500（售后不退）</w:t>
      </w:r>
    </w:p>
    <w:p w14:paraId="18F7B2D9">
      <w:pPr>
        <w:ind w:firstLine="420"/>
        <w:rPr>
          <w:rFonts w:asciiTheme="minorEastAsia" w:hAnsiTheme="minorEastAsia" w:eastAsiaTheme="minorEastAsia"/>
        </w:rPr>
      </w:pPr>
      <w:r>
        <w:rPr>
          <w:rFonts w:hint="eastAsia" w:asciiTheme="minorEastAsia" w:hAnsiTheme="minorEastAsia" w:eastAsiaTheme="minorEastAsia"/>
        </w:rPr>
        <w:t>4.投标人购买标书时应提交的资料：供应商报名登记表和标书费缴费凭证</w:t>
      </w:r>
    </w:p>
    <w:p w14:paraId="7C9C1854">
      <w:pPr>
        <w:ind w:firstLine="420"/>
        <w:rPr>
          <w:rFonts w:asciiTheme="minorEastAsia" w:hAnsiTheme="minorEastAsia" w:eastAsiaTheme="minorEastAsia"/>
        </w:rPr>
      </w:pPr>
      <w:r>
        <w:rPr>
          <w:rFonts w:hint="eastAsia" w:asciiTheme="minorEastAsia" w:hAnsiTheme="minorEastAsia" w:eastAsiaTheme="minorEastAsia"/>
        </w:rPr>
        <w:t>5.获取方式：</w:t>
      </w:r>
    </w:p>
    <w:p w14:paraId="2279E615">
      <w:pPr>
        <w:ind w:left="420" w:leftChars="200" w:firstLine="0" w:firstLineChars="0"/>
        <w:rPr>
          <w:rFonts w:asciiTheme="minorEastAsia" w:hAnsiTheme="minorEastAsia" w:eastAsiaTheme="minorEastAsia"/>
        </w:rPr>
      </w:pPr>
      <w:r>
        <w:rPr>
          <w:rFonts w:hint="eastAsia" w:asciiTheme="minorEastAsia" w:hAnsiTheme="minorEastAsia" w:eastAsiaTheme="minorEastAsia"/>
        </w:rPr>
        <w:t>（1）网上报名：将供应商报名表扫描件和标书费缴费凭证发送至浙江信镧建设工程咨询有限公司邮箱（</w:t>
      </w:r>
      <w:r>
        <w:fldChar w:fldCharType="begin"/>
      </w:r>
      <w:r>
        <w:instrText xml:space="preserve"> HYPERLINK "mailto:ZJXL85024997@163.com" </w:instrText>
      </w:r>
      <w:r>
        <w:fldChar w:fldCharType="separate"/>
      </w:r>
      <w:r>
        <w:rPr>
          <w:rStyle w:val="30"/>
          <w:rFonts w:hint="eastAsia" w:cs="宋体" w:asciiTheme="minorEastAsia" w:hAnsiTheme="minorEastAsia" w:eastAsiaTheme="minorEastAsia"/>
          <w:color w:val="auto"/>
          <w:szCs w:val="21"/>
        </w:rPr>
        <w:t>ZJXL87967630@126.com</w:t>
      </w:r>
      <w:r>
        <w:rPr>
          <w:rStyle w:val="30"/>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rPr>
        <w:t>）。</w:t>
      </w:r>
    </w:p>
    <w:p w14:paraId="0592756E">
      <w:pPr>
        <w:pStyle w:val="10"/>
        <w:ind w:firstLineChars="200"/>
        <w:rPr>
          <w:rFonts w:eastAsiaTheme="minorEastAsia"/>
        </w:rPr>
      </w:pPr>
      <w:r>
        <w:rPr>
          <w:rFonts w:hint="eastAsia" w:asciiTheme="minorEastAsia" w:hAnsiTheme="minorEastAsia" w:eastAsiaTheme="minorEastAsia"/>
        </w:rPr>
        <w:t>（2）报名为依法获取招标文件的唯一途径，未报名的潜在供应商，对招标文件提起质疑的，不                  予受理。</w:t>
      </w:r>
    </w:p>
    <w:p w14:paraId="7228F0FA">
      <w:pPr>
        <w:ind w:firstLine="420"/>
        <w:rPr>
          <w:rFonts w:asciiTheme="minorEastAsia" w:hAnsiTheme="minorEastAsia" w:eastAsiaTheme="minorEastAsia"/>
        </w:rPr>
      </w:pPr>
      <w:r>
        <w:rPr>
          <w:rFonts w:hint="eastAsia" w:asciiTheme="minorEastAsia" w:hAnsiTheme="minorEastAsia" w:eastAsiaTheme="minorEastAsia"/>
        </w:rPr>
        <w:t>6.标书费收款账号：</w:t>
      </w:r>
    </w:p>
    <w:p w14:paraId="6015935F">
      <w:pPr>
        <w:ind w:firstLine="420"/>
        <w:rPr>
          <w:rFonts w:asciiTheme="minorEastAsia" w:hAnsiTheme="minorEastAsia" w:eastAsiaTheme="minorEastAsia"/>
        </w:rPr>
      </w:pPr>
      <w:r>
        <w:rPr>
          <w:rFonts w:hint="eastAsia" w:asciiTheme="minorEastAsia" w:hAnsiTheme="minorEastAsia" w:eastAsiaTheme="minorEastAsia"/>
        </w:rPr>
        <w:t>收款单位（户名）：浙江信镧建设工程咨询有限公司</w:t>
      </w:r>
    </w:p>
    <w:p w14:paraId="335FD6EB">
      <w:pPr>
        <w:ind w:firstLine="420"/>
        <w:rPr>
          <w:rFonts w:asciiTheme="minorEastAsia" w:hAnsiTheme="minorEastAsia" w:eastAsiaTheme="minorEastAsia"/>
        </w:rPr>
      </w:pPr>
      <w:r>
        <w:rPr>
          <w:rFonts w:hint="eastAsia" w:asciiTheme="minorEastAsia" w:hAnsiTheme="minorEastAsia" w:eastAsiaTheme="minorEastAsia"/>
        </w:rPr>
        <w:t>开户银行：交通银行华浙广场支行</w:t>
      </w:r>
    </w:p>
    <w:p w14:paraId="105E6123">
      <w:pPr>
        <w:widowControl/>
        <w:spacing w:before="75" w:after="75"/>
        <w:ind w:firstLine="420"/>
        <w:jc w:val="left"/>
        <w:rPr>
          <w:rFonts w:ascii="宋体" w:hAnsi="宋体" w:cs="宋体"/>
          <w:kern w:val="0"/>
          <w:szCs w:val="21"/>
        </w:rPr>
      </w:pPr>
      <w:r>
        <w:rPr>
          <w:rFonts w:hint="eastAsia" w:asciiTheme="minorEastAsia" w:hAnsiTheme="minorEastAsia" w:eastAsiaTheme="minorEastAsia"/>
        </w:rPr>
        <w:t>银行账号：331066090018170036304</w:t>
      </w:r>
      <w:r>
        <w:rPr>
          <w:rFonts w:hint="eastAsia" w:ascii="宋体" w:hAnsi="宋体" w:cs="宋体"/>
          <w:kern w:val="0"/>
          <w:szCs w:val="21"/>
        </w:rPr>
        <w:t>  </w:t>
      </w:r>
    </w:p>
    <w:p w14:paraId="60347B09">
      <w:pPr>
        <w:pStyle w:val="3"/>
        <w:rPr>
          <w:rFonts w:ascii="宋体" w:hAnsi="宋体" w:cs="宋体"/>
          <w:kern w:val="0"/>
        </w:rPr>
      </w:pPr>
      <w:bookmarkStart w:id="11" w:name="_Toc49511128"/>
      <w:bookmarkStart w:id="12" w:name="_Toc1757"/>
      <w:bookmarkStart w:id="13" w:name="_Toc13826"/>
      <w:r>
        <w:rPr>
          <w:rFonts w:hint="eastAsia" w:ascii="宋体" w:hAnsi="宋体" w:cs="宋体"/>
          <w:kern w:val="0"/>
        </w:rPr>
        <w:t>四、响应文件提交</w:t>
      </w:r>
      <w:bookmarkEnd w:id="11"/>
      <w:bookmarkEnd w:id="12"/>
      <w:bookmarkEnd w:id="13"/>
    </w:p>
    <w:p w14:paraId="49DD5030">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1.</w:t>
      </w:r>
      <w:r>
        <w:rPr>
          <w:rFonts w:hint="eastAsia" w:ascii="宋体" w:hAnsi="宋体" w:cs="宋体"/>
          <w:kern w:val="0"/>
          <w:szCs w:val="21"/>
        </w:rPr>
        <w:t>截止时间：</w:t>
      </w:r>
      <w:r>
        <w:rPr>
          <w:rStyle w:val="63"/>
          <w:rFonts w:hint="eastAsia" w:ascii="宋体" w:hAnsi="宋体" w:cs="宋体"/>
          <w:szCs w:val="21"/>
          <w:u w:val="single"/>
        </w:rPr>
        <w:t>202</w:t>
      </w:r>
      <w:r>
        <w:rPr>
          <w:rStyle w:val="63"/>
          <w:rFonts w:hint="eastAsia" w:ascii="宋体" w:hAnsi="宋体" w:cs="宋体"/>
          <w:szCs w:val="21"/>
          <w:u w:val="single"/>
          <w:lang w:val="en-US" w:eastAsia="zh-CN"/>
        </w:rPr>
        <w:t>5</w:t>
      </w:r>
      <w:r>
        <w:rPr>
          <w:rStyle w:val="63"/>
          <w:rFonts w:hint="eastAsia" w:ascii="宋体" w:hAnsi="宋体" w:cs="宋体"/>
          <w:szCs w:val="21"/>
          <w:u w:val="single"/>
        </w:rPr>
        <w:t>年0</w:t>
      </w:r>
      <w:r>
        <w:rPr>
          <w:rStyle w:val="63"/>
          <w:rFonts w:hint="eastAsia" w:ascii="宋体" w:hAnsi="宋体" w:cs="宋体"/>
          <w:szCs w:val="21"/>
          <w:u w:val="single"/>
          <w:lang w:val="en-US" w:eastAsia="zh-CN"/>
        </w:rPr>
        <w:t>3</w:t>
      </w:r>
      <w:r>
        <w:rPr>
          <w:rStyle w:val="63"/>
          <w:rFonts w:hint="eastAsia" w:ascii="宋体" w:hAnsi="宋体" w:cs="宋体"/>
          <w:szCs w:val="21"/>
          <w:u w:val="single"/>
        </w:rPr>
        <w:t>月</w:t>
      </w:r>
      <w:r>
        <w:rPr>
          <w:rStyle w:val="63"/>
          <w:rFonts w:hint="eastAsia" w:ascii="宋体" w:hAnsi="宋体" w:cs="宋体"/>
          <w:szCs w:val="21"/>
          <w:u w:val="single"/>
          <w:lang w:val="en-US" w:eastAsia="zh-CN"/>
        </w:rPr>
        <w:t>06</w:t>
      </w:r>
      <w:r>
        <w:rPr>
          <w:rStyle w:val="63"/>
          <w:rFonts w:hint="eastAsia" w:ascii="宋体" w:hAnsi="宋体" w:cs="宋体"/>
          <w:szCs w:val="21"/>
          <w:u w:val="single"/>
        </w:rPr>
        <w:t>日09:30</w:t>
      </w:r>
      <w:r>
        <w:rPr>
          <w:rFonts w:hint="eastAsia" w:ascii="宋体" w:hAnsi="宋体" w:cs="宋体"/>
          <w:kern w:val="0"/>
          <w:szCs w:val="21"/>
        </w:rPr>
        <w:t>（北京时间）</w:t>
      </w:r>
    </w:p>
    <w:p w14:paraId="2A52FE89">
      <w:pPr>
        <w:widowControl/>
        <w:spacing w:before="75" w:after="75"/>
        <w:ind w:firstLine="0" w:firstLineChars="0"/>
        <w:jc w:val="left"/>
        <w:rPr>
          <w:rFonts w:ascii="宋体" w:hAnsi="宋体" w:cs="宋体"/>
          <w:kern w:val="0"/>
          <w:szCs w:val="21"/>
          <w:u w:val="single"/>
        </w:rPr>
      </w:pPr>
      <w:r>
        <w:rPr>
          <w:rFonts w:hint="eastAsia" w:ascii="宋体" w:hAnsi="宋体" w:cs="宋体"/>
          <w:kern w:val="0"/>
          <w:szCs w:val="21"/>
        </w:rPr>
        <w:t xml:space="preserve">   </w:t>
      </w:r>
      <w:r>
        <w:rPr>
          <w:rFonts w:hint="eastAsia" w:ascii="宋体" w:hAnsi="宋体" w:cs="宋体"/>
          <w:szCs w:val="21"/>
        </w:rPr>
        <w:t>2.</w:t>
      </w:r>
      <w:r>
        <w:rPr>
          <w:rFonts w:hint="eastAsia" w:ascii="宋体" w:hAnsi="宋体" w:cs="宋体"/>
          <w:kern w:val="0"/>
          <w:szCs w:val="21"/>
        </w:rPr>
        <w:t>地点：</w:t>
      </w:r>
      <w:r>
        <w:rPr>
          <w:rFonts w:hint="eastAsia" w:asciiTheme="minorEastAsia" w:hAnsiTheme="minorEastAsia" w:eastAsiaTheme="minorEastAsia"/>
        </w:rPr>
        <w:t>杭州市文二路391号西湖国际科技大厦 B2座1107室</w:t>
      </w:r>
    </w:p>
    <w:p w14:paraId="34DAA094">
      <w:pPr>
        <w:pStyle w:val="3"/>
        <w:rPr>
          <w:rFonts w:ascii="宋体" w:hAnsi="宋体" w:cs="宋体"/>
          <w:kern w:val="0"/>
        </w:rPr>
      </w:pPr>
      <w:bookmarkStart w:id="14" w:name="_Toc1593"/>
      <w:bookmarkStart w:id="15" w:name="_Toc14100"/>
      <w:bookmarkStart w:id="16" w:name="_Toc49511129"/>
      <w:r>
        <w:rPr>
          <w:rFonts w:hint="eastAsia" w:ascii="宋体" w:hAnsi="宋体" w:cs="宋体"/>
          <w:kern w:val="0"/>
        </w:rPr>
        <w:t>五、响应文件开启</w:t>
      </w:r>
      <w:bookmarkEnd w:id="14"/>
      <w:bookmarkEnd w:id="15"/>
      <w:bookmarkEnd w:id="16"/>
    </w:p>
    <w:p w14:paraId="0444D105">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1.</w:t>
      </w:r>
      <w:r>
        <w:rPr>
          <w:rFonts w:hint="eastAsia" w:ascii="宋体" w:hAnsi="宋体" w:cs="宋体"/>
          <w:kern w:val="0"/>
          <w:szCs w:val="21"/>
        </w:rPr>
        <w:t>开启时间：</w:t>
      </w:r>
      <w:r>
        <w:rPr>
          <w:rStyle w:val="63"/>
          <w:rFonts w:hint="eastAsia" w:ascii="宋体" w:hAnsi="宋体" w:cs="宋体"/>
          <w:szCs w:val="21"/>
          <w:u w:val="single"/>
        </w:rPr>
        <w:t>202</w:t>
      </w:r>
      <w:r>
        <w:rPr>
          <w:rStyle w:val="63"/>
          <w:rFonts w:hint="eastAsia" w:ascii="宋体" w:hAnsi="宋体" w:cs="宋体"/>
          <w:szCs w:val="21"/>
          <w:u w:val="single"/>
          <w:lang w:val="en-US" w:eastAsia="zh-CN"/>
        </w:rPr>
        <w:t>5</w:t>
      </w:r>
      <w:r>
        <w:rPr>
          <w:rStyle w:val="63"/>
          <w:rFonts w:hint="eastAsia" w:ascii="宋体" w:hAnsi="宋体" w:cs="宋体"/>
          <w:szCs w:val="21"/>
          <w:u w:val="single"/>
        </w:rPr>
        <w:t>年0</w:t>
      </w:r>
      <w:r>
        <w:rPr>
          <w:rStyle w:val="63"/>
          <w:rFonts w:hint="eastAsia" w:ascii="宋体" w:hAnsi="宋体" w:cs="宋体"/>
          <w:szCs w:val="21"/>
          <w:u w:val="single"/>
          <w:lang w:val="en-US" w:eastAsia="zh-CN"/>
        </w:rPr>
        <w:t>3</w:t>
      </w:r>
      <w:r>
        <w:rPr>
          <w:rStyle w:val="63"/>
          <w:rFonts w:hint="eastAsia" w:ascii="宋体" w:hAnsi="宋体" w:cs="宋体"/>
          <w:szCs w:val="21"/>
          <w:u w:val="single"/>
        </w:rPr>
        <w:t>月</w:t>
      </w:r>
      <w:r>
        <w:rPr>
          <w:rStyle w:val="63"/>
          <w:rFonts w:hint="eastAsia" w:ascii="宋体" w:hAnsi="宋体" w:cs="宋体"/>
          <w:szCs w:val="21"/>
          <w:u w:val="single"/>
          <w:lang w:val="en-US" w:eastAsia="zh-CN"/>
        </w:rPr>
        <w:t>06</w:t>
      </w:r>
      <w:r>
        <w:rPr>
          <w:rStyle w:val="63"/>
          <w:rFonts w:hint="eastAsia" w:ascii="宋体" w:hAnsi="宋体" w:cs="宋体"/>
          <w:szCs w:val="21"/>
          <w:u w:val="single"/>
        </w:rPr>
        <w:t>日09:30</w:t>
      </w:r>
      <w:r>
        <w:rPr>
          <w:rFonts w:hint="eastAsia" w:ascii="宋体" w:hAnsi="宋体" w:cs="宋体"/>
          <w:kern w:val="0"/>
          <w:szCs w:val="21"/>
        </w:rPr>
        <w:t>（北京时间）</w:t>
      </w:r>
    </w:p>
    <w:p w14:paraId="3787DEC8">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2.</w:t>
      </w:r>
      <w:r>
        <w:rPr>
          <w:rFonts w:hint="eastAsia" w:ascii="宋体" w:hAnsi="宋体" w:cs="宋体"/>
          <w:kern w:val="0"/>
          <w:szCs w:val="21"/>
        </w:rPr>
        <w:t>地点：</w:t>
      </w:r>
      <w:r>
        <w:rPr>
          <w:rFonts w:hint="eastAsia" w:asciiTheme="minorEastAsia" w:hAnsiTheme="minorEastAsia" w:eastAsiaTheme="minorEastAsia"/>
        </w:rPr>
        <w:t>杭州市文二路391号西湖国际科技大厦 B2座1107室</w:t>
      </w:r>
    </w:p>
    <w:p w14:paraId="0F79FCA5">
      <w:pPr>
        <w:pStyle w:val="3"/>
        <w:rPr>
          <w:rFonts w:ascii="宋体" w:hAnsi="宋体" w:cs="宋体"/>
          <w:kern w:val="0"/>
        </w:rPr>
      </w:pPr>
      <w:bookmarkStart w:id="17" w:name="_Toc5996"/>
      <w:bookmarkStart w:id="18" w:name="_Toc4851"/>
      <w:bookmarkStart w:id="19" w:name="_Toc49511130"/>
      <w:r>
        <w:rPr>
          <w:rFonts w:hint="eastAsia" w:ascii="宋体" w:hAnsi="宋体" w:cs="宋体"/>
          <w:kern w:val="0"/>
        </w:rPr>
        <w:t>六、公告期限</w:t>
      </w:r>
      <w:bookmarkEnd w:id="17"/>
      <w:bookmarkEnd w:id="18"/>
      <w:bookmarkEnd w:id="19"/>
    </w:p>
    <w:p w14:paraId="21D87BF3">
      <w:pPr>
        <w:widowControl/>
        <w:spacing w:before="75" w:after="75"/>
        <w:ind w:firstLine="0" w:firstLineChars="0"/>
        <w:jc w:val="left"/>
        <w:rPr>
          <w:rFonts w:ascii="宋体" w:hAnsi="宋体" w:cs="宋体"/>
          <w:kern w:val="0"/>
          <w:szCs w:val="21"/>
        </w:rPr>
      </w:pPr>
      <w:r>
        <w:rPr>
          <w:rFonts w:hint="eastAsia" w:ascii="宋体" w:hAnsi="宋体" w:cs="宋体"/>
          <w:kern w:val="0"/>
          <w:szCs w:val="21"/>
        </w:rPr>
        <w:t>   自本公告发布之日起5个工作日。</w:t>
      </w:r>
    </w:p>
    <w:p w14:paraId="5DB14148">
      <w:pPr>
        <w:pStyle w:val="3"/>
        <w:rPr>
          <w:rFonts w:ascii="宋体" w:hAnsi="宋体" w:cs="宋体"/>
          <w:kern w:val="0"/>
        </w:rPr>
      </w:pPr>
      <w:bookmarkStart w:id="20" w:name="_Toc23179"/>
      <w:bookmarkStart w:id="21" w:name="_Toc21033"/>
      <w:bookmarkStart w:id="22" w:name="_Toc49511131"/>
      <w:r>
        <w:rPr>
          <w:rFonts w:hint="eastAsia" w:ascii="宋体" w:hAnsi="宋体" w:cs="宋体"/>
          <w:kern w:val="0"/>
        </w:rPr>
        <w:t>七、其他补充事宜</w:t>
      </w:r>
      <w:bookmarkEnd w:id="20"/>
      <w:bookmarkEnd w:id="21"/>
      <w:bookmarkEnd w:id="22"/>
    </w:p>
    <w:p w14:paraId="506C8F06">
      <w:pPr>
        <w:ind w:firstLine="42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rPr>
        <w:t>5</w:t>
      </w:r>
      <w:r>
        <w:rPr>
          <w:rFonts w:hint="eastAsia" w:asciiTheme="minorEastAsia" w:hAnsiTheme="minorEastAsia" w:eastAsiaTheme="minorEastAsia"/>
        </w:rPr>
        <w:t>个工作日内向采购监督管理部门投诉。质疑函范本、投诉书范本请到浙江政府采购网下载专区下载。</w:t>
      </w:r>
    </w:p>
    <w:p w14:paraId="3C485472">
      <w:pPr>
        <w:pStyle w:val="3"/>
        <w:rPr>
          <w:rFonts w:ascii="宋体" w:hAnsi="宋体" w:cs="宋体"/>
          <w:kern w:val="0"/>
        </w:rPr>
      </w:pPr>
      <w:bookmarkStart w:id="23" w:name="_Toc20447"/>
      <w:bookmarkStart w:id="24" w:name="_Toc15191"/>
      <w:bookmarkStart w:id="25" w:name="_Toc49511132"/>
      <w:r>
        <w:rPr>
          <w:rFonts w:hint="eastAsia" w:ascii="宋体" w:hAnsi="宋体" w:cs="宋体"/>
          <w:kern w:val="0"/>
        </w:rPr>
        <w:t>八、对本次采购提出询问、质疑、投诉，请按以下方式联系。</w:t>
      </w:r>
      <w:bookmarkEnd w:id="23"/>
      <w:bookmarkEnd w:id="24"/>
      <w:bookmarkEnd w:id="25"/>
      <w:r>
        <w:rPr>
          <w:rFonts w:hint="eastAsia" w:ascii="宋体" w:hAnsi="宋体" w:cs="宋体"/>
          <w:kern w:val="0"/>
        </w:rPr>
        <w:t>　　　　　　　　　　　　</w:t>
      </w:r>
    </w:p>
    <w:p w14:paraId="794E914A">
      <w:pPr>
        <w:ind w:firstLine="420"/>
        <w:rPr>
          <w:rFonts w:ascii="宋体" w:hAnsi="宋体" w:cs="宋体"/>
          <w:szCs w:val="21"/>
        </w:rPr>
      </w:pPr>
      <w:r>
        <w:rPr>
          <w:rFonts w:hint="eastAsia" w:ascii="宋体" w:hAnsi="宋体" w:cs="宋体"/>
          <w:szCs w:val="21"/>
        </w:rPr>
        <w:t>1、招标代理机构名称：浙江信镧建设工程咨询有限公司</w:t>
      </w:r>
    </w:p>
    <w:p w14:paraId="2AA7FEEC">
      <w:pPr>
        <w:ind w:firstLine="738" w:firstLineChars="350"/>
        <w:rPr>
          <w:rFonts w:ascii="宋体" w:hAnsi="宋体" w:cs="宋体"/>
          <w:szCs w:val="21"/>
        </w:rPr>
      </w:pPr>
      <w:r>
        <w:rPr>
          <w:rFonts w:hint="eastAsia" w:ascii="宋体" w:hAnsi="宋体" w:cs="宋体"/>
          <w:b/>
          <w:bCs/>
          <w:szCs w:val="21"/>
        </w:rPr>
        <w:t>报名、招标文件咨询联系人：</w:t>
      </w:r>
      <w:r>
        <w:rPr>
          <w:rFonts w:hint="eastAsia" w:ascii="宋体" w:hAnsi="宋体" w:cs="宋体"/>
          <w:szCs w:val="21"/>
        </w:rPr>
        <w:t>曹威、胡校芳</w:t>
      </w:r>
    </w:p>
    <w:p w14:paraId="5738896E">
      <w:pPr>
        <w:ind w:firstLine="735" w:firstLineChars="350"/>
        <w:rPr>
          <w:rFonts w:ascii="宋体" w:hAnsi="宋体" w:cs="宋体"/>
          <w:szCs w:val="21"/>
        </w:rPr>
      </w:pPr>
      <w:r>
        <w:rPr>
          <w:rFonts w:hint="eastAsia" w:ascii="宋体" w:hAnsi="宋体" w:cs="宋体"/>
          <w:szCs w:val="21"/>
        </w:rPr>
        <w:t>联系电话：0571-87967630</w:t>
      </w:r>
    </w:p>
    <w:p w14:paraId="453EB2C1">
      <w:pPr>
        <w:ind w:firstLine="735" w:firstLineChars="350"/>
        <w:rPr>
          <w:rFonts w:ascii="宋体" w:hAnsi="宋体" w:cs="宋体"/>
          <w:szCs w:val="21"/>
        </w:rPr>
      </w:pPr>
      <w:r>
        <w:rPr>
          <w:rFonts w:hint="eastAsia" w:ascii="宋体" w:hAnsi="宋体" w:cs="宋体"/>
          <w:szCs w:val="21"/>
        </w:rPr>
        <w:t>传真：0571-85024997</w:t>
      </w:r>
    </w:p>
    <w:p w14:paraId="4B8A3080">
      <w:pPr>
        <w:ind w:firstLine="735" w:firstLineChars="350"/>
        <w:rPr>
          <w:rFonts w:ascii="宋体" w:hAnsi="宋体" w:cs="宋体"/>
          <w:szCs w:val="21"/>
        </w:rPr>
      </w:pPr>
      <w:r>
        <w:rPr>
          <w:rFonts w:hint="eastAsia" w:ascii="宋体" w:hAnsi="宋体" w:cs="宋体"/>
          <w:szCs w:val="21"/>
        </w:rPr>
        <w:t>地址：</w:t>
      </w:r>
      <w:r>
        <w:rPr>
          <w:rFonts w:hint="eastAsia" w:ascii="宋体" w:hAnsi="宋体" w:cs="宋体"/>
          <w:bCs/>
          <w:szCs w:val="21"/>
        </w:rPr>
        <w:t>浙江省杭州市文二路391号西湖国际科技大厦 B-2座1107室</w:t>
      </w:r>
    </w:p>
    <w:p w14:paraId="7D9AA74D">
      <w:pPr>
        <w:ind w:firstLine="420"/>
        <w:rPr>
          <w:rFonts w:ascii="宋体" w:hAnsi="宋体" w:cs="宋体"/>
          <w:szCs w:val="21"/>
        </w:rPr>
      </w:pPr>
      <w:r>
        <w:rPr>
          <w:rFonts w:hint="eastAsia" w:ascii="宋体" w:hAnsi="宋体" w:cs="宋体"/>
          <w:kern w:val="0"/>
          <w:szCs w:val="21"/>
        </w:rPr>
        <w:t>2、采购人名称：</w:t>
      </w:r>
      <w:r>
        <w:rPr>
          <w:rFonts w:hint="eastAsia" w:ascii="宋体" w:hAnsi="宋体" w:cs="宋体"/>
          <w:szCs w:val="21"/>
        </w:rPr>
        <w:t>浙江省生态环境监测中心</w:t>
      </w:r>
    </w:p>
    <w:p w14:paraId="5608B37F">
      <w:pPr>
        <w:ind w:firstLine="735" w:firstLineChars="350"/>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kern w:val="0"/>
          <w:szCs w:val="21"/>
          <w:lang w:eastAsia="zh-CN"/>
        </w:rPr>
        <w:t>俞老师</w:t>
      </w:r>
    </w:p>
    <w:p w14:paraId="62A18307">
      <w:pPr>
        <w:ind w:firstLine="735" w:firstLineChars="35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r>
        <w:rPr>
          <w:rFonts w:hint="eastAsia" w:ascii="宋体" w:hAnsi="宋体" w:cs="宋体"/>
          <w:color w:val="000000" w:themeColor="text1"/>
          <w:szCs w:val="21"/>
          <w:lang w:eastAsia="zh-CN"/>
          <w14:textFill>
            <w14:solidFill>
              <w14:schemeClr w14:val="tx1"/>
            </w14:solidFill>
          </w14:textFill>
        </w:rPr>
        <w:t>0571-89975318</w:t>
      </w:r>
    </w:p>
    <w:p w14:paraId="44C309CA">
      <w:pPr>
        <w:ind w:firstLine="735" w:firstLineChars="350"/>
        <w:rPr>
          <w:rFonts w:ascii="宋体" w:hAnsi="宋体" w:cs="宋体"/>
          <w:kern w:val="0"/>
          <w:szCs w:val="21"/>
        </w:rPr>
      </w:pPr>
      <w:r>
        <w:rPr>
          <w:rFonts w:hint="eastAsia" w:ascii="宋体" w:hAnsi="宋体" w:cs="宋体"/>
          <w:kern w:val="0"/>
          <w:szCs w:val="21"/>
        </w:rPr>
        <w:t>地址：杭州市西湖区学院路117号</w:t>
      </w:r>
    </w:p>
    <w:p w14:paraId="42637607">
      <w:pPr>
        <w:ind w:firstLine="420"/>
      </w:pPr>
      <w:r>
        <w:rPr>
          <w:rFonts w:hint="eastAsia" w:ascii="宋体" w:hAnsi="宋体" w:cs="宋体"/>
          <w:kern w:val="0"/>
          <w:szCs w:val="21"/>
        </w:rPr>
        <w:t>3、</w:t>
      </w:r>
      <w:bookmarkEnd w:id="0"/>
      <w:r>
        <w:rPr>
          <w:rFonts w:hint="eastAsia" w:ascii="宋体" w:hAnsi="宋体" w:cs="宋体"/>
          <w:kern w:val="0"/>
          <w:szCs w:val="21"/>
        </w:rPr>
        <w:t>投诉</w:t>
      </w:r>
      <w:r>
        <w:rPr>
          <w:rFonts w:ascii="宋体" w:hAnsi="宋体" w:cs="宋体"/>
          <w:kern w:val="0"/>
          <w:szCs w:val="21"/>
        </w:rPr>
        <w:t>受理：</w:t>
      </w:r>
      <w:r>
        <w:rPr>
          <w:rFonts w:hint="eastAsia"/>
        </w:rPr>
        <w:t>浙江省生态环境监测中心</w:t>
      </w:r>
    </w:p>
    <w:p w14:paraId="73F966DD">
      <w:pPr>
        <w:ind w:firstLine="840" w:firstLineChars="400"/>
        <w:rPr>
          <w:rFonts w:ascii="宋体" w:hAnsi="宋体"/>
          <w:kern w:val="0"/>
        </w:rPr>
      </w:pPr>
      <w:r>
        <w:rPr>
          <w:rFonts w:hint="eastAsia" w:ascii="宋体" w:hAnsi="宋体"/>
          <w:kern w:val="0"/>
        </w:rPr>
        <w:t>联系人：</w:t>
      </w:r>
      <w:r>
        <w:rPr>
          <w:rFonts w:hint="eastAsia" w:cs="仿宋_GB2312" w:asciiTheme="minorEastAsia" w:hAnsiTheme="minorEastAsia" w:eastAsiaTheme="minorEastAsia"/>
        </w:rPr>
        <w:t>郭老师</w:t>
      </w:r>
    </w:p>
    <w:p w14:paraId="3882CC0E">
      <w:pPr>
        <w:ind w:firstLine="840" w:firstLineChars="400"/>
        <w:rPr>
          <w:rFonts w:ascii="宋体" w:hAnsi="宋体"/>
          <w:kern w:val="0"/>
        </w:rPr>
      </w:pPr>
      <w:r>
        <w:rPr>
          <w:rFonts w:hint="eastAsia" w:ascii="宋体" w:hAnsi="宋体"/>
          <w:kern w:val="0"/>
        </w:rPr>
        <w:t>监督投诉电话：</w:t>
      </w:r>
      <w:r>
        <w:rPr>
          <w:rStyle w:val="63"/>
          <w:rFonts w:hint="eastAsia" w:cs="仿宋_GB2312" w:asciiTheme="minorEastAsia" w:hAnsiTheme="minorEastAsia" w:eastAsiaTheme="minorEastAsia"/>
        </w:rPr>
        <w:t>0571-89921940</w:t>
      </w:r>
    </w:p>
    <w:p w14:paraId="20D69EE7">
      <w:pPr>
        <w:ind w:firstLine="840" w:firstLineChars="400"/>
      </w:pPr>
      <w:r>
        <w:rPr>
          <w:rFonts w:hint="eastAsia" w:ascii="宋体" w:hAnsi="宋体"/>
          <w:kern w:val="0"/>
        </w:rPr>
        <w:t>地址：</w:t>
      </w:r>
      <w:r>
        <w:rPr>
          <w:rFonts w:hint="eastAsia"/>
        </w:rPr>
        <w:t>杭州市西湖区学院路117号</w:t>
      </w:r>
    </w:p>
    <w:p w14:paraId="6F2CC5C8">
      <w:pPr>
        <w:pStyle w:val="2"/>
        <w:ind w:firstLine="0" w:firstLineChars="0"/>
        <w:rPr>
          <w:rFonts w:asciiTheme="minorEastAsia" w:hAnsiTheme="minorEastAsia" w:eastAsiaTheme="minorEastAsia"/>
          <w:sz w:val="32"/>
          <w:szCs w:val="32"/>
        </w:rPr>
      </w:pPr>
      <w:r>
        <w:rPr>
          <w:rFonts w:hint="eastAsia" w:ascii="宋体" w:hAnsi="宋体" w:cs="宋体"/>
          <w:sz w:val="21"/>
          <w:szCs w:val="21"/>
        </w:rPr>
        <w:br w:type="page"/>
      </w:r>
      <w:bookmarkStart w:id="26" w:name="_Toc28044"/>
      <w:bookmarkStart w:id="27" w:name="_Toc6227644"/>
      <w:r>
        <w:rPr>
          <w:rFonts w:hint="eastAsia" w:asciiTheme="minorEastAsia" w:hAnsiTheme="minorEastAsia" w:eastAsiaTheme="minorEastAsia"/>
          <w:sz w:val="32"/>
          <w:szCs w:val="32"/>
        </w:rPr>
        <w:t>第一章 投标人须知</w:t>
      </w:r>
      <w:bookmarkEnd w:id="26"/>
      <w:bookmarkEnd w:id="27"/>
    </w:p>
    <w:p w14:paraId="5DF9233D">
      <w:pPr>
        <w:pStyle w:val="3"/>
        <w:rPr>
          <w:rFonts w:cs="宋体" w:asciiTheme="minorEastAsia" w:hAnsiTheme="minorEastAsia" w:eastAsiaTheme="minorEastAsia"/>
          <w:szCs w:val="21"/>
        </w:rPr>
      </w:pPr>
      <w:bookmarkStart w:id="28" w:name="_Toc8160"/>
      <w:bookmarkStart w:id="29" w:name="_Toc452457413"/>
      <w:r>
        <w:rPr>
          <w:rFonts w:hint="eastAsia" w:cs="宋体" w:asciiTheme="minorEastAsia" w:hAnsiTheme="minorEastAsia" w:eastAsiaTheme="minorEastAsia"/>
          <w:szCs w:val="21"/>
        </w:rPr>
        <w:t>投标人须知前附表</w:t>
      </w:r>
      <w:bookmarkEnd w:id="28"/>
      <w:bookmarkEnd w:id="29"/>
    </w:p>
    <w:tbl>
      <w:tblPr>
        <w:tblStyle w:val="2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14:paraId="36E7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105A50B">
            <w:pPr>
              <w:ind w:firstLine="0" w:firstLineChars="0"/>
              <w:jc w:val="center"/>
              <w:rPr>
                <w:rFonts w:cs="宋体" w:asciiTheme="minorEastAsia" w:hAnsiTheme="minorEastAsia" w:eastAsiaTheme="minorEastAsia"/>
                <w:szCs w:val="21"/>
              </w:rPr>
            </w:pPr>
            <w:bookmarkStart w:id="30" w:name="_Hlk8238969"/>
            <w:r>
              <w:rPr>
                <w:rFonts w:hint="eastAsia" w:cs="宋体" w:asciiTheme="minorEastAsia" w:hAnsiTheme="minorEastAsia" w:eastAsiaTheme="minorEastAsia"/>
                <w:szCs w:val="21"/>
              </w:rPr>
              <w:t>条款号</w:t>
            </w:r>
          </w:p>
        </w:tc>
        <w:tc>
          <w:tcPr>
            <w:tcW w:w="1997" w:type="dxa"/>
            <w:vAlign w:val="center"/>
          </w:tcPr>
          <w:p w14:paraId="6819AA8F">
            <w:pPr>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6330" w:type="dxa"/>
            <w:vAlign w:val="center"/>
          </w:tcPr>
          <w:p w14:paraId="125C6B46">
            <w:pPr>
              <w:ind w:firstLine="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5BCC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1C15825">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3174C7DB">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采购人</w:t>
            </w:r>
          </w:p>
        </w:tc>
        <w:tc>
          <w:tcPr>
            <w:tcW w:w="6330" w:type="dxa"/>
            <w:vAlign w:val="center"/>
          </w:tcPr>
          <w:p w14:paraId="3B21EEB0">
            <w:pPr>
              <w:ind w:firstLine="0" w:firstLineChars="0"/>
              <w:rPr>
                <w:szCs w:val="21"/>
              </w:rPr>
            </w:pPr>
            <w:r>
              <w:rPr>
                <w:szCs w:val="21"/>
              </w:rPr>
              <w:t>名称：</w:t>
            </w:r>
            <w:r>
              <w:rPr>
                <w:rFonts w:hint="eastAsia"/>
                <w:szCs w:val="21"/>
              </w:rPr>
              <w:t xml:space="preserve">浙江省生态环境监测中心 </w:t>
            </w:r>
          </w:p>
          <w:p w14:paraId="2F2D4260">
            <w:pPr>
              <w:ind w:firstLine="0" w:firstLineChars="0"/>
              <w:rPr>
                <w:szCs w:val="21"/>
              </w:rPr>
            </w:pPr>
            <w:r>
              <w:rPr>
                <w:szCs w:val="21"/>
              </w:rPr>
              <w:t>地址：</w:t>
            </w:r>
            <w:r>
              <w:rPr>
                <w:rFonts w:hint="eastAsia"/>
              </w:rPr>
              <w:t>杭州市西湖区学院路117号</w:t>
            </w:r>
          </w:p>
          <w:p w14:paraId="6EF7DAD9">
            <w:pPr>
              <w:ind w:firstLine="0" w:firstLineChars="0"/>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kern w:val="0"/>
                <w:szCs w:val="21"/>
                <w:lang w:eastAsia="zh-CN"/>
              </w:rPr>
              <w:t>俞老师</w:t>
            </w:r>
          </w:p>
          <w:p w14:paraId="647A9923">
            <w:pPr>
              <w:ind w:firstLine="0" w:firstLineChars="0"/>
              <w:rPr>
                <w:rFonts w:hint="eastAsia" w:eastAsia="宋体" w:cs="宋体" w:asciiTheme="minorEastAsia" w:hAnsiTheme="minorEastAsia"/>
                <w:szCs w:val="21"/>
                <w:lang w:eastAsia="zh-CN"/>
              </w:rPr>
            </w:pPr>
            <w:r>
              <w:rPr>
                <w:rFonts w:hint="eastAsia" w:ascii="宋体" w:hAnsi="宋体" w:cs="宋体"/>
                <w:color w:val="000000" w:themeColor="text1"/>
                <w:kern w:val="0"/>
                <w:szCs w:val="21"/>
                <w14:textFill>
                  <w14:solidFill>
                    <w14:schemeClr w14:val="tx1"/>
                  </w14:solidFill>
                </w14:textFill>
              </w:rPr>
              <w:t>联系电话：</w:t>
            </w:r>
            <w:r>
              <w:rPr>
                <w:rFonts w:hint="eastAsia" w:ascii="宋体" w:hAnsi="宋体" w:cs="宋体"/>
                <w:color w:val="000000" w:themeColor="text1"/>
                <w:szCs w:val="21"/>
                <w:lang w:eastAsia="zh-CN"/>
                <w14:textFill>
                  <w14:solidFill>
                    <w14:schemeClr w14:val="tx1"/>
                  </w14:solidFill>
                </w14:textFill>
              </w:rPr>
              <w:t>0571-89975318</w:t>
            </w:r>
          </w:p>
        </w:tc>
      </w:tr>
      <w:tr w14:paraId="08C7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C88D40B">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45C92639">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采购代理机构</w:t>
            </w:r>
          </w:p>
        </w:tc>
        <w:tc>
          <w:tcPr>
            <w:tcW w:w="6330" w:type="dxa"/>
            <w:vAlign w:val="center"/>
          </w:tcPr>
          <w:p w14:paraId="34B043E5">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名称：浙江信镧建设工程咨询有限公司</w:t>
            </w:r>
          </w:p>
          <w:p w14:paraId="576B076B">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地址：浙江省杭州市文二路391号西湖国际科技大厦 B2座1107室</w:t>
            </w:r>
          </w:p>
          <w:p w14:paraId="42BC6508">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联系人：曹威</w:t>
            </w:r>
          </w:p>
          <w:p w14:paraId="3B516FAE">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电话：0571-87967630</w:t>
            </w:r>
          </w:p>
        </w:tc>
      </w:tr>
      <w:tr w14:paraId="6A28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6F40613">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0CBA3453">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采购方式</w:t>
            </w:r>
          </w:p>
        </w:tc>
        <w:tc>
          <w:tcPr>
            <w:tcW w:w="6330" w:type="dxa"/>
            <w:vAlign w:val="center"/>
          </w:tcPr>
          <w:p w14:paraId="1834B2FA">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公开招标</w:t>
            </w:r>
          </w:p>
        </w:tc>
      </w:tr>
      <w:tr w14:paraId="27AF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1" w:type="dxa"/>
            <w:vAlign w:val="center"/>
          </w:tcPr>
          <w:p w14:paraId="046651FC">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033E1716">
            <w:pPr>
              <w:ind w:firstLine="0" w:firstLineChars="0"/>
              <w:rPr>
                <w:rFonts w:asciiTheme="minorEastAsia" w:hAnsiTheme="minorEastAsia" w:eastAsiaTheme="minorEastAsia"/>
                <w:szCs w:val="21"/>
              </w:rPr>
            </w:pPr>
            <w:r>
              <w:rPr>
                <w:rFonts w:hint="eastAsia" w:asciiTheme="minorEastAsia" w:hAnsiTheme="minorEastAsia" w:eastAsiaTheme="minorEastAsia"/>
                <w:szCs w:val="21"/>
              </w:rPr>
              <w:t>投标人资格条件</w:t>
            </w:r>
          </w:p>
        </w:tc>
        <w:tc>
          <w:tcPr>
            <w:tcW w:w="6330" w:type="dxa"/>
            <w:vAlign w:val="center"/>
          </w:tcPr>
          <w:p w14:paraId="53480999">
            <w:pPr>
              <w:ind w:firstLine="0" w:firstLineChars="0"/>
              <w:rPr>
                <w:rFonts w:asciiTheme="minorEastAsia" w:hAnsiTheme="minorEastAsia" w:eastAsiaTheme="minorEastAsia"/>
                <w:szCs w:val="21"/>
              </w:rPr>
            </w:pPr>
            <w:r>
              <w:rPr>
                <w:rFonts w:hint="eastAsia" w:asciiTheme="minorEastAsia" w:hAnsiTheme="minorEastAsia" w:eastAsiaTheme="minorEastAsia"/>
                <w:szCs w:val="21"/>
              </w:rPr>
              <w:t>详见招标公告</w:t>
            </w:r>
          </w:p>
        </w:tc>
      </w:tr>
      <w:tr w14:paraId="1696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950BD78">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65F6B3EB">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分包或转包</w:t>
            </w:r>
          </w:p>
        </w:tc>
        <w:tc>
          <w:tcPr>
            <w:tcW w:w="6330" w:type="dxa"/>
            <w:vAlign w:val="center"/>
          </w:tcPr>
          <w:p w14:paraId="5DD60C69">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ascii="宋体" w:hAnsi="宋体" w:cs="宋体"/>
                <w:szCs w:val="21"/>
              </w:rPr>
              <w:t>本项目不得分包。</w:t>
            </w:r>
          </w:p>
          <w:p w14:paraId="0615A044">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本项目不得转包。</w:t>
            </w:r>
          </w:p>
        </w:tc>
      </w:tr>
      <w:tr w14:paraId="399C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50F407C">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0D30797D">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投标有效期</w:t>
            </w:r>
          </w:p>
        </w:tc>
        <w:tc>
          <w:tcPr>
            <w:tcW w:w="6330" w:type="dxa"/>
            <w:vAlign w:val="center"/>
          </w:tcPr>
          <w:p w14:paraId="2728C0A4">
            <w:pPr>
              <w:adjustRightInd w:val="0"/>
              <w:snapToGrid w:val="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自投标文件提交截止之日起90天内</w:t>
            </w:r>
          </w:p>
        </w:tc>
      </w:tr>
      <w:tr w14:paraId="415A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4A1D5D4">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791AE8ED">
            <w:pPr>
              <w:spacing w:before="24" w:beforeLines="10"/>
              <w:ind w:firstLine="0" w:firstLineChars="0"/>
              <w:rPr>
                <w:rFonts w:cs="宋体" w:asciiTheme="minorEastAsia" w:hAnsiTheme="minorEastAsia" w:eastAsiaTheme="minorEastAsia"/>
                <w:szCs w:val="21"/>
              </w:rPr>
            </w:pPr>
            <w:r>
              <w:rPr>
                <w:rFonts w:hint="eastAsia" w:cs="宋体" w:asciiTheme="minorEastAsia" w:hAnsiTheme="minorEastAsia" w:eastAsiaTheme="minorEastAsia"/>
                <w:kern w:val="0"/>
                <w:szCs w:val="21"/>
              </w:rPr>
              <w:t>投标文件编制、装订及密封要求</w:t>
            </w:r>
          </w:p>
        </w:tc>
        <w:tc>
          <w:tcPr>
            <w:tcW w:w="6330" w:type="dxa"/>
            <w:vAlign w:val="center"/>
          </w:tcPr>
          <w:p w14:paraId="099EACED">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投标人应按本招标文件规定的格式及要求编制、签署、盖章、装订、密封投标文件，并标注页码，提供目录。</w:t>
            </w:r>
          </w:p>
          <w:p w14:paraId="733978C3">
            <w:pPr>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将资格证明文件、报价文件、商务技术文件三份文件分别装订、分别密封，并在外包装封皮上注明：采购单位名称、项目名称、采购编号、投标人名称。投标文件均应胶装。</w:t>
            </w:r>
          </w:p>
        </w:tc>
      </w:tr>
      <w:tr w14:paraId="6DA4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C942BFC">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68C3C527">
            <w:pPr>
              <w:spacing w:before="24" w:beforeLines="1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投标文件份数</w:t>
            </w:r>
          </w:p>
        </w:tc>
        <w:tc>
          <w:tcPr>
            <w:tcW w:w="6330" w:type="dxa"/>
            <w:vAlign w:val="center"/>
          </w:tcPr>
          <w:p w14:paraId="07F2EA67">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1.纸质版：资格证明文件、报价文件、商务技术文件正本各一份，副本各五份</w:t>
            </w:r>
          </w:p>
          <w:p w14:paraId="5470F2D2">
            <w:pPr>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2.电子投标文件：</w:t>
            </w:r>
            <w:r>
              <w:rPr>
                <w:rFonts w:hint="eastAsia" w:cs="宋体" w:asciiTheme="minorEastAsia" w:hAnsiTheme="minorEastAsia" w:eastAsiaTheme="minorEastAsia"/>
                <w:szCs w:val="21"/>
                <w:u w:val="single"/>
              </w:rPr>
              <w:t xml:space="preserve"> 1 </w:t>
            </w:r>
            <w:r>
              <w:rPr>
                <w:rFonts w:hint="eastAsia" w:cs="宋体" w:asciiTheme="minorEastAsia" w:hAnsiTheme="minorEastAsia" w:eastAsiaTheme="minorEastAsia"/>
                <w:szCs w:val="21"/>
              </w:rPr>
              <w:t>份，内容与纸质投标文件正本（已盖章签字）一致，PDF格式，U盘存储。不一致的，以纸质投标文件正本为准。（U盘随报价文件一并密封）</w:t>
            </w:r>
          </w:p>
        </w:tc>
      </w:tr>
      <w:tr w14:paraId="29C9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2A68731">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71989764">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投标保证金</w:t>
            </w:r>
          </w:p>
        </w:tc>
        <w:tc>
          <w:tcPr>
            <w:tcW w:w="6330" w:type="dxa"/>
            <w:vAlign w:val="center"/>
          </w:tcPr>
          <w:p w14:paraId="6BC52212">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r>
      <w:tr w14:paraId="0AF2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309886BB">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5F1F9BB6">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履约保证金</w:t>
            </w:r>
          </w:p>
        </w:tc>
        <w:tc>
          <w:tcPr>
            <w:tcW w:w="6330" w:type="dxa"/>
            <w:vAlign w:val="center"/>
          </w:tcPr>
          <w:p w14:paraId="2EBC5E9A">
            <w:pPr>
              <w:pStyle w:val="10"/>
              <w:spacing w:line="360" w:lineRule="auto"/>
              <w:ind w:firstLine="0" w:firstLineChars="0"/>
            </w:pPr>
            <w:r>
              <w:rPr>
                <w:rFonts w:hint="eastAsia" w:cs="宋体" w:asciiTheme="minorEastAsia" w:hAnsiTheme="minorEastAsia" w:eastAsiaTheme="minorEastAsia"/>
                <w:szCs w:val="21"/>
              </w:rPr>
              <w:t>无</w:t>
            </w:r>
          </w:p>
        </w:tc>
      </w:tr>
      <w:tr w14:paraId="48C0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851" w:type="dxa"/>
            <w:vAlign w:val="center"/>
          </w:tcPr>
          <w:p w14:paraId="2B9D1C68">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66F495B7">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szCs w:val="21"/>
              </w:rPr>
              <w:t>投标文件的接收</w:t>
            </w:r>
          </w:p>
        </w:tc>
        <w:tc>
          <w:tcPr>
            <w:tcW w:w="6330" w:type="dxa"/>
            <w:vAlign w:val="center"/>
          </w:tcPr>
          <w:p w14:paraId="3DEB0097">
            <w:pPr>
              <w:ind w:firstLine="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投标人递交投标文件时，如出现下列情况之一的，投标文件将被拒收：</w:t>
            </w:r>
          </w:p>
          <w:p w14:paraId="14C70D81">
            <w:pPr>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未密封的投标文件；</w:t>
            </w:r>
          </w:p>
          <w:p w14:paraId="53A0B891">
            <w:pPr>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由于包装不妥，在送交途中严重破损或失散的投标文件；</w:t>
            </w:r>
          </w:p>
          <w:p w14:paraId="260EB033">
            <w:pPr>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仅以非纸制文本形式的投标文件；</w:t>
            </w:r>
          </w:p>
          <w:p w14:paraId="09F7538B">
            <w:pPr>
              <w:ind w:firstLine="0" w:firstLineChars="0"/>
              <w:jc w:val="left"/>
              <w:rPr>
                <w:rFonts w:cs="宋体" w:asciiTheme="minorEastAsia" w:hAnsiTheme="minorEastAsia" w:eastAsiaTheme="minorEastAsia"/>
                <w:szCs w:val="21"/>
              </w:rPr>
            </w:pPr>
            <w:r>
              <w:rPr>
                <w:rFonts w:cs="宋体" w:asciiTheme="minorEastAsia" w:hAnsiTheme="minorEastAsia" w:eastAsiaTheme="minorEastAsia"/>
                <w:bCs/>
                <w:szCs w:val="21"/>
              </w:rPr>
              <w:t>4.</w:t>
            </w:r>
            <w:r>
              <w:rPr>
                <w:rFonts w:hint="eastAsia" w:cs="宋体" w:asciiTheme="minorEastAsia" w:hAnsiTheme="minorEastAsia" w:eastAsiaTheme="minorEastAsia"/>
                <w:bCs/>
                <w:szCs w:val="21"/>
              </w:rPr>
              <w:t>超过投标截止时间送达的投标文件。</w:t>
            </w:r>
          </w:p>
        </w:tc>
      </w:tr>
      <w:tr w14:paraId="724B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14:paraId="3CE7B232">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0DEE5438">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中标通知书</w:t>
            </w:r>
          </w:p>
        </w:tc>
        <w:tc>
          <w:tcPr>
            <w:tcW w:w="6330" w:type="dxa"/>
            <w:vAlign w:val="center"/>
          </w:tcPr>
          <w:p w14:paraId="2323D9E1">
            <w:pPr>
              <w:ind w:firstLine="0" w:firstLineChars="0"/>
              <w:rPr>
                <w:rFonts w:asciiTheme="minorEastAsia" w:hAnsiTheme="minorEastAsia" w:eastAsiaTheme="minorEastAsia"/>
                <w:szCs w:val="21"/>
              </w:rPr>
            </w:pPr>
            <w:r>
              <w:rPr>
                <w:rFonts w:hint="eastAsia" w:asciiTheme="minorEastAsia" w:hAnsiTheme="minorEastAsia" w:eastAsiaTheme="minorEastAsia"/>
              </w:rPr>
              <w:t>中标公告在招标公告的相同媒体发布，中标人在中标公告发布之后主动来我公司领取中标通知书，落标人领取未中标通知书。</w:t>
            </w:r>
          </w:p>
        </w:tc>
      </w:tr>
      <w:tr w14:paraId="13B3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3B07E3BB">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38D53452">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szCs w:val="21"/>
              </w:rPr>
              <w:t>信用记录</w:t>
            </w:r>
          </w:p>
        </w:tc>
        <w:tc>
          <w:tcPr>
            <w:tcW w:w="6330" w:type="dxa"/>
            <w:vAlign w:val="center"/>
          </w:tcPr>
          <w:p w14:paraId="61E63462">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参照财库〔2016〕125号《关于在政府采购活动中查询及使用信用记录有关问题的通知》要求，采购代理机构将对投标人信用记录进行查询并甄别。</w:t>
            </w:r>
          </w:p>
          <w:p w14:paraId="54484458">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信用信息查询的截止时点：投标截止日；</w:t>
            </w:r>
          </w:p>
          <w:p w14:paraId="1F60E341">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查询渠道：“信用中国”（www.creditchina.gov.cn）、“中国政府采购网”（www.ccgp.gov.cn）；</w:t>
            </w:r>
          </w:p>
          <w:p w14:paraId="1D57DFC5">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信用信息查询记录和证据留存具体方式：采购代理机构将查询网页打印并保存；</w:t>
            </w:r>
          </w:p>
          <w:p w14:paraId="10865519">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信用信息的使用规则：对列入失信被执行人、重大税收违法案件当事人名单、政府采购严重违法失信行为记录名单及其他不符合《中华人民共和国政府采购法》第二十二条规定条件的投标人，将拒绝其参与本项目采购活动；</w:t>
            </w:r>
          </w:p>
          <w:p w14:paraId="42FC5E23">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ascii="宋体" w:hAnsi="宋体" w:cs="宋体"/>
                <w:szCs w:val="21"/>
              </w:rPr>
              <w:t>行政处罚较大数额罚款标准认定：参照《财政部关于《中华人民共和国政府采购法实施条例》第十九条第一款“较大数额罚款”具体适用问题的意见》（财库〔2022〕3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EC6D895">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若联合体成员存在不良信用记录的，视同联合体存在不良信用记录。</w:t>
            </w:r>
          </w:p>
        </w:tc>
      </w:tr>
      <w:tr w14:paraId="6E57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14:paraId="01D07319">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17AF5E2E">
            <w:pPr>
              <w:spacing w:before="24" w:beforeLines="1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招标代理服务费</w:t>
            </w:r>
          </w:p>
        </w:tc>
        <w:tc>
          <w:tcPr>
            <w:tcW w:w="6330" w:type="dxa"/>
            <w:vAlign w:val="center"/>
          </w:tcPr>
          <w:p w14:paraId="3928B573">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本项目的采购代理服务费为：</w:t>
            </w:r>
          </w:p>
          <w:p w14:paraId="6844B94B">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（1）采购代理服务收费采用差额定率累进计费方式，以预算价为计算基数。</w:t>
            </w:r>
          </w:p>
          <w:p w14:paraId="2ED66D7D">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（2）各区段具体收费标准如下：</w:t>
            </w:r>
          </w:p>
          <w:p w14:paraId="06C63E5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预算金额              费率</w:t>
            </w:r>
          </w:p>
          <w:p w14:paraId="11BD8B7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100万元以下          1.2%</w:t>
            </w:r>
          </w:p>
          <w:p w14:paraId="20AD8F6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100-500万元          0.64%</w:t>
            </w:r>
          </w:p>
          <w:p w14:paraId="13989DC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500-1000万元         0.36%</w:t>
            </w:r>
          </w:p>
          <w:p w14:paraId="0E1810E3">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备注：本项费用在报价表中不单列报价子项，由供应商自行在企业运营成本等或各单价中列支。由成交人在领取成交通知书时一次性向采购代理机构付清。</w:t>
            </w:r>
          </w:p>
          <w:p w14:paraId="4BA6DBD1">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收款账号：</w:t>
            </w:r>
          </w:p>
          <w:p w14:paraId="3543AE2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收款单位（户名）：浙江信镧建设工程咨询有限公司</w:t>
            </w:r>
          </w:p>
          <w:p w14:paraId="7DC47D3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开户银行：交通银行杭州华浙广场支行</w:t>
            </w:r>
          </w:p>
          <w:p w14:paraId="1A47D79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银行账号：331066090018170036304</w:t>
            </w:r>
          </w:p>
        </w:tc>
      </w:tr>
      <w:tr w14:paraId="74B7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14:paraId="2B14816E">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3AE38A74">
            <w:pPr>
              <w:spacing w:before="24" w:beforeLines="1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招标文件询疑</w:t>
            </w:r>
          </w:p>
        </w:tc>
        <w:tc>
          <w:tcPr>
            <w:tcW w:w="6330" w:type="dxa"/>
            <w:vAlign w:val="center"/>
          </w:tcPr>
          <w:p w14:paraId="556272B3">
            <w:pPr>
              <w:spacing w:before="24" w:beforeLines="1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如对招标文件有异议，应当于公告发布之日起至公告期限满第7个工作日内，以书面形式一次性向代理机构提出，逾期不予受理。</w:t>
            </w:r>
          </w:p>
        </w:tc>
      </w:tr>
      <w:tr w14:paraId="7068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1" w:type="dxa"/>
            <w:vAlign w:val="center"/>
          </w:tcPr>
          <w:p w14:paraId="7D1DD484">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6731CDD5">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w:t>
            </w:r>
          </w:p>
        </w:tc>
        <w:tc>
          <w:tcPr>
            <w:tcW w:w="6330" w:type="dxa"/>
            <w:vAlign w:val="center"/>
          </w:tcPr>
          <w:p w14:paraId="0D74D87A">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照《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14:paraId="5F2E37FC">
            <w:pPr>
              <w:widowControl/>
              <w:ind w:firstLine="0" w:firstLineChars="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投标人应当在法定质疑期内一次性提出针对同一采购程序环节的质疑。</w:t>
            </w:r>
          </w:p>
          <w:p w14:paraId="3E73948A">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质疑起算日期：</w:t>
            </w:r>
          </w:p>
          <w:p w14:paraId="35B0E52E">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对采购公告信息（含投标人资格条件）提出质疑的，质疑期限自采购公告发布之日起计算。</w:t>
            </w:r>
          </w:p>
          <w:p w14:paraId="45A08643">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对招标文件提出质疑的，质疑期限自投标人获得招标文件之日起计算。（发售截止日之后报名的投标人，质疑起算日期以发售截止日起计算）</w:t>
            </w:r>
          </w:p>
          <w:p w14:paraId="7B20D384">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对采购过程提出质疑的，为各采购程序环节结束之日。</w:t>
            </w:r>
          </w:p>
          <w:p w14:paraId="208FEDFF">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对采购结果提出质疑的，质疑期限自采购结果公告（包括公示、预公告、结果变更公告等）之日起计算。否则，被质疑人不予接受。</w:t>
            </w:r>
          </w:p>
          <w:p w14:paraId="7B50610F">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14:paraId="0F2F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14:paraId="342DD967">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585A77E0">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质疑受理联系方式</w:t>
            </w:r>
          </w:p>
        </w:tc>
        <w:tc>
          <w:tcPr>
            <w:tcW w:w="6330" w:type="dxa"/>
            <w:vAlign w:val="center"/>
          </w:tcPr>
          <w:p w14:paraId="6D188D45">
            <w:pPr>
              <w:adjustRightInd w:val="0"/>
              <w:snapToGrid w:val="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受理单位：浙江信镧建设工程咨询有限公司</w:t>
            </w:r>
          </w:p>
          <w:p w14:paraId="56C944C8">
            <w:pPr>
              <w:adjustRightInd w:val="0"/>
              <w:snapToGrid w:val="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受理人：葛梅兰</w:t>
            </w:r>
          </w:p>
          <w:p w14:paraId="1A3A8E3F">
            <w:pPr>
              <w:adjustRightInd w:val="0"/>
              <w:snapToGrid w:val="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电话：0571-87967630</w:t>
            </w:r>
          </w:p>
          <w:p w14:paraId="1BB1A057">
            <w:pPr>
              <w:adjustRightInd w:val="0"/>
              <w:snapToGrid w:val="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传真：0571-85024997</w:t>
            </w:r>
          </w:p>
          <w:p w14:paraId="15B6CAE0">
            <w:pPr>
              <w:adjustRightInd w:val="0"/>
              <w:snapToGrid w:val="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地址：浙江省杭州市文二路391号西湖国际科技大厦 B2座1107室</w:t>
            </w:r>
          </w:p>
        </w:tc>
      </w:tr>
      <w:tr w14:paraId="3899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39746D2B">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6BE6DC45">
            <w:pPr>
              <w:widowControl/>
              <w:ind w:firstLine="0" w:firstLineChars="0"/>
              <w:rPr>
                <w:rFonts w:cs="宋体" w:asciiTheme="minorEastAsia" w:hAnsiTheme="minorEastAsia" w:eastAsiaTheme="minorEastAsia"/>
                <w:szCs w:val="21"/>
              </w:rPr>
            </w:pPr>
            <w:r>
              <w:rPr>
                <w:rFonts w:hint="eastAsia" w:cs="宋体" w:asciiTheme="minorEastAsia" w:hAnsiTheme="minorEastAsia" w:eastAsiaTheme="minorEastAsia"/>
                <w:kern w:val="0"/>
                <w:szCs w:val="21"/>
              </w:rPr>
              <w:t>投诉</w:t>
            </w:r>
          </w:p>
        </w:tc>
        <w:tc>
          <w:tcPr>
            <w:tcW w:w="6330" w:type="dxa"/>
            <w:vAlign w:val="center"/>
          </w:tcPr>
          <w:p w14:paraId="5A316D22">
            <w:pPr>
              <w:adjustRightInd w:val="0"/>
              <w:snapToGrid w:val="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参照《政府采购质疑和投诉办法》（财政部令第94号）的规定，质疑投标人对采购人、采购代理机构的答复不满意或者采购人、采购代理机构未在规定的时间内作出答复的，可以在答复期满后15个工作日内向采购监督管理部门投诉。</w:t>
            </w:r>
          </w:p>
        </w:tc>
      </w:tr>
      <w:tr w14:paraId="4948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7DC07E1A">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454F8D26">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投诉受理联系方式</w:t>
            </w:r>
          </w:p>
        </w:tc>
        <w:tc>
          <w:tcPr>
            <w:tcW w:w="6330" w:type="dxa"/>
            <w:vAlign w:val="center"/>
          </w:tcPr>
          <w:p w14:paraId="7BDECF1A">
            <w:pPr>
              <w:ind w:firstLine="0" w:firstLineChars="0"/>
            </w:pPr>
            <w:r>
              <w:rPr>
                <w:rFonts w:hint="eastAsia"/>
              </w:rPr>
              <w:t>浙江省生态环境监测中心</w:t>
            </w:r>
          </w:p>
          <w:p w14:paraId="62FAA285">
            <w:pPr>
              <w:ind w:firstLine="0" w:firstLineChars="0"/>
              <w:rPr>
                <w:rFonts w:ascii="宋体" w:hAnsi="宋体"/>
                <w:kern w:val="0"/>
              </w:rPr>
            </w:pPr>
            <w:r>
              <w:rPr>
                <w:rFonts w:hint="eastAsia" w:ascii="宋体" w:hAnsi="宋体"/>
                <w:kern w:val="0"/>
              </w:rPr>
              <w:t>联系人：</w:t>
            </w:r>
            <w:r>
              <w:rPr>
                <w:rFonts w:hint="eastAsia" w:cs="仿宋_GB2312" w:asciiTheme="minorEastAsia" w:hAnsiTheme="minorEastAsia" w:eastAsiaTheme="minorEastAsia"/>
              </w:rPr>
              <w:t>郭老师</w:t>
            </w:r>
          </w:p>
          <w:p w14:paraId="29528EDE">
            <w:pPr>
              <w:ind w:firstLine="0" w:firstLineChars="0"/>
              <w:rPr>
                <w:rStyle w:val="63"/>
                <w:rFonts w:cs="仿宋_GB2312" w:asciiTheme="minorEastAsia" w:hAnsiTheme="minorEastAsia" w:eastAsiaTheme="minorEastAsia"/>
              </w:rPr>
            </w:pPr>
            <w:r>
              <w:rPr>
                <w:rFonts w:hint="eastAsia" w:ascii="宋体" w:hAnsi="宋体"/>
                <w:kern w:val="0"/>
              </w:rPr>
              <w:t>监督投诉电话：</w:t>
            </w:r>
            <w:r>
              <w:rPr>
                <w:rStyle w:val="63"/>
                <w:rFonts w:hint="eastAsia" w:cs="仿宋_GB2312" w:asciiTheme="minorEastAsia" w:hAnsiTheme="minorEastAsia" w:eastAsiaTheme="minorEastAsia"/>
              </w:rPr>
              <w:t>0571-89921940</w:t>
            </w:r>
          </w:p>
          <w:p w14:paraId="39BD1EE1">
            <w:pPr>
              <w:ind w:firstLine="0" w:firstLineChars="0"/>
            </w:pPr>
            <w:r>
              <w:rPr>
                <w:rFonts w:hint="eastAsia" w:ascii="宋体" w:hAnsi="宋体"/>
                <w:kern w:val="0"/>
              </w:rPr>
              <w:t>地址：</w:t>
            </w:r>
            <w:r>
              <w:rPr>
                <w:rFonts w:hint="eastAsia"/>
              </w:rPr>
              <w:t>杭州市西湖区学院路117号</w:t>
            </w:r>
          </w:p>
          <w:p w14:paraId="6790366C">
            <w:pPr>
              <w:ind w:firstLine="0" w:firstLineChars="0"/>
              <w:rPr>
                <w:rFonts w:cs="宋体" w:asciiTheme="minorEastAsia" w:hAnsiTheme="minorEastAsia" w:eastAsiaTheme="minorEastAsia"/>
                <w:kern w:val="0"/>
                <w:szCs w:val="21"/>
              </w:rPr>
            </w:pPr>
            <w:r>
              <w:t>质疑投标人对</w:t>
            </w:r>
            <w:r>
              <w:rPr>
                <w:rFonts w:hint="eastAsia"/>
              </w:rPr>
              <w:t>采购</w:t>
            </w:r>
            <w:r>
              <w:t>人、招标代理机构的答复不满意或者</w:t>
            </w:r>
            <w:r>
              <w:rPr>
                <w:rFonts w:hint="eastAsia"/>
              </w:rPr>
              <w:t>采购</w:t>
            </w:r>
            <w:r>
              <w:t>人、招标代理机构未在规定的时间内作出答复的，可以在答复期满后十五个工作日内向同级采购监督管理部门投诉。</w:t>
            </w:r>
          </w:p>
        </w:tc>
      </w:tr>
      <w:tr w14:paraId="17B0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1FB0DFC0">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73B18AD6">
            <w:pPr>
              <w:ind w:firstLine="0" w:firstLineChars="0"/>
              <w:rPr>
                <w:rFonts w:cs="宋体" w:asciiTheme="minorEastAsia" w:hAnsiTheme="minorEastAsia" w:eastAsiaTheme="minorEastAsia"/>
                <w:szCs w:val="21"/>
              </w:rPr>
            </w:pPr>
            <w:r>
              <w:rPr>
                <w:rFonts w:hint="eastAsia" w:asciiTheme="minorEastAsia" w:hAnsiTheme="minorEastAsia" w:eastAsiaTheme="minorEastAsia"/>
              </w:rPr>
              <w:t>其他事项</w:t>
            </w:r>
          </w:p>
        </w:tc>
        <w:tc>
          <w:tcPr>
            <w:tcW w:w="6330" w:type="dxa"/>
            <w:vAlign w:val="center"/>
          </w:tcPr>
          <w:p w14:paraId="6899325F">
            <w:pPr>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14:paraId="60BE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13F6FD18">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2C48329F">
            <w:pPr>
              <w:ind w:firstLine="0" w:firstLineChars="0"/>
              <w:rPr>
                <w:rFonts w:cs="宋体" w:asciiTheme="minorEastAsia" w:hAnsiTheme="minorEastAsia" w:eastAsiaTheme="minorEastAsia"/>
                <w:szCs w:val="21"/>
              </w:rPr>
            </w:pPr>
            <w:r>
              <w:rPr>
                <w:rFonts w:hint="eastAsia" w:asciiTheme="minorEastAsia" w:hAnsiTheme="minorEastAsia" w:eastAsiaTheme="minorEastAsia"/>
              </w:rPr>
              <w:t>解释顺序</w:t>
            </w:r>
          </w:p>
        </w:tc>
        <w:tc>
          <w:tcPr>
            <w:tcW w:w="6330" w:type="dxa"/>
            <w:vAlign w:val="center"/>
          </w:tcPr>
          <w:p w14:paraId="203D230C">
            <w:pPr>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kern w:val="0"/>
              </w:rPr>
              <w:t>招标文件内容与投标人须知前附表不符之处，以投标人须知前附表为准，浙江信镧建设工程咨询有限公司拥有最终解释权。</w:t>
            </w:r>
          </w:p>
        </w:tc>
      </w:tr>
      <w:tr w14:paraId="420E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15029203">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068B7C10">
            <w:pPr>
              <w:ind w:firstLine="0" w:firstLineChars="0"/>
              <w:rPr>
                <w:rFonts w:asciiTheme="minorEastAsia" w:hAnsiTheme="minorEastAsia" w:eastAsiaTheme="minorEastAsia"/>
              </w:rPr>
            </w:pPr>
            <w:r>
              <w:rPr>
                <w:rFonts w:hint="eastAsia" w:asciiTheme="minorEastAsia" w:hAnsiTheme="minorEastAsia" w:eastAsiaTheme="minorEastAsia"/>
              </w:rPr>
              <w:t>合同签订</w:t>
            </w:r>
          </w:p>
        </w:tc>
        <w:tc>
          <w:tcPr>
            <w:tcW w:w="6330" w:type="dxa"/>
            <w:vAlign w:val="center"/>
          </w:tcPr>
          <w:p w14:paraId="6DE2823F">
            <w:pPr>
              <w:ind w:firstLine="0" w:firstLineChars="0"/>
              <w:rPr>
                <w:rFonts w:asciiTheme="minorEastAsia" w:hAnsiTheme="minorEastAsia" w:eastAsiaTheme="minorEastAsia"/>
                <w:kern w:val="0"/>
              </w:rPr>
            </w:pPr>
            <w:r>
              <w:rPr>
                <w:rFonts w:hint="eastAsia" w:asciiTheme="minorEastAsia" w:hAnsiTheme="minorEastAsia" w:eastAsiaTheme="minorEastAsia"/>
                <w:kern w:val="0"/>
              </w:rPr>
              <w:t>必须在中标通知书发放之日起30日内签订完合同。</w:t>
            </w:r>
          </w:p>
        </w:tc>
      </w:tr>
      <w:tr w14:paraId="19DA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1DD45422">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328BAB36">
            <w:pPr>
              <w:ind w:firstLine="0" w:firstLineChars="0"/>
              <w:rPr>
                <w:rFonts w:asciiTheme="minorEastAsia" w:hAnsiTheme="minorEastAsia" w:eastAsiaTheme="minorEastAsia"/>
              </w:rPr>
            </w:pPr>
            <w:r>
              <w:rPr>
                <w:rFonts w:hint="eastAsia" w:asciiTheme="minorEastAsia" w:hAnsiTheme="minorEastAsia" w:eastAsiaTheme="minorEastAsia"/>
              </w:rPr>
              <w:t>投标文件递交</w:t>
            </w:r>
          </w:p>
        </w:tc>
        <w:tc>
          <w:tcPr>
            <w:tcW w:w="6330" w:type="dxa"/>
            <w:vAlign w:val="center"/>
          </w:tcPr>
          <w:p w14:paraId="7274E317">
            <w:pPr>
              <w:ind w:firstLine="0" w:firstLineChars="0"/>
              <w:rPr>
                <w:rFonts w:asciiTheme="minorEastAsia" w:hAnsiTheme="minorEastAsia" w:eastAsiaTheme="minorEastAsia"/>
                <w:kern w:val="0"/>
              </w:rPr>
            </w:pPr>
            <w:r>
              <w:rPr>
                <w:rFonts w:ascii="宋体" w:hAnsi="宋体" w:cs="宋体"/>
                <w:color w:val="000000"/>
                <w:kern w:val="0"/>
                <w:szCs w:val="21"/>
              </w:rPr>
              <w:t>1.</w:t>
            </w:r>
            <w:r>
              <w:rPr>
                <w:rFonts w:hint="eastAsia" w:ascii="宋体" w:hAnsi="宋体" w:cs="宋体"/>
                <w:color w:val="000000"/>
                <w:kern w:val="0"/>
                <w:szCs w:val="21"/>
              </w:rPr>
              <w:t>采用不接触方式（送达即走，如邮寄，以代理机构工作人员签收时间为准）提交投标文件进行投标，请各供应商充分考虑邮寄时效，确保代理机构能在响应文件提交截止时间前收到所提交的投标文件，否则将被视为“未在投标文件提交截止时间前提交投标文件”。邮寄地址:浙江省杭州市文二路391号西湖国际科技大厦 B-2座1107室浙江信镧建设工程咨询有限公司;邮件接收人:胡校芳，联系电话：0571-87967630。</w:t>
            </w:r>
          </w:p>
        </w:tc>
      </w:tr>
      <w:tr w14:paraId="1D1B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1334C6DB">
            <w:pPr>
              <w:numPr>
                <w:ilvl w:val="0"/>
                <w:numId w:val="1"/>
              </w:numPr>
              <w:spacing w:before="24" w:beforeLines="10"/>
              <w:ind w:firstLineChars="0"/>
              <w:jc w:val="center"/>
              <w:rPr>
                <w:rFonts w:cs="宋体" w:asciiTheme="minorEastAsia" w:hAnsiTheme="minorEastAsia" w:eastAsiaTheme="minorEastAsia"/>
                <w:szCs w:val="21"/>
              </w:rPr>
            </w:pPr>
            <w:bookmarkStart w:id="31" w:name="_Toc246996175"/>
            <w:bookmarkStart w:id="32" w:name="_Toc296602420"/>
            <w:bookmarkStart w:id="33" w:name="_Toc144974497"/>
            <w:bookmarkStart w:id="34" w:name="_Toc246996918"/>
            <w:bookmarkStart w:id="35" w:name="_Toc452457414"/>
            <w:bookmarkStart w:id="36" w:name="_Toc179632546"/>
            <w:bookmarkStart w:id="37" w:name="_Toc247085689"/>
            <w:bookmarkStart w:id="38" w:name="_Toc152045529"/>
            <w:bookmarkStart w:id="39" w:name="_Toc152042305"/>
          </w:p>
        </w:tc>
        <w:tc>
          <w:tcPr>
            <w:tcW w:w="1997" w:type="dxa"/>
            <w:vAlign w:val="center"/>
          </w:tcPr>
          <w:p w14:paraId="05D1AEB1">
            <w:pPr>
              <w:ind w:firstLine="0" w:firstLineChars="0"/>
              <w:rPr>
                <w:rFonts w:ascii="宋体" w:hAnsi="宋体"/>
                <w:color w:val="000000"/>
              </w:rPr>
            </w:pPr>
            <w:r>
              <w:rPr>
                <w:rFonts w:hint="eastAsia" w:ascii="宋体" w:hAnsi="宋体"/>
                <w:color w:val="000000"/>
              </w:rPr>
              <w:t>其他</w:t>
            </w:r>
          </w:p>
        </w:tc>
        <w:tc>
          <w:tcPr>
            <w:tcW w:w="6330" w:type="dxa"/>
            <w:vAlign w:val="center"/>
          </w:tcPr>
          <w:p w14:paraId="4E561E60">
            <w:pPr>
              <w:ind w:firstLine="0" w:firstLineChars="0"/>
              <w:rPr>
                <w:rFonts w:ascii="宋体" w:hAnsi="宋体" w:cs="宋体"/>
                <w:color w:val="000000"/>
                <w:kern w:val="0"/>
                <w:szCs w:val="21"/>
              </w:rPr>
            </w:pPr>
            <w:r>
              <w:rPr>
                <w:rFonts w:hint="eastAsia" w:ascii="宋体" w:hAnsi="宋体" w:cs="宋体"/>
                <w:color w:val="000000"/>
                <w:kern w:val="0"/>
                <w:szCs w:val="21"/>
              </w:rPr>
              <w:t>评审现场如需要供应商澄清、说明、补正等，均通过指定的电子邮箱ZJXL87967630@126.com向供应商发送澄清、说明、补正等，并要求在收到通知后半小时内以邮件形式作出澄清、说明、补正等。</w:t>
            </w:r>
          </w:p>
        </w:tc>
      </w:tr>
      <w:bookmarkEnd w:id="30"/>
    </w:tbl>
    <w:p w14:paraId="729342CF">
      <w:pPr>
        <w:pStyle w:val="2"/>
        <w:ind w:firstLine="0" w:firstLineChars="0"/>
        <w:rPr>
          <w:rFonts w:cs="宋体" w:asciiTheme="minorEastAsia" w:hAnsiTheme="minorEastAsia" w:eastAsiaTheme="minorEastAsia"/>
          <w:szCs w:val="21"/>
        </w:rPr>
      </w:pPr>
      <w:r>
        <w:rPr>
          <w:rFonts w:hint="eastAsia" w:asciiTheme="minorEastAsia" w:hAnsiTheme="minorEastAsia" w:eastAsiaTheme="minorEastAsia"/>
        </w:rPr>
        <w:br w:type="page"/>
      </w:r>
      <w:bookmarkEnd w:id="31"/>
      <w:bookmarkEnd w:id="32"/>
      <w:bookmarkEnd w:id="33"/>
      <w:bookmarkEnd w:id="34"/>
      <w:bookmarkEnd w:id="35"/>
      <w:bookmarkEnd w:id="36"/>
      <w:bookmarkEnd w:id="37"/>
      <w:bookmarkEnd w:id="38"/>
      <w:bookmarkEnd w:id="39"/>
      <w:bookmarkStart w:id="40" w:name="_Toc14200"/>
      <w:bookmarkStart w:id="41" w:name="_Toc82338239"/>
      <w:bookmarkStart w:id="42" w:name="_Toc450840073"/>
      <w:bookmarkStart w:id="43" w:name="_Toc82873322"/>
      <w:bookmarkStart w:id="44" w:name="_Toc246996176"/>
      <w:bookmarkStart w:id="45" w:name="_Toc179632547"/>
      <w:bookmarkStart w:id="46" w:name="_Toc247085690"/>
      <w:bookmarkStart w:id="47" w:name="_Toc296602421"/>
      <w:bookmarkStart w:id="48" w:name="_Toc246996919"/>
      <w:bookmarkStart w:id="49" w:name="_Toc152042306"/>
      <w:bookmarkStart w:id="50" w:name="_Toc152045530"/>
      <w:bookmarkStart w:id="51" w:name="_Toc144974498"/>
      <w:r>
        <w:rPr>
          <w:rFonts w:hint="eastAsia" w:cs="宋体" w:asciiTheme="minorEastAsia" w:hAnsiTheme="minorEastAsia" w:eastAsiaTheme="minorEastAsia"/>
          <w:szCs w:val="21"/>
        </w:rPr>
        <w:t>1采购说明</w:t>
      </w:r>
      <w:bookmarkEnd w:id="40"/>
      <w:bookmarkEnd w:id="41"/>
      <w:bookmarkEnd w:id="42"/>
      <w:bookmarkEnd w:id="43"/>
    </w:p>
    <w:p w14:paraId="4AD4684C">
      <w:pPr>
        <w:pStyle w:val="5"/>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1.1采购法律依据</w:t>
      </w:r>
    </w:p>
    <w:p w14:paraId="3E890313">
      <w:pPr>
        <w:ind w:firstLine="420"/>
        <w:rPr>
          <w:rFonts w:cs="宋体" w:asciiTheme="minorEastAsia" w:hAnsiTheme="minorEastAsia" w:eastAsiaTheme="minorEastAsia"/>
          <w:bCs/>
          <w:szCs w:val="21"/>
        </w:rPr>
      </w:pPr>
      <w:r>
        <w:rPr>
          <w:rFonts w:hint="eastAsia" w:cs="宋体" w:asciiTheme="minorEastAsia" w:hAnsiTheme="minorEastAsia" w:eastAsiaTheme="minorEastAsia"/>
          <w:szCs w:val="21"/>
        </w:rPr>
        <w:t>本次采购工作参照《中华人民共和国政府采购法》、《中华人民共和国政府采购法实施条例》、《政府采购货物和服务招标投标管理办法》（财政部令第87号）等有关法律法规组织和实施。</w:t>
      </w:r>
    </w:p>
    <w:p w14:paraId="40E10297">
      <w:pPr>
        <w:ind w:firstLine="42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定义</w:t>
      </w:r>
    </w:p>
    <w:p w14:paraId="61C2E04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（一）“采购代理机构”系指浙江信镧建设工程咨询有限公司。</w:t>
      </w:r>
    </w:p>
    <w:p w14:paraId="21FB646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（二）“投标人”、“供应商”系指</w:t>
      </w:r>
      <w:r>
        <w:rPr>
          <w:rFonts w:hint="eastAsia" w:cs="宋体" w:asciiTheme="minorEastAsia" w:hAnsiTheme="minorEastAsia" w:eastAsiaTheme="minorEastAsia"/>
          <w:kern w:val="0"/>
          <w:szCs w:val="21"/>
        </w:rPr>
        <w:t>向采购人提交投标文件的法人、其他组织或者自然人</w:t>
      </w:r>
      <w:r>
        <w:rPr>
          <w:rFonts w:hint="eastAsia" w:cs="宋体" w:asciiTheme="minorEastAsia" w:hAnsiTheme="minorEastAsia" w:eastAsiaTheme="minorEastAsia"/>
          <w:szCs w:val="21"/>
        </w:rPr>
        <w:t>。</w:t>
      </w:r>
    </w:p>
    <w:p w14:paraId="39ACCAF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（三）“货物”系指按招标文件规定投标人须向采购人提供的一切材料、设备、机械、仪器仪表、工具及其它有关技术资料和文字材料。</w:t>
      </w:r>
    </w:p>
    <w:p w14:paraId="5D51D61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（四）“服务”系指按招标文件规定投标人须承担的劳务以及其他类似的义务。</w:t>
      </w:r>
    </w:p>
    <w:p w14:paraId="4B5FA75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（五）“采购人”系指“见投标人须知前附表”。</w:t>
      </w:r>
    </w:p>
    <w:p w14:paraId="206AA9B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（六）“▲”指应当实质性响应的内容或条款，“★”为重要条款。</w:t>
      </w:r>
    </w:p>
    <w:p w14:paraId="1BAC861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（七）“废标”系指整个采购活动无效，当时的招标、开标、评标工作不得再继续，应予废标，即便确定了中标人，中标也无效。</w:t>
      </w:r>
    </w:p>
    <w:p w14:paraId="6C010E0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（八）“无效标”系指某一投标人的投标文件经采购人或采购代理机构审核其资格不符合招标文件要求，或者经评标委员会审核认定为无效。</w:t>
      </w:r>
    </w:p>
    <w:p w14:paraId="6E00D98D">
      <w:pPr>
        <w:ind w:firstLine="420"/>
        <w:rPr>
          <w:rFonts w:cs="宋体" w:asciiTheme="minorEastAsia" w:hAnsiTheme="minorEastAsia" w:eastAsiaTheme="minorEastAsia"/>
          <w:szCs w:val="21"/>
        </w:rPr>
      </w:pPr>
      <w:bookmarkStart w:id="52" w:name="_Hlk8572289"/>
      <w:r>
        <w:rPr>
          <w:rFonts w:hint="eastAsia" w:cs="宋体" w:asciiTheme="minorEastAsia" w:hAnsiTheme="minorEastAsia" w:eastAsiaTheme="minorEastAsia"/>
          <w:szCs w:val="21"/>
        </w:rPr>
        <w:t>（九）</w:t>
      </w:r>
      <w:bookmarkStart w:id="53" w:name="_Hlk8572236"/>
      <w:r>
        <w:rPr>
          <w:rFonts w:hint="eastAsia" w:cs="宋体" w:asciiTheme="minorEastAsia" w:hAnsiTheme="minorEastAsia" w:eastAsiaTheme="minorEastAsia"/>
          <w:szCs w:val="21"/>
        </w:rPr>
        <w:t>“公章”</w:t>
      </w:r>
      <w:bookmarkEnd w:id="53"/>
      <w:r>
        <w:rPr>
          <w:rFonts w:hint="eastAsia" w:cs="宋体" w:asciiTheme="minorEastAsia" w:hAnsiTheme="minorEastAsia" w:eastAsiaTheme="minorEastAsia"/>
          <w:szCs w:val="21"/>
        </w:rPr>
        <w:t>指投标人的行政章，采购人、采购代理机构不接受加盖其他印鉴的投标文件（如合同章、投标专用章、有序号的章等印鉴）。</w:t>
      </w:r>
    </w:p>
    <w:bookmarkEnd w:id="52"/>
    <w:p w14:paraId="69F8B879">
      <w:pPr>
        <w:pStyle w:val="5"/>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1.2合格的投标人资格要求</w:t>
      </w:r>
    </w:p>
    <w:p w14:paraId="61070F3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详见招标公告</w:t>
      </w:r>
    </w:p>
    <w:p w14:paraId="1E1366AD">
      <w:pPr>
        <w:pStyle w:val="5"/>
        <w:ind w:firstLine="0" w:firstLineChars="0"/>
        <w:rPr>
          <w:rFonts w:cs="宋体" w:asciiTheme="minorEastAsia" w:hAnsiTheme="minorEastAsia" w:eastAsiaTheme="minorEastAsia"/>
          <w:szCs w:val="21"/>
        </w:rPr>
      </w:pPr>
      <w:bookmarkStart w:id="54" w:name="_Hlk8239466"/>
      <w:r>
        <w:rPr>
          <w:rFonts w:hint="eastAsia" w:cs="宋体" w:asciiTheme="minorEastAsia" w:hAnsiTheme="minorEastAsia" w:eastAsiaTheme="minorEastAsia"/>
          <w:szCs w:val="21"/>
        </w:rPr>
        <w:t>1.3对投标人的限制及委托有关说明</w:t>
      </w:r>
    </w:p>
    <w:bookmarkEnd w:id="54"/>
    <w:p w14:paraId="34B2F5C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1.3.1授权代表须携带有效身份证件。如授权代表不是法定代表人，须有法定代表人出具的授权委托书（投标文件正本用原件，副本用复印件，格式见附件）。</w:t>
      </w:r>
    </w:p>
    <w:p w14:paraId="0111534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1.3.2投标人应仔细阅读招标文件的所有内容，按照招标文件的要求提交投标文件，并对所提供的全部资料的真实性承担法律责任。</w:t>
      </w:r>
    </w:p>
    <w:p w14:paraId="7EFD9B13">
      <w:pPr>
        <w:pStyle w:val="5"/>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1.4投标费用</w:t>
      </w:r>
    </w:p>
    <w:p w14:paraId="21CD70C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不论投标结果如何，投标人均应自行承担所有与投标有关的全部费用（招标文件有其他相反规定除外）。</w:t>
      </w:r>
    </w:p>
    <w:p w14:paraId="4FFF4354">
      <w:pPr>
        <w:pStyle w:val="3"/>
        <w:rPr>
          <w:rFonts w:cs="宋体" w:asciiTheme="minorEastAsia" w:hAnsiTheme="minorEastAsia" w:eastAsiaTheme="minorEastAsia"/>
          <w:szCs w:val="21"/>
        </w:rPr>
      </w:pPr>
      <w:bookmarkStart w:id="55" w:name="_Toc2209"/>
      <w:bookmarkStart w:id="56" w:name="_Toc6227646"/>
      <w:bookmarkStart w:id="57" w:name="_Toc82873323"/>
      <w:bookmarkStart w:id="58" w:name="_Toc450840074"/>
      <w:bookmarkStart w:id="59" w:name="_Toc82338240"/>
      <w:r>
        <w:rPr>
          <w:rFonts w:hint="eastAsia" w:cs="宋体" w:asciiTheme="minorEastAsia" w:hAnsiTheme="minorEastAsia" w:eastAsiaTheme="minorEastAsia"/>
          <w:szCs w:val="21"/>
        </w:rPr>
        <w:t>2招标文件</w:t>
      </w:r>
      <w:bookmarkEnd w:id="55"/>
      <w:bookmarkEnd w:id="56"/>
      <w:bookmarkEnd w:id="57"/>
      <w:bookmarkEnd w:id="58"/>
      <w:bookmarkEnd w:id="59"/>
    </w:p>
    <w:p w14:paraId="6F4F1B27">
      <w:pPr>
        <w:pStyle w:val="4"/>
      </w:pPr>
      <w:r>
        <w:rPr>
          <w:rFonts w:hint="eastAsia"/>
        </w:rPr>
        <w:t>2.1招标文件的组成</w:t>
      </w:r>
    </w:p>
    <w:p w14:paraId="0E45FF2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招标文件由招标文件目录所列内容及招标补充文件（如有）等组成。</w:t>
      </w:r>
    </w:p>
    <w:p w14:paraId="1691B491">
      <w:pPr>
        <w:pStyle w:val="4"/>
      </w:pPr>
      <w:r>
        <w:rPr>
          <w:rFonts w:hint="eastAsia"/>
        </w:rPr>
        <w:t>2.2招标文件的澄清与修改</w:t>
      </w:r>
    </w:p>
    <w:p w14:paraId="4744386C">
      <w:pPr>
        <w:ind w:firstLine="420"/>
        <w:rPr>
          <w:rFonts w:cs="宋体" w:asciiTheme="minorEastAsia" w:hAnsiTheme="minorEastAsia" w:eastAsiaTheme="minorEastAsia"/>
          <w:szCs w:val="21"/>
        </w:rPr>
      </w:pPr>
      <w:bookmarkStart w:id="60" w:name="_Toc82873324"/>
      <w:bookmarkStart w:id="61" w:name="_Toc450840075"/>
      <w:bookmarkStart w:id="62" w:name="_Toc82338241"/>
      <w:bookmarkStart w:id="63" w:name="_Toc6227647"/>
      <w:r>
        <w:rPr>
          <w:rFonts w:hint="eastAsia" w:cs="宋体" w:asciiTheme="minorEastAsia" w:hAnsiTheme="minorEastAsia" w:eastAsiaTheme="minorEastAsia"/>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14:paraId="1E1F8FC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2.2.2在投标截止前，采购代理机构可能会对已发出的招标文件进行必要的澄清或者修改，澄清或者修改的内容为招标文件的组成部分。</w:t>
      </w:r>
    </w:p>
    <w:p w14:paraId="1E4479C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2.2.3澄清或修改的内容可能影响投标文件编制的，采购人或者采购代理机构在投标截止时间至少15日前，在采购信息发布媒体上发布更正公告，并以书面形式通知所有获取招标文件的潜在投标人；不足15日的，采购人或者采购代理机构将顺延提交投标文件的截止时间。</w:t>
      </w:r>
    </w:p>
    <w:p w14:paraId="2ECC58B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2.2.4投标人在收到补充文件后，应在24小时内以书面形式向采购代理机构确认已收到该补充文件。逾期未确认视为已收到。</w:t>
      </w:r>
    </w:p>
    <w:p w14:paraId="2F6758F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2.2.5当招标文件与补充文件就同一内容的表述不一致时，以最后发出的书面文件为准。</w:t>
      </w:r>
    </w:p>
    <w:p w14:paraId="32698A2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2.2.6任何口头答复均不属于招标文件的组成部分。</w:t>
      </w:r>
    </w:p>
    <w:p w14:paraId="6DABC63A">
      <w:pPr>
        <w:pStyle w:val="3"/>
        <w:rPr>
          <w:rFonts w:cs="宋体" w:asciiTheme="minorEastAsia" w:hAnsiTheme="minorEastAsia" w:eastAsiaTheme="minorEastAsia"/>
          <w:szCs w:val="21"/>
        </w:rPr>
      </w:pPr>
      <w:bookmarkStart w:id="64" w:name="_Toc8773"/>
      <w:r>
        <w:rPr>
          <w:rFonts w:hint="eastAsia" w:cs="宋体" w:asciiTheme="minorEastAsia" w:hAnsiTheme="minorEastAsia" w:eastAsiaTheme="minorEastAsia"/>
          <w:szCs w:val="21"/>
        </w:rPr>
        <w:t>3投标文件</w:t>
      </w:r>
      <w:bookmarkEnd w:id="60"/>
      <w:bookmarkEnd w:id="61"/>
      <w:bookmarkEnd w:id="62"/>
      <w:bookmarkEnd w:id="63"/>
      <w:bookmarkEnd w:id="64"/>
    </w:p>
    <w:p w14:paraId="01FE1D34">
      <w:pPr>
        <w:pStyle w:val="4"/>
      </w:pPr>
      <w:bookmarkStart w:id="65" w:name="_Hlk8239818"/>
      <w:r>
        <w:rPr>
          <w:rFonts w:hint="eastAsia"/>
        </w:rPr>
        <w:t>3.1投标文件的组成</w:t>
      </w:r>
    </w:p>
    <w:p w14:paraId="7B47346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投标文件由资格证明文件、报价文件、商务技术文件三部分组成。投标文件的组成和格式见本招标文件第五章。</w:t>
      </w:r>
    </w:p>
    <w:p w14:paraId="61C0D2DF">
      <w:pPr>
        <w:pStyle w:val="4"/>
      </w:pPr>
      <w:r>
        <w:rPr>
          <w:rFonts w:hint="eastAsia"/>
        </w:rPr>
        <w:t>3.2投标文件的编制</w:t>
      </w:r>
    </w:p>
    <w:p w14:paraId="0589DD6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szCs w:val="21"/>
        </w:rPr>
        <w:t>否则可能导致不利于对其投标的评定</w:t>
      </w:r>
      <w:r>
        <w:rPr>
          <w:rFonts w:hint="eastAsia" w:cs="宋体" w:asciiTheme="minorEastAsia" w:hAnsiTheme="minorEastAsia" w:eastAsiaTheme="minorEastAsia"/>
          <w:szCs w:val="21"/>
        </w:rPr>
        <w:t>。投标文件统一采用汉语言文字，计量单位应使用中华人民共和国法定计量单位（文件中另有规定的除外）。</w:t>
      </w:r>
    </w:p>
    <w:p w14:paraId="2FBBDF2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3.2.2投标人应按照上述第3.</w:t>
      </w:r>
      <w:r>
        <w:rPr>
          <w:rFonts w:cs="宋体" w:asciiTheme="minorEastAsia" w:hAnsiTheme="minorEastAsia" w:eastAsiaTheme="minorEastAsia"/>
          <w:szCs w:val="21"/>
        </w:rPr>
        <w:t>2.1</w:t>
      </w:r>
      <w:r>
        <w:rPr>
          <w:rFonts w:hint="eastAsia" w:cs="宋体" w:asciiTheme="minorEastAsia" w:hAnsiTheme="minorEastAsia" w:eastAsiaTheme="minorEastAsia"/>
          <w:szCs w:val="21"/>
        </w:rPr>
        <w:t>条及投标人须知前附表中所提出的要求编写。</w:t>
      </w:r>
    </w:p>
    <w:p w14:paraId="5207502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3.2.3投标文件应当对招标文件规定的实质性内容应当作出明确响应。</w:t>
      </w:r>
    </w:p>
    <w:p w14:paraId="47E7BA6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3.2.4投标文件的正本需打印或用不退色的墨水填写，并注明“正本”字样。副本可以为正本的复印件，并注明“副本”字样。当副本和正本不一致时，以正本为准。</w:t>
      </w:r>
    </w:p>
    <w:p w14:paraId="38B8322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3.2.5投标文件由投标人的法定代表人或其委托代理人签字（或盖章）、盖单位公章。</w:t>
      </w:r>
    </w:p>
    <w:p w14:paraId="1EBE4C7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3.2.6投标文件份数要求详见“投标人须知前附表”。</w:t>
      </w:r>
    </w:p>
    <w:p w14:paraId="23E9DF4C">
      <w:pPr>
        <w:ind w:firstLine="420"/>
        <w:rPr>
          <w:rFonts w:cs="宋体" w:asciiTheme="minorEastAsia" w:hAnsiTheme="minorEastAsia" w:eastAsiaTheme="minorEastAsia"/>
        </w:rPr>
      </w:pPr>
      <w:r>
        <w:rPr>
          <w:rFonts w:hint="eastAsia" w:cs="宋体" w:asciiTheme="minorEastAsia" w:hAnsiTheme="minorEastAsia" w:eastAsiaTheme="minorEastAsia"/>
        </w:rPr>
        <w:t>3.2.7投标文件编制、签署、盖章、装订及密封要求详见“投标人须知前附表”。</w:t>
      </w:r>
    </w:p>
    <w:p w14:paraId="678B2E12">
      <w:pPr>
        <w:ind w:firstLine="420"/>
        <w:rPr>
          <w:rFonts w:cs="宋体" w:asciiTheme="minorEastAsia" w:hAnsiTheme="minorEastAsia" w:eastAsiaTheme="minorEastAsia"/>
          <w:szCs w:val="21"/>
        </w:rPr>
      </w:pPr>
      <w:r>
        <w:rPr>
          <w:rFonts w:hint="eastAsia" w:cs="宋体" w:asciiTheme="minorEastAsia" w:hAnsiTheme="minorEastAsia" w:eastAsiaTheme="minorEastAsia"/>
        </w:rPr>
        <w:t>3.2.8</w:t>
      </w:r>
      <w:r>
        <w:rPr>
          <w:rFonts w:hint="eastAsia" w:cs="宋体" w:asciiTheme="minorEastAsia" w:hAnsiTheme="minorEastAsia" w:eastAsiaTheme="minorEastAsia"/>
          <w:szCs w:val="21"/>
        </w:rPr>
        <w:t>投标文件不得涂改和增删，若有错漏必须修改，修改处必须加盖投标人公章或者法定代表人或授权委托人签名或盖章。</w:t>
      </w:r>
    </w:p>
    <w:p w14:paraId="738C10F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3.2.9投标文件因字迹潦草或表达不清楚所引起的后果由投标人负责。</w:t>
      </w:r>
    </w:p>
    <w:bookmarkEnd w:id="65"/>
    <w:p w14:paraId="2CB6AAD0">
      <w:pPr>
        <w:pStyle w:val="4"/>
      </w:pPr>
      <w:r>
        <w:rPr>
          <w:rFonts w:hint="eastAsia"/>
        </w:rPr>
        <w:t>3.3报价要求</w:t>
      </w:r>
    </w:p>
    <w:p w14:paraId="7E3AF075">
      <w:pPr>
        <w:ind w:firstLine="420"/>
        <w:rPr>
          <w:rFonts w:ascii="宋体" w:hAnsi="宋体" w:cs="宋体"/>
          <w:szCs w:val="21"/>
        </w:rPr>
      </w:pPr>
      <w:r>
        <w:rPr>
          <w:rFonts w:hint="eastAsia" w:cs="宋体" w:asciiTheme="minorEastAsia" w:hAnsiTheme="minorEastAsia" w:eastAsiaTheme="minorEastAsia"/>
          <w:szCs w:val="21"/>
        </w:rPr>
        <w:t>3.3.1投标报价：综合单价，按实结算。</w:t>
      </w:r>
      <w:r>
        <w:rPr>
          <w:rFonts w:hint="eastAsia" w:cs="宋体" w:asciiTheme="minorEastAsia" w:hAnsiTheme="minorEastAsia" w:eastAsiaTheme="minorEastAsia"/>
        </w:rPr>
        <w:t>将人工费、材料费、机械费、管理费、</w:t>
      </w:r>
      <w:r>
        <w:rPr>
          <w:rFonts w:hint="eastAsia"/>
        </w:rPr>
        <w:t>监理费、</w:t>
      </w:r>
      <w:r>
        <w:rPr>
          <w:rFonts w:hint="eastAsia" w:cs="宋体" w:asciiTheme="minorEastAsia" w:hAnsiTheme="minorEastAsia" w:eastAsiaTheme="minorEastAsia"/>
        </w:rPr>
        <w:t>税金、利润等完成所投标项规定的服务内容所产生的全部费用及招标代理服务费均包含在综合单价之中。</w:t>
      </w:r>
    </w:p>
    <w:p w14:paraId="63592376">
      <w:pPr>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rPr>
        <w:t>3.3.</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投标人对所投标项的服务必须按采购数量全部进行报价。</w:t>
      </w:r>
    </w:p>
    <w:p w14:paraId="631D5070">
      <w:pPr>
        <w:ind w:firstLine="420"/>
        <w:rPr>
          <w:rFonts w:cs="宋体" w:asciiTheme="minorEastAsia" w:hAnsiTheme="minorEastAsia" w:eastAsiaTheme="minorEastAsia"/>
          <w:szCs w:val="21"/>
        </w:rPr>
      </w:pPr>
      <w:r>
        <w:rPr>
          <w:rFonts w:hint="eastAsia" w:cs="宋体" w:asciiTheme="minorEastAsia" w:hAnsiTheme="minorEastAsia" w:eastAsiaTheme="minorEastAsia"/>
          <w:bCs/>
          <w:szCs w:val="21"/>
        </w:rPr>
        <w:t>3.3.</w:t>
      </w: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每标项只允许有一个报价，不接受有选择报价的投标文件。</w:t>
      </w:r>
    </w:p>
    <w:p w14:paraId="6F4260AC">
      <w:pPr>
        <w:ind w:firstLine="420"/>
        <w:rPr>
          <w:rFonts w:cs="宋体" w:asciiTheme="minorEastAsia" w:hAnsiTheme="minorEastAsia" w:eastAsiaTheme="minorEastAsia"/>
          <w:b/>
          <w:szCs w:val="21"/>
        </w:rPr>
      </w:pPr>
      <w:r>
        <w:rPr>
          <w:rFonts w:hint="eastAsia" w:cs="宋体" w:asciiTheme="minorEastAsia" w:hAnsiTheme="minorEastAsia" w:eastAsiaTheme="minorEastAsia"/>
          <w:szCs w:val="21"/>
        </w:rPr>
        <w:t>3.3.</w:t>
      </w:r>
      <w:r>
        <w:rPr>
          <w:rFonts w:cs="宋体" w:asciiTheme="minorEastAsia" w:hAnsiTheme="minorEastAsia" w:eastAsiaTheme="minorEastAsia"/>
          <w:szCs w:val="21"/>
        </w:rPr>
        <w:t>4</w:t>
      </w:r>
      <w:r>
        <w:rPr>
          <w:rFonts w:hint="eastAsia" w:cs="宋体" w:asciiTheme="minorEastAsia" w:hAnsiTheme="minorEastAsia" w:eastAsiaTheme="minorEastAsia"/>
          <w:bCs/>
          <w:szCs w:val="21"/>
        </w:rPr>
        <w:t>投标人的报价应按招标文件要求的格式、顺序编制。</w:t>
      </w:r>
    </w:p>
    <w:p w14:paraId="227E2CE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3.3.</w:t>
      </w:r>
      <w:r>
        <w:rPr>
          <w:rFonts w:cs="宋体" w:asciiTheme="minorEastAsia" w:hAnsiTheme="minorEastAsia" w:eastAsiaTheme="minorEastAsia"/>
          <w:szCs w:val="21"/>
        </w:rPr>
        <w:t>5</w:t>
      </w:r>
      <w:r>
        <w:rPr>
          <w:rFonts w:hint="eastAsia" w:cs="宋体" w:asciiTheme="minorEastAsia" w:hAnsiTheme="minorEastAsia" w:eastAsiaTheme="minorEastAsia"/>
          <w:szCs w:val="21"/>
        </w:rPr>
        <w:t>投标报价明细表应按不同费用类别分类填写，详见投标文件附件格式。</w:t>
      </w:r>
    </w:p>
    <w:p w14:paraId="7AE1B30B">
      <w:pPr>
        <w:pStyle w:val="4"/>
      </w:pPr>
      <w:bookmarkStart w:id="66" w:name="_Toc82873316"/>
      <w:bookmarkStart w:id="67" w:name="_Toc450840079"/>
      <w:bookmarkStart w:id="68" w:name="_Toc82338233"/>
      <w:r>
        <w:rPr>
          <w:rFonts w:hint="eastAsia"/>
        </w:rPr>
        <w:t>3.4投标有效期</w:t>
      </w:r>
    </w:p>
    <w:p w14:paraId="7EC1E1B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3.4.1投标有效期见投标人须知前附表。投标有效期内，投标文件应保持有效。</w:t>
      </w:r>
    </w:p>
    <w:p w14:paraId="6D8EB87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3.4.2在特殊情况下，采购人可与投标人协商延长投标有效期，这种要求和答复均应以书面形式进行。同意延长有效期的投标人不能修改投标文件。</w:t>
      </w:r>
    </w:p>
    <w:p w14:paraId="44270AE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3.4.3投标人可拒绝接受延期。</w:t>
      </w:r>
    </w:p>
    <w:p w14:paraId="22324F6D">
      <w:pPr>
        <w:pStyle w:val="3"/>
        <w:rPr>
          <w:rFonts w:cs="宋体" w:asciiTheme="minorEastAsia" w:hAnsiTheme="minorEastAsia" w:eastAsiaTheme="minorEastAsia"/>
          <w:szCs w:val="21"/>
        </w:rPr>
      </w:pPr>
      <w:bookmarkStart w:id="69" w:name="_Toc28461"/>
      <w:bookmarkStart w:id="70" w:name="_Toc82873325"/>
      <w:bookmarkStart w:id="71" w:name="_Toc82338242"/>
      <w:bookmarkStart w:id="72" w:name="_Toc6227648"/>
      <w:bookmarkStart w:id="73" w:name="_Toc450840076"/>
      <w:r>
        <w:rPr>
          <w:rFonts w:hint="eastAsia" w:cs="宋体" w:asciiTheme="minorEastAsia" w:hAnsiTheme="minorEastAsia" w:eastAsiaTheme="minorEastAsia"/>
          <w:szCs w:val="21"/>
        </w:rPr>
        <w:t>4投标文件的提交</w:t>
      </w:r>
      <w:bookmarkEnd w:id="69"/>
      <w:bookmarkEnd w:id="70"/>
      <w:bookmarkEnd w:id="71"/>
      <w:bookmarkEnd w:id="72"/>
      <w:bookmarkEnd w:id="73"/>
    </w:p>
    <w:p w14:paraId="73CFB650">
      <w:pPr>
        <w:pStyle w:val="4"/>
      </w:pPr>
      <w:r>
        <w:rPr>
          <w:rFonts w:hint="eastAsia"/>
        </w:rPr>
        <w:t>4.1投标文件的标记、装订及密封</w:t>
      </w:r>
    </w:p>
    <w:p w14:paraId="2F94796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4.1.1见投标人须知前附表</w:t>
      </w:r>
    </w:p>
    <w:p w14:paraId="23747B0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4.1.2如果投标人未按上述要求密封及加写标记，采购人对投标文件的误投和提前启封不负责任。</w:t>
      </w:r>
    </w:p>
    <w:p w14:paraId="346F8EC1">
      <w:pPr>
        <w:pStyle w:val="4"/>
      </w:pPr>
      <w:bookmarkStart w:id="74" w:name="_Hlk8240030"/>
      <w:r>
        <w:rPr>
          <w:rFonts w:hint="eastAsia"/>
        </w:rPr>
        <w:t>4.2投标截止时间及截止时间的变更</w:t>
      </w:r>
    </w:p>
    <w:p w14:paraId="3D6F33D4">
      <w:pPr>
        <w:ind w:firstLine="420"/>
        <w:rPr>
          <w:rFonts w:asciiTheme="minorEastAsia" w:hAnsiTheme="minorEastAsia" w:eastAsiaTheme="minorEastAsia"/>
          <w:bCs/>
        </w:rPr>
      </w:pPr>
      <w:r>
        <w:rPr>
          <w:rFonts w:hint="eastAsia" w:asciiTheme="minorEastAsia" w:hAnsiTheme="minorEastAsia" w:eastAsiaTheme="minorEastAsia"/>
          <w:bCs/>
        </w:rPr>
        <w:t>4.2.1投标文件必须在规定的提交截止时间前（见投标人须知前附表）送达指定的投标文件提交地点，逾期送达的，采购代理机构将拒收其投标文件。</w:t>
      </w:r>
    </w:p>
    <w:p w14:paraId="74BE729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74"/>
    <w:p w14:paraId="3FF48D47">
      <w:pPr>
        <w:pStyle w:val="4"/>
      </w:pPr>
      <w:r>
        <w:rPr>
          <w:rFonts w:hint="eastAsia"/>
        </w:rPr>
        <w:t>4.3投标文件的修改和撤回</w:t>
      </w:r>
    </w:p>
    <w:p w14:paraId="629726B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14:paraId="7272BE7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4.3.2投标人的修改文件，应按本须知规定编制、密封、标志和递交（在密封物上标明修改字样），如果一份投标文件有几份函件时，应注明哪一份有效，否则所作修改视为无效。</w:t>
      </w:r>
    </w:p>
    <w:p w14:paraId="0ABB883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4.3.3投标修改文件必须密封，在密封袋上写明项目编号、项目名称、投标人名称、并注明“修改文件”、“开标时启封”字样。</w:t>
      </w:r>
    </w:p>
    <w:p w14:paraId="3D2AB42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4.3.4</w:t>
      </w:r>
      <w:bookmarkStart w:id="75" w:name="_Hlk8240140"/>
      <w:r>
        <w:rPr>
          <w:rFonts w:hint="eastAsia" w:cs="宋体" w:asciiTheme="minorEastAsia" w:hAnsiTheme="minorEastAsia" w:eastAsiaTheme="minorEastAsia"/>
          <w:szCs w:val="21"/>
        </w:rPr>
        <w:t>投标截止时间之前，</w:t>
      </w:r>
      <w:bookmarkEnd w:id="75"/>
      <w:r>
        <w:rPr>
          <w:rFonts w:hint="eastAsia" w:cs="宋体" w:asciiTheme="minorEastAsia" w:hAnsiTheme="minorEastAsia" w:eastAsiaTheme="minorEastAsia"/>
          <w:szCs w:val="21"/>
        </w:rPr>
        <w:t>投标人以传真形式通知采购人撤回投标时，必须随后补充有法定代表人或法定代表人授权委托人签署的正式文件。</w:t>
      </w:r>
    </w:p>
    <w:p w14:paraId="1A862EF0">
      <w:pPr>
        <w:pStyle w:val="4"/>
      </w:pPr>
      <w:r>
        <w:rPr>
          <w:rFonts w:hint="eastAsia"/>
        </w:rPr>
        <w:t>4.4投标文件的澄清与修正</w:t>
      </w:r>
    </w:p>
    <w:p w14:paraId="53B1866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2AD29BF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4.4.2投标文件报价出现前后不一致的，除招标文件另有规定外，按照下列规定修正：</w:t>
      </w:r>
    </w:p>
    <w:p w14:paraId="615D317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（一）投标文件中开标一览表（报价表）内容与投标文件中相应内容不一致的，以开标一览表（报价表）为准；</w:t>
      </w:r>
    </w:p>
    <w:p w14:paraId="0134EAF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（二）大写金额和小写金额不一致的，以大写金额为准；</w:t>
      </w:r>
    </w:p>
    <w:p w14:paraId="0C1237F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（三）单价金额小数点或者百分比有明显错位的，以开标一览表的总价为准，并修改单价；</w:t>
      </w:r>
    </w:p>
    <w:p w14:paraId="0630035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（四）总价金额与按单价汇总金额不一致的，以单价金额计算结果为准。</w:t>
      </w:r>
    </w:p>
    <w:p w14:paraId="01988FF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14:paraId="3FB28DAD">
      <w:pPr>
        <w:pStyle w:val="3"/>
        <w:rPr>
          <w:rFonts w:cs="宋体" w:asciiTheme="minorEastAsia" w:hAnsiTheme="minorEastAsia" w:eastAsiaTheme="minorEastAsia"/>
          <w:szCs w:val="21"/>
        </w:rPr>
      </w:pPr>
      <w:bookmarkStart w:id="76" w:name="_Toc82873326"/>
      <w:bookmarkStart w:id="77" w:name="_Toc82338243"/>
      <w:bookmarkStart w:id="78" w:name="_Toc2078365"/>
      <w:bookmarkStart w:id="79" w:name="_Toc482006357"/>
      <w:bookmarkStart w:id="80" w:name="_Toc6227649"/>
      <w:bookmarkStart w:id="81" w:name="_Toc450840077"/>
      <w:bookmarkStart w:id="82" w:name="_Toc14186"/>
      <w:r>
        <w:rPr>
          <w:rFonts w:hint="eastAsia" w:cs="宋体" w:asciiTheme="minorEastAsia" w:hAnsiTheme="minorEastAsia" w:eastAsiaTheme="minorEastAsia"/>
          <w:szCs w:val="21"/>
        </w:rPr>
        <w:t>5开标、评</w:t>
      </w:r>
      <w:bookmarkEnd w:id="76"/>
      <w:bookmarkEnd w:id="77"/>
      <w:r>
        <w:rPr>
          <w:rFonts w:hint="eastAsia" w:cs="宋体" w:asciiTheme="minorEastAsia" w:hAnsiTheme="minorEastAsia" w:eastAsiaTheme="minorEastAsia"/>
          <w:szCs w:val="21"/>
        </w:rPr>
        <w:t>标及</w:t>
      </w:r>
      <w:bookmarkEnd w:id="78"/>
      <w:bookmarkEnd w:id="79"/>
      <w:bookmarkEnd w:id="80"/>
      <w:bookmarkEnd w:id="81"/>
      <w:r>
        <w:rPr>
          <w:rFonts w:hint="eastAsia" w:cs="宋体" w:asciiTheme="minorEastAsia" w:hAnsiTheme="minorEastAsia" w:eastAsiaTheme="minorEastAsia"/>
          <w:szCs w:val="21"/>
        </w:rPr>
        <w:t>定标</w:t>
      </w:r>
      <w:bookmarkEnd w:id="82"/>
    </w:p>
    <w:p w14:paraId="1153CAB2">
      <w:pPr>
        <w:pStyle w:val="4"/>
      </w:pPr>
      <w:r>
        <w:rPr>
          <w:rFonts w:hint="eastAsia"/>
        </w:rPr>
        <w:t>5.1开标</w:t>
      </w:r>
    </w:p>
    <w:p w14:paraId="309FD35D">
      <w:pPr>
        <w:ind w:firstLine="420"/>
      </w:pPr>
      <w:r>
        <w:rPr>
          <w:rFonts w:hint="eastAsia"/>
        </w:rPr>
        <w:t>5.1.1采购代理机构开启开标场地的录音录像采集设备，并确保其正常运行；</w:t>
      </w:r>
    </w:p>
    <w:p w14:paraId="69450C67">
      <w:pPr>
        <w:ind w:firstLine="420"/>
      </w:pPr>
      <w:r>
        <w:rPr>
          <w:rFonts w:hint="eastAsia"/>
        </w:rPr>
        <w:t>5.1.2采购代理机构将按照招标文件规定的时间组织开标、开启投标文件；</w:t>
      </w:r>
    </w:p>
    <w:p w14:paraId="0A57C6E0">
      <w:pPr>
        <w:ind w:firstLine="420"/>
      </w:pPr>
      <w:r>
        <w:rPr>
          <w:rFonts w:hint="eastAsia"/>
        </w:rPr>
        <w:t>5.1.3开启标书结束后，通过邮件形式发送各投标人组织签署《采购活动现场确认声明书》并对供应商资格证明文件进行查验、核实；</w:t>
      </w:r>
    </w:p>
    <w:p w14:paraId="45E17389">
      <w:pPr>
        <w:ind w:firstLine="420"/>
      </w:pPr>
      <w:r>
        <w:rPr>
          <w:rFonts w:hint="eastAsia"/>
        </w:rPr>
        <w:t>5.1.6资格审查通过的投标供应商的商务技术文件进入符合性审查、商务技术评审；</w:t>
      </w:r>
    </w:p>
    <w:p w14:paraId="2A09A653">
      <w:pPr>
        <w:ind w:firstLine="420"/>
      </w:pPr>
      <w:r>
        <w:rPr>
          <w:rFonts w:hint="eastAsia"/>
        </w:rPr>
        <w:t>5.1.7符合性审查、商务技术评审结束后。开启符合性审查、商务技术评审有效投标供应商的报价文件，同时当场制作开标记录表</w:t>
      </w:r>
      <w:r>
        <w:t>。唱标结束后，由评标委员会对报价的合理性、准确性等进行审查核实</w:t>
      </w:r>
      <w:r>
        <w:rPr>
          <w:rFonts w:hint="eastAsia"/>
        </w:rPr>
        <w:t>。</w:t>
      </w:r>
    </w:p>
    <w:p w14:paraId="7A4D4E4D">
      <w:pPr>
        <w:ind w:firstLine="420"/>
      </w:pPr>
      <w:r>
        <w:rPr>
          <w:rFonts w:hint="eastAsia"/>
        </w:rPr>
        <w:t>5.1.9评审结束后，公布中标（成交）候选供应商名单。</w:t>
      </w:r>
    </w:p>
    <w:p w14:paraId="58D72A00">
      <w:pPr>
        <w:pStyle w:val="4"/>
      </w:pPr>
      <w:r>
        <w:rPr>
          <w:rFonts w:hint="eastAsia"/>
        </w:rPr>
        <w:t>5.2投标人不足三家情况处理</w:t>
      </w:r>
    </w:p>
    <w:p w14:paraId="2E83419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投标截止时间结束后或评标过程中参加标项投标的投标人不足三家的，除采购任务取消情形外，采购人可选择以下方式之一处理：</w:t>
      </w:r>
    </w:p>
    <w:p w14:paraId="2069F71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（1）将本标项作废标处理，重新组织采购；</w:t>
      </w:r>
    </w:p>
    <w:p w14:paraId="5385685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（2）根据监管部门的审批意见采用其他采购方式组织采购。</w:t>
      </w:r>
    </w:p>
    <w:p w14:paraId="01D05913">
      <w:pPr>
        <w:pStyle w:val="4"/>
      </w:pPr>
      <w:r>
        <w:rPr>
          <w:rFonts w:hint="eastAsia"/>
        </w:rPr>
        <w:t>5.3审查内容</w:t>
      </w:r>
    </w:p>
    <w:p w14:paraId="36F8D477">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5.3.1投标文件资格性审查</w:t>
      </w:r>
    </w:p>
    <w:p w14:paraId="7B99881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5.3.1.1采购人或者采购代理机构应当依法对投标人的资格进行审查，以确定投标人是否具备投标资格。</w:t>
      </w:r>
    </w:p>
    <w:p w14:paraId="01414D7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5.3.1.</w:t>
      </w:r>
      <w:r>
        <w:rPr>
          <w:rFonts w:cs="宋体" w:asciiTheme="minorEastAsia" w:hAnsiTheme="minorEastAsia" w:eastAsiaTheme="minorEastAsia"/>
          <w:szCs w:val="21"/>
        </w:rPr>
        <w:t>2</w:t>
      </w:r>
      <w:r>
        <w:rPr>
          <w:rFonts w:hint="eastAsia" w:cs="宋体" w:asciiTheme="minorEastAsia" w:hAnsiTheme="minorEastAsia" w:eastAsiaTheme="minorEastAsia"/>
          <w:szCs w:val="21"/>
        </w:rPr>
        <w:t>对投标文件的判定，只依据投标内容本身，不依靠开标后的任何外来证明。如投标人提交的资质证明或其他内容不齐全，由此造成的后果由投标人自己负责。</w:t>
      </w:r>
    </w:p>
    <w:p w14:paraId="41A60BE4">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5.3.2投标文件符合性审查</w:t>
      </w:r>
    </w:p>
    <w:p w14:paraId="2B8408D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14:paraId="6D795523">
      <w:pPr>
        <w:pStyle w:val="4"/>
      </w:pPr>
      <w:r>
        <w:rPr>
          <w:rFonts w:hint="eastAsia"/>
        </w:rPr>
        <w:t>5.4评标</w:t>
      </w:r>
    </w:p>
    <w:p w14:paraId="7822342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5.4.1评标原则</w:t>
      </w:r>
    </w:p>
    <w:p w14:paraId="5B7113E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14:paraId="7F69952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5.4.2评标组织</w:t>
      </w:r>
    </w:p>
    <w:p w14:paraId="405842C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5.4.2.1评标工作由采购人或采购代理机构组建的评标委员会负责。评标委员会由采购人代表和评审专家组成，成员人数应当为5人以上单数，其中评审专家不得少于成员总数的三分之二。</w:t>
      </w:r>
    </w:p>
    <w:p w14:paraId="313A1B2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5.4.2.2评标委员会在成员之中（除采购人代表）可推荐一名组长，主持评标工作，集各成员意见，使整个评标工作有序有效地进行。</w:t>
      </w:r>
    </w:p>
    <w:p w14:paraId="5571CBB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5.4.3评标纪律</w:t>
      </w:r>
    </w:p>
    <w:p w14:paraId="156CCD0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5.4.3.1开标、评标过程由监督人全过程监督，整个评标过程应严格保密，评标委员会成员及工作人员应严格遵守纪律，不得泄露任何评标信息。</w:t>
      </w:r>
    </w:p>
    <w:p w14:paraId="24016257">
      <w:pPr>
        <w:ind w:firstLine="415" w:firstLineChars="198"/>
        <w:rPr>
          <w:rFonts w:asciiTheme="minorEastAsia" w:hAnsiTheme="minorEastAsia" w:eastAsiaTheme="minorEastAsia"/>
          <w:szCs w:val="21"/>
        </w:rPr>
      </w:pPr>
      <w:r>
        <w:rPr>
          <w:rFonts w:hint="eastAsia" w:cs="宋体" w:asciiTheme="minorEastAsia" w:hAnsiTheme="minorEastAsia" w:eastAsiaTheme="minorEastAsia"/>
          <w:szCs w:val="21"/>
        </w:rPr>
        <w:t>5.4.3.2评标委员会应遵循公平、公正、科学、择优的原则，</w:t>
      </w:r>
      <w:r>
        <w:rPr>
          <w:rFonts w:hint="eastAsia" w:asciiTheme="minorEastAsia" w:hAnsiTheme="minorEastAsia" w:eastAsiaTheme="minorEastAsia"/>
          <w:szCs w:val="21"/>
        </w:rPr>
        <w:t>按照招标文件及其评标办法规定的方法、评审因素、标准和程序，</w:t>
      </w:r>
      <w:r>
        <w:rPr>
          <w:rFonts w:hint="eastAsia" w:cs="宋体" w:asciiTheme="minorEastAsia" w:hAnsiTheme="minorEastAsia" w:eastAsiaTheme="minorEastAsia"/>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szCs w:val="21"/>
        </w:rPr>
        <w:t>招标文件及其评标办法没有规定的方法、评审因素、标准和程序，不得作为评标依据。</w:t>
      </w:r>
    </w:p>
    <w:p w14:paraId="3109541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5.4.3.3评标委员会对投标文件的判定，只依据投标文件内容本身，不依靠开标后的任何外来证明。</w:t>
      </w:r>
    </w:p>
    <w:p w14:paraId="681251F0">
      <w:pPr>
        <w:pStyle w:val="4"/>
      </w:pPr>
      <w:r>
        <w:rPr>
          <w:rFonts w:hint="eastAsia"/>
        </w:rPr>
        <w:t>5.5评标流程</w:t>
      </w:r>
    </w:p>
    <w:p w14:paraId="4B7109C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对通过资格审查的投标文件，由评标委员会进行评标，流程是：</w:t>
      </w:r>
    </w:p>
    <w:p w14:paraId="7ADE7FD5">
      <w:pPr>
        <w:ind w:firstLine="420"/>
        <w:rPr>
          <w:rFonts w:cs="宋体" w:asciiTheme="minorEastAsia" w:hAnsiTheme="minorEastAsia" w:eastAsiaTheme="minorEastAsia"/>
          <w:szCs w:val="21"/>
        </w:rPr>
      </w:pPr>
      <w:bookmarkStart w:id="83" w:name="_Hlk7904078"/>
      <w:r>
        <w:rPr>
          <w:rFonts w:hint="eastAsia" w:cs="宋体" w:asciiTheme="minorEastAsia" w:hAnsiTheme="minorEastAsia" w:eastAsiaTheme="minorEastAsia"/>
          <w:szCs w:val="21"/>
        </w:rPr>
        <w:t>评标委员会推荐组长—符合性审查—资信部分评审打分—商务、技术部分评审打分—公布资信、技术总得分—公开唱投标报价—报价文件审查、计算报价得分—编写评标报告，并签署—宣布评标结果。</w:t>
      </w:r>
      <w:bookmarkEnd w:id="83"/>
    </w:p>
    <w:p w14:paraId="535F6B70">
      <w:pPr>
        <w:pStyle w:val="4"/>
      </w:pPr>
      <w:r>
        <w:rPr>
          <w:rFonts w:hint="eastAsia"/>
        </w:rPr>
        <w:t>5.6评标报告</w:t>
      </w:r>
    </w:p>
    <w:p w14:paraId="239A59A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评标结束后，评标委员会应当向采购人提交评标报告。</w:t>
      </w:r>
    </w:p>
    <w:p w14:paraId="4B5FBBC5">
      <w:pPr>
        <w:pStyle w:val="4"/>
      </w:pPr>
      <w:r>
        <w:rPr>
          <w:rFonts w:hint="eastAsia"/>
        </w:rPr>
        <w:t>5.7开标评标过程的监控</w:t>
      </w:r>
    </w:p>
    <w:p w14:paraId="1C420A4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开标评标过程实行全程录音录像。</w:t>
      </w:r>
    </w:p>
    <w:p w14:paraId="474ECAC4">
      <w:pPr>
        <w:pStyle w:val="4"/>
      </w:pPr>
      <w:r>
        <w:rPr>
          <w:rFonts w:hint="eastAsia"/>
        </w:rPr>
        <w:t>5.8评标过程保密</w:t>
      </w:r>
    </w:p>
    <w:p w14:paraId="15E8D56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14:paraId="15DCABF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5.8.2在评标期间，投标人企图影响采购人、采购代理机构、评标委员会及其成员的任何违法违规活动，将导致投标被拒绝，并承担相应的法律责任。</w:t>
      </w:r>
    </w:p>
    <w:p w14:paraId="57B1C0F0">
      <w:pPr>
        <w:pStyle w:val="4"/>
      </w:pPr>
      <w:r>
        <w:rPr>
          <w:rFonts w:hint="eastAsia"/>
        </w:rPr>
        <w:t>5.9中标条件</w:t>
      </w:r>
    </w:p>
    <w:p w14:paraId="3B15690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5.9.1通过资格审查的。</w:t>
      </w:r>
    </w:p>
    <w:p w14:paraId="4AD8EEC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5.9.2投标文件完全响应招标文件中的实质性要求。</w:t>
      </w:r>
    </w:p>
    <w:p w14:paraId="49CD692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5.9.3有良好的合同执行能力和售后服务承诺。</w:t>
      </w:r>
    </w:p>
    <w:p w14:paraId="14ABCC4C">
      <w:pPr>
        <w:ind w:firstLine="420"/>
        <w:rPr>
          <w:rFonts w:cs="宋体" w:asciiTheme="minorEastAsia" w:hAnsiTheme="minorEastAsia" w:eastAsiaTheme="minorEastAsia"/>
          <w:szCs w:val="21"/>
        </w:rPr>
      </w:pPr>
      <w:r>
        <w:rPr>
          <w:rFonts w:hint="eastAsia" w:cs="宋体" w:asciiTheme="minorEastAsia" w:hAnsiTheme="minorEastAsia" w:eastAsiaTheme="minorEastAsia"/>
          <w:bCs/>
          <w:szCs w:val="21"/>
        </w:rPr>
        <w:t>5.9.4采购人将把中标通知书授予经评标委员会评审综合评分第一的中标候选人</w:t>
      </w: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最低报价并不是中标的保证。</w:t>
      </w:r>
    </w:p>
    <w:p w14:paraId="2EFD47A2">
      <w:pPr>
        <w:pStyle w:val="4"/>
      </w:pPr>
      <w:r>
        <w:rPr>
          <w:rFonts w:hint="eastAsia"/>
        </w:rPr>
        <w:t>5.10定标办法</w:t>
      </w:r>
    </w:p>
    <w:p w14:paraId="3C79981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5.10.1定标由采购人授权评标委员会确定，原则上应确定通过资格审查、符合性审查且综合得分排名第一的中标候选人为中标人。如出现下列情况之一的，采购人可以确定排名第二的候选人为中标人：</w:t>
      </w:r>
    </w:p>
    <w:p w14:paraId="6AA1265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对采购过程、中标或者成交结果提出的质疑，合格供应商符合法定数量时，可以从合格的中标或者成交候选人中另行确定中标、成交供应商</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否则应当重新开展采购活动。</w:t>
      </w:r>
    </w:p>
    <w:p w14:paraId="6426F1C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5.10.2采购人在确定第二中标候选人为中标人的，应当在确定前向监管部门报告说明。</w:t>
      </w:r>
    </w:p>
    <w:p w14:paraId="797BA87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w:t>
      </w:r>
      <w:r>
        <w:rPr>
          <w:rFonts w:cs="宋体" w:asciiTheme="minorEastAsia" w:hAnsiTheme="minorEastAsia" w:eastAsiaTheme="minorEastAsia"/>
          <w:szCs w:val="21"/>
        </w:rPr>
        <w:t>3</w:t>
      </w:r>
      <w:r>
        <w:rPr>
          <w:rFonts w:hint="eastAsia" w:cs="宋体" w:asciiTheme="minorEastAsia" w:hAnsiTheme="minorEastAsia" w:eastAsiaTheme="minorEastAsia"/>
          <w:szCs w:val="21"/>
        </w:rPr>
        <w:t>不得通过对样品进行检测、对投标人进行考察等方式改变评标结果。</w:t>
      </w:r>
    </w:p>
    <w:p w14:paraId="3DA435F2">
      <w:pPr>
        <w:pStyle w:val="4"/>
      </w:pPr>
      <w:r>
        <w:rPr>
          <w:rFonts w:hint="eastAsia"/>
        </w:rPr>
        <w:t>5.11落标解释</w:t>
      </w:r>
    </w:p>
    <w:p w14:paraId="07632C6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采购人、采购代理机构及评标委员会对未成交的投标人不作落标原因解释。</w:t>
      </w:r>
    </w:p>
    <w:p w14:paraId="5465214E">
      <w:pPr>
        <w:pStyle w:val="4"/>
      </w:pPr>
      <w:r>
        <w:rPr>
          <w:rFonts w:hint="eastAsia"/>
        </w:rPr>
        <w:t>5.12中标公告</w:t>
      </w:r>
    </w:p>
    <w:p w14:paraId="37FEF72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5.12.1</w:t>
      </w:r>
      <w:r>
        <w:rPr>
          <w:rFonts w:hint="eastAsia" w:asciiTheme="minorEastAsia" w:hAnsiTheme="minorEastAsia" w:eastAsiaTheme="minorEastAsia"/>
          <w:szCs w:val="21"/>
        </w:rPr>
        <w:t>定标后</w:t>
      </w:r>
      <w:r>
        <w:rPr>
          <w:rFonts w:hint="eastAsia" w:cs="宋体" w:asciiTheme="minorEastAsia" w:hAnsiTheme="minorEastAsia" w:eastAsiaTheme="minorEastAsia"/>
          <w:szCs w:val="21"/>
        </w:rPr>
        <w:t>，由采购代理机构在浙江政府采购网公布中标结果，同日，由采购代理机构发出中标通知书。</w:t>
      </w:r>
    </w:p>
    <w:p w14:paraId="76E824B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5.12.2公告期限为1个工作日。</w:t>
      </w:r>
    </w:p>
    <w:p w14:paraId="41A67C81">
      <w:pPr>
        <w:pStyle w:val="4"/>
      </w:pPr>
      <w:r>
        <w:rPr>
          <w:rFonts w:hint="eastAsia"/>
        </w:rPr>
        <w:t>5.13签订合同</w:t>
      </w:r>
    </w:p>
    <w:p w14:paraId="76702733">
      <w:pPr>
        <w:ind w:firstLine="420"/>
        <w:rPr>
          <w:rFonts w:cs="宋体" w:asciiTheme="minorEastAsia" w:hAnsiTheme="minorEastAsia" w:eastAsiaTheme="minorEastAsia"/>
          <w:bCs/>
          <w:szCs w:val="21"/>
        </w:rPr>
      </w:pPr>
      <w:r>
        <w:rPr>
          <w:rFonts w:hint="eastAsia" w:cs="宋体" w:asciiTheme="minorEastAsia" w:hAnsiTheme="minorEastAsia" w:eastAsiaTheme="minorEastAsia"/>
          <w:szCs w:val="21"/>
        </w:rPr>
        <w:t>5.13.1中标人应在接到中标通知书后按中标通知书规定的时间内（不超过30日）与采购人签订合同</w:t>
      </w:r>
      <w:r>
        <w:rPr>
          <w:rFonts w:hint="eastAsia" w:cs="宋体" w:asciiTheme="minorEastAsia" w:hAnsiTheme="minorEastAsia" w:eastAsiaTheme="minorEastAsia"/>
          <w:bCs/>
          <w:szCs w:val="21"/>
        </w:rPr>
        <w:t>。</w:t>
      </w:r>
    </w:p>
    <w:p w14:paraId="446B256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5.13.2招标文件、中标人的投标文件及投标修改文件、评标过程中有关澄清文件、询标纪要和中标通知书均作为合同组成部分。</w:t>
      </w:r>
    </w:p>
    <w:p w14:paraId="03B5678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5.13.3拒签合同的责任：除不可抗力等因素外，中标人无正当理由拒不与采购人签订采购合同的，应当承担相应的法律责任。</w:t>
      </w:r>
    </w:p>
    <w:p w14:paraId="2D9CEBDE">
      <w:pPr>
        <w:pStyle w:val="10"/>
        <w:spacing w:after="0" w:line="360" w:lineRule="auto"/>
        <w:ind w:firstLineChars="200"/>
        <w:rPr>
          <w:rFonts w:asciiTheme="minorEastAsia" w:hAnsiTheme="minorEastAsia" w:eastAsiaTheme="minorEastAsia"/>
        </w:rPr>
      </w:pPr>
      <w:r>
        <w:rPr>
          <w:rFonts w:hint="eastAsia" w:cs="宋体" w:asciiTheme="minorEastAsia" w:hAnsiTheme="minorEastAsia" w:eastAsiaTheme="minorEastAsia"/>
          <w:szCs w:val="21"/>
        </w:rPr>
        <w:t>5.13.4中标人放弃中标的，须赔偿专家评审费、代理机构场地费、资料费、通讯费、人工费等不低于中标价金额2%。</w:t>
      </w:r>
    </w:p>
    <w:p w14:paraId="103AC95D">
      <w:pPr>
        <w:pStyle w:val="3"/>
        <w:rPr>
          <w:rFonts w:cs="宋体" w:asciiTheme="minorEastAsia" w:hAnsiTheme="minorEastAsia" w:eastAsiaTheme="minorEastAsia"/>
          <w:szCs w:val="21"/>
        </w:rPr>
      </w:pPr>
      <w:bookmarkStart w:id="84" w:name="_Toc6227650"/>
      <w:bookmarkStart w:id="85" w:name="_Toc439316483"/>
      <w:bookmarkStart w:id="86" w:name="_Toc444084291"/>
      <w:bookmarkStart w:id="87" w:name="_Toc2078366"/>
      <w:bookmarkStart w:id="88" w:name="_Toc7307"/>
      <w:bookmarkStart w:id="89" w:name="_Toc450840078"/>
      <w:r>
        <w:rPr>
          <w:rFonts w:hint="eastAsia" w:cs="宋体" w:asciiTheme="minorEastAsia" w:hAnsiTheme="minorEastAsia" w:eastAsiaTheme="minorEastAsia"/>
          <w:szCs w:val="21"/>
        </w:rPr>
        <w:t>6其他</w:t>
      </w:r>
      <w:bookmarkEnd w:id="84"/>
      <w:bookmarkEnd w:id="85"/>
      <w:bookmarkEnd w:id="86"/>
      <w:bookmarkEnd w:id="87"/>
      <w:bookmarkEnd w:id="88"/>
      <w:bookmarkEnd w:id="89"/>
    </w:p>
    <w:p w14:paraId="6A8333C8">
      <w:pPr>
        <w:pStyle w:val="4"/>
      </w:pPr>
      <w:r>
        <w:rPr>
          <w:rFonts w:hint="eastAsia"/>
        </w:rPr>
        <w:t>6.1合同履约考核</w:t>
      </w:r>
    </w:p>
    <w:p w14:paraId="4239D52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监管部门依法处理，给予网上通报，禁止其在1至3年内参与本单位采购活动，给采购人造成损失的，中标人须承担相应的法律责任。</w:t>
      </w:r>
    </w:p>
    <w:p w14:paraId="558FE19A">
      <w:pPr>
        <w:pStyle w:val="4"/>
      </w:pPr>
      <w:r>
        <w:rPr>
          <w:rFonts w:hint="eastAsia"/>
        </w:rPr>
        <w:t>6.2质疑</w:t>
      </w:r>
    </w:p>
    <w:p w14:paraId="54BB992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6.2.1</w:t>
      </w:r>
      <w:r>
        <w:rPr>
          <w:rFonts w:hint="eastAsia" w:cs="宋体" w:asciiTheme="minorEastAsia" w:hAnsiTheme="minorEastAsia" w:eastAsiaTheme="minorEastAsia"/>
          <w:kern w:val="0"/>
          <w:szCs w:val="21"/>
        </w:rPr>
        <w:t>参照《政府采购质疑和投诉办法》（财政部令第94号）的规定，</w:t>
      </w:r>
      <w:r>
        <w:rPr>
          <w:rFonts w:hint="eastAsia" w:cs="宋体" w:asciiTheme="minorEastAsia" w:hAnsiTheme="minorEastAsia" w:eastAsiaTheme="minorEastAsia"/>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14:paraId="700A0A3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（1）对可以质疑的招标文件提出质疑的，为收到招标文件之日或者招标文件公告期限届满之日；</w:t>
      </w:r>
    </w:p>
    <w:p w14:paraId="5D89B7B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（2）对采购过程提出质疑的，为各采购程序环节结束之日；</w:t>
      </w:r>
    </w:p>
    <w:p w14:paraId="1C7566B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（3）对中标或者成交结果提出质疑的，为中标或者成交结果公告期限届满之日。</w:t>
      </w:r>
    </w:p>
    <w:p w14:paraId="63A8DC9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6.2.2提出质疑的投标人（以下简称质疑投标人）应当是参与所质疑项目采购活动的投标人。</w:t>
      </w:r>
    </w:p>
    <w:p w14:paraId="353744A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6.2.3投标人为自然人的，应当由本人签字；投标人为法人或者其他组织的，应当由法定代表人、主要负责人，或者其授权代表签字或者盖章，并加盖公章。</w:t>
      </w:r>
    </w:p>
    <w:p w14:paraId="0281BBE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15E6DA8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以联合体形式参加本项目采购活动的，其投诉应当由组成联合体的所有投标人共同提出。</w:t>
      </w:r>
    </w:p>
    <w:p w14:paraId="36A92AF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6.2.4投标人提交的质疑书需一式三份，质疑书至少应包括下列主要内容：</w:t>
      </w:r>
    </w:p>
    <w:p w14:paraId="72BCD89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（一）投标人的姓名或者名称、地址、邮编、联系人及联系电话；</w:t>
      </w:r>
    </w:p>
    <w:p w14:paraId="52BA37A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（二）质疑项目的名称、编号；</w:t>
      </w:r>
    </w:p>
    <w:p w14:paraId="08A5D9C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（三）具体、明确的质疑事项和与质疑事项相关的请求；</w:t>
      </w:r>
    </w:p>
    <w:p w14:paraId="1088028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（四）事实依据；</w:t>
      </w:r>
    </w:p>
    <w:p w14:paraId="2310C77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（五）必要的法律依据；</w:t>
      </w:r>
    </w:p>
    <w:p w14:paraId="5A332B4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（六）提出质疑的日期。</w:t>
      </w:r>
    </w:p>
    <w:p w14:paraId="19E9C8AF">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rPr>
        <w:t>6.2.5</w:t>
      </w:r>
      <w:r>
        <w:rPr>
          <w:rFonts w:hint="eastAsia" w:cs="宋体" w:asciiTheme="minorEastAsia" w:hAnsiTheme="minorEastAsia" w:eastAsiaTheme="minorEastAsia"/>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521FAA3F">
      <w:pPr>
        <w:pStyle w:val="4"/>
      </w:pPr>
      <w:r>
        <w:rPr>
          <w:rFonts w:hint="eastAsia"/>
        </w:rPr>
        <w:t>6.3投诉</w:t>
      </w:r>
    </w:p>
    <w:p w14:paraId="4554D0E1">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kern w:val="0"/>
          <w:szCs w:val="21"/>
        </w:rPr>
        <w:t>财政部令第94号</w:t>
      </w:r>
      <w:r>
        <w:rPr>
          <w:rFonts w:hint="eastAsia" w:cs="宋体" w:asciiTheme="minorEastAsia" w:hAnsiTheme="minorEastAsia" w:eastAsiaTheme="minorEastAsia"/>
          <w:szCs w:val="21"/>
          <w:shd w:val="clear" w:color="auto" w:fill="FFFFFF"/>
        </w:rPr>
        <w:t>）第六条规定的监管部门提起投诉。</w:t>
      </w:r>
    </w:p>
    <w:p w14:paraId="1F17AFC2">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6.3.2投标人投诉的事项不得超出已质疑事项的范围，但基于质疑答复内容提出的投诉事项除外。</w:t>
      </w:r>
    </w:p>
    <w:p w14:paraId="45889C33">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6.3.3投诉人提起投诉应当符合下列条件：</w:t>
      </w:r>
    </w:p>
    <w:p w14:paraId="61485A51">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（一）提起投诉前已依法进行质疑；</w:t>
      </w:r>
    </w:p>
    <w:p w14:paraId="15385BE2">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（二）投诉书内容符合本办法的规定；</w:t>
      </w:r>
    </w:p>
    <w:p w14:paraId="5318CF17">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（三）在投诉有效期限内提起投诉；</w:t>
      </w:r>
    </w:p>
    <w:p w14:paraId="7FF2BBD6">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（四）同一投诉事项未经财政部门投诉处理；</w:t>
      </w:r>
    </w:p>
    <w:p w14:paraId="028438D3">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（五）财政部规定的其他条件。</w:t>
      </w:r>
    </w:p>
    <w:p w14:paraId="43A82875">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w:t>
      </w:r>
      <w:r>
        <w:rPr>
          <w:rFonts w:hint="eastAsia" w:cs="宋体" w:asciiTheme="minorEastAsia" w:hAnsiTheme="minorEastAsia" w:eastAsiaTheme="minorEastAsia"/>
          <w:szCs w:val="21"/>
          <w:shd w:val="clear" w:color="auto" w:fill="FFFFFF"/>
          <w:lang w:val="en-US" w:eastAsia="zh-CN"/>
        </w:rPr>
        <w:t>4</w:t>
      </w:r>
      <w:r>
        <w:rPr>
          <w:rFonts w:hint="eastAsia" w:cs="宋体" w:asciiTheme="minorEastAsia" w:hAnsiTheme="minorEastAsia" w:eastAsiaTheme="minorEastAsia"/>
          <w:szCs w:val="21"/>
          <w:shd w:val="clear" w:color="auto" w:fill="FFFFFF"/>
        </w:rPr>
        <w:t>投诉人有下列行为之一的，属于虚假、恶意投诉，由监管部门列入不良行为记录名单，禁止其1至3年内参加采购单位采购活动：</w:t>
      </w:r>
    </w:p>
    <w:p w14:paraId="076DE84E">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（一）捏造事实；</w:t>
      </w:r>
    </w:p>
    <w:p w14:paraId="1E1144B1">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（二）提供虚假材料；</w:t>
      </w:r>
    </w:p>
    <w:p w14:paraId="554CE724">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（三）以非法手段取得证明材料。证据来源的合法性存在明显疑问，投诉人无法证明其取得方式合法的，视为以非法手段取得证明材料。</w:t>
      </w:r>
    </w:p>
    <w:p w14:paraId="15EE27F9">
      <w:pPr>
        <w:ind w:firstLine="420"/>
        <w:rPr>
          <w:rFonts w:cs="宋体" w:asciiTheme="minorEastAsia" w:hAnsiTheme="minorEastAsia" w:eastAsiaTheme="minorEastAsia"/>
          <w:szCs w:val="21"/>
          <w:shd w:val="clear" w:color="auto" w:fill="FFFFFF"/>
        </w:rPr>
        <w:sectPr>
          <w:footerReference r:id="rId16" w:type="default"/>
          <w:pgSz w:w="11907" w:h="16840"/>
          <w:pgMar w:top="1247" w:right="1304" w:bottom="1020" w:left="1304" w:header="720" w:footer="720" w:gutter="0"/>
          <w:pgNumType w:start="1"/>
          <w:cols w:space="0" w:num="1"/>
          <w:docGrid w:linePitch="286" w:charSpace="0"/>
        </w:sectPr>
      </w:pPr>
    </w:p>
    <w:bookmarkEnd w:id="66"/>
    <w:bookmarkEnd w:id="67"/>
    <w:bookmarkEnd w:id="68"/>
    <w:p w14:paraId="51CD20F9">
      <w:pPr>
        <w:pStyle w:val="2"/>
        <w:ind w:firstLine="0" w:firstLineChars="0"/>
        <w:rPr>
          <w:rFonts w:asciiTheme="minorEastAsia" w:hAnsiTheme="minorEastAsia" w:eastAsiaTheme="minorEastAsia"/>
          <w:sz w:val="32"/>
          <w:szCs w:val="32"/>
        </w:rPr>
      </w:pPr>
      <w:bookmarkStart w:id="90" w:name="_Toc450840083"/>
      <w:bookmarkStart w:id="91" w:name="_Toc5010"/>
      <w:bookmarkStart w:id="92" w:name="_Toc82873317"/>
      <w:bookmarkStart w:id="93" w:name="_Toc82338234"/>
      <w:r>
        <w:rPr>
          <w:rFonts w:hint="eastAsia" w:asciiTheme="minorEastAsia" w:hAnsiTheme="minorEastAsia" w:eastAsiaTheme="minorEastAsia"/>
          <w:sz w:val="32"/>
          <w:szCs w:val="32"/>
        </w:rPr>
        <w:t>第二章 采购项目技术规范和要求</w:t>
      </w:r>
      <w:bookmarkEnd w:id="90"/>
      <w:bookmarkEnd w:id="91"/>
      <w:bookmarkEnd w:id="92"/>
      <w:bookmarkEnd w:id="93"/>
    </w:p>
    <w:p w14:paraId="6D055BB5">
      <w:pPr>
        <w:pStyle w:val="3"/>
        <w:tabs>
          <w:tab w:val="left" w:pos="432"/>
        </w:tabs>
        <w:spacing w:before="120" w:beforeLines="50" w:after="120" w:afterLines="50"/>
        <w:rPr>
          <w:rFonts w:ascii="宋体" w:hAnsi="宋体" w:cs="宋体"/>
          <w:szCs w:val="21"/>
        </w:rPr>
      </w:pPr>
      <w:bookmarkStart w:id="94" w:name="_Toc30070"/>
      <w:bookmarkStart w:id="95" w:name="_Toc19843"/>
      <w:r>
        <w:rPr>
          <w:rFonts w:hint="eastAsia" w:ascii="宋体" w:hAnsi="宋体" w:cs="宋体"/>
          <w:szCs w:val="21"/>
        </w:rPr>
        <w:t>一、采购背景</w:t>
      </w:r>
      <w:bookmarkEnd w:id="94"/>
      <w:bookmarkEnd w:id="95"/>
    </w:p>
    <w:p w14:paraId="09547BB6">
      <w:pPr>
        <w:snapToGrid w:val="0"/>
        <w:ind w:firstLine="420"/>
        <w:rPr>
          <w:rFonts w:ascii="宋体" w:hAnsi="宋体" w:cs="宋体"/>
          <w:snapToGrid w:val="0"/>
          <w:kern w:val="0"/>
          <w:szCs w:val="21"/>
        </w:rPr>
      </w:pPr>
      <w:r>
        <w:rPr>
          <w:rFonts w:hint="eastAsia" w:ascii="宋体" w:hAnsi="宋体" w:cs="宋体"/>
          <w:snapToGrid w:val="0"/>
          <w:kern w:val="0"/>
          <w:szCs w:val="21"/>
        </w:rPr>
        <w:t>根据《地下水污染防治实施方案》、《“十四五”生态环境监测规划》、《“十四五”国家地下水环境质量监测与评价方案（试行）》、《全省生态环境监测工作要点》等有关文件关于地下水环境质量点位监测工作的要求，我省积极开展202</w:t>
      </w:r>
      <w:r>
        <w:rPr>
          <w:rFonts w:hint="eastAsia" w:ascii="宋体" w:hAnsi="宋体" w:cs="宋体"/>
          <w:snapToGrid w:val="0"/>
          <w:kern w:val="0"/>
          <w:szCs w:val="21"/>
          <w:lang w:val="en-US" w:eastAsia="zh-CN"/>
        </w:rPr>
        <w:t>5</w:t>
      </w:r>
      <w:r>
        <w:rPr>
          <w:rFonts w:hint="eastAsia" w:ascii="宋体" w:hAnsi="宋体" w:cs="宋体"/>
          <w:snapToGrid w:val="0"/>
          <w:kern w:val="0"/>
          <w:szCs w:val="21"/>
        </w:rPr>
        <w:t>年</w:t>
      </w:r>
      <w:r>
        <w:rPr>
          <w:rFonts w:hint="eastAsia" w:ascii="宋体" w:hAnsi="宋体" w:cs="宋体"/>
          <w:snapToGrid w:val="0"/>
          <w:kern w:val="0"/>
          <w:szCs w:val="21"/>
          <w:lang w:val="en-US" w:eastAsia="zh-CN"/>
        </w:rPr>
        <w:t>地下水环境质量监测点位</w:t>
      </w:r>
      <w:r>
        <w:rPr>
          <w:rFonts w:hint="eastAsia" w:ascii="宋体" w:hAnsi="宋体" w:cs="宋体"/>
          <w:snapToGrid w:val="0"/>
          <w:kern w:val="0"/>
          <w:szCs w:val="21"/>
        </w:rPr>
        <w:t>的监测工作。</w:t>
      </w:r>
    </w:p>
    <w:p w14:paraId="5175C73F">
      <w:pPr>
        <w:pStyle w:val="3"/>
        <w:tabs>
          <w:tab w:val="left" w:pos="432"/>
        </w:tabs>
        <w:spacing w:before="120" w:beforeLines="50" w:after="120" w:afterLines="50"/>
        <w:rPr>
          <w:rFonts w:ascii="宋体" w:hAnsi="宋体" w:cs="宋体"/>
          <w:szCs w:val="21"/>
        </w:rPr>
      </w:pPr>
      <w:bookmarkStart w:id="96" w:name="_Toc24176"/>
      <w:bookmarkStart w:id="97" w:name="_Toc17872"/>
      <w:r>
        <w:rPr>
          <w:rFonts w:hint="eastAsia" w:ascii="宋体" w:hAnsi="宋体" w:cs="宋体"/>
          <w:szCs w:val="21"/>
        </w:rPr>
        <w:t>二、采购内容</w:t>
      </w:r>
      <w:bookmarkEnd w:id="96"/>
      <w:bookmarkEnd w:id="97"/>
    </w:p>
    <w:p w14:paraId="7E121617">
      <w:pPr>
        <w:snapToGrid w:val="0"/>
        <w:ind w:firstLine="420"/>
        <w:rPr>
          <w:rFonts w:ascii="宋体" w:hAnsi="宋体" w:cs="宋体"/>
          <w:snapToGrid w:val="0"/>
          <w:kern w:val="0"/>
          <w:szCs w:val="21"/>
        </w:rPr>
      </w:pPr>
      <w:r>
        <w:rPr>
          <w:rFonts w:hint="eastAsia" w:ascii="宋体" w:hAnsi="宋体" w:cs="宋体"/>
          <w:snapToGrid w:val="0"/>
          <w:kern w:val="0"/>
          <w:szCs w:val="21"/>
        </w:rPr>
        <w:t>1、根据国家和浙江省的有关规定和要求，通过公开招投标确定承担</w:t>
      </w:r>
      <w:r>
        <w:rPr>
          <w:rFonts w:hint="eastAsia" w:ascii="宋体" w:hAnsi="宋体" w:cs="宋体"/>
          <w:snapToGrid w:val="0"/>
          <w:kern w:val="0"/>
          <w:szCs w:val="21"/>
          <w:lang w:eastAsia="zh-CN"/>
        </w:rPr>
        <w:t>2025年地下水环境质量监测点位采样项目</w:t>
      </w:r>
      <w:r>
        <w:rPr>
          <w:rFonts w:hint="eastAsia" w:ascii="宋体" w:hAnsi="宋体" w:cs="宋体"/>
          <w:snapToGrid w:val="0"/>
          <w:kern w:val="0"/>
          <w:szCs w:val="21"/>
        </w:rPr>
        <w:t>样品采集工作的服务机构。项目服务内容为根据招标人要求，定期对</w:t>
      </w:r>
      <w:r>
        <w:rPr>
          <w:rFonts w:hint="eastAsia" w:ascii="宋体" w:hAnsi="宋体" w:cs="宋体"/>
          <w:snapToGrid w:val="0"/>
          <w:kern w:val="0"/>
          <w:szCs w:val="21"/>
          <w:lang w:val="en-US" w:eastAsia="zh-CN"/>
        </w:rPr>
        <w:t>地下水环境质量监测点位</w:t>
      </w:r>
      <w:r>
        <w:rPr>
          <w:rFonts w:hint="eastAsia" w:ascii="宋体" w:hAnsi="宋体" w:cs="宋体"/>
          <w:snapToGrid w:val="0"/>
          <w:kern w:val="0"/>
          <w:szCs w:val="21"/>
        </w:rPr>
        <w:t>开展地下水监测井的洗井、样品采集、分装、保存、运输、交接以及现场监测项目的测试任务，每月预计开展监测点位数约</w:t>
      </w:r>
      <w:r>
        <w:rPr>
          <w:rFonts w:hint="eastAsia" w:ascii="宋体" w:hAnsi="宋体" w:cs="宋体"/>
          <w:snapToGrid w:val="0"/>
          <w:kern w:val="0"/>
          <w:szCs w:val="21"/>
          <w:lang w:val="en-US" w:eastAsia="zh-CN"/>
        </w:rPr>
        <w:t>4</w:t>
      </w:r>
      <w:r>
        <w:rPr>
          <w:rFonts w:hint="eastAsia" w:ascii="宋体" w:hAnsi="宋体" w:cs="宋体"/>
          <w:snapToGrid w:val="0"/>
          <w:kern w:val="0"/>
          <w:szCs w:val="21"/>
        </w:rPr>
        <w:t>0个，全年总计约</w:t>
      </w:r>
      <w:r>
        <w:rPr>
          <w:rFonts w:hint="eastAsia" w:ascii="宋体" w:hAnsi="宋体" w:cs="宋体"/>
          <w:snapToGrid w:val="0"/>
          <w:kern w:val="0"/>
          <w:szCs w:val="21"/>
          <w:lang w:val="en-US" w:eastAsia="zh-CN"/>
        </w:rPr>
        <w:t>48</w:t>
      </w:r>
      <w:r>
        <w:rPr>
          <w:rFonts w:hint="eastAsia" w:ascii="宋体" w:hAnsi="宋体" w:cs="宋体"/>
          <w:snapToGrid w:val="0"/>
          <w:kern w:val="0"/>
          <w:szCs w:val="21"/>
        </w:rPr>
        <w:t>0次。</w:t>
      </w:r>
    </w:p>
    <w:p w14:paraId="12D08EFC">
      <w:pPr>
        <w:snapToGrid w:val="0"/>
        <w:ind w:firstLine="420"/>
        <w:rPr>
          <w:rFonts w:ascii="宋体" w:hAnsi="宋体" w:cs="宋体"/>
          <w:snapToGrid w:val="0"/>
          <w:kern w:val="0"/>
          <w:szCs w:val="21"/>
        </w:rPr>
      </w:pPr>
      <w:r>
        <w:rPr>
          <w:rFonts w:hint="eastAsia" w:ascii="宋体" w:hAnsi="宋体" w:cs="宋体"/>
          <w:snapToGrid w:val="0"/>
          <w:kern w:val="0"/>
          <w:szCs w:val="21"/>
        </w:rPr>
        <w:t>2、监测任务具体包括：（1）按照招标人每次制定的采样实施方案，制定采样计划，按时到达指定点位完成地下水监测井洗井、地下水样品及质控样的采集，并确保样品在规定样品时效期内送达检测单位，保存条件能满足各检测项目的保存要求。（2）在指定采样地点按照要求完成所有现场监测项目的监测。</w:t>
      </w:r>
    </w:p>
    <w:p w14:paraId="73E8BF00">
      <w:pPr>
        <w:snapToGrid w:val="0"/>
        <w:ind w:firstLine="420"/>
        <w:rPr>
          <w:rFonts w:ascii="宋体" w:hAnsi="宋体" w:cs="宋体"/>
          <w:snapToGrid w:val="0"/>
          <w:kern w:val="0"/>
          <w:szCs w:val="21"/>
        </w:rPr>
      </w:pPr>
      <w:r>
        <w:rPr>
          <w:rFonts w:hint="eastAsia" w:ascii="宋体" w:hAnsi="宋体" w:cs="宋体"/>
          <w:snapToGrid w:val="0"/>
          <w:kern w:val="0"/>
          <w:szCs w:val="21"/>
        </w:rPr>
        <w:t>3、监测项目及采样频次</w:t>
      </w:r>
    </w:p>
    <w:p w14:paraId="3825D10A">
      <w:pPr>
        <w:snapToGrid w:val="0"/>
        <w:ind w:firstLine="420"/>
        <w:rPr>
          <w:rFonts w:ascii="宋体" w:hAnsi="宋体" w:cs="宋体"/>
          <w:snapToGrid w:val="0"/>
          <w:kern w:val="0"/>
          <w:szCs w:val="21"/>
        </w:rPr>
      </w:pPr>
      <w:r>
        <w:rPr>
          <w:rFonts w:hint="eastAsia" w:ascii="宋体" w:hAnsi="宋体" w:cs="宋体"/>
          <w:snapToGrid w:val="0"/>
          <w:kern w:val="0"/>
          <w:szCs w:val="21"/>
        </w:rPr>
        <w:t>（1）现场监测项目</w:t>
      </w:r>
    </w:p>
    <w:p w14:paraId="2430AF42">
      <w:pPr>
        <w:snapToGrid w:val="0"/>
        <w:ind w:firstLine="630" w:firstLineChars="300"/>
        <w:rPr>
          <w:rFonts w:ascii="宋体" w:hAnsi="宋体" w:cs="宋体"/>
          <w:snapToGrid w:val="0"/>
          <w:kern w:val="0"/>
          <w:szCs w:val="21"/>
        </w:rPr>
      </w:pPr>
      <w:r>
        <w:rPr>
          <w:rFonts w:hint="eastAsia" w:ascii="宋体" w:hAnsi="宋体" w:cs="宋体"/>
          <w:snapToGrid w:val="0"/>
          <w:kern w:val="0"/>
          <w:szCs w:val="21"/>
        </w:rPr>
        <w:t>现场监测项目为水位、水温、pH值、溶解氧、电导率、氧化还原电位、浑浊度。</w:t>
      </w:r>
    </w:p>
    <w:p w14:paraId="4F45499E">
      <w:pPr>
        <w:numPr>
          <w:ilvl w:val="0"/>
          <w:numId w:val="2"/>
        </w:numPr>
        <w:snapToGrid w:val="0"/>
        <w:ind w:firstLine="420"/>
        <w:rPr>
          <w:rFonts w:ascii="宋体" w:hAnsi="宋体" w:cs="宋体"/>
          <w:snapToGrid w:val="0"/>
          <w:kern w:val="0"/>
          <w:szCs w:val="21"/>
        </w:rPr>
      </w:pPr>
      <w:r>
        <w:rPr>
          <w:rFonts w:hint="eastAsia" w:ascii="宋体" w:hAnsi="宋体" w:cs="宋体"/>
          <w:snapToGrid w:val="0"/>
          <w:kern w:val="0"/>
          <w:szCs w:val="21"/>
        </w:rPr>
        <w:t>采样项目</w:t>
      </w:r>
    </w:p>
    <w:p w14:paraId="1CB24745">
      <w:pPr>
        <w:snapToGrid w:val="0"/>
        <w:ind w:firstLine="420"/>
        <w:rPr>
          <w:rFonts w:hint="eastAsia" w:ascii="宋体" w:hAnsi="宋体" w:eastAsia="宋体" w:cs="宋体"/>
          <w:snapToGrid w:val="0"/>
          <w:kern w:val="0"/>
          <w:szCs w:val="21"/>
          <w:lang w:eastAsia="zh-CN"/>
        </w:rPr>
      </w:pPr>
      <w:r>
        <w:rPr>
          <w:rFonts w:hint="eastAsia" w:ascii="宋体" w:hAnsi="宋体" w:cs="宋体"/>
          <w:snapToGrid w:val="0"/>
          <w:kern w:val="0"/>
          <w:szCs w:val="21"/>
        </w:rPr>
        <w:t>采样项目为《地下水环境质量标准》（GB/T14848-2017）表1 中氨氮、硫酸盐、氯化物等 28项基本指标，根据项目情况部分采样点位需增加特征指标或辅助指标的，中标单位需响应采购单位监测要求，且不再另行追加监测费用</w:t>
      </w:r>
      <w:r>
        <w:rPr>
          <w:rFonts w:hint="eastAsia" w:ascii="宋体" w:hAnsi="宋体" w:cs="宋体"/>
          <w:snapToGrid w:val="0"/>
          <w:kern w:val="0"/>
          <w:szCs w:val="21"/>
          <w:lang w:eastAsia="zh-CN"/>
        </w:rPr>
        <w:t>。</w:t>
      </w:r>
    </w:p>
    <w:p w14:paraId="55AF46FD">
      <w:pPr>
        <w:snapToGrid w:val="0"/>
        <w:ind w:firstLine="420"/>
        <w:rPr>
          <w:rFonts w:ascii="宋体" w:hAnsi="宋体" w:cs="宋体"/>
          <w:snapToGrid w:val="0"/>
          <w:kern w:val="0"/>
          <w:szCs w:val="21"/>
        </w:rPr>
      </w:pPr>
      <w:r>
        <w:rPr>
          <w:rFonts w:hint="eastAsia" w:ascii="宋体" w:hAnsi="宋体" w:cs="宋体"/>
          <w:snapToGrid w:val="0"/>
          <w:kern w:val="0"/>
          <w:szCs w:val="21"/>
        </w:rPr>
        <w:t>（3）采样频次</w:t>
      </w:r>
    </w:p>
    <w:p w14:paraId="5F8B53C7">
      <w:pPr>
        <w:snapToGrid w:val="0"/>
        <w:ind w:firstLine="420"/>
        <w:rPr>
          <w:rFonts w:hint="eastAsia" w:ascii="宋体" w:hAnsi="宋体" w:cs="宋体"/>
          <w:snapToGrid w:val="0"/>
          <w:kern w:val="0"/>
          <w:szCs w:val="21"/>
        </w:rPr>
      </w:pPr>
      <w:r>
        <w:rPr>
          <w:rFonts w:hint="eastAsia" w:ascii="宋体" w:hAnsi="宋体" w:cs="宋体"/>
          <w:snapToGrid w:val="0"/>
          <w:kern w:val="0"/>
          <w:szCs w:val="21"/>
        </w:rPr>
        <w:t>国（省）控区域点</w:t>
      </w:r>
      <w:r>
        <w:rPr>
          <w:rFonts w:ascii="宋体" w:hAnsi="宋体" w:cs="宋体"/>
          <w:snapToGrid w:val="0"/>
          <w:kern w:val="0"/>
          <w:szCs w:val="21"/>
        </w:rPr>
        <w:t>波动点位监测频次为每月 1 次</w:t>
      </w:r>
      <w:r>
        <w:rPr>
          <w:rFonts w:hint="eastAsia" w:ascii="宋体" w:hAnsi="宋体" w:cs="宋体"/>
          <w:snapToGrid w:val="0"/>
          <w:kern w:val="0"/>
          <w:szCs w:val="21"/>
        </w:rPr>
        <w:t>，</w:t>
      </w:r>
      <w:r>
        <w:rPr>
          <w:rFonts w:ascii="宋体" w:hAnsi="宋体" w:cs="宋体"/>
          <w:snapToGrid w:val="0"/>
          <w:kern w:val="0"/>
          <w:szCs w:val="21"/>
        </w:rPr>
        <w:t>稳定点位监测频次为每季度 1 次</w:t>
      </w:r>
      <w:r>
        <w:rPr>
          <w:rFonts w:hint="eastAsia" w:ascii="宋体" w:hAnsi="宋体" w:cs="宋体"/>
          <w:snapToGrid w:val="0"/>
          <w:kern w:val="0"/>
          <w:szCs w:val="21"/>
        </w:rPr>
        <w:t>；</w:t>
      </w:r>
      <w:r>
        <w:rPr>
          <w:rFonts w:ascii="宋体" w:hAnsi="宋体" w:cs="宋体"/>
          <w:snapToGrid w:val="0"/>
          <w:kern w:val="0"/>
          <w:szCs w:val="21"/>
        </w:rPr>
        <w:t>污染风险监控点监测频次为每 2 个月 1 次，在双数月开展监测。如监测数据异常需加密监测的</w:t>
      </w:r>
      <w:r>
        <w:rPr>
          <w:rFonts w:hint="eastAsia" w:ascii="宋体" w:hAnsi="宋体" w:cs="宋体"/>
          <w:snapToGrid w:val="0"/>
          <w:kern w:val="0"/>
          <w:szCs w:val="21"/>
        </w:rPr>
        <w:t>，根据招标方要求开展加密样品采集</w:t>
      </w:r>
      <w:r>
        <w:rPr>
          <w:rFonts w:ascii="宋体" w:hAnsi="宋体" w:cs="宋体"/>
          <w:snapToGrid w:val="0"/>
          <w:kern w:val="0"/>
          <w:szCs w:val="21"/>
        </w:rPr>
        <w:t>。</w:t>
      </w:r>
      <w:r>
        <w:rPr>
          <w:rFonts w:hint="eastAsia" w:ascii="宋体" w:hAnsi="宋体" w:cs="宋体"/>
          <w:snapToGrid w:val="0"/>
          <w:kern w:val="0"/>
          <w:szCs w:val="21"/>
        </w:rPr>
        <w:t>新建地下水环境质量监测点位及其他类型点位监测频次按照招标方要求开展采样工作。</w:t>
      </w:r>
    </w:p>
    <w:p w14:paraId="6BEDCC1F">
      <w:pPr>
        <w:snapToGrid w:val="0"/>
        <w:ind w:left="420" w:firstLine="0" w:firstLineChars="0"/>
        <w:rPr>
          <w:rFonts w:ascii="宋体" w:hAnsi="宋体" w:cs="宋体"/>
          <w:snapToGrid w:val="0"/>
          <w:kern w:val="0"/>
          <w:szCs w:val="21"/>
        </w:rPr>
      </w:pPr>
      <w:r>
        <w:rPr>
          <w:rFonts w:hint="eastAsia" w:ascii="宋体" w:hAnsi="宋体" w:cs="宋体"/>
          <w:snapToGrid w:val="0"/>
          <w:kern w:val="0"/>
          <w:szCs w:val="21"/>
        </w:rPr>
        <w:t>（4）采样时间</w:t>
      </w:r>
    </w:p>
    <w:p w14:paraId="3C1E41C1">
      <w:pPr>
        <w:ind w:firstLine="420"/>
        <w:rPr>
          <w:szCs w:val="21"/>
        </w:rPr>
      </w:pPr>
      <w:r>
        <w:rPr>
          <w:rFonts w:ascii="宋体" w:hAnsi="宋体" w:cs="宋体"/>
          <w:snapToGrid w:val="0"/>
          <w:kern w:val="0"/>
          <w:szCs w:val="21"/>
        </w:rPr>
        <w:t>原则上每月</w:t>
      </w:r>
      <w:r>
        <w:rPr>
          <w:rFonts w:hint="eastAsia" w:ascii="宋体" w:hAnsi="宋体" w:cs="宋体"/>
          <w:snapToGrid w:val="0"/>
          <w:kern w:val="0"/>
          <w:szCs w:val="21"/>
        </w:rPr>
        <w:t>20</w:t>
      </w:r>
      <w:r>
        <w:rPr>
          <w:rFonts w:ascii="宋体" w:hAnsi="宋体" w:cs="宋体"/>
          <w:snapToGrid w:val="0"/>
          <w:kern w:val="0"/>
          <w:szCs w:val="21"/>
        </w:rPr>
        <w:t>日前完成采样、送样工作，2</w:t>
      </w:r>
      <w:r>
        <w:rPr>
          <w:rFonts w:hint="eastAsia" w:ascii="宋体" w:hAnsi="宋体" w:cs="宋体"/>
          <w:snapToGrid w:val="0"/>
          <w:kern w:val="0"/>
          <w:szCs w:val="21"/>
        </w:rPr>
        <w:t>5</w:t>
      </w:r>
      <w:r>
        <w:rPr>
          <w:rFonts w:ascii="宋体" w:hAnsi="宋体" w:cs="宋体"/>
          <w:snapToGrid w:val="0"/>
          <w:kern w:val="0"/>
          <w:szCs w:val="21"/>
        </w:rPr>
        <w:t>日前完成现场监测项目的数据上报工作（法定节假日可顺延）。</w:t>
      </w:r>
      <w:r>
        <w:rPr>
          <w:rFonts w:hint="eastAsia" w:ascii="宋体" w:hAnsi="宋体" w:cs="宋体"/>
          <w:snapToGrid w:val="0"/>
          <w:kern w:val="0"/>
          <w:szCs w:val="21"/>
        </w:rPr>
        <w:t>采样</w:t>
      </w:r>
      <w:r>
        <w:rPr>
          <w:rFonts w:ascii="宋体" w:hAnsi="宋体" w:cs="宋体"/>
          <w:snapToGrid w:val="0"/>
          <w:kern w:val="0"/>
          <w:szCs w:val="21"/>
        </w:rPr>
        <w:t>期间如遇地震、台风、洪水等不可抗力因素，或国家重大活动临时管制、突发环境污染事件等特殊情况，经申请同意后，可适当延期。</w:t>
      </w:r>
    </w:p>
    <w:p w14:paraId="1A8E4DC1">
      <w:pPr>
        <w:pStyle w:val="3"/>
        <w:tabs>
          <w:tab w:val="left" w:pos="432"/>
        </w:tabs>
        <w:spacing w:before="120" w:beforeLines="50" w:after="120" w:afterLines="50"/>
        <w:rPr>
          <w:rFonts w:ascii="宋体" w:hAnsi="宋体" w:cs="宋体"/>
          <w:szCs w:val="21"/>
        </w:rPr>
      </w:pPr>
      <w:r>
        <w:rPr>
          <w:rFonts w:hint="eastAsia" w:ascii="宋体" w:hAnsi="宋体" w:cs="宋体"/>
          <w:szCs w:val="21"/>
        </w:rPr>
        <w:t>三、采购需求</w:t>
      </w:r>
    </w:p>
    <w:p w14:paraId="0C98A9B1">
      <w:pPr>
        <w:snapToGrid w:val="0"/>
        <w:ind w:firstLine="420"/>
        <w:rPr>
          <w:rFonts w:ascii="宋体" w:hAnsi="宋体" w:cs="宋体"/>
          <w:snapToGrid w:val="0"/>
          <w:kern w:val="0"/>
          <w:szCs w:val="21"/>
        </w:rPr>
      </w:pPr>
      <w:r>
        <w:rPr>
          <w:rFonts w:hint="eastAsia" w:ascii="宋体" w:hAnsi="宋体" w:cs="宋体"/>
          <w:snapToGrid w:val="0"/>
          <w:kern w:val="0"/>
          <w:szCs w:val="21"/>
        </w:rPr>
        <w:t>（一）工作要求。</w:t>
      </w:r>
    </w:p>
    <w:p w14:paraId="66BB935F">
      <w:pPr>
        <w:numPr>
          <w:ilvl w:val="255"/>
          <w:numId w:val="0"/>
        </w:numPr>
        <w:adjustRightInd w:val="0"/>
        <w:snapToGrid w:val="0"/>
        <w:ind w:firstLine="420" w:firstLineChars="200"/>
        <w:rPr>
          <w:rFonts w:ascii="宋体" w:hAnsi="宋体" w:cs="宋体"/>
          <w:snapToGrid w:val="0"/>
          <w:kern w:val="0"/>
          <w:szCs w:val="21"/>
        </w:rPr>
      </w:pPr>
      <w:r>
        <w:rPr>
          <w:rFonts w:hint="eastAsia" w:ascii="宋体" w:hAnsi="宋体" w:cs="宋体"/>
          <w:snapToGrid w:val="0"/>
          <w:kern w:val="0"/>
          <w:szCs w:val="21"/>
        </w:rPr>
        <w:t>1.1所有采样监测任务严格按照《地下水环境</w:t>
      </w:r>
      <w:r>
        <w:rPr>
          <w:rFonts w:hint="eastAsia" w:ascii="宋体" w:hAnsi="宋体" w:cs="宋体"/>
          <w:snapToGrid w:val="0"/>
          <w:kern w:val="0"/>
          <w:szCs w:val="21"/>
          <w:lang w:val="en-US" w:eastAsia="zh-CN"/>
        </w:rPr>
        <w:t>监</w:t>
      </w:r>
      <w:r>
        <w:rPr>
          <w:rFonts w:hint="eastAsia" w:ascii="宋体" w:hAnsi="宋体" w:cs="宋体"/>
          <w:snapToGrid w:val="0"/>
          <w:kern w:val="0"/>
          <w:szCs w:val="21"/>
        </w:rPr>
        <w:t>测技术规范》（HJ 164-2020）、</w:t>
      </w:r>
      <w:r>
        <w:rPr>
          <w:rFonts w:hint="eastAsia" w:ascii="宋体" w:hAnsi="宋体" w:cs="宋体"/>
          <w:snapToGrid w:val="0"/>
          <w:kern w:val="0"/>
          <w:szCs w:val="21"/>
          <w:lang w:eastAsia="zh-CN"/>
        </w:rPr>
        <w:t>《地块土壤和地下水中挥发性有机物采样技术导则》（</w:t>
      </w:r>
      <w:r>
        <w:rPr>
          <w:rFonts w:hint="eastAsia" w:ascii="宋体" w:hAnsi="宋体" w:cs="宋体"/>
          <w:snapToGrid w:val="0"/>
          <w:kern w:val="0"/>
          <w:szCs w:val="21"/>
          <w:lang w:val="en-US" w:eastAsia="zh-CN"/>
        </w:rPr>
        <w:t>HJ 1019-2019)</w:t>
      </w:r>
      <w:r>
        <w:rPr>
          <w:rFonts w:hint="eastAsia" w:ascii="宋体" w:hAnsi="宋体" w:cs="宋体"/>
          <w:snapToGrid w:val="0"/>
          <w:kern w:val="0"/>
          <w:szCs w:val="21"/>
        </w:rPr>
        <w:t>《地下水环境监测样品采集、保存和流转技术规定》（总站土字</w:t>
      </w:r>
      <w:r>
        <w:rPr>
          <w:rFonts w:hint="eastAsia" w:ascii="宋体" w:hAnsi="宋体" w:cs="宋体"/>
          <w:snapToGrid w:val="0"/>
          <w:kern w:val="0"/>
          <w:szCs w:val="21"/>
          <w:lang w:val="en-US" w:eastAsia="zh-CN"/>
        </w:rPr>
        <w:t>[</w:t>
      </w:r>
      <w:r>
        <w:rPr>
          <w:rFonts w:hint="eastAsia" w:ascii="宋体" w:hAnsi="宋体" w:cs="宋体"/>
          <w:snapToGrid w:val="0"/>
          <w:kern w:val="0"/>
          <w:szCs w:val="21"/>
        </w:rPr>
        <w:t>2022</w:t>
      </w:r>
      <w:r>
        <w:rPr>
          <w:rFonts w:hint="eastAsia" w:ascii="宋体" w:hAnsi="宋体" w:cs="宋体"/>
          <w:snapToGrid w:val="0"/>
          <w:kern w:val="0"/>
          <w:szCs w:val="21"/>
          <w:lang w:val="en-US" w:eastAsia="zh-CN"/>
        </w:rPr>
        <w:t>]</w:t>
      </w:r>
      <w:r>
        <w:rPr>
          <w:rFonts w:hint="eastAsia" w:ascii="宋体" w:hAnsi="宋体" w:cs="宋体"/>
          <w:snapToGrid w:val="0"/>
          <w:kern w:val="0"/>
          <w:szCs w:val="21"/>
        </w:rPr>
        <w:t>112号）</w:t>
      </w:r>
      <w:r>
        <w:rPr>
          <w:rFonts w:hint="eastAsia" w:ascii="宋体" w:hAnsi="宋体" w:cs="宋体"/>
          <w:snapToGrid w:val="0"/>
          <w:kern w:val="0"/>
          <w:szCs w:val="21"/>
          <w:lang w:val="en-US" w:eastAsia="zh-CN"/>
        </w:rPr>
        <w:t>等</w:t>
      </w:r>
      <w:r>
        <w:rPr>
          <w:rFonts w:hint="eastAsia" w:ascii="宋体" w:hAnsi="宋体" w:cs="宋体"/>
          <w:snapToGrid w:val="0"/>
          <w:kern w:val="0"/>
          <w:szCs w:val="21"/>
        </w:rPr>
        <w:t>相关技术要求，开展地下水</w:t>
      </w:r>
      <w:r>
        <w:rPr>
          <w:rFonts w:hint="eastAsia" w:ascii="宋体" w:hAnsi="宋体" w:cs="宋体"/>
          <w:snapToGrid w:val="0"/>
          <w:kern w:val="0"/>
          <w:szCs w:val="21"/>
          <w:lang w:val="en-US" w:eastAsia="zh-CN"/>
        </w:rPr>
        <w:t>环境质量监测</w:t>
      </w:r>
      <w:r>
        <w:rPr>
          <w:rFonts w:hint="eastAsia" w:ascii="宋体" w:hAnsi="宋体" w:cs="宋体"/>
          <w:snapToGrid w:val="0"/>
          <w:kern w:val="0"/>
          <w:szCs w:val="21"/>
        </w:rPr>
        <w:t>点位洗井、样品采集、保存和流转工作，对样品采集的有效性、准确性和规范性负责。</w:t>
      </w:r>
    </w:p>
    <w:p w14:paraId="304A34DF">
      <w:pPr>
        <w:numPr>
          <w:ilvl w:val="255"/>
          <w:numId w:val="0"/>
        </w:numPr>
        <w:adjustRightInd w:val="0"/>
        <w:snapToGrid w:val="0"/>
        <w:ind w:left="567"/>
        <w:rPr>
          <w:rFonts w:ascii="宋体" w:hAnsi="宋体" w:cs="宋体"/>
          <w:snapToGrid w:val="0"/>
          <w:kern w:val="0"/>
          <w:szCs w:val="21"/>
        </w:rPr>
      </w:pPr>
      <w:r>
        <w:rPr>
          <w:rFonts w:hint="eastAsia" w:ascii="宋体" w:hAnsi="宋体" w:cs="宋体"/>
          <w:snapToGrid w:val="0"/>
          <w:kern w:val="0"/>
          <w:szCs w:val="21"/>
        </w:rPr>
        <w:t>1.2人员要求</w:t>
      </w:r>
    </w:p>
    <w:p w14:paraId="0EBB944B">
      <w:pPr>
        <w:adjustRightInd w:val="0"/>
        <w:snapToGrid w:val="0"/>
        <w:ind w:firstLine="420"/>
        <w:rPr>
          <w:rFonts w:ascii="宋体" w:hAnsi="宋体" w:cs="宋体"/>
          <w:snapToGrid w:val="0"/>
          <w:kern w:val="0"/>
          <w:szCs w:val="21"/>
        </w:rPr>
      </w:pPr>
      <w:r>
        <w:rPr>
          <w:rFonts w:hint="eastAsia" w:ascii="宋体" w:hAnsi="宋体" w:cs="宋体"/>
          <w:snapToGrid w:val="0"/>
          <w:kern w:val="0"/>
          <w:szCs w:val="21"/>
        </w:rPr>
        <w:t>中标单位应针对本项任务设置专门的项目负责人和样品采集工作团队，可根据实际承担工作任务情况，分设计划制定与组织管理、样品采集、样品管理等小组，指定各小组负责人，各司其职。</w:t>
      </w:r>
      <w:r>
        <w:rPr>
          <w:rFonts w:hint="eastAsia" w:ascii="宋体" w:hAnsi="宋体" w:cs="宋体"/>
          <w:snapToGrid w:val="0"/>
          <w:kern w:val="0"/>
          <w:szCs w:val="21"/>
          <w:lang w:val="en-US" w:eastAsia="zh-CN"/>
        </w:rPr>
        <w:t>每个采样小组应至少由2名持有上岗证的样品采集人员组成，并由具有 1 年以上地下水监测现场采样工作经验，承担过地下水相关专项调查、监测工作的专业技术人员为组长。</w:t>
      </w:r>
    </w:p>
    <w:p w14:paraId="0DC30C7F">
      <w:pPr>
        <w:adjustRightInd w:val="0"/>
        <w:snapToGrid w:val="0"/>
        <w:ind w:firstLine="420"/>
        <w:rPr>
          <w:rFonts w:ascii="宋体" w:hAnsi="宋体" w:cs="宋体"/>
          <w:snapToGrid w:val="0"/>
          <w:kern w:val="0"/>
          <w:szCs w:val="21"/>
        </w:rPr>
      </w:pPr>
      <w:r>
        <w:rPr>
          <w:rFonts w:hint="eastAsia" w:ascii="宋体" w:hAnsi="宋体" w:cs="宋体"/>
          <w:snapToGrid w:val="0"/>
          <w:kern w:val="0"/>
          <w:szCs w:val="21"/>
        </w:rPr>
        <w:t>项目负责人负责与招标方对接、协调每月的地下水采样工作。样品采集人员应持证上岗，具有生态环境、地下水等相关专业知识，熟悉采样流程和要求，承担过</w:t>
      </w:r>
      <w:r>
        <w:rPr>
          <w:rFonts w:hint="eastAsia" w:ascii="宋体" w:hAnsi="宋体" w:cs="宋体"/>
          <w:snapToGrid w:val="0"/>
          <w:kern w:val="0"/>
          <w:szCs w:val="21"/>
          <w:lang w:val="en-US" w:eastAsia="zh-CN"/>
        </w:rPr>
        <w:t>地下水</w:t>
      </w:r>
      <w:r>
        <w:rPr>
          <w:rFonts w:hint="eastAsia" w:ascii="宋体" w:hAnsi="宋体" w:cs="宋体"/>
          <w:snapToGrid w:val="0"/>
          <w:kern w:val="0"/>
          <w:szCs w:val="21"/>
        </w:rPr>
        <w:t>洗井、样品采集、现场监测项目等工作任务</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熟练掌握地下水采样的技术要求和相关设备的操作方法</w:t>
      </w:r>
      <w:r>
        <w:rPr>
          <w:rFonts w:hint="eastAsia" w:ascii="宋体" w:hAnsi="宋体" w:cs="宋体"/>
          <w:snapToGrid w:val="0"/>
          <w:kern w:val="0"/>
          <w:szCs w:val="21"/>
        </w:rPr>
        <w:t>；样品管理人员应熟悉地下水样品保存、流转的条件和技术要求。</w:t>
      </w:r>
    </w:p>
    <w:p w14:paraId="420CC8D1">
      <w:pPr>
        <w:adjustRightInd w:val="0"/>
        <w:snapToGrid w:val="0"/>
        <w:ind w:firstLine="420"/>
        <w:rPr>
          <w:rFonts w:ascii="宋体" w:hAnsi="宋体" w:cs="宋体"/>
          <w:snapToGrid w:val="0"/>
          <w:kern w:val="0"/>
          <w:szCs w:val="21"/>
        </w:rPr>
      </w:pPr>
      <w:r>
        <w:rPr>
          <w:rFonts w:hint="eastAsia" w:ascii="宋体" w:hAnsi="宋体" w:cs="宋体"/>
          <w:snapToGrid w:val="0"/>
          <w:kern w:val="0"/>
          <w:szCs w:val="21"/>
        </w:rPr>
        <w:t>中标单位应保证服务期内项目负责人和样品采集人员的稳定性，服务期内未得到招标方允许，项目负责人不得更换。</w:t>
      </w:r>
    </w:p>
    <w:p w14:paraId="357F916A">
      <w:pPr>
        <w:numPr>
          <w:ilvl w:val="255"/>
          <w:numId w:val="0"/>
        </w:numPr>
        <w:adjustRightInd w:val="0"/>
        <w:snapToGrid w:val="0"/>
        <w:ind w:left="567"/>
        <w:rPr>
          <w:rFonts w:ascii="宋体" w:hAnsi="宋体" w:cs="宋体"/>
          <w:snapToGrid w:val="0"/>
          <w:kern w:val="0"/>
          <w:szCs w:val="21"/>
        </w:rPr>
      </w:pPr>
      <w:r>
        <w:rPr>
          <w:rFonts w:hint="eastAsia" w:ascii="宋体" w:hAnsi="宋体" w:cs="宋体"/>
          <w:snapToGrid w:val="0"/>
          <w:kern w:val="0"/>
          <w:szCs w:val="21"/>
        </w:rPr>
        <w:t>1.3仪器设备要求</w:t>
      </w:r>
    </w:p>
    <w:p w14:paraId="6BAB4FDA">
      <w:pPr>
        <w:adjustRightInd w:val="0"/>
        <w:snapToGrid w:val="0"/>
        <w:ind w:firstLine="420"/>
        <w:rPr>
          <w:rFonts w:ascii="宋体" w:hAnsi="宋体" w:cs="宋体"/>
          <w:snapToGrid w:val="0"/>
          <w:kern w:val="0"/>
          <w:szCs w:val="21"/>
        </w:rPr>
      </w:pPr>
      <w:r>
        <w:rPr>
          <w:rFonts w:ascii="宋体" w:hAnsi="宋体" w:cs="宋体"/>
          <w:snapToGrid w:val="0"/>
          <w:kern w:val="0"/>
          <w:szCs w:val="21"/>
        </w:rPr>
        <w:t>投标人应配备数量充足、技术指标符合相关监测方法要求的各类监测仪器设备和标准物质。与采样和监测结果的准确性和有效性相关的仪器设备在投入使用前，必须进行量值溯源，并保持其在有效期内进行监测。</w:t>
      </w:r>
    </w:p>
    <w:p w14:paraId="3D5DDEB1">
      <w:pPr>
        <w:numPr>
          <w:ilvl w:val="255"/>
          <w:numId w:val="0"/>
        </w:numPr>
        <w:adjustRightInd w:val="0"/>
        <w:snapToGrid w:val="0"/>
        <w:ind w:left="567"/>
        <w:rPr>
          <w:rFonts w:ascii="宋体" w:hAnsi="宋体" w:cs="宋体"/>
          <w:snapToGrid w:val="0"/>
          <w:kern w:val="0"/>
          <w:szCs w:val="21"/>
        </w:rPr>
      </w:pPr>
      <w:r>
        <w:rPr>
          <w:rFonts w:hint="eastAsia" w:ascii="宋体" w:hAnsi="宋体" w:cs="宋体"/>
          <w:snapToGrid w:val="0"/>
          <w:kern w:val="0"/>
          <w:szCs w:val="21"/>
        </w:rPr>
        <w:t>1.4采样准备</w:t>
      </w:r>
    </w:p>
    <w:p w14:paraId="6FD591EA">
      <w:pPr>
        <w:adjustRightInd w:val="0"/>
        <w:snapToGrid w:val="0"/>
        <w:ind w:firstLine="420"/>
        <w:rPr>
          <w:snapToGrid w:val="0"/>
          <w:kern w:val="0"/>
          <w:szCs w:val="21"/>
        </w:rPr>
      </w:pPr>
      <w:r>
        <w:rPr>
          <w:snapToGrid w:val="0"/>
          <w:kern w:val="0"/>
          <w:szCs w:val="21"/>
        </w:rPr>
        <w:t>中标单位按照招标人每月制定的采样实施方案，编制完成当月采样计划，并提交招标人审核确认。应根据承担任务数量和完成时限要求，合理调配采样任务，制定切实可行的采样计划，明确人员配备和工作分工、采样计划、组织实施、样品采集、样品保存与流转、质量保证与质量控制等要求。</w:t>
      </w:r>
    </w:p>
    <w:p w14:paraId="58394191">
      <w:pPr>
        <w:adjustRightInd w:val="0"/>
        <w:snapToGrid w:val="0"/>
        <w:ind w:firstLine="420"/>
        <w:rPr>
          <w:snapToGrid w:val="0"/>
          <w:kern w:val="0"/>
          <w:szCs w:val="21"/>
        </w:rPr>
      </w:pPr>
      <w:r>
        <w:rPr>
          <w:snapToGrid w:val="0"/>
          <w:kern w:val="0"/>
          <w:szCs w:val="21"/>
        </w:rPr>
        <w:t>中标单位采样小组根据采样任务单准备相应的样品容器、冷藏避震箱、洗井设备、采样设备、现场监测仪器、固定剂和实验室用水。采样器具的材质和结构应符合 HJ 164 和各检测项目分析方法中的相关规定。采样单位应定期对容器清洗质量、固定剂、实验室用水进行抽查，每批次抽查约 2~5%，检测其待测项目能否检出，待测项目水样容器空白值应低于分析方法检出限。</w:t>
      </w:r>
    </w:p>
    <w:p w14:paraId="2E84E250">
      <w:pPr>
        <w:numPr>
          <w:ilvl w:val="255"/>
          <w:numId w:val="0"/>
        </w:numPr>
        <w:adjustRightInd w:val="0"/>
        <w:snapToGrid w:val="0"/>
        <w:ind w:left="567"/>
        <w:rPr>
          <w:rFonts w:ascii="宋体" w:hAnsi="宋体" w:cs="宋体"/>
          <w:snapToGrid w:val="0"/>
          <w:kern w:val="0"/>
          <w:szCs w:val="21"/>
        </w:rPr>
      </w:pPr>
      <w:r>
        <w:rPr>
          <w:rFonts w:hint="eastAsia" w:ascii="宋体" w:hAnsi="宋体" w:cs="宋体"/>
          <w:snapToGrid w:val="0"/>
          <w:kern w:val="0"/>
          <w:szCs w:val="21"/>
        </w:rPr>
        <w:t>1.5样品采集</w:t>
      </w:r>
    </w:p>
    <w:p w14:paraId="3F847E22">
      <w:pPr>
        <w:adjustRightInd w:val="0"/>
        <w:snapToGrid w:val="0"/>
        <w:ind w:firstLine="420"/>
        <w:rPr>
          <w:rFonts w:ascii="宋体" w:hAnsi="宋体" w:cs="宋体"/>
          <w:snapToGrid w:val="0"/>
          <w:kern w:val="0"/>
          <w:szCs w:val="21"/>
        </w:rPr>
      </w:pPr>
      <w:r>
        <w:rPr>
          <w:rFonts w:hint="eastAsia"/>
          <w:snapToGrid w:val="0"/>
          <w:kern w:val="0"/>
          <w:szCs w:val="21"/>
        </w:rPr>
        <w:t>采样前应进行洗井和参数测定，待相关参数稳定达到采样标准后进行采样，</w:t>
      </w:r>
      <w:r>
        <w:rPr>
          <w:snapToGrid w:val="0"/>
          <w:kern w:val="0"/>
          <w:szCs w:val="21"/>
        </w:rPr>
        <w:t>样品采集和现场监测参照</w:t>
      </w:r>
      <w:r>
        <w:rPr>
          <w:rFonts w:hint="eastAsia"/>
          <w:snapToGrid w:val="0"/>
          <w:kern w:val="0"/>
          <w:szCs w:val="21"/>
        </w:rPr>
        <w:t>《地下水环境监测技术规范》（HJ 164-2020）、</w:t>
      </w:r>
      <w:r>
        <w:rPr>
          <w:rFonts w:hint="eastAsia" w:ascii="宋体" w:hAnsi="宋体" w:cs="宋体"/>
          <w:snapToGrid w:val="0"/>
          <w:kern w:val="0"/>
          <w:szCs w:val="21"/>
          <w:lang w:eastAsia="zh-CN"/>
        </w:rPr>
        <w:t>《地块土壤和地下水中挥发性有机物采样技术导则》（</w:t>
      </w:r>
      <w:r>
        <w:rPr>
          <w:rFonts w:hint="eastAsia" w:ascii="宋体" w:hAnsi="宋体" w:cs="宋体"/>
          <w:snapToGrid w:val="0"/>
          <w:kern w:val="0"/>
          <w:szCs w:val="21"/>
          <w:lang w:val="en-US" w:eastAsia="zh-CN"/>
        </w:rPr>
        <w:t>HJ 1019-2019)、</w:t>
      </w:r>
      <w:r>
        <w:rPr>
          <w:rFonts w:hint="eastAsia"/>
          <w:snapToGrid w:val="0"/>
          <w:kern w:val="0"/>
          <w:szCs w:val="21"/>
        </w:rPr>
        <w:t>《地下水环境监测样品采集、保存和流转技术规定》（总站土字</w:t>
      </w:r>
      <w:r>
        <w:rPr>
          <w:rFonts w:hint="eastAsia"/>
          <w:snapToGrid w:val="0"/>
          <w:kern w:val="0"/>
          <w:szCs w:val="21"/>
          <w:lang w:val="en-US" w:eastAsia="zh-CN"/>
        </w:rPr>
        <w:t>[</w:t>
      </w:r>
      <w:r>
        <w:rPr>
          <w:rFonts w:hint="eastAsia"/>
          <w:snapToGrid w:val="0"/>
          <w:kern w:val="0"/>
          <w:szCs w:val="21"/>
        </w:rPr>
        <w:t>2022</w:t>
      </w:r>
      <w:r>
        <w:rPr>
          <w:rFonts w:hint="eastAsia"/>
          <w:snapToGrid w:val="0"/>
          <w:kern w:val="0"/>
          <w:szCs w:val="21"/>
          <w:lang w:val="en-US" w:eastAsia="zh-CN"/>
        </w:rPr>
        <w:t>]</w:t>
      </w:r>
      <w:r>
        <w:rPr>
          <w:rFonts w:hint="eastAsia"/>
          <w:snapToGrid w:val="0"/>
          <w:kern w:val="0"/>
          <w:szCs w:val="21"/>
        </w:rPr>
        <w:t>112号）</w:t>
      </w:r>
      <w:r>
        <w:rPr>
          <w:rFonts w:hint="eastAsia"/>
          <w:snapToGrid w:val="0"/>
          <w:kern w:val="0"/>
          <w:szCs w:val="21"/>
          <w:lang w:val="en-US" w:eastAsia="zh-CN"/>
        </w:rPr>
        <w:t>等</w:t>
      </w:r>
      <w:r>
        <w:rPr>
          <w:rFonts w:hint="eastAsia"/>
          <w:snapToGrid w:val="0"/>
          <w:kern w:val="0"/>
          <w:szCs w:val="21"/>
        </w:rPr>
        <w:t>相关技术要求</w:t>
      </w:r>
      <w:r>
        <w:rPr>
          <w:snapToGrid w:val="0"/>
          <w:kern w:val="0"/>
          <w:szCs w:val="21"/>
        </w:rPr>
        <w:t>进行</w:t>
      </w:r>
      <w:r>
        <w:rPr>
          <w:rFonts w:hint="eastAsia"/>
          <w:snapToGrid w:val="0"/>
          <w:kern w:val="0"/>
          <w:szCs w:val="21"/>
        </w:rPr>
        <w:t>。样品采集时，按照监测方案规定的比例，随机设置平行样品采集点位；根据不同项目要求采集全程序空白和运输空白等质控样品</w:t>
      </w:r>
      <w:r>
        <w:rPr>
          <w:snapToGrid w:val="0"/>
          <w:kern w:val="0"/>
          <w:szCs w:val="21"/>
        </w:rPr>
        <w:t>。</w:t>
      </w:r>
    </w:p>
    <w:p w14:paraId="28698FE9">
      <w:pPr>
        <w:numPr>
          <w:ilvl w:val="255"/>
          <w:numId w:val="0"/>
        </w:numPr>
        <w:adjustRightInd w:val="0"/>
        <w:snapToGrid w:val="0"/>
        <w:ind w:left="567"/>
        <w:rPr>
          <w:rFonts w:ascii="宋体" w:hAnsi="宋体" w:cs="宋体"/>
          <w:snapToGrid w:val="0"/>
          <w:kern w:val="0"/>
          <w:szCs w:val="21"/>
        </w:rPr>
      </w:pPr>
      <w:r>
        <w:rPr>
          <w:rFonts w:hint="eastAsia" w:ascii="宋体" w:hAnsi="宋体" w:cs="宋体"/>
          <w:snapToGrid w:val="0"/>
          <w:kern w:val="0"/>
          <w:szCs w:val="21"/>
        </w:rPr>
        <w:t>1.6样品保存和流转</w:t>
      </w:r>
    </w:p>
    <w:p w14:paraId="286F4525">
      <w:pPr>
        <w:adjustRightInd w:val="0"/>
        <w:snapToGrid w:val="0"/>
        <w:ind w:firstLine="420"/>
        <w:rPr>
          <w:rFonts w:ascii="宋体" w:hAnsi="宋体" w:cs="宋体"/>
          <w:snapToGrid w:val="0"/>
          <w:kern w:val="0"/>
          <w:szCs w:val="21"/>
        </w:rPr>
      </w:pPr>
      <w:r>
        <w:rPr>
          <w:rFonts w:hint="eastAsia" w:ascii="宋体" w:hAnsi="宋体" w:cs="宋体"/>
          <w:snapToGrid w:val="0"/>
          <w:kern w:val="0"/>
          <w:szCs w:val="21"/>
        </w:rPr>
        <w:t>样品采集后，应对样品与采样记录进行逐个核对，检查无误后分类装箱，冷藏保存，在样品有效期内送至分析测试实验室进行分析。</w:t>
      </w:r>
    </w:p>
    <w:p w14:paraId="5745E0C2">
      <w:pPr>
        <w:numPr>
          <w:ilvl w:val="255"/>
          <w:numId w:val="0"/>
        </w:numPr>
        <w:adjustRightInd w:val="0"/>
        <w:snapToGrid w:val="0"/>
        <w:ind w:left="567"/>
        <w:rPr>
          <w:rFonts w:ascii="宋体" w:hAnsi="宋体" w:cs="宋体"/>
          <w:snapToGrid w:val="0"/>
          <w:kern w:val="0"/>
          <w:szCs w:val="21"/>
        </w:rPr>
      </w:pPr>
      <w:r>
        <w:rPr>
          <w:rFonts w:hint="eastAsia" w:ascii="宋体" w:hAnsi="宋体" w:cs="宋体"/>
          <w:snapToGrid w:val="0"/>
          <w:kern w:val="0"/>
          <w:szCs w:val="21"/>
        </w:rPr>
        <w:t>1.7样品交接</w:t>
      </w:r>
    </w:p>
    <w:p w14:paraId="59334B25">
      <w:pPr>
        <w:adjustRightInd w:val="0"/>
        <w:snapToGrid w:val="0"/>
        <w:ind w:firstLine="420"/>
        <w:rPr>
          <w:rFonts w:ascii="宋体" w:hAnsi="宋体" w:cs="宋体"/>
          <w:snapToGrid w:val="0"/>
          <w:kern w:val="0"/>
          <w:szCs w:val="21"/>
        </w:rPr>
      </w:pPr>
      <w:r>
        <w:rPr>
          <w:rFonts w:hint="eastAsia" w:ascii="宋体" w:hAnsi="宋体" w:cs="宋体"/>
          <w:snapToGrid w:val="0"/>
          <w:kern w:val="0"/>
          <w:szCs w:val="21"/>
        </w:rPr>
        <w:t>中标单位原则上应在工作日规定时间内将样品送达分析测试实验室。分析测试实验室人员按要求核查样品状况（温度、包装、外观、数量、状态等）与样品交接单是否相符，确认样品的性质和状态是否符合检测要求，并签字确认。中标单位回收样品交接单。样品交接中若出现因冷藏箱温度不正常、送样时间超时、样品瓶破裂、封条被撕开、样品数量不对等被拒收的情况，中标单位按要求启动重采等措施。</w:t>
      </w:r>
    </w:p>
    <w:p w14:paraId="73C9DAE7">
      <w:pPr>
        <w:numPr>
          <w:ilvl w:val="255"/>
          <w:numId w:val="0"/>
        </w:numPr>
        <w:adjustRightInd w:val="0"/>
        <w:snapToGrid w:val="0"/>
        <w:ind w:left="567"/>
        <w:rPr>
          <w:rFonts w:ascii="宋体" w:hAnsi="宋体" w:cs="宋体"/>
          <w:snapToGrid w:val="0"/>
          <w:kern w:val="0"/>
          <w:szCs w:val="21"/>
        </w:rPr>
      </w:pPr>
      <w:r>
        <w:rPr>
          <w:rFonts w:hint="eastAsia" w:ascii="宋体" w:hAnsi="宋体" w:cs="宋体"/>
          <w:snapToGrid w:val="0"/>
          <w:kern w:val="0"/>
          <w:szCs w:val="21"/>
        </w:rPr>
        <w:t>1.8现场监测项目检测报告</w:t>
      </w:r>
    </w:p>
    <w:p w14:paraId="50DFD430">
      <w:pPr>
        <w:adjustRightInd w:val="0"/>
        <w:snapToGrid w:val="0"/>
        <w:ind w:firstLine="420"/>
        <w:rPr>
          <w:rFonts w:ascii="宋体" w:hAnsi="宋体" w:cs="宋体"/>
          <w:snapToGrid w:val="0"/>
          <w:kern w:val="0"/>
          <w:szCs w:val="21"/>
        </w:rPr>
      </w:pPr>
      <w:r>
        <w:rPr>
          <w:rFonts w:hint="eastAsia" w:ascii="宋体" w:hAnsi="宋体" w:cs="宋体"/>
          <w:snapToGrid w:val="0"/>
          <w:kern w:val="0"/>
          <w:szCs w:val="21"/>
        </w:rPr>
        <w:t>中标单位应于每月25日前上报现场</w:t>
      </w:r>
      <w:r>
        <w:rPr>
          <w:rFonts w:hint="eastAsia" w:ascii="宋体" w:hAnsi="宋体" w:cs="宋体"/>
          <w:snapToGrid w:val="0"/>
          <w:kern w:val="0"/>
          <w:szCs w:val="21"/>
          <w:lang w:val="en-US" w:eastAsia="zh-CN"/>
        </w:rPr>
        <w:t>监测</w:t>
      </w:r>
      <w:r>
        <w:rPr>
          <w:rFonts w:hint="eastAsia" w:ascii="宋体" w:hAnsi="宋体" w:cs="宋体"/>
          <w:snapToGrid w:val="0"/>
          <w:kern w:val="0"/>
          <w:szCs w:val="21"/>
        </w:rPr>
        <w:t>项目检测报告，检测报告应加盖CMA章，中标单位对现场监测项目监测数据的真实性和准确性负责。</w:t>
      </w:r>
    </w:p>
    <w:p w14:paraId="238D9EB0">
      <w:pPr>
        <w:numPr>
          <w:ilvl w:val="255"/>
          <w:numId w:val="0"/>
        </w:numPr>
        <w:adjustRightInd w:val="0"/>
        <w:snapToGrid w:val="0"/>
        <w:ind w:left="567"/>
        <w:rPr>
          <w:rFonts w:ascii="宋体" w:hAnsi="宋体" w:cs="宋体"/>
          <w:snapToGrid w:val="0"/>
          <w:kern w:val="0"/>
          <w:szCs w:val="21"/>
        </w:rPr>
      </w:pPr>
      <w:r>
        <w:rPr>
          <w:rFonts w:hint="eastAsia" w:ascii="宋体" w:hAnsi="宋体" w:cs="宋体"/>
          <w:snapToGrid w:val="0"/>
          <w:kern w:val="0"/>
          <w:szCs w:val="21"/>
        </w:rPr>
        <w:t>1.9质量控制要求</w:t>
      </w:r>
    </w:p>
    <w:p w14:paraId="4C283F4B">
      <w:pPr>
        <w:adjustRightInd w:val="0"/>
        <w:snapToGrid w:val="0"/>
        <w:ind w:firstLine="630" w:firstLineChars="300"/>
        <w:rPr>
          <w:rFonts w:ascii="宋体" w:hAnsi="宋体" w:cs="宋体"/>
          <w:snapToGrid w:val="0"/>
          <w:kern w:val="0"/>
          <w:szCs w:val="21"/>
        </w:rPr>
      </w:pPr>
      <w:r>
        <w:rPr>
          <w:rFonts w:hint="eastAsia" w:ascii="宋体" w:hAnsi="宋体" w:cs="宋体"/>
          <w:snapToGrid w:val="0"/>
          <w:kern w:val="0"/>
          <w:szCs w:val="21"/>
        </w:rPr>
        <w:t>中标单位应严格遵守</w:t>
      </w:r>
      <w:r>
        <w:rPr>
          <w:rFonts w:hint="eastAsia"/>
          <w:snapToGrid w:val="0"/>
          <w:kern w:val="0"/>
          <w:szCs w:val="21"/>
        </w:rPr>
        <w:t>《地下水环境</w:t>
      </w:r>
      <w:r>
        <w:rPr>
          <w:rFonts w:hint="eastAsia"/>
          <w:snapToGrid w:val="0"/>
          <w:kern w:val="0"/>
          <w:szCs w:val="21"/>
          <w:lang w:val="en-US" w:eastAsia="zh-CN"/>
        </w:rPr>
        <w:t>监</w:t>
      </w:r>
      <w:r>
        <w:rPr>
          <w:rFonts w:hint="eastAsia"/>
          <w:snapToGrid w:val="0"/>
          <w:kern w:val="0"/>
          <w:szCs w:val="21"/>
        </w:rPr>
        <w:t>测技术规范》（HJ 164-2020）、</w:t>
      </w:r>
      <w:r>
        <w:rPr>
          <w:rFonts w:hint="eastAsia" w:ascii="宋体" w:hAnsi="宋体" w:cs="宋体"/>
          <w:snapToGrid w:val="0"/>
          <w:kern w:val="0"/>
          <w:szCs w:val="21"/>
          <w:lang w:eastAsia="zh-CN"/>
        </w:rPr>
        <w:t>《地块土壤和地下水中挥发性有机物采样技术导则》（</w:t>
      </w:r>
      <w:r>
        <w:rPr>
          <w:rFonts w:hint="eastAsia" w:ascii="宋体" w:hAnsi="宋体" w:cs="宋体"/>
          <w:snapToGrid w:val="0"/>
          <w:kern w:val="0"/>
          <w:szCs w:val="21"/>
          <w:lang w:val="en-US" w:eastAsia="zh-CN"/>
        </w:rPr>
        <w:t>HJ 1019-2019)、</w:t>
      </w:r>
      <w:r>
        <w:rPr>
          <w:rFonts w:hint="eastAsia"/>
          <w:snapToGrid w:val="0"/>
          <w:kern w:val="0"/>
          <w:szCs w:val="21"/>
        </w:rPr>
        <w:t>《地下水环境监测样品采集、保存和流转技术规定》（总站土字</w:t>
      </w:r>
      <w:r>
        <w:rPr>
          <w:rFonts w:hint="eastAsia"/>
          <w:snapToGrid w:val="0"/>
          <w:kern w:val="0"/>
          <w:szCs w:val="21"/>
          <w:lang w:val="en-US" w:eastAsia="zh-CN"/>
        </w:rPr>
        <w:t>[</w:t>
      </w:r>
      <w:r>
        <w:rPr>
          <w:rFonts w:hint="eastAsia"/>
          <w:snapToGrid w:val="0"/>
          <w:kern w:val="0"/>
          <w:szCs w:val="21"/>
        </w:rPr>
        <w:t>2022</w:t>
      </w:r>
      <w:r>
        <w:rPr>
          <w:rFonts w:hint="eastAsia"/>
          <w:snapToGrid w:val="0"/>
          <w:kern w:val="0"/>
          <w:szCs w:val="21"/>
          <w:lang w:val="en-US" w:eastAsia="zh-CN"/>
        </w:rPr>
        <w:t>]</w:t>
      </w:r>
      <w:r>
        <w:rPr>
          <w:rFonts w:hint="eastAsia"/>
          <w:snapToGrid w:val="0"/>
          <w:kern w:val="0"/>
          <w:szCs w:val="21"/>
        </w:rPr>
        <w:t>112号）相关</w:t>
      </w:r>
      <w:r>
        <w:rPr>
          <w:rFonts w:hint="eastAsia" w:ascii="宋体" w:hAnsi="宋体" w:cs="宋体"/>
          <w:snapToGrid w:val="0"/>
          <w:kern w:val="0"/>
          <w:szCs w:val="21"/>
        </w:rPr>
        <w:t>质量控制要求，做好样品采集全流程质控。</w:t>
      </w:r>
    </w:p>
    <w:p w14:paraId="010BCDA7">
      <w:pPr>
        <w:adjustRightInd w:val="0"/>
        <w:snapToGrid w:val="0"/>
        <w:ind w:firstLine="630" w:firstLineChars="300"/>
        <w:rPr>
          <w:rFonts w:hint="eastAsia" w:ascii="宋体" w:hAnsi="宋体" w:cs="宋体"/>
          <w:snapToGrid w:val="0"/>
          <w:kern w:val="0"/>
          <w:szCs w:val="21"/>
        </w:rPr>
      </w:pPr>
      <w:r>
        <w:rPr>
          <w:rFonts w:hint="eastAsia" w:ascii="宋体" w:hAnsi="宋体" w:cs="宋体"/>
          <w:snapToGrid w:val="0"/>
          <w:kern w:val="0"/>
          <w:szCs w:val="21"/>
        </w:rPr>
        <w:t>中标单位应承诺接受招标人的质量监督、飞行检查等质控检查，检查重点包括：质量管理体系的建立、运行情况，采样和现场监测规范性、样品运输时效性，分析和质控记录完整性和可溯源性等。</w:t>
      </w:r>
    </w:p>
    <w:p w14:paraId="6688A595">
      <w:pPr>
        <w:numPr>
          <w:ilvl w:val="255"/>
          <w:numId w:val="0"/>
        </w:numPr>
        <w:adjustRightInd w:val="0"/>
        <w:snapToGrid w:val="0"/>
        <w:ind w:left="567"/>
        <w:rPr>
          <w:rFonts w:hint="default" w:ascii="宋体" w:hAnsi="宋体" w:cs="宋体"/>
          <w:snapToGrid w:val="0"/>
          <w:kern w:val="0"/>
          <w:szCs w:val="21"/>
          <w:lang w:val="en-US"/>
        </w:rPr>
      </w:pPr>
      <w:r>
        <w:rPr>
          <w:rFonts w:hint="eastAsia" w:ascii="宋体" w:hAnsi="宋体" w:cs="宋体"/>
          <w:snapToGrid w:val="0"/>
          <w:kern w:val="0"/>
          <w:szCs w:val="21"/>
        </w:rPr>
        <w:t>1.</w:t>
      </w:r>
      <w:r>
        <w:rPr>
          <w:rFonts w:hint="eastAsia" w:ascii="宋体" w:hAnsi="宋体" w:cs="宋体"/>
          <w:snapToGrid w:val="0"/>
          <w:kern w:val="0"/>
          <w:szCs w:val="21"/>
          <w:lang w:val="en-US" w:eastAsia="zh-CN"/>
        </w:rPr>
        <w:t>10工作总结报告</w:t>
      </w:r>
    </w:p>
    <w:p w14:paraId="6C3DB9B6">
      <w:pPr>
        <w:ind w:firstLine="840" w:firstLineChars="400"/>
        <w:jc w:val="both"/>
        <w:outlineLvl w:val="9"/>
        <w:rPr>
          <w:rFonts w:hint="eastAsia" w:ascii="宋体" w:hAnsi="宋体" w:cs="宋体"/>
          <w:b w:val="0"/>
          <w:bCs w:val="0"/>
          <w:snapToGrid w:val="0"/>
          <w:kern w:val="0"/>
          <w:sz w:val="21"/>
          <w:szCs w:val="21"/>
        </w:rPr>
      </w:pPr>
      <w:r>
        <w:rPr>
          <w:rFonts w:hint="eastAsia" w:ascii="宋体" w:hAnsi="宋体" w:cs="宋体"/>
          <w:b w:val="0"/>
          <w:bCs w:val="0"/>
          <w:snapToGrid w:val="0"/>
          <w:kern w:val="0"/>
          <w:sz w:val="21"/>
          <w:szCs w:val="21"/>
          <w:lang w:val="en-US" w:eastAsia="zh-CN"/>
        </w:rPr>
        <w:t>中标单位应按要求编制项目工作总结报告，提交招标人。</w:t>
      </w:r>
    </w:p>
    <w:p w14:paraId="59F81760">
      <w:pPr>
        <w:snapToGrid w:val="0"/>
        <w:ind w:firstLine="420"/>
        <w:rPr>
          <w:rFonts w:ascii="宋体" w:hAnsi="宋体" w:cs="宋体"/>
          <w:snapToGrid w:val="0"/>
          <w:kern w:val="0"/>
          <w:szCs w:val="21"/>
        </w:rPr>
      </w:pPr>
      <w:r>
        <w:rPr>
          <w:rFonts w:hint="eastAsia" w:ascii="宋体" w:hAnsi="宋体" w:cs="宋体"/>
          <w:snapToGrid w:val="0"/>
          <w:kern w:val="0"/>
          <w:szCs w:val="21"/>
        </w:rPr>
        <w:t>（二）保密要求。</w:t>
      </w:r>
    </w:p>
    <w:p w14:paraId="41B00646">
      <w:pPr>
        <w:snapToGrid w:val="0"/>
        <w:ind w:firstLine="630" w:firstLineChars="300"/>
        <w:rPr>
          <w:rFonts w:ascii="宋体" w:hAnsi="宋体" w:cs="宋体"/>
          <w:snapToGrid w:val="0"/>
          <w:kern w:val="0"/>
          <w:szCs w:val="21"/>
        </w:rPr>
      </w:pPr>
      <w:r>
        <w:rPr>
          <w:rFonts w:hint="eastAsia" w:ascii="宋体" w:hAnsi="宋体" w:cs="宋体"/>
          <w:snapToGrid w:val="0"/>
          <w:kern w:val="0"/>
          <w:szCs w:val="21"/>
        </w:rPr>
        <w:t>本项目所形成的数据及报告归招标人所有。未经招标人授权，中标人无权使用监测数据或将数据和报告交予任何第三方。参与采样工作的中标人的技术人员需遵守《保密协议》的相关规定，并与招标人签订相关保密协议。</w:t>
      </w:r>
    </w:p>
    <w:p w14:paraId="253FD3CC">
      <w:pPr>
        <w:widowControl/>
        <w:spacing w:line="240" w:lineRule="auto"/>
        <w:ind w:firstLine="420"/>
        <w:rPr>
          <w:rFonts w:asciiTheme="minorEastAsia" w:hAnsiTheme="minorEastAsia" w:eastAsiaTheme="minorEastAsia"/>
          <w:szCs w:val="21"/>
        </w:rPr>
      </w:pPr>
      <w:r>
        <w:rPr>
          <w:rFonts w:hint="eastAsia"/>
          <w:szCs w:val="21"/>
        </w:rPr>
        <w:t>（三）其他要求。中标单位在开展工作时，不得与相关单位存在利益关系。</w:t>
      </w:r>
    </w:p>
    <w:p w14:paraId="2655ED3F">
      <w:pPr>
        <w:ind w:firstLine="420"/>
        <w:rPr>
          <w:rFonts w:asciiTheme="minorEastAsia" w:hAnsiTheme="minorEastAsia" w:eastAsiaTheme="minorEastAsia"/>
        </w:rPr>
      </w:pPr>
    </w:p>
    <w:p w14:paraId="3BF90BFB">
      <w:pPr>
        <w:pStyle w:val="2"/>
        <w:ind w:firstLine="0" w:firstLineChars="0"/>
        <w:rPr>
          <w:rFonts w:asciiTheme="minorEastAsia" w:hAnsiTheme="minorEastAsia" w:eastAsiaTheme="minorEastAsia"/>
          <w:sz w:val="32"/>
          <w:szCs w:val="32"/>
        </w:rPr>
      </w:pPr>
      <w:bookmarkStart w:id="98" w:name="_Toc450840086"/>
      <w:r>
        <w:rPr>
          <w:rFonts w:hint="eastAsia" w:asciiTheme="minorEastAsia" w:hAnsiTheme="minorEastAsia" w:eastAsiaTheme="minorEastAsia"/>
        </w:rPr>
        <w:br w:type="page"/>
      </w:r>
      <w:bookmarkStart w:id="99" w:name="_Toc23629"/>
      <w:r>
        <w:rPr>
          <w:rFonts w:hint="eastAsia" w:asciiTheme="minorEastAsia" w:hAnsiTheme="minorEastAsia" w:eastAsiaTheme="minorEastAsia"/>
          <w:sz w:val="32"/>
          <w:szCs w:val="32"/>
        </w:rPr>
        <w:t>第三章 采购项目商务</w:t>
      </w:r>
      <w:bookmarkEnd w:id="98"/>
      <w:r>
        <w:rPr>
          <w:rFonts w:hint="eastAsia" w:asciiTheme="minorEastAsia" w:hAnsiTheme="minorEastAsia" w:eastAsiaTheme="minorEastAsia"/>
          <w:sz w:val="32"/>
          <w:szCs w:val="32"/>
        </w:rPr>
        <w:t>要求</w:t>
      </w:r>
      <w:bookmarkEnd w:id="99"/>
    </w:p>
    <w:p w14:paraId="397AC0C0">
      <w:pPr>
        <w:ind w:firstLine="0" w:firstLineChars="0"/>
        <w:rPr>
          <w:rFonts w:ascii="宋体" w:hAnsi="宋体" w:cs="宋体"/>
          <w:szCs w:val="21"/>
        </w:rPr>
      </w:pPr>
      <w:r>
        <w:rPr>
          <w:rFonts w:hint="eastAsia" w:ascii="宋体" w:hAnsi="宋体" w:cs="宋体"/>
          <w:szCs w:val="21"/>
        </w:rPr>
        <w:t>一、服务期</w:t>
      </w:r>
    </w:p>
    <w:p w14:paraId="1C019B19">
      <w:pPr>
        <w:ind w:firstLine="420"/>
        <w:rPr>
          <w:rFonts w:ascii="宋体" w:hAnsi="宋体" w:cs="宋体"/>
          <w:szCs w:val="21"/>
        </w:rPr>
      </w:pPr>
      <w:r>
        <w:rPr>
          <w:rFonts w:hint="eastAsia" w:ascii="宋体" w:hAnsi="宋体" w:cs="宋体"/>
          <w:szCs w:val="21"/>
        </w:rPr>
        <w:t>一年</w:t>
      </w:r>
    </w:p>
    <w:p w14:paraId="32D8B846">
      <w:pPr>
        <w:pStyle w:val="2"/>
        <w:numPr>
          <w:ilvl w:val="0"/>
          <w:numId w:val="3"/>
        </w:numPr>
        <w:ind w:firstLine="0" w:firstLineChars="0"/>
        <w:jc w:val="both"/>
        <w:rPr>
          <w:rFonts w:asciiTheme="minorEastAsia" w:hAnsiTheme="minorEastAsia" w:eastAsiaTheme="minorEastAsia"/>
          <w:b w:val="0"/>
          <w:kern w:val="2"/>
          <w:sz w:val="21"/>
          <w:szCs w:val="21"/>
        </w:rPr>
      </w:pPr>
      <w:r>
        <w:rPr>
          <w:rFonts w:hint="eastAsia" w:asciiTheme="minorEastAsia" w:hAnsiTheme="minorEastAsia" w:eastAsiaTheme="minorEastAsia"/>
          <w:b w:val="0"/>
          <w:kern w:val="2"/>
          <w:sz w:val="21"/>
          <w:szCs w:val="21"/>
        </w:rPr>
        <w:t>付款方式</w:t>
      </w:r>
    </w:p>
    <w:p w14:paraId="6A35141A">
      <w:pPr>
        <w:adjustRightInd w:val="0"/>
        <w:ind w:firstLine="420"/>
        <w:rPr>
          <w:rFonts w:ascii="宋体" w:hAnsi="宋体" w:cs="宋体"/>
          <w:szCs w:val="21"/>
          <w:highlight w:val="none"/>
        </w:rPr>
      </w:pPr>
      <w:r>
        <w:rPr>
          <w:rFonts w:hint="eastAsia" w:ascii="宋体" w:hAnsi="宋体" w:cs="宋体"/>
          <w:szCs w:val="21"/>
          <w:highlight w:val="none"/>
        </w:rPr>
        <w:t>2.1费用结算：按实结算，</w:t>
      </w:r>
      <w:r>
        <w:rPr>
          <w:rFonts w:hint="eastAsia" w:ascii="宋体" w:hAnsi="宋体" w:cs="宋体"/>
          <w:szCs w:val="21"/>
          <w:highlight w:val="none"/>
          <w:lang w:val="en-US" w:eastAsia="zh-CN"/>
        </w:rPr>
        <w:t>每半年</w:t>
      </w:r>
      <w:r>
        <w:rPr>
          <w:rFonts w:hint="eastAsia" w:ascii="宋体" w:hAnsi="宋体" w:cs="宋体"/>
          <w:szCs w:val="21"/>
          <w:highlight w:val="none"/>
        </w:rPr>
        <w:t>一结，由中标单位</w:t>
      </w:r>
      <w:r>
        <w:rPr>
          <w:rFonts w:hint="eastAsia" w:ascii="宋体" w:hAnsi="宋体" w:cs="宋体"/>
          <w:szCs w:val="21"/>
          <w:highlight w:val="none"/>
          <w:lang w:val="en-US" w:eastAsia="zh-CN"/>
        </w:rPr>
        <w:t>提交项目</w:t>
      </w:r>
      <w:r>
        <w:rPr>
          <w:rFonts w:hint="eastAsia" w:ascii="宋体" w:hAnsi="宋体" w:cs="宋体"/>
          <w:szCs w:val="21"/>
          <w:highlight w:val="none"/>
        </w:rPr>
        <w:t>工作总结、采样</w:t>
      </w:r>
      <w:r>
        <w:rPr>
          <w:rFonts w:hint="eastAsia" w:ascii="宋体" w:hAnsi="宋体" w:cs="宋体"/>
          <w:szCs w:val="21"/>
          <w:highlight w:val="none"/>
          <w:lang w:val="en-US" w:eastAsia="zh-CN"/>
        </w:rPr>
        <w:t>记录</w:t>
      </w:r>
      <w:r>
        <w:rPr>
          <w:rFonts w:hint="eastAsia" w:ascii="宋体" w:hAnsi="宋体" w:cs="宋体"/>
          <w:szCs w:val="21"/>
          <w:highlight w:val="none"/>
        </w:rPr>
        <w:t>、现场检测报告</w:t>
      </w:r>
      <w:r>
        <w:rPr>
          <w:rFonts w:hint="eastAsia" w:ascii="宋体" w:hAnsi="宋体" w:cs="宋体"/>
          <w:szCs w:val="21"/>
          <w:highlight w:val="none"/>
          <w:lang w:val="en-US" w:eastAsia="zh-CN"/>
        </w:rPr>
        <w:t>并</w:t>
      </w:r>
      <w:r>
        <w:rPr>
          <w:rFonts w:hint="eastAsia" w:ascii="宋体" w:hAnsi="宋体" w:cs="宋体"/>
          <w:szCs w:val="21"/>
          <w:highlight w:val="none"/>
        </w:rPr>
        <w:t>经采购方确认后</w:t>
      </w:r>
      <w:r>
        <w:rPr>
          <w:rFonts w:hint="eastAsia" w:ascii="宋体" w:hAnsi="宋体" w:cs="宋体"/>
          <w:szCs w:val="21"/>
          <w:highlight w:val="none"/>
          <w:lang w:eastAsia="zh-CN"/>
        </w:rPr>
        <w:t>，</w:t>
      </w:r>
      <w:r>
        <w:rPr>
          <w:rFonts w:hint="eastAsia" w:ascii="宋体" w:hAnsi="宋体" w:cs="宋体"/>
          <w:szCs w:val="21"/>
          <w:highlight w:val="none"/>
          <w:lang w:val="en-US" w:eastAsia="zh-CN"/>
        </w:rPr>
        <w:t>凭</w:t>
      </w:r>
      <w:r>
        <w:rPr>
          <w:rFonts w:hint="eastAsia" w:ascii="宋体" w:hAnsi="宋体" w:cs="宋体"/>
          <w:szCs w:val="21"/>
          <w:highlight w:val="none"/>
        </w:rPr>
        <w:t>正式的税务发票向采购单位申请结算</w:t>
      </w:r>
      <w:r>
        <w:rPr>
          <w:rFonts w:hint="eastAsia" w:ascii="宋体" w:hAnsi="宋体" w:cs="宋体"/>
          <w:szCs w:val="21"/>
          <w:highlight w:val="none"/>
          <w:lang w:eastAsia="zh-CN"/>
        </w:rPr>
        <w:t>。因为</w:t>
      </w:r>
      <w:r>
        <w:rPr>
          <w:rFonts w:hint="eastAsia" w:ascii="宋体" w:hAnsi="宋体" w:cs="宋体"/>
          <w:szCs w:val="21"/>
          <w:highlight w:val="none"/>
          <w:lang w:val="en-US" w:eastAsia="zh-CN"/>
        </w:rPr>
        <w:t>中标单位原因</w:t>
      </w:r>
      <w:r>
        <w:rPr>
          <w:rFonts w:hint="eastAsia" w:ascii="宋体" w:hAnsi="宋体" w:cs="宋体"/>
          <w:szCs w:val="21"/>
          <w:highlight w:val="none"/>
          <w:lang w:eastAsia="zh-CN"/>
        </w:rPr>
        <w:t>采样出现质量问题的，</w:t>
      </w:r>
      <w:r>
        <w:rPr>
          <w:rFonts w:hint="eastAsia" w:ascii="宋体" w:hAnsi="宋体" w:cs="宋体"/>
          <w:szCs w:val="21"/>
          <w:highlight w:val="none"/>
          <w:lang w:val="en-US" w:eastAsia="zh-CN"/>
        </w:rPr>
        <w:t>根据招标方要求进行</w:t>
      </w:r>
      <w:r>
        <w:rPr>
          <w:rFonts w:hint="eastAsia" w:ascii="宋体" w:hAnsi="宋体" w:cs="宋体"/>
          <w:szCs w:val="21"/>
          <w:highlight w:val="none"/>
          <w:lang w:eastAsia="zh-CN"/>
        </w:rPr>
        <w:t>重采</w:t>
      </w:r>
      <w:r>
        <w:rPr>
          <w:rFonts w:hint="eastAsia" w:ascii="宋体" w:hAnsi="宋体" w:cs="宋体"/>
          <w:szCs w:val="21"/>
          <w:highlight w:val="none"/>
          <w:lang w:val="en-US" w:eastAsia="zh-CN"/>
        </w:rPr>
        <w:t>产生的费用由中标单位承担，</w:t>
      </w:r>
      <w:r>
        <w:rPr>
          <w:rFonts w:hint="eastAsia" w:ascii="宋体" w:hAnsi="宋体" w:cs="宋体"/>
          <w:szCs w:val="21"/>
          <w:highlight w:val="none"/>
          <w:lang w:eastAsia="zh-CN"/>
        </w:rPr>
        <w:t>不</w:t>
      </w:r>
      <w:r>
        <w:rPr>
          <w:rFonts w:hint="eastAsia" w:ascii="宋体" w:hAnsi="宋体" w:cs="宋体"/>
          <w:szCs w:val="21"/>
          <w:highlight w:val="none"/>
          <w:lang w:val="en-US" w:eastAsia="zh-CN"/>
        </w:rPr>
        <w:t>另</w:t>
      </w:r>
      <w:r>
        <w:rPr>
          <w:rFonts w:hint="eastAsia" w:ascii="宋体" w:hAnsi="宋体" w:cs="宋体"/>
          <w:szCs w:val="21"/>
          <w:highlight w:val="none"/>
          <w:lang w:eastAsia="zh-CN"/>
        </w:rPr>
        <w:t>计费。</w:t>
      </w:r>
    </w:p>
    <w:p w14:paraId="0092E015">
      <w:pPr>
        <w:adjustRightInd w:val="0"/>
        <w:ind w:firstLine="420"/>
        <w:rPr>
          <w:rFonts w:ascii="宋体" w:hAnsi="宋体" w:cs="宋体"/>
          <w:szCs w:val="21"/>
          <w:highlight w:val="none"/>
        </w:rPr>
      </w:pPr>
      <w:r>
        <w:rPr>
          <w:rFonts w:hint="eastAsia" w:ascii="宋体" w:hAnsi="宋体" w:cs="宋体"/>
          <w:szCs w:val="21"/>
          <w:highlight w:val="none"/>
        </w:rPr>
        <w:t>2.2采购人和中标供应商每</w:t>
      </w:r>
      <w:r>
        <w:rPr>
          <w:rFonts w:hint="eastAsia" w:ascii="宋体" w:hAnsi="宋体" w:cs="宋体"/>
          <w:szCs w:val="21"/>
          <w:highlight w:val="none"/>
          <w:lang w:val="en-US" w:eastAsia="zh-CN"/>
        </w:rPr>
        <w:t>半年</w:t>
      </w:r>
      <w:r>
        <w:rPr>
          <w:rFonts w:hint="eastAsia" w:ascii="宋体" w:hAnsi="宋体" w:cs="宋体"/>
          <w:szCs w:val="21"/>
          <w:highlight w:val="none"/>
        </w:rPr>
        <w:t>进行结算</w:t>
      </w:r>
    </w:p>
    <w:p w14:paraId="5DC103E9">
      <w:pPr>
        <w:adjustRightInd w:val="0"/>
        <w:ind w:firstLine="420"/>
        <w:rPr>
          <w:rFonts w:hint="eastAsia" w:ascii="宋体" w:hAnsi="宋体" w:cs="宋体"/>
          <w:szCs w:val="21"/>
          <w:highlight w:val="none"/>
        </w:rPr>
      </w:pPr>
      <w:r>
        <w:rPr>
          <w:rFonts w:hint="eastAsia" w:ascii="宋体" w:hAnsi="宋体" w:cs="宋体"/>
          <w:szCs w:val="21"/>
          <w:highlight w:val="none"/>
        </w:rPr>
        <w:t>2.3采购人每次向中标供应商支付费用前，中标供应商应向采购人提供等额的合法有效的发票，否则，采购人有权拒绝付款并不因此向中标供应商承担任何责任，且中标供应商应继续履行本合同项下义务。</w:t>
      </w:r>
    </w:p>
    <w:p w14:paraId="60CCBDF1">
      <w:pPr>
        <w:pStyle w:val="11"/>
        <w:numPr>
          <w:ilvl w:val="0"/>
          <w:numId w:val="3"/>
        </w:numPr>
        <w:spacing w:line="360" w:lineRule="auto"/>
        <w:ind w:left="0"/>
        <w:rPr>
          <w:rFonts w:ascii="宋体" w:hAnsi="宋体" w:cs="宋体"/>
        </w:rPr>
      </w:pPr>
      <w:r>
        <w:rPr>
          <w:rFonts w:hint="eastAsia" w:ascii="宋体" w:hAnsi="宋体" w:cs="宋体"/>
        </w:rPr>
        <w:t>履约保证金</w:t>
      </w:r>
    </w:p>
    <w:p w14:paraId="7C702F1A">
      <w:pPr>
        <w:adjustRightInd w:val="0"/>
        <w:ind w:firstLine="420"/>
        <w:rPr>
          <w:rFonts w:ascii="宋体" w:hAnsi="宋体" w:cs="宋体"/>
          <w:szCs w:val="21"/>
        </w:rPr>
        <w:sectPr>
          <w:headerReference r:id="rId17" w:type="default"/>
          <w:footerReference r:id="rId18" w:type="default"/>
          <w:pgSz w:w="11907" w:h="16840"/>
          <w:pgMar w:top="1021" w:right="1304" w:bottom="1247" w:left="1304" w:header="720" w:footer="720" w:gutter="0"/>
          <w:cols w:space="0" w:num="1"/>
          <w:docGrid w:linePitch="286" w:charSpace="0"/>
        </w:sectPr>
      </w:pPr>
      <w:r>
        <w:rPr>
          <w:rFonts w:hint="eastAsia" w:ascii="宋体" w:hAnsi="宋体" w:cs="宋体"/>
          <w:szCs w:val="21"/>
        </w:rPr>
        <w:t>无</w:t>
      </w:r>
    </w:p>
    <w:p w14:paraId="5C76A718">
      <w:pPr>
        <w:pStyle w:val="2"/>
        <w:ind w:firstLine="0" w:firstLineChars="0"/>
        <w:rPr>
          <w:rFonts w:asciiTheme="minorEastAsia" w:hAnsiTheme="minorEastAsia" w:eastAsiaTheme="minorEastAsia"/>
          <w:sz w:val="32"/>
          <w:szCs w:val="32"/>
        </w:rPr>
      </w:pPr>
      <w:bookmarkStart w:id="100" w:name="_Toc27513"/>
      <w:r>
        <w:rPr>
          <w:rFonts w:hint="eastAsia" w:asciiTheme="minorEastAsia" w:hAnsiTheme="minorEastAsia" w:eastAsiaTheme="minorEastAsia"/>
          <w:sz w:val="32"/>
          <w:szCs w:val="32"/>
        </w:rPr>
        <w:t>第四章 合同格式</w:t>
      </w:r>
      <w:bookmarkEnd w:id="100"/>
    </w:p>
    <w:p w14:paraId="4D33D33D">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t xml:space="preserve"> </w:t>
      </w:r>
      <w:r>
        <w:rPr>
          <w:rFonts w:hint="eastAsia"/>
        </w:rPr>
        <w:t>中标人的投标文件正本；投标人在评标答疑时的书面澄清或说明；中标通知书等文件是构成合同不可分割的部分。</w:t>
      </w:r>
    </w:p>
    <w:p w14:paraId="587B3B7A">
      <w:pPr>
        <w:ind w:firstLine="420"/>
        <w:rPr>
          <w:rFonts w:cs="宋体" w:asciiTheme="minorEastAsia" w:hAnsiTheme="minorEastAsia" w:eastAsiaTheme="minorEastAsia"/>
          <w:szCs w:val="21"/>
        </w:rPr>
      </w:pPr>
    </w:p>
    <w:p w14:paraId="6C53EEBA">
      <w:pPr>
        <w:pStyle w:val="4"/>
        <w:jc w:val="center"/>
      </w:pPr>
    </w:p>
    <w:p w14:paraId="63AC3FEE">
      <w:pPr>
        <w:ind w:firstLine="420"/>
      </w:pPr>
      <w:r>
        <w:t>项目名称：                                     项目编号：</w:t>
      </w:r>
    </w:p>
    <w:p w14:paraId="5C121004">
      <w:pPr>
        <w:ind w:firstLine="420"/>
      </w:pPr>
      <w:r>
        <w:t>甲方：（买方）</w:t>
      </w:r>
    </w:p>
    <w:p w14:paraId="6670818D">
      <w:pPr>
        <w:ind w:firstLine="420"/>
      </w:pPr>
      <w:r>
        <w:t>乙方：（卖方）</w:t>
      </w:r>
    </w:p>
    <w:p w14:paraId="73670F07">
      <w:pPr>
        <w:ind w:firstLine="420"/>
        <w:rPr>
          <w:b/>
        </w:rPr>
      </w:pPr>
      <w:r>
        <w:t xml:space="preserve">甲、乙双方根据 </w:t>
      </w:r>
      <w:r>
        <w:rPr>
          <w:u w:val="single"/>
        </w:rPr>
        <w:t xml:space="preserve">   </w:t>
      </w:r>
      <w:r>
        <w:rPr>
          <w:rFonts w:hint="eastAsia"/>
          <w:u w:val="single"/>
        </w:rPr>
        <w:t xml:space="preserve">          项目公开招标</w:t>
      </w:r>
      <w:r>
        <w:t>的结果，签署本合同。</w:t>
      </w:r>
    </w:p>
    <w:p w14:paraId="0FF568E5">
      <w:pPr>
        <w:pStyle w:val="4"/>
        <w:rPr>
          <w:rFonts w:ascii="宋体" w:hAnsi="宋体" w:eastAsia="宋体"/>
        </w:rPr>
      </w:pPr>
      <w:r>
        <w:rPr>
          <w:rFonts w:ascii="宋体" w:hAnsi="宋体" w:eastAsia="宋体"/>
        </w:rPr>
        <w:t>一、服务内容</w:t>
      </w:r>
    </w:p>
    <w:p w14:paraId="55DF45C0">
      <w:pPr>
        <w:pStyle w:val="4"/>
        <w:rPr>
          <w:rFonts w:ascii="宋体" w:hAnsi="宋体" w:eastAsia="宋体"/>
        </w:rPr>
      </w:pPr>
      <w:r>
        <w:rPr>
          <w:rFonts w:ascii="宋体" w:hAnsi="宋体" w:eastAsia="宋体"/>
        </w:rPr>
        <w:t>二、合同金额</w:t>
      </w:r>
    </w:p>
    <w:p w14:paraId="2D82692E">
      <w:pPr>
        <w:ind w:firstLine="420"/>
      </w:pPr>
      <w:r>
        <w:rPr>
          <w:rFonts w:hint="eastAsia"/>
        </w:rPr>
        <w:t xml:space="preserve">2.1 </w:t>
      </w:r>
      <w:r>
        <w:t>本合同金额为（大写）：____________________________________元（￥_______________元）人民币。</w:t>
      </w:r>
    </w:p>
    <w:p w14:paraId="4DF6B042">
      <w:pPr>
        <w:pStyle w:val="4"/>
        <w:rPr>
          <w:rFonts w:ascii="宋体" w:hAnsi="宋体" w:eastAsia="宋体"/>
        </w:rPr>
      </w:pPr>
      <w:r>
        <w:rPr>
          <w:rFonts w:ascii="宋体" w:hAnsi="宋体" w:eastAsia="宋体"/>
        </w:rPr>
        <w:t>三、技术资料</w:t>
      </w:r>
    </w:p>
    <w:p w14:paraId="2EC91765">
      <w:pPr>
        <w:ind w:firstLine="420"/>
      </w:pPr>
      <w:r>
        <w:t>3.1乙方应按采购文件规定的时间向甲方提供有关技术资料。</w:t>
      </w:r>
    </w:p>
    <w:p w14:paraId="66072074">
      <w:pPr>
        <w:ind w:firstLine="420"/>
      </w:pPr>
      <w: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0D32028">
      <w:pPr>
        <w:pStyle w:val="4"/>
        <w:rPr>
          <w:rFonts w:ascii="宋体" w:hAnsi="宋体" w:eastAsia="宋体"/>
        </w:rPr>
      </w:pPr>
      <w:r>
        <w:rPr>
          <w:rFonts w:ascii="宋体" w:hAnsi="宋体" w:eastAsia="宋体"/>
        </w:rPr>
        <w:t>四、知识产权</w:t>
      </w:r>
    </w:p>
    <w:p w14:paraId="3EE0117D">
      <w:pPr>
        <w:ind w:firstLine="420"/>
        <w:rPr>
          <w:b/>
          <w:bCs/>
        </w:rPr>
      </w:pPr>
      <w:r>
        <w:rPr>
          <w:rFonts w:hint="eastAsia"/>
        </w:rPr>
        <w:t>4.1</w:t>
      </w:r>
      <w:r>
        <w:t>乙方应保证提供服务过程中不会侵犯任何第三方的知识产权</w:t>
      </w:r>
      <w:r>
        <w:rPr>
          <w:bCs/>
        </w:rPr>
        <w:t>。</w:t>
      </w:r>
    </w:p>
    <w:p w14:paraId="728ED6A4">
      <w:pPr>
        <w:pStyle w:val="4"/>
        <w:rPr>
          <w:rFonts w:ascii="宋体" w:hAnsi="宋体" w:eastAsia="宋体"/>
        </w:rPr>
      </w:pPr>
      <w:r>
        <w:rPr>
          <w:rFonts w:hint="eastAsia" w:ascii="宋体" w:hAnsi="宋体" w:eastAsia="宋体"/>
        </w:rPr>
        <w:t>五</w:t>
      </w:r>
      <w:r>
        <w:rPr>
          <w:rFonts w:ascii="宋体" w:hAnsi="宋体" w:eastAsia="宋体"/>
        </w:rPr>
        <w:t>、履约保证金</w:t>
      </w:r>
    </w:p>
    <w:p w14:paraId="04A55FA1">
      <w:pPr>
        <w:ind w:firstLine="422"/>
        <w:rPr>
          <w:b/>
          <w:bCs/>
        </w:rPr>
      </w:pPr>
      <w:r>
        <w:rPr>
          <w:rFonts w:hint="eastAsia"/>
          <w:b/>
          <w:bCs/>
        </w:rPr>
        <w:t>无</w:t>
      </w:r>
    </w:p>
    <w:p w14:paraId="618F906C">
      <w:pPr>
        <w:pStyle w:val="4"/>
        <w:rPr>
          <w:rFonts w:ascii="宋体" w:hAnsi="宋体" w:eastAsia="宋体"/>
        </w:rPr>
      </w:pPr>
      <w:r>
        <w:rPr>
          <w:rFonts w:hint="eastAsia" w:ascii="宋体" w:hAnsi="宋体" w:eastAsia="宋体"/>
        </w:rPr>
        <w:t>六、转包或分包</w:t>
      </w:r>
    </w:p>
    <w:p w14:paraId="6B70E280">
      <w:pPr>
        <w:ind w:firstLine="420"/>
      </w:pPr>
      <w:r>
        <w:t>6.1</w:t>
      </w:r>
      <w:r>
        <w:rPr>
          <w:rFonts w:hint="eastAsia"/>
        </w:rPr>
        <w:t>本合同范围的服务，应由</w:t>
      </w:r>
      <w:r>
        <w:t>乙</w:t>
      </w:r>
      <w:r>
        <w:rPr>
          <w:rFonts w:hint="eastAsia"/>
        </w:rPr>
        <w:t>方直接供应，不得转让他人供应；</w:t>
      </w:r>
    </w:p>
    <w:p w14:paraId="0B57C7A8">
      <w:pPr>
        <w:ind w:firstLine="420"/>
      </w:pPr>
      <w:r>
        <w:t>6.2</w:t>
      </w:r>
      <w:r>
        <w:rPr>
          <w:rFonts w:hint="eastAsia"/>
        </w:rPr>
        <w:t>除非得到甲方的书面同意，</w:t>
      </w:r>
      <w:r>
        <w:t>乙</w:t>
      </w:r>
      <w:r>
        <w:rPr>
          <w:rFonts w:hint="eastAsia"/>
        </w:rPr>
        <w:t>方不得将本合同范围的服务全部或部分分包给他人供应；</w:t>
      </w:r>
    </w:p>
    <w:p w14:paraId="576A772C">
      <w:pPr>
        <w:ind w:firstLine="420"/>
      </w:pPr>
      <w:r>
        <w:t>6.3</w:t>
      </w:r>
      <w:r>
        <w:rPr>
          <w:rFonts w:hint="eastAsia"/>
        </w:rPr>
        <w:t>如有转让和未经甲方同意的分包行为，甲方有权解除合同，没收履约保证金并追究乙方的违约责任。</w:t>
      </w:r>
    </w:p>
    <w:p w14:paraId="1CF64C87">
      <w:pPr>
        <w:pStyle w:val="4"/>
        <w:rPr>
          <w:rFonts w:ascii="宋体" w:hAnsi="宋体" w:eastAsia="宋体"/>
        </w:rPr>
      </w:pPr>
      <w:r>
        <w:rPr>
          <w:rFonts w:hint="eastAsia" w:ascii="宋体" w:hAnsi="宋体" w:eastAsia="宋体"/>
        </w:rPr>
        <w:t>七</w:t>
      </w:r>
      <w:r>
        <w:rPr>
          <w:rFonts w:ascii="宋体" w:hAnsi="宋体" w:eastAsia="宋体"/>
        </w:rPr>
        <w:t>、服务质量保证期(</w:t>
      </w:r>
      <w:r>
        <w:rPr>
          <w:rFonts w:hint="eastAsia" w:ascii="宋体" w:hAnsi="宋体" w:eastAsia="宋体"/>
        </w:rPr>
        <w:t>选用</w:t>
      </w:r>
      <w:r>
        <w:rPr>
          <w:rFonts w:ascii="宋体" w:hAnsi="宋体" w:eastAsia="宋体"/>
        </w:rPr>
        <w:t>)</w:t>
      </w:r>
    </w:p>
    <w:p w14:paraId="64EDC1AF">
      <w:pPr>
        <w:ind w:firstLine="420"/>
      </w:pPr>
      <w:r>
        <w:t>7.1服务质量保证期</w:t>
      </w:r>
      <w:r>
        <w:rPr>
          <w:u w:val="single"/>
        </w:rPr>
        <w:t xml:space="preserve">      </w:t>
      </w:r>
      <w:r>
        <w:t>年</w:t>
      </w:r>
      <w:r>
        <w:rPr>
          <w:rFonts w:hint="eastAsia"/>
        </w:rPr>
        <w:t>，服务质量保保证期内，如有数据调整、系统维护等情况，乙方需提供相应的技术支持服务</w:t>
      </w:r>
      <w:r>
        <w:t>。（自验收合格之日起计）</w:t>
      </w:r>
    </w:p>
    <w:p w14:paraId="550CB369">
      <w:pPr>
        <w:pStyle w:val="4"/>
        <w:rPr>
          <w:rFonts w:ascii="宋体" w:hAnsi="宋体" w:eastAsia="宋体"/>
        </w:rPr>
      </w:pPr>
      <w:r>
        <w:rPr>
          <w:rFonts w:hint="eastAsia" w:ascii="宋体" w:hAnsi="宋体" w:eastAsia="宋体"/>
        </w:rPr>
        <w:t>八</w:t>
      </w:r>
      <w:r>
        <w:rPr>
          <w:rFonts w:ascii="宋体" w:hAnsi="宋体" w:eastAsia="宋体"/>
        </w:rPr>
        <w:t>、合同履行时间、履行方式及履行地点</w:t>
      </w:r>
    </w:p>
    <w:p w14:paraId="6729AAF8">
      <w:pPr>
        <w:ind w:firstLine="420"/>
        <w:rPr>
          <w:bCs/>
        </w:rPr>
      </w:pPr>
      <w:r>
        <w:rPr>
          <w:bCs/>
        </w:rPr>
        <w:t>8.1</w:t>
      </w:r>
      <w:r>
        <w:t>履行时间</w:t>
      </w:r>
      <w:r>
        <w:rPr>
          <w:bCs/>
        </w:rPr>
        <w:t>：</w:t>
      </w:r>
    </w:p>
    <w:p w14:paraId="3349B8ED">
      <w:pPr>
        <w:ind w:firstLine="420"/>
        <w:rPr>
          <w:bCs/>
        </w:rPr>
      </w:pPr>
      <w:r>
        <w:rPr>
          <w:bCs/>
        </w:rPr>
        <w:t>8.2</w:t>
      </w:r>
      <w:r>
        <w:t>履行方式</w:t>
      </w:r>
      <w:r>
        <w:rPr>
          <w:bCs/>
        </w:rPr>
        <w:t>：</w:t>
      </w:r>
    </w:p>
    <w:p w14:paraId="55130108">
      <w:pPr>
        <w:ind w:firstLine="420"/>
      </w:pPr>
      <w:r>
        <w:rPr>
          <w:bCs/>
        </w:rPr>
        <w:t>8.3</w:t>
      </w:r>
      <w:r>
        <w:t>履行地点</w:t>
      </w:r>
      <w:r>
        <w:rPr>
          <w:bCs/>
        </w:rPr>
        <w:t>：</w:t>
      </w:r>
    </w:p>
    <w:p w14:paraId="5C8BDF91">
      <w:pPr>
        <w:pStyle w:val="4"/>
        <w:rPr>
          <w:rFonts w:ascii="宋体" w:hAnsi="宋体" w:eastAsia="宋体"/>
        </w:rPr>
      </w:pPr>
      <w:r>
        <w:rPr>
          <w:rFonts w:hint="eastAsia" w:ascii="宋体" w:hAnsi="宋体" w:eastAsia="宋体"/>
        </w:rPr>
        <w:t>九</w:t>
      </w:r>
      <w:r>
        <w:rPr>
          <w:rFonts w:ascii="宋体" w:hAnsi="宋体" w:eastAsia="宋体"/>
        </w:rPr>
        <w:t>、款项支付</w:t>
      </w:r>
    </w:p>
    <w:p w14:paraId="67B2A928">
      <w:pPr>
        <w:ind w:firstLine="420"/>
        <w:rPr>
          <w:bCs/>
        </w:rPr>
      </w:pPr>
      <w:r>
        <w:rPr>
          <w:bCs/>
        </w:rPr>
        <w:t>9.1付款方式：</w:t>
      </w:r>
    </w:p>
    <w:p w14:paraId="665F071A">
      <w:pPr>
        <w:pStyle w:val="4"/>
        <w:rPr>
          <w:rFonts w:ascii="宋体" w:hAnsi="宋体" w:eastAsia="宋体"/>
        </w:rPr>
      </w:pPr>
      <w:r>
        <w:rPr>
          <w:rFonts w:hint="eastAsia" w:ascii="宋体" w:hAnsi="宋体" w:eastAsia="宋体"/>
        </w:rPr>
        <w:t>十、税费</w:t>
      </w:r>
    </w:p>
    <w:p w14:paraId="7B8C6BE5">
      <w:pPr>
        <w:ind w:firstLine="420"/>
      </w:pPr>
      <w:r>
        <w:rPr>
          <w:rFonts w:hint="eastAsia"/>
        </w:rPr>
        <w:t>10.1本合同执行中相关的一切税费均由</w:t>
      </w:r>
      <w:r>
        <w:t>乙</w:t>
      </w:r>
      <w:r>
        <w:rPr>
          <w:rFonts w:hint="eastAsia"/>
        </w:rPr>
        <w:t>方负担。</w:t>
      </w:r>
    </w:p>
    <w:p w14:paraId="073CA8E2">
      <w:pPr>
        <w:pStyle w:val="4"/>
        <w:rPr>
          <w:rFonts w:ascii="宋体" w:hAnsi="宋体" w:eastAsia="宋体"/>
        </w:rPr>
      </w:pPr>
      <w:r>
        <w:rPr>
          <w:rFonts w:ascii="宋体" w:hAnsi="宋体" w:eastAsia="宋体"/>
        </w:rPr>
        <w:t>十</w:t>
      </w:r>
      <w:r>
        <w:rPr>
          <w:rFonts w:hint="eastAsia" w:ascii="宋体" w:hAnsi="宋体" w:eastAsia="宋体"/>
        </w:rPr>
        <w:t>一</w:t>
      </w:r>
      <w:r>
        <w:rPr>
          <w:rFonts w:ascii="宋体" w:hAnsi="宋体" w:eastAsia="宋体"/>
        </w:rPr>
        <w:t>、质量保证及后续服务</w:t>
      </w:r>
    </w:p>
    <w:p w14:paraId="2133B6B2">
      <w:pPr>
        <w:ind w:firstLine="420"/>
      </w:pPr>
      <w:r>
        <w:t>11.1乙方应按采购文件规定向甲方提供服务。</w:t>
      </w:r>
    </w:p>
    <w:p w14:paraId="38E2FAE5">
      <w:pPr>
        <w:ind w:firstLine="420"/>
      </w:pPr>
      <w:r>
        <w:t>11.2乙方提供的服务成果在服务质量保证期内发生故障，乙方应负责免费提供后续服务。对达不到要求者，根据实际情况，经双方协商，可按以下办法处理：</w:t>
      </w:r>
    </w:p>
    <w:p w14:paraId="01B9599E">
      <w:pPr>
        <w:ind w:firstLine="420"/>
      </w:pPr>
      <w:r>
        <w:rPr>
          <w:rFonts w:hint="eastAsia" w:ascii="宋体" w:hAnsi="宋体" w:cs="宋体"/>
        </w:rPr>
        <w:t>⑴</w:t>
      </w:r>
      <w:r>
        <w:t>重做：由乙方承担所发生的全部费用。</w:t>
      </w:r>
    </w:p>
    <w:p w14:paraId="17E1F127">
      <w:pPr>
        <w:ind w:firstLine="420"/>
      </w:pPr>
      <w:r>
        <w:rPr>
          <w:rFonts w:hint="eastAsia" w:ascii="宋体" w:hAnsi="宋体" w:cs="宋体"/>
        </w:rPr>
        <w:t>⑵</w:t>
      </w:r>
      <w:r>
        <w:t>贬值处理：由甲乙双方合议定价。</w:t>
      </w:r>
    </w:p>
    <w:p w14:paraId="18A62B9D">
      <w:pPr>
        <w:ind w:firstLine="420"/>
      </w:pPr>
      <w:r>
        <w:rPr>
          <w:rFonts w:hint="eastAsia" w:ascii="宋体" w:hAnsi="宋体" w:cs="宋体"/>
        </w:rPr>
        <w:t>⑶</w:t>
      </w:r>
      <w:r>
        <w:t>解除合同。</w:t>
      </w:r>
    </w:p>
    <w:p w14:paraId="31315596">
      <w:pPr>
        <w:ind w:firstLine="420"/>
      </w:pPr>
      <w:r>
        <w:t>11.3如在使用过程中发生问题，乙方在接到甲方通知后在</w:t>
      </w:r>
      <w:r>
        <w:rPr>
          <w:rFonts w:hint="eastAsia" w:ascii="Cambria Math" w:hAnsi="Cambria Math" w:cs="Cambria Math"/>
          <w:u w:val="single"/>
          <w:lang w:val="en-US" w:eastAsia="zh-CN"/>
        </w:rPr>
        <w:t xml:space="preserve">   </w:t>
      </w:r>
      <w:r>
        <w:t>小时内到达甲方现场。</w:t>
      </w:r>
    </w:p>
    <w:p w14:paraId="43AEDE70">
      <w:pPr>
        <w:ind w:firstLine="420"/>
      </w:pPr>
      <w:r>
        <w:t>11.4在服务质量保证期内，乙方应对出现的质量及安全问题负责处理解决并承担</w:t>
      </w:r>
    </w:p>
    <w:p w14:paraId="2B67C276">
      <w:pPr>
        <w:ind w:firstLine="420"/>
      </w:pPr>
      <w:r>
        <w:t>一切费用。</w:t>
      </w:r>
    </w:p>
    <w:p w14:paraId="6FC055A5">
      <w:pPr>
        <w:pStyle w:val="4"/>
        <w:rPr>
          <w:rFonts w:ascii="宋体" w:hAnsi="宋体" w:eastAsia="宋体"/>
        </w:rPr>
      </w:pPr>
      <w:r>
        <w:rPr>
          <w:rFonts w:ascii="宋体" w:hAnsi="宋体" w:eastAsia="宋体"/>
        </w:rPr>
        <w:t>十</w:t>
      </w:r>
      <w:r>
        <w:rPr>
          <w:rFonts w:hint="eastAsia" w:ascii="宋体" w:hAnsi="宋体" w:eastAsia="宋体"/>
        </w:rPr>
        <w:t>二</w:t>
      </w:r>
      <w:r>
        <w:rPr>
          <w:rFonts w:ascii="宋体" w:hAnsi="宋体" w:eastAsia="宋体"/>
        </w:rPr>
        <w:t>、违约责任</w:t>
      </w:r>
    </w:p>
    <w:p w14:paraId="248CE944">
      <w:pPr>
        <w:ind w:firstLine="420"/>
      </w:pPr>
      <w:r>
        <w:t>12.1甲方无正当理由拒收接受服务的，甲方向乙方偿付合同款项百分之五作为违约金。</w:t>
      </w:r>
    </w:p>
    <w:p w14:paraId="3F211175">
      <w:pPr>
        <w:ind w:firstLine="420"/>
      </w:pPr>
      <w:r>
        <w:t>12.2甲方无故逾期验收和办理款项支付手续的,甲方应按逾期付款总额每日万分之五向乙方支付违约金。</w:t>
      </w:r>
    </w:p>
    <w:p w14:paraId="45792C4F">
      <w:pPr>
        <w:ind w:firstLine="420"/>
      </w:pPr>
      <w:r>
        <w:t>12.3乙方</w:t>
      </w:r>
      <w:r>
        <w:rPr>
          <w:rFonts w:hint="eastAsia"/>
        </w:rPr>
        <w:t>未能如</w:t>
      </w:r>
      <w:r>
        <w:t>期提供服务的，每日向甲方支付</w:t>
      </w:r>
      <w:r>
        <w:rPr>
          <w:rFonts w:hint="eastAsia"/>
        </w:rPr>
        <w:t>合同款项的</w:t>
      </w:r>
      <w:r>
        <w:t>千分之六</w:t>
      </w:r>
      <w:r>
        <w:rPr>
          <w:rFonts w:hint="eastAsia"/>
        </w:rPr>
        <w:t>作为</w:t>
      </w:r>
      <w:r>
        <w:t>违约金。乙方超过约定日期10个工作日</w:t>
      </w:r>
      <w:r>
        <w:rPr>
          <w:rFonts w:hint="eastAsia"/>
        </w:rPr>
        <w:t>仍</w:t>
      </w:r>
      <w:r>
        <w:t>不能</w:t>
      </w:r>
      <w:r>
        <w:rPr>
          <w:rFonts w:hint="eastAsia"/>
        </w:rPr>
        <w:t>提供服务</w:t>
      </w:r>
      <w:r>
        <w:t>的，甲方可解除本合同。乙方因</w:t>
      </w:r>
      <w:r>
        <w:rPr>
          <w:rFonts w:hint="eastAsia"/>
        </w:rPr>
        <w:t>未能如</w:t>
      </w:r>
      <w:r>
        <w:t xml:space="preserve">期提供服务或因其他违约行为导致甲方解除合同的，乙方应向甲方支付合同总值5%的违约金，如造成甲方损失超过违约金的，超出部分由乙方继续承担赔偿责任。 </w:t>
      </w:r>
    </w:p>
    <w:p w14:paraId="34A3A672">
      <w:pPr>
        <w:pStyle w:val="4"/>
        <w:rPr>
          <w:rFonts w:ascii="宋体" w:hAnsi="宋体" w:eastAsia="宋体"/>
        </w:rPr>
      </w:pPr>
      <w:r>
        <w:rPr>
          <w:rFonts w:ascii="宋体" w:hAnsi="宋体" w:eastAsia="宋体"/>
        </w:rPr>
        <w:t>十</w:t>
      </w:r>
      <w:r>
        <w:rPr>
          <w:rFonts w:hint="eastAsia" w:ascii="宋体" w:hAnsi="宋体" w:eastAsia="宋体"/>
        </w:rPr>
        <w:t>三</w:t>
      </w:r>
      <w:r>
        <w:rPr>
          <w:rFonts w:ascii="宋体" w:hAnsi="宋体" w:eastAsia="宋体"/>
        </w:rPr>
        <w:t>、不可抗力事件处理</w:t>
      </w:r>
    </w:p>
    <w:p w14:paraId="34F1745E">
      <w:pPr>
        <w:ind w:firstLine="420"/>
      </w:pPr>
      <w:r>
        <w:t>13.1在合同有效期内，任何一方因不可抗力事件导致不能履行合同，则合同履行期可延长，其延长期与不可抗力影响期相同。</w:t>
      </w:r>
    </w:p>
    <w:p w14:paraId="4FA807D1">
      <w:pPr>
        <w:ind w:firstLine="420"/>
      </w:pPr>
      <w:r>
        <w:t>13.2不可抗力事件发生后，应立即通知对方，并寄送有关权威机构出具的证明。</w:t>
      </w:r>
    </w:p>
    <w:p w14:paraId="0607A2C1">
      <w:pPr>
        <w:ind w:firstLine="420"/>
      </w:pPr>
      <w:r>
        <w:t>13.3不可抗力事件延续120天以上，双方应通过友好协商，确定是否继续履行合同。</w:t>
      </w:r>
    </w:p>
    <w:p w14:paraId="286ADAF5">
      <w:pPr>
        <w:pStyle w:val="4"/>
        <w:rPr>
          <w:rFonts w:ascii="宋体" w:hAnsi="宋体" w:eastAsia="宋体"/>
        </w:rPr>
      </w:pPr>
      <w:r>
        <w:rPr>
          <w:rFonts w:ascii="宋体" w:hAnsi="宋体" w:eastAsia="宋体"/>
        </w:rPr>
        <w:t>十</w:t>
      </w:r>
      <w:r>
        <w:rPr>
          <w:rFonts w:hint="eastAsia" w:ascii="宋体" w:hAnsi="宋体" w:eastAsia="宋体"/>
        </w:rPr>
        <w:t>四</w:t>
      </w:r>
      <w:r>
        <w:rPr>
          <w:rFonts w:ascii="宋体" w:hAnsi="宋体" w:eastAsia="宋体"/>
        </w:rPr>
        <w:t>、诉讼</w:t>
      </w:r>
    </w:p>
    <w:p w14:paraId="1BE01593">
      <w:pPr>
        <w:ind w:firstLine="420"/>
      </w:pPr>
      <w:r>
        <w:t>14.1双方在执行合同中所发生的一切争议，应通过协商解决。如协商不成，可向</w:t>
      </w:r>
      <w:r>
        <w:rPr>
          <w:rFonts w:hint="eastAsia"/>
        </w:rPr>
        <w:t>甲方所在</w:t>
      </w:r>
      <w:r>
        <w:t>地法院起诉。</w:t>
      </w:r>
    </w:p>
    <w:p w14:paraId="7B4C8AB3">
      <w:pPr>
        <w:pStyle w:val="4"/>
        <w:rPr>
          <w:rFonts w:ascii="宋体" w:hAnsi="宋体" w:eastAsia="宋体"/>
        </w:rPr>
      </w:pPr>
      <w:r>
        <w:rPr>
          <w:rFonts w:ascii="宋体" w:hAnsi="宋体" w:eastAsia="宋体"/>
        </w:rPr>
        <w:t>十</w:t>
      </w:r>
      <w:r>
        <w:rPr>
          <w:rFonts w:hint="eastAsia" w:ascii="宋体" w:hAnsi="宋体" w:eastAsia="宋体"/>
        </w:rPr>
        <w:t>五</w:t>
      </w:r>
      <w:r>
        <w:rPr>
          <w:rFonts w:ascii="宋体" w:hAnsi="宋体" w:eastAsia="宋体"/>
        </w:rPr>
        <w:t>、合同生效及其它</w:t>
      </w:r>
    </w:p>
    <w:p w14:paraId="112C34D2">
      <w:pPr>
        <w:ind w:firstLine="420"/>
      </w:pPr>
      <w:r>
        <w:t>15.1合同经双方法定代表人或授权代表签字并加盖单位公章后生效。</w:t>
      </w:r>
    </w:p>
    <w:p w14:paraId="34427EF0">
      <w:pPr>
        <w:ind w:firstLine="420"/>
      </w:pPr>
      <w:r>
        <w:t>15.2合同执行中涉及采购资金和采购内容修改或补充的，须经</w:t>
      </w:r>
      <w:r>
        <w:rPr>
          <w:rFonts w:hint="eastAsia"/>
        </w:rPr>
        <w:t>监管</w:t>
      </w:r>
      <w:r>
        <w:t>部门审批，并签书面补充协议报采购监督管理部门备案，方可作为主合同不可分割的一部分。</w:t>
      </w:r>
    </w:p>
    <w:p w14:paraId="6CD7CA85">
      <w:pPr>
        <w:ind w:firstLine="420"/>
      </w:pPr>
      <w:r>
        <w:t>3</w:t>
      </w:r>
      <w:r>
        <w:rPr>
          <w:rFonts w:hint="eastAsia"/>
        </w:rPr>
        <w:t>．</w:t>
      </w:r>
      <w:r>
        <w:t>本合同未尽事宜，遵照《</w:t>
      </w:r>
      <w:r>
        <w:rPr>
          <w:rFonts w:hint="eastAsia"/>
        </w:rPr>
        <w:t>民法典</w:t>
      </w:r>
      <w:r>
        <w:t>》有关条文执行。</w:t>
      </w:r>
    </w:p>
    <w:p w14:paraId="1996E818">
      <w:pPr>
        <w:ind w:firstLine="420"/>
      </w:pPr>
      <w:r>
        <w:t>4</w:t>
      </w:r>
      <w:r>
        <w:rPr>
          <w:rFonts w:hint="eastAsia"/>
        </w:rPr>
        <w:t>．</w:t>
      </w:r>
      <w:r>
        <w:t>本合同正本一式</w:t>
      </w:r>
      <w:r>
        <w:rPr>
          <w:rFonts w:hint="eastAsia"/>
        </w:rPr>
        <w:t xml:space="preserve">    </w:t>
      </w:r>
      <w:r>
        <w:t>份，具有同等法律效力，甲乙双方各执</w:t>
      </w:r>
      <w:r>
        <w:rPr>
          <w:rFonts w:hint="eastAsia"/>
        </w:rPr>
        <w:t xml:space="preserve">   </w:t>
      </w:r>
      <w:r>
        <w:t>份；副本</w:t>
      </w:r>
      <w:r>
        <w:rPr>
          <w:rFonts w:hint="eastAsia"/>
          <w:b/>
        </w:rPr>
        <w:t xml:space="preserve">   </w:t>
      </w:r>
      <w:r>
        <w:t>份，(用途)。</w:t>
      </w:r>
    </w:p>
    <w:p w14:paraId="4A3EC26E">
      <w:pPr>
        <w:ind w:firstLine="420"/>
      </w:pPr>
    </w:p>
    <w:p w14:paraId="15383AA5">
      <w:pPr>
        <w:ind w:firstLine="420"/>
      </w:pPr>
      <w:r>
        <w:rPr>
          <w:rFonts w:hint="eastAsia"/>
        </w:rPr>
        <w:t>甲方（</w:t>
      </w:r>
      <w:r>
        <w:t>盖章）</w:t>
      </w:r>
      <w:r>
        <w:rPr>
          <w:rFonts w:hint="eastAsia"/>
        </w:rPr>
        <w:t xml:space="preserve">：      </w:t>
      </w:r>
      <w:r>
        <w:t xml:space="preserve"> </w:t>
      </w:r>
      <w:r>
        <w:rPr>
          <w:rFonts w:hint="eastAsia"/>
        </w:rPr>
        <w:t xml:space="preserve">             乙方（</w:t>
      </w:r>
      <w:r>
        <w:t>盖章）</w:t>
      </w:r>
      <w:r>
        <w:rPr>
          <w:rFonts w:hint="eastAsia"/>
        </w:rPr>
        <w:t>：</w:t>
      </w:r>
    </w:p>
    <w:p w14:paraId="147FED6E">
      <w:pPr>
        <w:ind w:firstLine="420"/>
      </w:pPr>
      <w:r>
        <w:rPr>
          <w:rFonts w:hint="eastAsia"/>
        </w:rPr>
        <w:t>法定代表人（</w:t>
      </w:r>
      <w:r>
        <w:t>或授权代表）</w:t>
      </w:r>
      <w:r>
        <w:rPr>
          <w:rFonts w:hint="eastAsia"/>
        </w:rPr>
        <w:t>：        法定代表人（</w:t>
      </w:r>
      <w:r>
        <w:t>或授权代表）</w:t>
      </w:r>
      <w:r>
        <w:rPr>
          <w:rFonts w:hint="eastAsia"/>
        </w:rPr>
        <w:t>：</w:t>
      </w:r>
    </w:p>
    <w:p w14:paraId="4752D153">
      <w:pPr>
        <w:ind w:firstLine="420"/>
      </w:pPr>
      <w:r>
        <w:rPr>
          <w:rFonts w:hint="eastAsia"/>
        </w:rPr>
        <w:t>地址：                           地址：</w:t>
      </w:r>
    </w:p>
    <w:p w14:paraId="08F9BEF3">
      <w:pPr>
        <w:ind w:firstLine="420"/>
      </w:pPr>
      <w:r>
        <w:rPr>
          <w:rFonts w:hint="eastAsia"/>
        </w:rPr>
        <w:t>联系人</w:t>
      </w:r>
      <w:r>
        <w:t>：</w:t>
      </w:r>
      <w:r>
        <w:rPr>
          <w:rFonts w:hint="eastAsia"/>
        </w:rPr>
        <w:t xml:space="preserve">                           联系人</w:t>
      </w:r>
      <w:r>
        <w:t>：</w:t>
      </w:r>
    </w:p>
    <w:p w14:paraId="6373BFA4">
      <w:pPr>
        <w:ind w:firstLine="420"/>
      </w:pPr>
      <w:r>
        <w:rPr>
          <w:rFonts w:hint="eastAsia"/>
        </w:rPr>
        <w:t>联系</w:t>
      </w:r>
      <w:r>
        <w:t>电话：</w:t>
      </w:r>
      <w:r>
        <w:rPr>
          <w:rFonts w:hint="eastAsia"/>
        </w:rPr>
        <w:t xml:space="preserve">                         联系</w:t>
      </w:r>
      <w:r>
        <w:t>电话：</w:t>
      </w:r>
    </w:p>
    <w:p w14:paraId="513BA9EA">
      <w:pPr>
        <w:ind w:firstLine="420"/>
      </w:pPr>
      <w:r>
        <w:rPr>
          <w:rFonts w:hint="eastAsia"/>
        </w:rPr>
        <w:t>传真</w:t>
      </w:r>
      <w:r>
        <w:t>：</w:t>
      </w:r>
      <w:r>
        <w:rPr>
          <w:rFonts w:hint="eastAsia"/>
        </w:rPr>
        <w:t xml:space="preserve">                             传真</w:t>
      </w:r>
      <w:r>
        <w:t>：</w:t>
      </w:r>
    </w:p>
    <w:p w14:paraId="1018AD7C">
      <w:pPr>
        <w:ind w:firstLine="420"/>
      </w:pPr>
      <w:r>
        <w:rPr>
          <w:rFonts w:hint="eastAsia"/>
        </w:rPr>
        <w:t>开户银行</w:t>
      </w:r>
      <w:r>
        <w:t>：</w:t>
      </w:r>
      <w:r>
        <w:rPr>
          <w:rFonts w:hint="eastAsia"/>
        </w:rPr>
        <w:t xml:space="preserve">                         开户</w:t>
      </w:r>
      <w:r>
        <w:t>银行：</w:t>
      </w:r>
    </w:p>
    <w:p w14:paraId="2EAAAAFC">
      <w:pPr>
        <w:ind w:firstLine="420"/>
      </w:pPr>
      <w:r>
        <w:rPr>
          <w:rFonts w:hint="eastAsia"/>
        </w:rPr>
        <w:t>银行账号</w:t>
      </w:r>
      <w:r>
        <w:t>：</w:t>
      </w:r>
      <w:r>
        <w:rPr>
          <w:rFonts w:hint="eastAsia"/>
        </w:rPr>
        <w:t xml:space="preserve">                         银行账号</w:t>
      </w:r>
      <w:r>
        <w:t>：</w:t>
      </w:r>
    </w:p>
    <w:p w14:paraId="2A0B6A16">
      <w:pPr>
        <w:ind w:firstLine="420"/>
      </w:pPr>
      <w:r>
        <w:rPr>
          <w:rFonts w:hint="eastAsia"/>
        </w:rPr>
        <w:t>签订地点：                       签订日期：</w:t>
      </w:r>
    </w:p>
    <w:p w14:paraId="4CDE6F87">
      <w:pPr>
        <w:ind w:firstLine="420"/>
      </w:pPr>
    </w:p>
    <w:p w14:paraId="4D5FF22C">
      <w:pPr>
        <w:ind w:firstLine="420"/>
      </w:pPr>
    </w:p>
    <w:p w14:paraId="5CF77EA8">
      <w:pPr>
        <w:pStyle w:val="3"/>
        <w:sectPr>
          <w:pgSz w:w="11907" w:h="16840"/>
          <w:pgMar w:top="1021" w:right="1304" w:bottom="1247" w:left="1304" w:header="720" w:footer="720" w:gutter="0"/>
          <w:cols w:space="0" w:num="1"/>
          <w:docGrid w:linePitch="286" w:charSpace="0"/>
        </w:sectPr>
      </w:pPr>
    </w:p>
    <w:p w14:paraId="1E493B10">
      <w:pPr>
        <w:pStyle w:val="2"/>
        <w:ind w:firstLine="0" w:firstLineChars="0"/>
        <w:rPr>
          <w:rFonts w:asciiTheme="minorEastAsia" w:hAnsiTheme="minorEastAsia" w:eastAsiaTheme="minorEastAsia"/>
          <w:sz w:val="32"/>
          <w:szCs w:val="32"/>
        </w:rPr>
      </w:pPr>
      <w:bookmarkStart w:id="101" w:name="_Toc450840088"/>
      <w:bookmarkStart w:id="102" w:name="_Toc83"/>
      <w:r>
        <w:rPr>
          <w:rFonts w:hint="eastAsia" w:asciiTheme="minorEastAsia" w:hAnsiTheme="minorEastAsia" w:eastAsiaTheme="minorEastAsia"/>
          <w:sz w:val="32"/>
          <w:szCs w:val="32"/>
        </w:rPr>
        <w:t>第五章 投标文件内容及格式</w:t>
      </w:r>
      <w:bookmarkEnd w:id="101"/>
      <w:bookmarkEnd w:id="102"/>
    </w:p>
    <w:p w14:paraId="1AE2E9CB">
      <w:pPr>
        <w:ind w:firstLine="420"/>
        <w:rPr>
          <w:rFonts w:asciiTheme="minorEastAsia" w:hAnsiTheme="minorEastAsia" w:eastAsiaTheme="minorEastAsia"/>
        </w:rPr>
      </w:pPr>
    </w:p>
    <w:p w14:paraId="4B66DEE3">
      <w:pPr>
        <w:pStyle w:val="3"/>
        <w:rPr>
          <w:rFonts w:cs="宋体" w:asciiTheme="minorEastAsia" w:hAnsiTheme="minorEastAsia" w:eastAsiaTheme="minorEastAsia"/>
          <w:szCs w:val="21"/>
        </w:rPr>
      </w:pPr>
      <w:bookmarkStart w:id="103" w:name="_Toc2078383"/>
      <w:bookmarkStart w:id="104" w:name="_Toc6227669"/>
      <w:bookmarkStart w:id="105" w:name="_Toc16696"/>
      <w:r>
        <w:rPr>
          <w:rFonts w:hint="eastAsia" w:cs="宋体" w:asciiTheme="minorEastAsia" w:hAnsiTheme="minorEastAsia" w:eastAsiaTheme="minorEastAsia"/>
          <w:szCs w:val="21"/>
        </w:rPr>
        <w:t>1投标人提交投标文件须知</w:t>
      </w:r>
      <w:bookmarkEnd w:id="103"/>
      <w:bookmarkEnd w:id="104"/>
      <w:bookmarkEnd w:id="105"/>
    </w:p>
    <w:p w14:paraId="3DDA99A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1.1投标人应严格按照以下顺序填写和提交下述规定的全部格式文件以及其他有关资料，混乱的编排导致投标文件被误读或评标委员会查找不到有效文件或内容是投标人的风险。</w:t>
      </w:r>
    </w:p>
    <w:p w14:paraId="78E0E95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1.2所附表格中要求回答的全部问题或信息都必须正面回答。</w:t>
      </w:r>
    </w:p>
    <w:p w14:paraId="7410700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1.3声明书的签字人应保证全部声明和问题的回答是真实的和准确的。</w:t>
      </w:r>
    </w:p>
    <w:p w14:paraId="04E327F4">
      <w:pPr>
        <w:ind w:firstLine="420"/>
        <w:rPr>
          <w:rFonts w:cs="宋体" w:asciiTheme="minorEastAsia" w:hAnsiTheme="minorEastAsia" w:eastAsiaTheme="minorEastAsia"/>
          <w:strike/>
          <w:szCs w:val="21"/>
        </w:rPr>
      </w:pPr>
      <w:bookmarkStart w:id="106" w:name="_Hlk8682741"/>
      <w:r>
        <w:rPr>
          <w:rFonts w:hint="eastAsia" w:cs="宋体" w:asciiTheme="minorEastAsia" w:hAnsiTheme="minorEastAsia" w:eastAsiaTheme="minorEastAsia"/>
          <w:szCs w:val="21"/>
        </w:rPr>
        <w:t>1</w:t>
      </w:r>
      <w:r>
        <w:rPr>
          <w:rFonts w:cs="宋体" w:asciiTheme="minorEastAsia" w:hAnsiTheme="minorEastAsia" w:eastAsiaTheme="minorEastAsia"/>
          <w:szCs w:val="21"/>
        </w:rPr>
        <w:t>.4</w:t>
      </w:r>
      <w:r>
        <w:rPr>
          <w:rFonts w:hint="eastAsia" w:cs="宋体" w:asciiTheme="minorEastAsia" w:hAnsiTheme="minorEastAsia" w:eastAsiaTheme="minorEastAsia"/>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06"/>
    <w:p w14:paraId="12733CE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1.5投标人提交的材料将按规定被保密保存。</w:t>
      </w:r>
    </w:p>
    <w:p w14:paraId="1967AC0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1.6全部文件应按投标人须知中规定的语言和份数提交。</w:t>
      </w:r>
    </w:p>
    <w:p w14:paraId="2F59406F">
      <w:pPr>
        <w:pStyle w:val="3"/>
        <w:rPr>
          <w:rFonts w:cs="宋体" w:asciiTheme="minorEastAsia" w:hAnsiTheme="minorEastAsia" w:eastAsiaTheme="minorEastAsia"/>
          <w:szCs w:val="21"/>
        </w:rPr>
      </w:pPr>
      <w:bookmarkStart w:id="107" w:name="_Toc1579"/>
      <w:bookmarkStart w:id="108" w:name="_Toc2078384"/>
      <w:bookmarkStart w:id="109" w:name="_Toc6227670"/>
      <w:r>
        <w:rPr>
          <w:rFonts w:hint="eastAsia" w:cs="宋体" w:asciiTheme="minorEastAsia" w:hAnsiTheme="minorEastAsia" w:eastAsiaTheme="minorEastAsia"/>
          <w:szCs w:val="21"/>
        </w:rPr>
        <w:t>2投标文件组成</w:t>
      </w:r>
      <w:bookmarkEnd w:id="107"/>
      <w:bookmarkEnd w:id="108"/>
      <w:bookmarkEnd w:id="109"/>
    </w:p>
    <w:p w14:paraId="00E62FE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投标文件由资格证明文件、报价文件、商务技术文件三部分组成。</w:t>
      </w:r>
    </w:p>
    <w:p w14:paraId="560085BD">
      <w:pPr>
        <w:pStyle w:val="4"/>
      </w:pPr>
      <w:r>
        <w:rPr>
          <w:rFonts w:hint="eastAsia"/>
        </w:rPr>
        <w:t>2.1资格证明文件</w:t>
      </w:r>
    </w:p>
    <w:p w14:paraId="6235734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（1）符合参加采购活动应当具备的一般条件的承诺函；</w:t>
      </w:r>
    </w:p>
    <w:p w14:paraId="64D8D76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rPr>
        <w:t>投标人特定条件要求证明材料；</w:t>
      </w:r>
    </w:p>
    <w:p w14:paraId="0DF4CC6A">
      <w:pPr>
        <w:pStyle w:val="14"/>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hint="eastAsia" w:cs="宋体" w:asciiTheme="minorEastAsia" w:hAnsiTheme="minorEastAsia" w:eastAsiaTheme="minorEastAsia"/>
          <w:szCs w:val="21"/>
        </w:rPr>
        <w:t>法定代表人证明书，法定代表人授权书（法定代表人参加投标的无须提供）、授权委托人身份证复印件、授权委托人社保证明（被委托人必须为本单位在职员工，并提供至少开标前三个月内的社保证明）；本项不作为资格证明文件审查内容。</w:t>
      </w:r>
    </w:p>
    <w:p w14:paraId="63E97661">
      <w:pPr>
        <w:pStyle w:val="4"/>
      </w:pPr>
      <w:r>
        <w:rPr>
          <w:rFonts w:hint="eastAsia"/>
        </w:rPr>
        <w:t>2.2报价文件</w:t>
      </w:r>
    </w:p>
    <w:p w14:paraId="631E9D8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投标人的报价文件包括以下内容：</w:t>
      </w:r>
    </w:p>
    <w:p w14:paraId="405E601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（1）投标函；</w:t>
      </w:r>
    </w:p>
    <w:p w14:paraId="3B8F026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（2）开标一览表；</w:t>
      </w:r>
    </w:p>
    <w:p w14:paraId="754C290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（3）包括但不限于以上文件资料。</w:t>
      </w:r>
    </w:p>
    <w:p w14:paraId="33B04149">
      <w:pPr>
        <w:pStyle w:val="4"/>
      </w:pPr>
      <w:r>
        <w:rPr>
          <w:rFonts w:hint="eastAsia"/>
        </w:rPr>
        <w:t>2.3商务技术文件</w:t>
      </w:r>
    </w:p>
    <w:p w14:paraId="4E7053E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投标人的商务文件包括以下内容：</w:t>
      </w:r>
    </w:p>
    <w:p w14:paraId="7FB3A81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）采购诚信承诺书；</w:t>
      </w:r>
    </w:p>
    <w:p w14:paraId="4853CE6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）投标人简介；</w:t>
      </w:r>
    </w:p>
    <w:p w14:paraId="339D068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（3）技术条款偏离表（针对招标文件第二章内容逐条填写）；</w:t>
      </w:r>
    </w:p>
    <w:p w14:paraId="23129AC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（4）商务条款偏离表（针对招标文件第三章内容逐条填写）；</w:t>
      </w:r>
    </w:p>
    <w:p w14:paraId="2071B9B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（5）投标人业绩情况一览表及业绩证明材料；</w:t>
      </w:r>
    </w:p>
    <w:p w14:paraId="448F91F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（6）招标文件第六章评分细则中涉及的相关内容描述；</w:t>
      </w:r>
    </w:p>
    <w:p w14:paraId="6833F4E6">
      <w:pPr>
        <w:ind w:firstLine="420"/>
        <w:rPr>
          <w:rFonts w:cs="宋体" w:asciiTheme="minorEastAsia" w:hAnsiTheme="minorEastAsia" w:eastAsiaTheme="minorEastAsia"/>
        </w:rPr>
      </w:pPr>
      <w:r>
        <w:rPr>
          <w:rFonts w:hint="eastAsia" w:cs="宋体" w:asciiTheme="minorEastAsia" w:hAnsiTheme="minorEastAsia" w:eastAsiaTheme="minorEastAsia"/>
        </w:rPr>
        <w:t>（7）提供详细的服务方案，包括但不限于工作流程、程序、服务期间所需配备的各种设备、设施、工具等；</w:t>
      </w:r>
    </w:p>
    <w:p w14:paraId="0B64FA52">
      <w:pPr>
        <w:ind w:firstLine="420"/>
        <w:rPr>
          <w:rFonts w:cs="宋体" w:asciiTheme="minorEastAsia" w:hAnsiTheme="minorEastAsia" w:eastAsiaTheme="minorEastAsia"/>
        </w:rPr>
      </w:pPr>
      <w:r>
        <w:rPr>
          <w:rFonts w:hint="eastAsia" w:cs="宋体" w:asciiTheme="minorEastAsia" w:hAnsiTheme="minorEastAsia" w:eastAsiaTheme="minorEastAsia"/>
        </w:rPr>
        <w:t>（8）项目实施计划（可包含且不限于具体组织实施方案、时间进度计划安排等）；</w:t>
      </w:r>
    </w:p>
    <w:p w14:paraId="5FA4F440">
      <w:pPr>
        <w:ind w:firstLine="420"/>
        <w:rPr>
          <w:rFonts w:cs="宋体" w:asciiTheme="minorEastAsia" w:hAnsiTheme="minorEastAsia" w:eastAsiaTheme="minorEastAsia"/>
        </w:rPr>
      </w:pPr>
      <w:r>
        <w:rPr>
          <w:rFonts w:hint="eastAsia" w:cs="宋体" w:asciiTheme="minorEastAsia" w:hAnsiTheme="minorEastAsia" w:eastAsiaTheme="minorEastAsia"/>
        </w:rPr>
        <w:t>（9）拟派项目负责人及项目团队人员组成；</w:t>
      </w:r>
    </w:p>
    <w:p w14:paraId="3DE3C3BD">
      <w:pPr>
        <w:ind w:firstLine="420"/>
        <w:rPr>
          <w:rFonts w:cs="宋体" w:asciiTheme="minorEastAsia" w:hAnsiTheme="minorEastAsia" w:eastAsiaTheme="minorEastAsia"/>
        </w:rPr>
      </w:pPr>
      <w:r>
        <w:rPr>
          <w:rFonts w:hint="eastAsia" w:cs="宋体" w:asciiTheme="minorEastAsia" w:hAnsiTheme="minorEastAsia" w:eastAsiaTheme="minorEastAsia"/>
        </w:rPr>
        <w:t>（10）培训计划安排（如有）；</w:t>
      </w:r>
    </w:p>
    <w:p w14:paraId="0C036CDF">
      <w:pPr>
        <w:ind w:firstLine="420"/>
        <w:rPr>
          <w:rFonts w:cs="宋体" w:asciiTheme="minorEastAsia" w:hAnsiTheme="minorEastAsia" w:eastAsiaTheme="minorEastAsia"/>
        </w:rPr>
      </w:pPr>
      <w:r>
        <w:rPr>
          <w:rFonts w:hint="eastAsia" w:cs="宋体" w:asciiTheme="minorEastAsia" w:hAnsiTheme="minorEastAsia" w:eastAsiaTheme="minorEastAsia"/>
        </w:rPr>
        <w:t>（11）投标人针对该项目的售后服务计划（可包含且不限于响应时间、处理、售后人员、突发事件服务承诺情况等）；</w:t>
      </w:r>
    </w:p>
    <w:p w14:paraId="1C089239">
      <w:pPr>
        <w:ind w:firstLine="420"/>
        <w:rPr>
          <w:rFonts w:cs="宋体" w:asciiTheme="minorEastAsia" w:hAnsiTheme="minorEastAsia" w:eastAsiaTheme="minorEastAsia"/>
        </w:rPr>
      </w:pPr>
      <w:r>
        <w:rPr>
          <w:rFonts w:hint="eastAsia" w:cs="宋体" w:asciiTheme="minorEastAsia" w:hAnsiTheme="minorEastAsia" w:eastAsiaTheme="minorEastAsia"/>
        </w:rPr>
        <w:t>（12）优惠条件及特殊承诺；</w:t>
      </w:r>
    </w:p>
    <w:p w14:paraId="1E418820">
      <w:pPr>
        <w:ind w:firstLine="420"/>
        <w:rPr>
          <w:rFonts w:cs="宋体" w:asciiTheme="minorEastAsia" w:hAnsiTheme="minorEastAsia" w:eastAsiaTheme="minorEastAsia"/>
        </w:rPr>
      </w:pPr>
      <w:r>
        <w:rPr>
          <w:rFonts w:hint="eastAsia" w:cs="宋体" w:asciiTheme="minorEastAsia" w:hAnsiTheme="minorEastAsia" w:eastAsiaTheme="minorEastAsia"/>
        </w:rPr>
        <w:t>（13）包括但不限于以上服务文件或说明。</w:t>
      </w:r>
    </w:p>
    <w:p w14:paraId="46995BE8">
      <w:pPr>
        <w:pStyle w:val="3"/>
        <w:rPr>
          <w:rFonts w:cs="宋体" w:asciiTheme="minorEastAsia" w:hAnsiTheme="minorEastAsia" w:eastAsiaTheme="minorEastAsia"/>
          <w:szCs w:val="21"/>
        </w:rPr>
      </w:pPr>
      <w:bookmarkStart w:id="110" w:name="_Toc17693"/>
      <w:r>
        <w:rPr>
          <w:rFonts w:hint="eastAsia" w:cs="宋体" w:asciiTheme="minorEastAsia" w:hAnsiTheme="minorEastAsia" w:eastAsiaTheme="minorEastAsia"/>
          <w:szCs w:val="21"/>
        </w:rPr>
        <w:t>3投标文件编制格式及规范要求</w:t>
      </w:r>
      <w:bookmarkEnd w:id="110"/>
    </w:p>
    <w:p w14:paraId="0447664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见后附投标文件编制格式及规范要求。</w:t>
      </w:r>
      <w:r>
        <w:rPr>
          <w:rFonts w:hint="eastAsia" w:cs="宋体" w:asciiTheme="minorEastAsia" w:hAnsiTheme="minorEastAsia" w:eastAsiaTheme="minorEastAsia"/>
          <w:szCs w:val="21"/>
        </w:rPr>
        <w:br w:type="page"/>
      </w:r>
    </w:p>
    <w:p w14:paraId="68D25210">
      <w:pPr>
        <w:ind w:firstLine="0" w:firstLineChars="0"/>
        <w:jc w:val="left"/>
        <w:rPr>
          <w:rFonts w:cs="宋体" w:asciiTheme="minorEastAsia" w:hAnsiTheme="minorEastAsia" w:eastAsiaTheme="minorEastAsia"/>
          <w:b/>
          <w:bCs/>
          <w:sz w:val="48"/>
          <w:szCs w:val="48"/>
        </w:rPr>
      </w:pPr>
      <w:r>
        <w:rPr>
          <w:rFonts w:cs="宋体" w:asciiTheme="minorEastAsia" w:hAnsiTheme="minorEastAsia" w:eastAsiaTheme="minorEastAsia"/>
          <w:szCs w:val="21"/>
        </w:rPr>
        <mc:AlternateContent>
          <mc:Choice Requires="wps">
            <w:drawing>
              <wp:anchor distT="0" distB="0" distL="114300" distR="114300" simplePos="0" relativeHeight="251660288" behindDoc="1" locked="0" layoutInCell="1" allowOverlap="1">
                <wp:simplePos x="0" y="0"/>
                <wp:positionH relativeFrom="column">
                  <wp:posOffset>4506595</wp:posOffset>
                </wp:positionH>
                <wp:positionV relativeFrom="paragraph">
                  <wp:posOffset>104775</wp:posOffset>
                </wp:positionV>
                <wp:extent cx="1388745" cy="356870"/>
                <wp:effectExtent l="0" t="0" r="20955" b="24130"/>
                <wp:wrapNone/>
                <wp:docPr id="5"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26B167">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56192;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CkF1XXAAAACQEAAA8A&#10;AAAAAAAAAQAgAAAAIgAAAGRycy9kb3ducmV2LnhtbFBLAQIUABQAAAAIAIdO4kA31EfcGAIAAFAE&#10;AAAOAAAAAAAAAAEAIAAAACYBAABkcnMvZTJvRG9jLnhtbFBLBQYAAAAABgAGAFkBAACwBQAAAAA=&#10;">
                <v:fill on="t" focussize="0,0"/>
                <v:stroke color="#000000" joinstyle="miter"/>
                <v:imagedata o:title=""/>
                <o:lock v:ext="edit" aspectratio="f"/>
                <v:textbox>
                  <w:txbxContent>
                    <w:p w14:paraId="3B26B167">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14:paraId="5C6AE7EB">
      <w:pPr>
        <w:ind w:firstLine="0" w:firstLineChars="0"/>
        <w:jc w:val="center"/>
        <w:rPr>
          <w:rFonts w:cs="宋体" w:asciiTheme="minorEastAsia" w:hAnsiTheme="minorEastAsia" w:eastAsiaTheme="minorEastAsia"/>
          <w:b/>
          <w:bCs/>
          <w:sz w:val="48"/>
          <w:szCs w:val="48"/>
        </w:rPr>
      </w:pPr>
      <w:r>
        <w:rPr>
          <w:rFonts w:hint="eastAsia" w:cs="宋体" w:asciiTheme="minorEastAsia" w:hAnsiTheme="minorEastAsia" w:eastAsiaTheme="minorEastAsia"/>
          <w:b/>
          <w:bCs/>
          <w:sz w:val="48"/>
          <w:szCs w:val="48"/>
        </w:rPr>
        <w:t>浙江省生态环境监测中心</w:t>
      </w:r>
    </w:p>
    <w:p w14:paraId="7C7EECC4">
      <w:pPr>
        <w:ind w:firstLine="0" w:firstLineChars="0"/>
        <w:jc w:val="center"/>
        <w:rPr>
          <w:rFonts w:hint="eastAsia" w:cs="宋体" w:asciiTheme="minorEastAsia" w:hAnsiTheme="minorEastAsia" w:eastAsiaTheme="minorEastAsia"/>
          <w:b/>
          <w:bCs/>
          <w:sz w:val="48"/>
          <w:szCs w:val="48"/>
          <w:lang w:eastAsia="zh-CN"/>
        </w:rPr>
      </w:pPr>
      <w:r>
        <w:rPr>
          <w:rFonts w:hint="eastAsia" w:cs="宋体" w:asciiTheme="minorEastAsia" w:hAnsiTheme="minorEastAsia" w:eastAsiaTheme="minorEastAsia"/>
          <w:b/>
          <w:bCs/>
          <w:sz w:val="48"/>
          <w:szCs w:val="48"/>
          <w:lang w:eastAsia="zh-CN"/>
        </w:rPr>
        <w:t>2025年地下水环境质量监测点位采样项目</w:t>
      </w:r>
    </w:p>
    <w:p w14:paraId="1ABD6CC4">
      <w:pPr>
        <w:pStyle w:val="10"/>
        <w:ind w:firstLine="210"/>
        <w:rPr>
          <w:rFonts w:asciiTheme="minorEastAsia" w:hAnsiTheme="minorEastAsia" w:eastAsiaTheme="minorEastAsia"/>
        </w:rPr>
      </w:pPr>
    </w:p>
    <w:p w14:paraId="4654249C">
      <w:pPr>
        <w:ind w:firstLine="964"/>
        <w:jc w:val="center"/>
        <w:rPr>
          <w:rFonts w:cs="宋体" w:asciiTheme="minorEastAsia" w:hAnsiTheme="minorEastAsia" w:eastAsiaTheme="minorEastAsia"/>
          <w:b/>
          <w:bCs/>
          <w:sz w:val="48"/>
          <w:szCs w:val="48"/>
        </w:rPr>
      </w:pPr>
    </w:p>
    <w:p w14:paraId="791342FC">
      <w:pPr>
        <w:snapToGrid w:val="0"/>
        <w:ind w:firstLine="0" w:firstLineChars="0"/>
        <w:jc w:val="center"/>
        <w:rPr>
          <w:rFonts w:cs="宋体" w:asciiTheme="minorEastAsia" w:hAnsiTheme="minorEastAsia" w:eastAsiaTheme="minorEastAsia"/>
          <w:b/>
          <w:sz w:val="84"/>
          <w:szCs w:val="84"/>
        </w:rPr>
      </w:pPr>
      <w:r>
        <w:rPr>
          <w:rFonts w:hint="eastAsia" w:cs="宋体" w:asciiTheme="minorEastAsia" w:hAnsiTheme="minorEastAsia" w:eastAsiaTheme="minorEastAsia"/>
          <w:b/>
          <w:sz w:val="84"/>
          <w:szCs w:val="84"/>
        </w:rPr>
        <w:t>投标文件</w:t>
      </w:r>
    </w:p>
    <w:p w14:paraId="11D9BFD1">
      <w:pPr>
        <w:snapToGrid w:val="0"/>
        <w:ind w:firstLine="0" w:firstLineChars="0"/>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（资格证明文件/报价文件/商务技术文件）</w:t>
      </w:r>
    </w:p>
    <w:p w14:paraId="36D4EA9C">
      <w:pPr>
        <w:snapToGrid w:val="0"/>
        <w:ind w:firstLine="0" w:firstLineChars="0"/>
        <w:rPr>
          <w:rFonts w:cs="宋体" w:asciiTheme="minorEastAsia" w:hAnsiTheme="minorEastAsia" w:eastAsiaTheme="minorEastAsia"/>
          <w:b/>
          <w:sz w:val="36"/>
        </w:rPr>
      </w:pPr>
    </w:p>
    <w:p w14:paraId="70DA613F">
      <w:pPr>
        <w:pStyle w:val="10"/>
        <w:ind w:firstLine="0" w:firstLineChars="0"/>
        <w:rPr>
          <w:rFonts w:asciiTheme="minorEastAsia" w:hAnsiTheme="minorEastAsia" w:eastAsiaTheme="minorEastAsia"/>
        </w:rPr>
      </w:pPr>
    </w:p>
    <w:p w14:paraId="22A15E8E">
      <w:pPr>
        <w:pStyle w:val="10"/>
        <w:ind w:firstLine="0" w:firstLineChars="0"/>
        <w:rPr>
          <w:rFonts w:asciiTheme="minorEastAsia" w:hAnsiTheme="minorEastAsia" w:eastAsiaTheme="minorEastAsia"/>
        </w:rPr>
      </w:pPr>
    </w:p>
    <w:p w14:paraId="6CCE37A6">
      <w:pPr>
        <w:pStyle w:val="10"/>
        <w:ind w:firstLine="0" w:firstLineChars="0"/>
        <w:rPr>
          <w:rFonts w:asciiTheme="minorEastAsia" w:hAnsiTheme="minorEastAsia" w:eastAsiaTheme="minorEastAsia"/>
        </w:rPr>
      </w:pPr>
    </w:p>
    <w:p w14:paraId="0767C8FC">
      <w:pPr>
        <w:pStyle w:val="10"/>
        <w:ind w:firstLine="0" w:firstLineChars="0"/>
        <w:rPr>
          <w:rFonts w:asciiTheme="minorEastAsia" w:hAnsiTheme="minorEastAsia" w:eastAsiaTheme="minorEastAsia"/>
        </w:rPr>
      </w:pPr>
    </w:p>
    <w:p w14:paraId="337609DD">
      <w:pPr>
        <w:pStyle w:val="10"/>
        <w:ind w:firstLine="0" w:firstLineChars="0"/>
        <w:rPr>
          <w:rFonts w:asciiTheme="minorEastAsia" w:hAnsiTheme="minorEastAsia" w:eastAsiaTheme="minorEastAsia"/>
          <w:szCs w:val="21"/>
        </w:rPr>
      </w:pPr>
    </w:p>
    <w:p w14:paraId="1BAF548C">
      <w:pPr>
        <w:snapToGrid w:val="0"/>
        <w:ind w:firstLine="0" w:firstLineChars="0"/>
        <w:rPr>
          <w:rFonts w:cs="宋体" w:asciiTheme="minorEastAsia" w:hAnsiTheme="minorEastAsia" w:eastAsiaTheme="minorEastAsia"/>
          <w:b/>
          <w:szCs w:val="21"/>
        </w:rPr>
      </w:pPr>
    </w:p>
    <w:p w14:paraId="7F94AB67">
      <w:pPr>
        <w:pStyle w:val="10"/>
        <w:ind w:firstLine="210"/>
        <w:rPr>
          <w:rFonts w:asciiTheme="minorEastAsia" w:hAnsiTheme="minorEastAsia" w:eastAsiaTheme="minorEastAsia"/>
        </w:rPr>
      </w:pPr>
    </w:p>
    <w:p w14:paraId="446E3B4F">
      <w:pPr>
        <w:snapToGrid w:val="0"/>
        <w:ind w:firstLine="560"/>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采购项目：</w:t>
      </w:r>
      <w:r>
        <w:rPr>
          <w:rFonts w:hint="eastAsia" w:cs="宋体" w:asciiTheme="minorEastAsia" w:hAnsiTheme="minorEastAsia" w:eastAsiaTheme="minorEastAsia"/>
          <w:sz w:val="28"/>
          <w:szCs w:val="28"/>
          <w:lang w:eastAsia="zh-CN"/>
        </w:rPr>
        <w:t>2025年地下水环境质量监测点位采样项目</w:t>
      </w:r>
    </w:p>
    <w:p w14:paraId="670F1D80">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采购编号：</w:t>
      </w:r>
      <w:r>
        <w:rPr>
          <w:rFonts w:hint="eastAsia" w:cs="宋体" w:asciiTheme="minorEastAsia" w:hAnsiTheme="minorEastAsia" w:eastAsiaTheme="minorEastAsia"/>
          <w:sz w:val="28"/>
          <w:szCs w:val="28"/>
          <w:lang w:eastAsia="zh-CN"/>
        </w:rPr>
        <w:t>ZJXL-STJCZX-202501A2</w:t>
      </w:r>
      <w:r>
        <w:rPr>
          <w:rFonts w:hint="eastAsia" w:cs="宋体" w:asciiTheme="minorEastAsia" w:hAnsiTheme="minorEastAsia" w:eastAsiaTheme="minorEastAsia"/>
          <w:sz w:val="28"/>
          <w:szCs w:val="28"/>
        </w:rPr>
        <w:t xml:space="preserve">  </w:t>
      </w:r>
    </w:p>
    <w:p w14:paraId="5AF2D65A">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 购 人：浙江省生态环境监测中心</w:t>
      </w:r>
    </w:p>
    <w:p w14:paraId="2ADFCBDB">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 标 人：</w:t>
      </w:r>
    </w:p>
    <w:p w14:paraId="121873CC">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日 </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期：     年  月 </w:t>
      </w:r>
      <w:r>
        <w:rPr>
          <w:rFonts w:hint="eastAsia" w:cs="宋体" w:asciiTheme="minorEastAsia" w:hAnsiTheme="minorEastAsia" w:eastAsiaTheme="minorEastAsia"/>
          <w:sz w:val="28"/>
          <w:szCs w:val="28"/>
        </w:rPr>
        <w:br w:type="page"/>
      </w:r>
    </w:p>
    <w:p w14:paraId="6BA87565">
      <w:pPr>
        <w:pStyle w:val="4"/>
      </w:pPr>
      <w:r>
        <w:rPr>
          <w:rFonts w:hint="eastAsia"/>
        </w:rPr>
        <w:t>附件一 投标函</w:t>
      </w:r>
    </w:p>
    <w:p w14:paraId="4F57F45E">
      <w:pPr>
        <w:ind w:firstLine="420"/>
        <w:rPr>
          <w:rFonts w:asciiTheme="minorEastAsia" w:hAnsiTheme="minorEastAsia" w:eastAsiaTheme="minorEastAsia"/>
        </w:rPr>
      </w:pPr>
    </w:p>
    <w:p w14:paraId="7945708C">
      <w:pPr>
        <w:pStyle w:val="10"/>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投标函</w:t>
      </w:r>
    </w:p>
    <w:p w14:paraId="10090F2E">
      <w:pPr>
        <w:pStyle w:val="10"/>
        <w:ind w:firstLine="210"/>
        <w:rPr>
          <w:rFonts w:asciiTheme="minorEastAsia" w:hAnsiTheme="minorEastAsia" w:eastAsiaTheme="minorEastAsia"/>
        </w:rPr>
      </w:pPr>
    </w:p>
    <w:p w14:paraId="61016557">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浙江省生态环境监测中心、浙江信镧建设工程咨询有限公司：</w:t>
      </w:r>
    </w:p>
    <w:p w14:paraId="3E97829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（投标人全称）授权</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（授权委托人姓名）</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（职务、职称）为授权委托人，参加贵方组织的</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（项目名称）采购编号：（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）采购的有关活动，并对此项目进行投标。为此：</w:t>
      </w:r>
    </w:p>
    <w:p w14:paraId="31CC27D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元（RMB：</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元）的</w:t>
      </w:r>
      <w:r>
        <w:rPr>
          <w:rFonts w:hint="eastAsia" w:asciiTheme="minorEastAsia" w:hAnsiTheme="minorEastAsia" w:eastAsiaTheme="minorEastAsia"/>
          <w:szCs w:val="21"/>
        </w:rPr>
        <w:t>单次监测费用报价</w:t>
      </w:r>
      <w:r>
        <w:rPr>
          <w:rFonts w:hint="eastAsia" w:cs="宋体" w:asciiTheme="minorEastAsia" w:hAnsiTheme="minorEastAsia" w:eastAsiaTheme="minorEastAsia"/>
          <w:szCs w:val="21"/>
        </w:rPr>
        <w:t>报价参与本项目的竞标。</w:t>
      </w:r>
    </w:p>
    <w:p w14:paraId="3D8E554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2、我方同意在投标人须知前附表规定的开标日期起遵守本投标文件中的承诺且在投标有效期满之前均具有约束力。</w:t>
      </w:r>
    </w:p>
    <w:p w14:paraId="6EE147D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3、我方承诺已经具备《中华人民共和国政府采购法》中第二十二条相关规定的参加本项目采购活动的投标人应当具备的条件。</w:t>
      </w:r>
    </w:p>
    <w:p w14:paraId="6D49CF9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4、编制和提交招标文件规定的全部投标文件，包括投标文件正本1份，副本</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份。具体内容为：</w:t>
      </w:r>
    </w:p>
    <w:p w14:paraId="1658B87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4.1资格证明文件</w:t>
      </w:r>
    </w:p>
    <w:p w14:paraId="6F07F45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4.2报价文件</w:t>
      </w:r>
    </w:p>
    <w:p w14:paraId="728292A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4.3商务技术文件</w:t>
      </w:r>
    </w:p>
    <w:p w14:paraId="6D4F950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5、我方承诺在确认中标后5日内支付招标代理服务费。</w:t>
      </w:r>
    </w:p>
    <w:p w14:paraId="6516729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6、我方完全理解贵方不一定要接受最低价的投标。</w:t>
      </w:r>
    </w:p>
    <w:p w14:paraId="18FEFD6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7、我方愿意向贵方提供任何与该项投标有关的数据、情况和技术资料。若贵方需要，我方愿意提供我方作出的一切承诺的证明材料。</w:t>
      </w:r>
    </w:p>
    <w:p w14:paraId="43EE5D9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8、我方已详细审核全部招标文件，包括招标文件的澄清或修改（如有的话）、参考资料及有关附件，确认无异议。</w:t>
      </w:r>
    </w:p>
    <w:p w14:paraId="654EB1B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我方将严格遵守《中华人民共和国政府采购法》第七十七条规定，投标人有下列情形之一的，处以采购金额5‰以上10‰以下的罚款，列入不良行为记录名单，在一至三年内禁止参加采购单位的采购活动，有违法所得的，并处没收违法所得；情节严重的，由工商行政管理机关吊销营业执照；构成犯罪的，依法追究刑事责任：</w:t>
      </w:r>
    </w:p>
    <w:p w14:paraId="01AADD9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9.1提供虚假材料谋取中标、成交的；</w:t>
      </w:r>
    </w:p>
    <w:p w14:paraId="0471482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9.2采取不正当手段诋毁、排挤其他投标人的；</w:t>
      </w:r>
    </w:p>
    <w:p w14:paraId="2289A91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9.3与采购人、其它投标人或者采购代理机构恶意串通的；</w:t>
      </w:r>
    </w:p>
    <w:p w14:paraId="137042A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9.4向采购人、采购代理机构行贿或者提供其他不正当利益的；</w:t>
      </w:r>
    </w:p>
    <w:p w14:paraId="2FCF5DD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9.5在招标采购过程中与采购人进行协商谈判的；</w:t>
      </w:r>
    </w:p>
    <w:p w14:paraId="0A8584F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9.6拒绝有关部门监督检查或提供虚假情况的。</w:t>
      </w:r>
    </w:p>
    <w:p w14:paraId="19362C72">
      <w:pPr>
        <w:ind w:firstLine="409" w:firstLineChars="195"/>
        <w:rPr>
          <w:rFonts w:cs="宋体" w:asciiTheme="minorEastAsia" w:hAnsiTheme="minorEastAsia" w:eastAsiaTheme="minorEastAsia"/>
          <w:szCs w:val="21"/>
        </w:rPr>
      </w:pPr>
      <w:r>
        <w:rPr>
          <w:rFonts w:hint="eastAsia" w:cs="宋体" w:asciiTheme="minorEastAsia" w:hAnsiTheme="minorEastAsia" w:eastAsiaTheme="minorEastAsia"/>
          <w:szCs w:val="21"/>
        </w:rPr>
        <w:t>投标人有前款第9.1至9.5项情形之一的,中标、成交无效。</w:t>
      </w:r>
    </w:p>
    <w:p w14:paraId="571E056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10、中标后放弃中标，赔偿专家评审费、代理机构场地费、资料费、通讯费、人工费等不低于中标价金额的2%。</w:t>
      </w:r>
    </w:p>
    <w:p w14:paraId="3F6DDAEA">
      <w:pPr>
        <w:ind w:firstLine="420"/>
        <w:rPr>
          <w:rFonts w:cs="宋体" w:asciiTheme="minorEastAsia" w:hAnsiTheme="minorEastAsia" w:eastAsiaTheme="minorEastAsia"/>
          <w:szCs w:val="21"/>
        </w:rPr>
      </w:pPr>
    </w:p>
    <w:p w14:paraId="254F539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14:paraId="4A82415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法人代表签字或盖章：                  </w:t>
      </w:r>
    </w:p>
    <w:p w14:paraId="0478976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授权委托人签字或盖章：                </w:t>
      </w:r>
    </w:p>
    <w:p w14:paraId="33A1873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联系人：               联系电话：                                       </w:t>
      </w:r>
    </w:p>
    <w:p w14:paraId="3377809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联系地址：                                                           </w:t>
      </w:r>
    </w:p>
    <w:p w14:paraId="26E2F5A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邮政编码：             传真号码：          </w:t>
      </w:r>
    </w:p>
    <w:p w14:paraId="574CDCE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14:paraId="53E2CAFA">
      <w:pPr>
        <w:pStyle w:val="10"/>
        <w:ind w:firstLine="210"/>
        <w:rPr>
          <w:rFonts w:asciiTheme="minorEastAsia" w:hAnsiTheme="minorEastAsia" w:eastAsiaTheme="minorEastAsia"/>
        </w:rPr>
      </w:pPr>
    </w:p>
    <w:p w14:paraId="729C838C">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注：未按照本投标函要求填报的将被视为非实质性响应投标，从而可能导致该投标被拒绝。</w:t>
      </w:r>
    </w:p>
    <w:p w14:paraId="7D172446">
      <w:pPr>
        <w:pStyle w:val="10"/>
        <w:ind w:firstLine="0" w:firstLineChars="0"/>
        <w:rPr>
          <w:rFonts w:ascii="宋体" w:hAnsi="宋体" w:eastAsia="宋体" w:cs="宋体"/>
          <w:b/>
          <w:bCs/>
          <w:szCs w:val="21"/>
        </w:rPr>
      </w:pPr>
      <w:r>
        <w:rPr>
          <w:rFonts w:hint="eastAsia"/>
        </w:rPr>
        <w:br w:type="page"/>
      </w:r>
      <w:r>
        <w:rPr>
          <w:rFonts w:hint="eastAsia" w:ascii="宋体" w:hAnsi="宋体" w:eastAsia="宋体" w:cs="宋体"/>
          <w:b/>
          <w:bCs/>
          <w:szCs w:val="21"/>
        </w:rPr>
        <w:t>附件二 开标一览表</w:t>
      </w:r>
    </w:p>
    <w:p w14:paraId="11FEE52B">
      <w:pPr>
        <w:pStyle w:val="10"/>
        <w:ind w:firstLine="0" w:firstLineChars="0"/>
      </w:pPr>
    </w:p>
    <w:p w14:paraId="62ADE040">
      <w:pPr>
        <w:pStyle w:val="10"/>
        <w:ind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开标一览表</w:t>
      </w:r>
    </w:p>
    <w:p w14:paraId="19C65C85">
      <w:pPr>
        <w:pStyle w:val="10"/>
        <w:ind w:firstLine="210"/>
      </w:pPr>
    </w:p>
    <w:p w14:paraId="3ABC6E57">
      <w:pPr>
        <w:pStyle w:val="10"/>
        <w:ind w:firstLine="210"/>
      </w:pPr>
    </w:p>
    <w:p w14:paraId="4A2A0E41">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pacing w:val="20"/>
          <w:szCs w:val="21"/>
        </w:rPr>
        <w:t xml:space="preserve">项目名称：                                 采购编号：            </w:t>
      </w:r>
    </w:p>
    <w:tbl>
      <w:tblPr>
        <w:tblStyle w:val="2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14:paraId="0380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14:paraId="2673893A">
            <w:pPr>
              <w:pStyle w:val="6"/>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项目名称</w:t>
            </w:r>
          </w:p>
        </w:tc>
        <w:tc>
          <w:tcPr>
            <w:tcW w:w="4832" w:type="dxa"/>
            <w:tcBorders>
              <w:top w:val="single" w:color="auto" w:sz="4" w:space="0"/>
              <w:left w:val="single" w:color="auto" w:sz="4" w:space="0"/>
              <w:bottom w:val="single" w:color="auto" w:sz="4" w:space="0"/>
              <w:right w:val="single" w:color="auto" w:sz="4" w:space="0"/>
            </w:tcBorders>
            <w:vAlign w:val="center"/>
          </w:tcPr>
          <w:p w14:paraId="0EC6F428">
            <w:pPr>
              <w:pStyle w:val="6"/>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单次监测费用报价</w:t>
            </w:r>
          </w:p>
        </w:tc>
        <w:tc>
          <w:tcPr>
            <w:tcW w:w="1277" w:type="dxa"/>
            <w:tcBorders>
              <w:top w:val="single" w:color="auto" w:sz="4" w:space="0"/>
              <w:left w:val="single" w:color="auto" w:sz="4" w:space="0"/>
              <w:bottom w:val="single" w:color="auto" w:sz="4" w:space="0"/>
              <w:right w:val="single" w:color="auto" w:sz="4" w:space="0"/>
            </w:tcBorders>
            <w:vAlign w:val="center"/>
          </w:tcPr>
          <w:p w14:paraId="24A81746">
            <w:pPr>
              <w:pStyle w:val="6"/>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14:paraId="570A134D">
            <w:pPr>
              <w:pStyle w:val="6"/>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14:paraId="4D2E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14:paraId="76FCE868">
            <w:pPr>
              <w:pStyle w:val="6"/>
              <w:jc w:val="center"/>
              <w:rPr>
                <w:rFonts w:asciiTheme="minorEastAsia" w:hAnsiTheme="minorEastAsia" w:eastAsiaTheme="minorEastAsia"/>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14:paraId="7F282F1F">
            <w:pPr>
              <w:pStyle w:val="6"/>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小写：</w:t>
            </w:r>
          </w:p>
          <w:p w14:paraId="6F71813E">
            <w:pPr>
              <w:pStyle w:val="6"/>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14:paraId="6878FCF7">
            <w:pPr>
              <w:ind w:firstLine="420"/>
              <w:jc w:val="center"/>
              <w:rPr>
                <w:rFonts w:asciiTheme="minorEastAsia" w:hAnsiTheme="minorEastAsia" w:eastAsiaTheme="minorEastAsia"/>
                <w:szCs w:val="21"/>
              </w:rPr>
            </w:pPr>
          </w:p>
        </w:tc>
        <w:tc>
          <w:tcPr>
            <w:tcW w:w="1277" w:type="dxa"/>
            <w:tcBorders>
              <w:top w:val="single" w:color="auto" w:sz="4" w:space="0"/>
              <w:left w:val="single" w:color="auto" w:sz="4" w:space="0"/>
              <w:bottom w:val="single" w:color="auto" w:sz="4" w:space="0"/>
              <w:right w:val="single" w:color="auto" w:sz="4" w:space="0"/>
            </w:tcBorders>
            <w:vAlign w:val="center"/>
          </w:tcPr>
          <w:p w14:paraId="671AAE70">
            <w:pPr>
              <w:ind w:firstLine="420"/>
              <w:jc w:val="center"/>
              <w:rPr>
                <w:rFonts w:asciiTheme="minorEastAsia" w:hAnsiTheme="minorEastAsia" w:eastAsiaTheme="minorEastAsia"/>
                <w:szCs w:val="21"/>
              </w:rPr>
            </w:pPr>
          </w:p>
        </w:tc>
      </w:tr>
    </w:tbl>
    <w:p w14:paraId="0BFF3ED2">
      <w:pPr>
        <w:pStyle w:val="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注：1、本表报价应与投标函中投标报价一致。</w:t>
      </w:r>
    </w:p>
    <w:p w14:paraId="077479F1">
      <w:pPr>
        <w:pStyle w:val="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2、单次监测费用最高限价3200元/次，超过最高限价为无效标</w:t>
      </w:r>
    </w:p>
    <w:p w14:paraId="631A18A7">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w:t>
      </w:r>
      <w:r>
        <w:rPr>
          <w:rFonts w:hint="eastAsia" w:asciiTheme="minorEastAsia" w:hAnsiTheme="minorEastAsia" w:eastAsiaTheme="minorEastAsia"/>
          <w:szCs w:val="21"/>
        </w:rPr>
        <w:t>全称</w:t>
      </w:r>
      <w:r>
        <w:rPr>
          <w:rFonts w:hint="eastAsia" w:cs="宋体" w:asciiTheme="minorEastAsia" w:hAnsiTheme="minorEastAsia" w:eastAsiaTheme="minorEastAsia"/>
          <w:szCs w:val="21"/>
        </w:rPr>
        <w:t>（公章）：</w:t>
      </w:r>
    </w:p>
    <w:p w14:paraId="0C5EACBC">
      <w:pPr>
        <w:pStyle w:val="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法定代表人或授权委托人（签字或盖章）：</w:t>
      </w:r>
    </w:p>
    <w:p w14:paraId="46584C1D">
      <w:pPr>
        <w:widowControl/>
        <w:adjustRightInd w:val="0"/>
        <w:snapToGrid w:val="0"/>
        <w:spacing w:line="240" w:lineRule="auto"/>
        <w:ind w:firstLine="420" w:firstLineChars="0"/>
        <w:jc w:val="left"/>
        <w:rPr>
          <w:rFonts w:ascii="宋体"/>
          <w:b/>
          <w:spacing w:val="20"/>
          <w:sz w:val="24"/>
        </w:rPr>
      </w:pPr>
      <w:r>
        <w:rPr>
          <w:rFonts w:hint="eastAsia" w:cs="宋体" w:asciiTheme="minorEastAsia" w:hAnsiTheme="minorEastAsia" w:eastAsiaTheme="minorEastAsia"/>
          <w:szCs w:val="21"/>
        </w:rPr>
        <w:t>日期：</w:t>
      </w:r>
    </w:p>
    <w:p w14:paraId="5CEF31A0">
      <w:pPr>
        <w:ind w:firstLine="420"/>
      </w:pPr>
    </w:p>
    <w:p w14:paraId="309935A2">
      <w:pPr>
        <w:pStyle w:val="4"/>
      </w:pPr>
      <w:r>
        <w:rPr>
          <w:rFonts w:hint="eastAsia"/>
        </w:rPr>
        <w:br w:type="page"/>
      </w:r>
      <w:r>
        <w:rPr>
          <w:rFonts w:hint="eastAsia"/>
        </w:rPr>
        <w:t>附件三 法定代表人证明书、法定代表人授权书</w:t>
      </w:r>
    </w:p>
    <w:p w14:paraId="785C2B1C">
      <w:pPr>
        <w:ind w:firstLine="0" w:firstLineChars="0"/>
        <w:rPr>
          <w:rFonts w:cs="宋体" w:asciiTheme="minorEastAsia" w:hAnsiTheme="minorEastAsia" w:eastAsiaTheme="minorEastAsia"/>
          <w:b/>
          <w:bCs/>
          <w:szCs w:val="20"/>
        </w:rPr>
      </w:pPr>
    </w:p>
    <w:p w14:paraId="1321894B">
      <w:pPr>
        <w:ind w:firstLine="0" w:firstLineChars="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法定代表人证明书</w:t>
      </w:r>
    </w:p>
    <w:p w14:paraId="04974DC6">
      <w:pPr>
        <w:ind w:firstLine="0" w:firstLineChars="0"/>
        <w:rPr>
          <w:rFonts w:cs="宋体" w:asciiTheme="minorEastAsia" w:hAnsiTheme="minorEastAsia" w:eastAsiaTheme="minorEastAsia"/>
          <w:b/>
          <w:bCs/>
          <w:szCs w:val="21"/>
        </w:rPr>
      </w:pPr>
    </w:p>
    <w:p w14:paraId="6271B2D0">
      <w:pPr>
        <w:ind w:firstLine="0" w:firstLineChars="0"/>
        <w:rPr>
          <w:rFonts w:asciiTheme="minorEastAsia" w:hAnsiTheme="minorEastAsia" w:eastAsiaTheme="minorEastAsia"/>
        </w:rPr>
      </w:pPr>
      <w:r>
        <w:rPr>
          <w:rFonts w:hint="eastAsia" w:cs="宋体" w:asciiTheme="minorEastAsia" w:hAnsiTheme="minorEastAsia" w:eastAsiaTheme="minorEastAsia"/>
          <w:szCs w:val="21"/>
        </w:rPr>
        <w:t>浙江省生态环境监测中心、浙江信镧建设工程咨询有限公司：</w:t>
      </w:r>
    </w:p>
    <w:p w14:paraId="13D6E04A">
      <w:pPr>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同志，身份证号码：</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，现任我单位</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职务，为我单位法定代表人，特此证明。</w:t>
      </w:r>
    </w:p>
    <w:p w14:paraId="7DCE3B03">
      <w:pPr>
        <w:ind w:firstLine="420"/>
        <w:rPr>
          <w:rFonts w:cs="宋体" w:asciiTheme="minorEastAsia" w:hAnsiTheme="minorEastAsia" w:eastAsiaTheme="minorEastAsia"/>
          <w:szCs w:val="21"/>
        </w:rPr>
      </w:pPr>
    </w:p>
    <w:p w14:paraId="014A967A">
      <w:pPr>
        <w:ind w:firstLine="420"/>
        <w:rPr>
          <w:rFonts w:cs="宋体" w:asciiTheme="minorEastAsia" w:hAnsiTheme="minorEastAsia" w:eastAsiaTheme="minorEastAsia"/>
          <w:szCs w:val="21"/>
        </w:rPr>
      </w:pPr>
    </w:p>
    <w:p w14:paraId="201C7F4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14:paraId="30ABFDD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法定代表人签字或盖章：</w:t>
      </w:r>
    </w:p>
    <w:p w14:paraId="1728909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电话：</w:t>
      </w:r>
    </w:p>
    <w:p w14:paraId="085AD0B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14:paraId="2472C79B">
      <w:pPr>
        <w:ind w:firstLine="42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61312" behindDoc="0" locked="0" layoutInCell="1" allowOverlap="1">
                <wp:simplePos x="0" y="0"/>
                <wp:positionH relativeFrom="column">
                  <wp:posOffset>219710</wp:posOffset>
                </wp:positionH>
                <wp:positionV relativeFrom="paragraph">
                  <wp:posOffset>129540</wp:posOffset>
                </wp:positionV>
                <wp:extent cx="5638800" cy="3033395"/>
                <wp:effectExtent l="0" t="0" r="19050" b="14605"/>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75F645">
                            <w:pPr>
                              <w:ind w:firstLine="440"/>
                              <w:rPr>
                                <w:rFonts w:ascii="新宋体" w:hAnsi="新宋体" w:eastAsia="新宋体"/>
                                <w:sz w:val="22"/>
                                <w:szCs w:val="22"/>
                              </w:rPr>
                            </w:pPr>
                          </w:p>
                          <w:p w14:paraId="69BACFB4">
                            <w:pPr>
                              <w:ind w:firstLine="440"/>
                              <w:rPr>
                                <w:rFonts w:ascii="新宋体" w:hAnsi="新宋体" w:eastAsia="新宋体"/>
                                <w:sz w:val="22"/>
                                <w:szCs w:val="22"/>
                              </w:rPr>
                            </w:pPr>
                          </w:p>
                          <w:p w14:paraId="0C1EB9D3">
                            <w:pPr>
                              <w:ind w:firstLine="440"/>
                              <w:rPr>
                                <w:rFonts w:ascii="新宋体" w:hAnsi="新宋体" w:eastAsia="新宋体"/>
                                <w:sz w:val="22"/>
                                <w:szCs w:val="22"/>
                              </w:rPr>
                            </w:pPr>
                          </w:p>
                          <w:p w14:paraId="13F9694F">
                            <w:pPr>
                              <w:ind w:firstLine="0" w:firstLineChars="0"/>
                              <w:rPr>
                                <w:rFonts w:ascii="新宋体" w:hAnsi="新宋体" w:eastAsia="新宋体"/>
                                <w:szCs w:val="21"/>
                              </w:rPr>
                            </w:pPr>
                          </w:p>
                          <w:p w14:paraId="7BE5281B">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14:paraId="0E22A08F">
                            <w:pPr>
                              <w:ind w:firstLine="600"/>
                              <w:rPr>
                                <w:rFonts w:ascii="仿宋_GB2312" w:hAnsi="宋体" w:eastAsia="仿宋_GB2312"/>
                                <w:sz w:val="30"/>
                              </w:rPr>
                            </w:pPr>
                          </w:p>
                          <w:p w14:paraId="7CBD5A59">
                            <w:pPr>
                              <w:ind w:firstLine="600"/>
                              <w:rPr>
                                <w:rFonts w:ascii="仿宋_GB2312" w:hAnsi="宋体" w:eastAsia="仿宋_GB2312"/>
                                <w:sz w:val="30"/>
                              </w:rPr>
                            </w:pPr>
                          </w:p>
                          <w:p w14:paraId="592FCA9D">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61312;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KGOK2AAAAAkBAAAPAAAAAAAAAAEAIAAA&#10;ACIAAABkcnMvZG93bnJldi54bWxQSwECFAAUAAAACACHTuJAl6bF4AwCAAA3BAAADgAAAAAAAAAB&#10;ACAAAAAnAQAAZHJzL2Uyb0RvYy54bWxQSwUGAAAAAAYABgBZAQAApQUAAAAA&#10;">
                <v:fill on="t" focussize="0,0"/>
                <v:stroke color="#000000" joinstyle="miter"/>
                <v:imagedata o:title=""/>
                <o:lock v:ext="edit" aspectratio="f"/>
                <v:textbox>
                  <w:txbxContent>
                    <w:p w14:paraId="2D75F645">
                      <w:pPr>
                        <w:ind w:firstLine="440"/>
                        <w:rPr>
                          <w:rFonts w:ascii="新宋体" w:hAnsi="新宋体" w:eastAsia="新宋体"/>
                          <w:sz w:val="22"/>
                          <w:szCs w:val="22"/>
                        </w:rPr>
                      </w:pPr>
                    </w:p>
                    <w:p w14:paraId="69BACFB4">
                      <w:pPr>
                        <w:ind w:firstLine="440"/>
                        <w:rPr>
                          <w:rFonts w:ascii="新宋体" w:hAnsi="新宋体" w:eastAsia="新宋体"/>
                          <w:sz w:val="22"/>
                          <w:szCs w:val="22"/>
                        </w:rPr>
                      </w:pPr>
                    </w:p>
                    <w:p w14:paraId="0C1EB9D3">
                      <w:pPr>
                        <w:ind w:firstLine="440"/>
                        <w:rPr>
                          <w:rFonts w:ascii="新宋体" w:hAnsi="新宋体" w:eastAsia="新宋体"/>
                          <w:sz w:val="22"/>
                          <w:szCs w:val="22"/>
                        </w:rPr>
                      </w:pPr>
                    </w:p>
                    <w:p w14:paraId="13F9694F">
                      <w:pPr>
                        <w:ind w:firstLine="0" w:firstLineChars="0"/>
                        <w:rPr>
                          <w:rFonts w:ascii="新宋体" w:hAnsi="新宋体" w:eastAsia="新宋体"/>
                          <w:szCs w:val="21"/>
                        </w:rPr>
                      </w:pPr>
                    </w:p>
                    <w:p w14:paraId="7BE5281B">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14:paraId="0E22A08F">
                      <w:pPr>
                        <w:ind w:firstLine="600"/>
                        <w:rPr>
                          <w:rFonts w:ascii="仿宋_GB2312" w:hAnsi="宋体" w:eastAsia="仿宋_GB2312"/>
                          <w:sz w:val="30"/>
                        </w:rPr>
                      </w:pPr>
                    </w:p>
                    <w:p w14:paraId="7CBD5A59">
                      <w:pPr>
                        <w:ind w:firstLine="600"/>
                        <w:rPr>
                          <w:rFonts w:ascii="仿宋_GB2312" w:hAnsi="宋体" w:eastAsia="仿宋_GB2312"/>
                          <w:sz w:val="30"/>
                        </w:rPr>
                      </w:pPr>
                    </w:p>
                    <w:p w14:paraId="592FCA9D">
                      <w:pPr>
                        <w:ind w:firstLine="600"/>
                        <w:rPr>
                          <w:rFonts w:ascii="仿宋_GB2312" w:hAnsi="宋体" w:eastAsia="仿宋_GB2312"/>
                          <w:sz w:val="30"/>
                        </w:rPr>
                      </w:pPr>
                    </w:p>
                  </w:txbxContent>
                </v:textbox>
              </v:shape>
            </w:pict>
          </mc:Fallback>
        </mc:AlternateContent>
      </w:r>
    </w:p>
    <w:p w14:paraId="2B5AD8F7">
      <w:pPr>
        <w:ind w:firstLine="420"/>
        <w:rPr>
          <w:rFonts w:cs="宋体" w:asciiTheme="minorEastAsia" w:hAnsiTheme="minorEastAsia" w:eastAsiaTheme="minorEastAsia"/>
          <w:szCs w:val="21"/>
        </w:rPr>
      </w:pPr>
    </w:p>
    <w:p w14:paraId="16910534">
      <w:pPr>
        <w:ind w:firstLine="0" w:firstLineChars="0"/>
        <w:rPr>
          <w:rFonts w:cs="宋体" w:asciiTheme="minorEastAsia" w:hAnsiTheme="minorEastAsia" w:eastAsiaTheme="minorEastAsia"/>
          <w:b/>
          <w:bCs/>
          <w:szCs w:val="21"/>
        </w:rPr>
      </w:pPr>
    </w:p>
    <w:p w14:paraId="552DFE4C">
      <w:pPr>
        <w:ind w:firstLine="0" w:firstLineChars="0"/>
        <w:rPr>
          <w:rFonts w:cs="宋体" w:asciiTheme="minorEastAsia" w:hAnsiTheme="minorEastAsia" w:eastAsiaTheme="minorEastAsia"/>
          <w:b/>
          <w:bCs/>
          <w:szCs w:val="21"/>
        </w:rPr>
      </w:pPr>
    </w:p>
    <w:p w14:paraId="3D198F8B">
      <w:pPr>
        <w:ind w:firstLine="0" w:firstLineChars="0"/>
        <w:rPr>
          <w:rFonts w:cs="宋体" w:asciiTheme="minorEastAsia" w:hAnsiTheme="minorEastAsia" w:eastAsiaTheme="minorEastAsia"/>
          <w:b/>
          <w:bCs/>
          <w:szCs w:val="21"/>
        </w:rPr>
      </w:pPr>
    </w:p>
    <w:p w14:paraId="6219A962">
      <w:pPr>
        <w:ind w:firstLine="0" w:firstLineChars="0"/>
        <w:rPr>
          <w:rFonts w:cs="宋体" w:asciiTheme="minorEastAsia" w:hAnsiTheme="minorEastAsia" w:eastAsiaTheme="minorEastAsia"/>
          <w:b/>
          <w:bCs/>
          <w:szCs w:val="21"/>
        </w:rPr>
      </w:pPr>
    </w:p>
    <w:p w14:paraId="1A9336B6">
      <w:pPr>
        <w:ind w:firstLine="0" w:firstLineChars="0"/>
        <w:rPr>
          <w:rFonts w:cs="宋体" w:asciiTheme="minorEastAsia" w:hAnsiTheme="minorEastAsia" w:eastAsiaTheme="minorEastAsia"/>
          <w:b/>
          <w:bCs/>
          <w:szCs w:val="21"/>
        </w:rPr>
      </w:pPr>
    </w:p>
    <w:p w14:paraId="6570715F">
      <w:pPr>
        <w:ind w:firstLine="0" w:firstLineChars="0"/>
        <w:rPr>
          <w:rFonts w:cs="宋体" w:asciiTheme="minorEastAsia" w:hAnsiTheme="minorEastAsia" w:eastAsiaTheme="minorEastAsia"/>
          <w:b/>
          <w:bCs/>
          <w:szCs w:val="21"/>
        </w:rPr>
      </w:pPr>
    </w:p>
    <w:p w14:paraId="79BE73A7">
      <w:pPr>
        <w:ind w:firstLine="0" w:firstLineChars="0"/>
        <w:rPr>
          <w:rFonts w:cs="宋体" w:asciiTheme="minorEastAsia" w:hAnsiTheme="minorEastAsia" w:eastAsiaTheme="minorEastAsia"/>
          <w:b/>
          <w:bCs/>
          <w:szCs w:val="21"/>
        </w:rPr>
      </w:pPr>
    </w:p>
    <w:p w14:paraId="2959D606">
      <w:pPr>
        <w:ind w:firstLine="0" w:firstLineChars="0"/>
        <w:rPr>
          <w:rFonts w:cs="宋体" w:asciiTheme="minorEastAsia" w:hAnsiTheme="minorEastAsia" w:eastAsiaTheme="minorEastAsia"/>
          <w:b/>
          <w:bCs/>
          <w:szCs w:val="21"/>
        </w:rPr>
      </w:pPr>
    </w:p>
    <w:p w14:paraId="7CDD0E09">
      <w:pPr>
        <w:ind w:firstLine="0" w:firstLineChars="0"/>
        <w:rPr>
          <w:rFonts w:cs="宋体" w:asciiTheme="minorEastAsia" w:hAnsiTheme="minorEastAsia" w:eastAsiaTheme="minorEastAsia"/>
          <w:b/>
          <w:bCs/>
          <w:szCs w:val="21"/>
        </w:rPr>
      </w:pPr>
    </w:p>
    <w:p w14:paraId="5AB5D8B0">
      <w:pPr>
        <w:ind w:firstLine="0" w:firstLineChars="0"/>
        <w:rPr>
          <w:rFonts w:cs="宋体" w:asciiTheme="minorEastAsia" w:hAnsiTheme="minorEastAsia" w:eastAsiaTheme="minorEastAsia"/>
          <w:b/>
          <w:bCs/>
          <w:szCs w:val="21"/>
        </w:rPr>
      </w:pPr>
    </w:p>
    <w:p w14:paraId="5FB008B9">
      <w:pPr>
        <w:ind w:firstLine="0" w:firstLineChars="0"/>
        <w:rPr>
          <w:rFonts w:cs="宋体" w:asciiTheme="minorEastAsia" w:hAnsiTheme="minorEastAsia" w:eastAsiaTheme="minorEastAsia"/>
          <w:b/>
          <w:bCs/>
          <w:szCs w:val="21"/>
        </w:rPr>
      </w:pPr>
    </w:p>
    <w:p w14:paraId="0BF5F22D">
      <w:pPr>
        <w:ind w:firstLine="0" w:firstLineChars="0"/>
        <w:rPr>
          <w:rFonts w:cs="宋体" w:asciiTheme="minorEastAsia" w:hAnsiTheme="minorEastAsia" w:eastAsiaTheme="minorEastAsia"/>
          <w:b/>
          <w:bCs/>
          <w:szCs w:val="21"/>
        </w:rPr>
      </w:pPr>
    </w:p>
    <w:p w14:paraId="6EBD5EA3">
      <w:pPr>
        <w:ind w:firstLine="0" w:firstLineChars="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zCs w:val="21"/>
        </w:rPr>
        <w:br w:type="page"/>
      </w:r>
      <w:r>
        <w:rPr>
          <w:rFonts w:hint="eastAsia" w:cs="宋体" w:asciiTheme="minorEastAsia" w:hAnsiTheme="minorEastAsia" w:eastAsiaTheme="minorEastAsia"/>
          <w:b/>
          <w:sz w:val="32"/>
          <w:szCs w:val="32"/>
        </w:rPr>
        <w:t>法定代表人授权书</w:t>
      </w:r>
    </w:p>
    <w:p w14:paraId="784F8898">
      <w:pPr>
        <w:ind w:firstLine="0" w:firstLineChars="0"/>
        <w:rPr>
          <w:rFonts w:cs="宋体" w:asciiTheme="minorEastAsia" w:hAnsiTheme="minorEastAsia" w:eastAsiaTheme="minorEastAsia"/>
          <w:szCs w:val="21"/>
        </w:rPr>
      </w:pPr>
    </w:p>
    <w:p w14:paraId="41367DAF">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浙江省生态环境监测中心、浙江信镧建设工程咨询有限公司：</w:t>
      </w:r>
    </w:p>
    <w:p w14:paraId="420055D0">
      <w:pPr>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我以</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（投标人全称）法定代表人的身份授权</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（授权委托人姓名）、身份证号</w:t>
      </w:r>
      <w:r>
        <w:rPr>
          <w:rFonts w:hint="eastAsia" w:cs="宋体" w:asciiTheme="minorEastAsia" w:hAnsiTheme="minorEastAsia" w:eastAsiaTheme="minorEastAsia"/>
          <w:szCs w:val="21"/>
          <w:u w:val="single"/>
        </w:rPr>
        <w:tab/>
      </w:r>
      <w:r>
        <w:rPr>
          <w:rFonts w:hint="eastAsia" w:cs="宋体" w:asciiTheme="minorEastAsia" w:hAnsiTheme="minorEastAsia" w:eastAsiaTheme="minorEastAsia"/>
          <w:szCs w:val="21"/>
          <w:u w:val="single"/>
        </w:rPr>
        <w:tab/>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 ，为我单位的授权委托人，参加贵处组织的</w:t>
      </w:r>
      <w:r>
        <w:rPr>
          <w:rFonts w:hint="eastAsia" w:cs="宋体" w:asciiTheme="minorEastAsia" w:hAnsiTheme="minorEastAsia" w:eastAsiaTheme="minorEastAsia"/>
          <w:bCs/>
          <w:szCs w:val="21"/>
          <w:u w:val="single"/>
          <w:lang w:val="en-US" w:eastAsia="zh-CN"/>
        </w:rPr>
        <w:t xml:space="preserve">     </w:t>
      </w:r>
      <w:r>
        <w:rPr>
          <w:rFonts w:hint="eastAsia" w:cs="宋体" w:asciiTheme="minorEastAsia" w:hAnsiTheme="minorEastAsia" w:eastAsiaTheme="minorEastAsia"/>
          <w:bCs/>
          <w:szCs w:val="21"/>
          <w:u w:val="single"/>
        </w:rPr>
        <w:t>项目</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szCs w:val="21"/>
        </w:rPr>
        <w:t>（采购编号：             ）的采购，全权处理采购活动中的一切事宜，我单位均予承认。</w:t>
      </w:r>
    </w:p>
    <w:p w14:paraId="793ACEE0">
      <w:pPr>
        <w:ind w:firstLine="420"/>
        <w:rPr>
          <w:rFonts w:cs="宋体" w:asciiTheme="minorEastAsia" w:hAnsiTheme="minorEastAsia" w:eastAsiaTheme="minorEastAsia"/>
          <w:szCs w:val="21"/>
        </w:rPr>
      </w:pPr>
    </w:p>
    <w:p w14:paraId="6BD0E9E1">
      <w:pPr>
        <w:pStyle w:val="10"/>
        <w:ind w:firstLine="210"/>
        <w:rPr>
          <w:rFonts w:asciiTheme="minorEastAsia" w:hAnsiTheme="minorEastAsia" w:eastAsiaTheme="minorEastAsia"/>
        </w:rPr>
      </w:pPr>
    </w:p>
    <w:p w14:paraId="2641EAA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14:paraId="7BDCDF8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法定代表人签字或盖章：</w:t>
      </w:r>
    </w:p>
    <w:p w14:paraId="1EAF4B8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电话：</w:t>
      </w:r>
    </w:p>
    <w:p w14:paraId="4753995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14:paraId="234038B1">
      <w:pPr>
        <w:adjustRightInd w:val="0"/>
        <w:snapToGrid w:val="0"/>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62336" behindDoc="0" locked="0" layoutInCell="1" allowOverlap="1">
                <wp:simplePos x="0" y="0"/>
                <wp:positionH relativeFrom="column">
                  <wp:posOffset>208915</wp:posOffset>
                </wp:positionH>
                <wp:positionV relativeFrom="paragraph">
                  <wp:posOffset>201295</wp:posOffset>
                </wp:positionV>
                <wp:extent cx="5638800" cy="2804795"/>
                <wp:effectExtent l="0" t="0" r="19050" b="14605"/>
                <wp:wrapNone/>
                <wp:docPr id="3" name="Text Box 3"/>
                <wp:cNvGraphicFramePr/>
                <a:graphic xmlns:a="http://schemas.openxmlformats.org/drawingml/2006/main">
                  <a:graphicData uri="http://schemas.microsoft.com/office/word/2010/wordprocessingShape">
                    <wps:wsp>
                      <wps:cNvSpPr txBox="1"/>
                      <wps:spPr>
                        <a:xfrm>
                          <a:off x="0" y="0"/>
                          <a:ext cx="5638800" cy="2804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976399">
                            <w:pPr>
                              <w:ind w:firstLine="440"/>
                              <w:rPr>
                                <w:rFonts w:ascii="新宋体" w:hAnsi="新宋体" w:eastAsia="新宋体"/>
                                <w:sz w:val="22"/>
                                <w:szCs w:val="22"/>
                              </w:rPr>
                            </w:pPr>
                          </w:p>
                          <w:p w14:paraId="1C0799D5">
                            <w:pPr>
                              <w:ind w:firstLine="440"/>
                              <w:rPr>
                                <w:rFonts w:ascii="新宋体" w:hAnsi="新宋体" w:eastAsia="新宋体"/>
                                <w:sz w:val="22"/>
                                <w:szCs w:val="22"/>
                              </w:rPr>
                            </w:pPr>
                          </w:p>
                          <w:p w14:paraId="244DB135">
                            <w:pPr>
                              <w:ind w:firstLine="440"/>
                              <w:rPr>
                                <w:rFonts w:ascii="新宋体" w:hAnsi="新宋体" w:eastAsia="新宋体"/>
                                <w:sz w:val="22"/>
                                <w:szCs w:val="22"/>
                              </w:rPr>
                            </w:pPr>
                          </w:p>
                          <w:p w14:paraId="6DCE1A59">
                            <w:pPr>
                              <w:ind w:firstLine="440"/>
                              <w:rPr>
                                <w:rFonts w:ascii="新宋体" w:hAnsi="新宋体" w:eastAsia="新宋体"/>
                                <w:sz w:val="22"/>
                                <w:szCs w:val="22"/>
                              </w:rPr>
                            </w:pPr>
                          </w:p>
                          <w:p w14:paraId="746CBEF3">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14:paraId="0C9527ED">
                            <w:pPr>
                              <w:ind w:firstLine="600"/>
                              <w:rPr>
                                <w:rFonts w:ascii="仿宋_GB2312" w:hAnsi="宋体" w:eastAsia="仿宋_GB2312"/>
                                <w:sz w:val="30"/>
                              </w:rPr>
                            </w:pPr>
                          </w:p>
                          <w:p w14:paraId="1A681D73">
                            <w:pPr>
                              <w:ind w:firstLine="600"/>
                              <w:rPr>
                                <w:rFonts w:ascii="仿宋_GB2312" w:hAnsi="宋体" w:eastAsia="仿宋_GB2312"/>
                                <w:sz w:val="30"/>
                              </w:rPr>
                            </w:pPr>
                          </w:p>
                          <w:p w14:paraId="12570CD8">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2336;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ib8Y2QAAAAkBAAAPAAAAAAAAAAEAIAAAACIA&#10;AABkcnMvZG93bnJldi54bWxQSwECFAAUAAAACACHTuJAefcAxQgCAABQBAAADgAAAAAAAAABACAA&#10;AAAoAQAAZHJzL2Uyb0RvYy54bWxQSwUGAAAAAAYABgBZAQAAogUAAAAA&#10;">
                <v:fill on="t" focussize="0,0"/>
                <v:stroke color="#000000" joinstyle="miter"/>
                <v:imagedata o:title=""/>
                <o:lock v:ext="edit" aspectratio="f"/>
                <v:textbox>
                  <w:txbxContent>
                    <w:p w14:paraId="05976399">
                      <w:pPr>
                        <w:ind w:firstLine="440"/>
                        <w:rPr>
                          <w:rFonts w:ascii="新宋体" w:hAnsi="新宋体" w:eastAsia="新宋体"/>
                          <w:sz w:val="22"/>
                          <w:szCs w:val="22"/>
                        </w:rPr>
                      </w:pPr>
                    </w:p>
                    <w:p w14:paraId="1C0799D5">
                      <w:pPr>
                        <w:ind w:firstLine="440"/>
                        <w:rPr>
                          <w:rFonts w:ascii="新宋体" w:hAnsi="新宋体" w:eastAsia="新宋体"/>
                          <w:sz w:val="22"/>
                          <w:szCs w:val="22"/>
                        </w:rPr>
                      </w:pPr>
                    </w:p>
                    <w:p w14:paraId="244DB135">
                      <w:pPr>
                        <w:ind w:firstLine="440"/>
                        <w:rPr>
                          <w:rFonts w:ascii="新宋体" w:hAnsi="新宋体" w:eastAsia="新宋体"/>
                          <w:sz w:val="22"/>
                          <w:szCs w:val="22"/>
                        </w:rPr>
                      </w:pPr>
                    </w:p>
                    <w:p w14:paraId="6DCE1A59">
                      <w:pPr>
                        <w:ind w:firstLine="440"/>
                        <w:rPr>
                          <w:rFonts w:ascii="新宋体" w:hAnsi="新宋体" w:eastAsia="新宋体"/>
                          <w:sz w:val="22"/>
                          <w:szCs w:val="22"/>
                        </w:rPr>
                      </w:pPr>
                    </w:p>
                    <w:p w14:paraId="746CBEF3">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14:paraId="0C9527ED">
                      <w:pPr>
                        <w:ind w:firstLine="600"/>
                        <w:rPr>
                          <w:rFonts w:ascii="仿宋_GB2312" w:hAnsi="宋体" w:eastAsia="仿宋_GB2312"/>
                          <w:sz w:val="30"/>
                        </w:rPr>
                      </w:pPr>
                    </w:p>
                    <w:p w14:paraId="1A681D73">
                      <w:pPr>
                        <w:ind w:firstLine="600"/>
                        <w:rPr>
                          <w:rFonts w:ascii="仿宋_GB2312" w:hAnsi="宋体" w:eastAsia="仿宋_GB2312"/>
                          <w:sz w:val="30"/>
                        </w:rPr>
                      </w:pPr>
                    </w:p>
                    <w:p w14:paraId="12570CD8">
                      <w:pPr>
                        <w:ind w:firstLine="420"/>
                      </w:pPr>
                    </w:p>
                  </w:txbxContent>
                </v:textbox>
              </v:shape>
            </w:pict>
          </mc:Fallback>
        </mc:AlternateContent>
      </w:r>
    </w:p>
    <w:p w14:paraId="6573CB83">
      <w:pPr>
        <w:adjustRightInd w:val="0"/>
        <w:snapToGrid w:val="0"/>
        <w:ind w:firstLine="0" w:firstLineChars="0"/>
        <w:rPr>
          <w:rFonts w:cs="宋体" w:asciiTheme="minorEastAsia" w:hAnsiTheme="minorEastAsia" w:eastAsiaTheme="minorEastAsia"/>
          <w:szCs w:val="21"/>
        </w:rPr>
      </w:pPr>
    </w:p>
    <w:p w14:paraId="559D53AF">
      <w:pPr>
        <w:adjustRightInd w:val="0"/>
        <w:snapToGrid w:val="0"/>
        <w:ind w:firstLine="0" w:firstLineChars="0"/>
        <w:rPr>
          <w:rFonts w:cs="宋体" w:asciiTheme="minorEastAsia" w:hAnsiTheme="minorEastAsia" w:eastAsiaTheme="minorEastAsia"/>
          <w:szCs w:val="21"/>
        </w:rPr>
      </w:pPr>
    </w:p>
    <w:p w14:paraId="59F43C5D">
      <w:pPr>
        <w:adjustRightInd w:val="0"/>
        <w:snapToGrid w:val="0"/>
        <w:ind w:firstLine="0" w:firstLineChars="0"/>
        <w:rPr>
          <w:rFonts w:cs="宋体" w:asciiTheme="minorEastAsia" w:hAnsiTheme="minorEastAsia" w:eastAsiaTheme="minorEastAsia"/>
          <w:szCs w:val="21"/>
        </w:rPr>
      </w:pPr>
    </w:p>
    <w:p w14:paraId="62382995">
      <w:pPr>
        <w:adjustRightInd w:val="0"/>
        <w:snapToGrid w:val="0"/>
        <w:ind w:firstLine="0" w:firstLineChars="0"/>
        <w:rPr>
          <w:rFonts w:cs="宋体" w:asciiTheme="minorEastAsia" w:hAnsiTheme="minorEastAsia" w:eastAsiaTheme="minorEastAsia"/>
          <w:szCs w:val="21"/>
        </w:rPr>
      </w:pPr>
    </w:p>
    <w:p w14:paraId="6673D2B2">
      <w:pPr>
        <w:adjustRightInd w:val="0"/>
        <w:snapToGrid w:val="0"/>
        <w:ind w:firstLine="0" w:firstLineChars="0"/>
        <w:rPr>
          <w:rFonts w:cs="宋体" w:asciiTheme="minorEastAsia" w:hAnsiTheme="minorEastAsia" w:eastAsiaTheme="minorEastAsia"/>
          <w:szCs w:val="21"/>
        </w:rPr>
      </w:pPr>
    </w:p>
    <w:p w14:paraId="76A0BE83">
      <w:pPr>
        <w:adjustRightInd w:val="0"/>
        <w:snapToGrid w:val="0"/>
        <w:ind w:firstLine="0" w:firstLineChars="0"/>
        <w:rPr>
          <w:rFonts w:cs="宋体" w:asciiTheme="minorEastAsia" w:hAnsiTheme="minorEastAsia" w:eastAsiaTheme="minorEastAsia"/>
          <w:szCs w:val="21"/>
        </w:rPr>
      </w:pPr>
    </w:p>
    <w:p w14:paraId="7804D115">
      <w:pPr>
        <w:adjustRightInd w:val="0"/>
        <w:snapToGrid w:val="0"/>
        <w:ind w:firstLine="0" w:firstLineChars="0"/>
        <w:rPr>
          <w:rFonts w:cs="宋体" w:asciiTheme="minorEastAsia" w:hAnsiTheme="minorEastAsia" w:eastAsiaTheme="minorEastAsia"/>
          <w:szCs w:val="21"/>
        </w:rPr>
      </w:pPr>
    </w:p>
    <w:p w14:paraId="7C177340">
      <w:pPr>
        <w:adjustRightInd w:val="0"/>
        <w:snapToGrid w:val="0"/>
        <w:ind w:firstLine="0" w:firstLineChars="0"/>
        <w:rPr>
          <w:rFonts w:cs="宋体" w:asciiTheme="minorEastAsia" w:hAnsiTheme="minorEastAsia" w:eastAsiaTheme="minorEastAsia"/>
          <w:szCs w:val="21"/>
        </w:rPr>
      </w:pPr>
    </w:p>
    <w:p w14:paraId="7BEF73C6">
      <w:pPr>
        <w:adjustRightInd w:val="0"/>
        <w:snapToGrid w:val="0"/>
        <w:ind w:firstLine="0" w:firstLineChars="0"/>
        <w:rPr>
          <w:rFonts w:cs="宋体" w:asciiTheme="minorEastAsia" w:hAnsiTheme="minorEastAsia" w:eastAsiaTheme="minorEastAsia"/>
          <w:szCs w:val="21"/>
        </w:rPr>
      </w:pPr>
    </w:p>
    <w:p w14:paraId="1B610CF7">
      <w:pPr>
        <w:adjustRightInd w:val="0"/>
        <w:snapToGrid w:val="0"/>
        <w:ind w:firstLine="0" w:firstLineChars="0"/>
        <w:rPr>
          <w:rFonts w:cs="宋体" w:asciiTheme="minorEastAsia" w:hAnsiTheme="minorEastAsia" w:eastAsiaTheme="minorEastAsia"/>
          <w:szCs w:val="21"/>
        </w:rPr>
      </w:pPr>
    </w:p>
    <w:p w14:paraId="1675C736">
      <w:pPr>
        <w:adjustRightInd w:val="0"/>
        <w:snapToGrid w:val="0"/>
        <w:ind w:firstLine="0" w:firstLineChars="0"/>
        <w:rPr>
          <w:rFonts w:cs="宋体" w:asciiTheme="minorEastAsia" w:hAnsiTheme="minorEastAsia" w:eastAsiaTheme="minorEastAsia"/>
          <w:szCs w:val="21"/>
        </w:rPr>
      </w:pPr>
    </w:p>
    <w:p w14:paraId="1A83CD66">
      <w:pPr>
        <w:adjustRightInd w:val="0"/>
        <w:snapToGrid w:val="0"/>
        <w:ind w:firstLine="0" w:firstLineChars="0"/>
        <w:rPr>
          <w:rFonts w:cs="宋体" w:asciiTheme="minorEastAsia" w:hAnsiTheme="minorEastAsia" w:eastAsiaTheme="minorEastAsia"/>
          <w:szCs w:val="21"/>
        </w:rPr>
      </w:pPr>
    </w:p>
    <w:p w14:paraId="17E8ECCF">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rPr>
        <w:br w:type="page"/>
      </w:r>
    </w:p>
    <w:p w14:paraId="2CC9CF2A">
      <w:pPr>
        <w:pStyle w:val="4"/>
      </w:pPr>
      <w:r>
        <w:rPr>
          <w:rFonts w:hint="eastAsia"/>
        </w:rPr>
        <w:t>附件四 采购诚信承诺书</w:t>
      </w:r>
    </w:p>
    <w:p w14:paraId="19A32DF8">
      <w:pPr>
        <w:ind w:firstLine="0" w:firstLineChars="0"/>
        <w:rPr>
          <w:rFonts w:cs="宋体" w:asciiTheme="minorEastAsia" w:hAnsiTheme="minorEastAsia" w:eastAsiaTheme="minorEastAsia"/>
          <w:sz w:val="24"/>
        </w:rPr>
      </w:pPr>
    </w:p>
    <w:p w14:paraId="0B9C38B9">
      <w:pPr>
        <w:pStyle w:val="45"/>
        <w:jc w:val="center"/>
      </w:pPr>
      <w:r>
        <w:rPr>
          <w:rFonts w:hint="eastAsia"/>
        </w:rPr>
        <w:t>采购诚信承诺书</w:t>
      </w:r>
    </w:p>
    <w:p w14:paraId="5CB44C4D">
      <w:pPr>
        <w:pStyle w:val="56"/>
        <w:ind w:firstLine="420"/>
        <w:rPr>
          <w:rFonts w:asciiTheme="minorEastAsia" w:hAnsiTheme="minorEastAsia" w:eastAsiaTheme="minorEastAsia"/>
          <w:sz w:val="21"/>
          <w:szCs w:val="21"/>
        </w:rPr>
      </w:pPr>
    </w:p>
    <w:p w14:paraId="28B1A004">
      <w:pPr>
        <w:ind w:firstLine="0" w:firstLineChars="0"/>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（采购代理机构）：</w:t>
      </w:r>
    </w:p>
    <w:p w14:paraId="1933507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我公司</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（投标人名称）已详细阅读了</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 xml:space="preserve">           </w:t>
      </w:r>
      <w:r>
        <w:rPr>
          <w:rFonts w:hint="eastAsia" w:cs="宋体" w:asciiTheme="minorEastAsia" w:hAnsiTheme="minorEastAsia" w:eastAsiaTheme="minorEastAsia"/>
          <w:szCs w:val="21"/>
          <w:u w:val="single"/>
        </w:rPr>
        <w:t>项目</w:t>
      </w:r>
      <w:r>
        <w:rPr>
          <w:rFonts w:hint="eastAsia" w:cs="宋体" w:asciiTheme="minorEastAsia" w:hAnsiTheme="minorEastAsia" w:eastAsiaTheme="minorEastAsia"/>
          <w:szCs w:val="21"/>
        </w:rPr>
        <w:t>（采购编号：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）的招标文件，自愿参加该项目的采购活动，现就有关事项做出郑重承诺如下：</w:t>
      </w:r>
    </w:p>
    <w:p w14:paraId="4071560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一、诚信竞争，材料真实。我公司保证所提供的全部材料、内容均真实、合法、有效，保证不出借或者借用其他企业资质，不以他人名义参与采购和竞争，不弄虚作假；</w:t>
      </w:r>
    </w:p>
    <w:p w14:paraId="7D05EB8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二、遵纪守法，公平竞争。不与其他单位相互串通、哄抬价格，不排挤其他单位，不损害采购人的合法权益；不向评标委员会、采购人、采购代理机构提供利益以牟取中标（成交）。</w:t>
      </w:r>
    </w:p>
    <w:p w14:paraId="023CE16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2.1不向项目有关人员及部门赠送礼金礼物、有价证券、回扣以及中介费、介绍费、咨询费等好处费；</w:t>
      </w:r>
    </w:p>
    <w:p w14:paraId="28E8176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2.2不为项目有关人员及部门报销应由你方单位或个人支付的费用；</w:t>
      </w:r>
    </w:p>
    <w:p w14:paraId="72A71D4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2.3不向项目有关人员及部门提供有可能影响公正的宴请和健身娱乐等活动；</w:t>
      </w:r>
    </w:p>
    <w:p w14:paraId="75F8763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2.4不为项目有关人员及部门出国（境）、旅游等提供方便；</w:t>
      </w:r>
    </w:p>
    <w:p w14:paraId="4052B12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2.5不为项目有关人员个人装修住房、婚丧嫁娶、配偶子女工作安排等提供好处；</w:t>
      </w:r>
    </w:p>
    <w:p w14:paraId="4DDC537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2.6严格遵守政府采购法、招标投标法、民法典等法律法规，诚实守信，合法经营，坚决抵制各种违法违纪行为。</w:t>
      </w:r>
    </w:p>
    <w:p w14:paraId="07D6F1A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若中标（成交）后，将按照规定及时与采购人签订采购合同，不与采购人订立有悖于采购结果的合同或协议；严格履行采购合同，不降低合同约定的产品质量和服务，不擅自变更、中止、终止合同，或者拒绝履行合同义务。</w:t>
      </w:r>
    </w:p>
    <w:p w14:paraId="5EEF0B8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若有违反以上承诺内容的行为，我公司自愿接受取消竞争资格、记入信用档案、没收参与竞争的保证金、媒体通报、1-3年内禁止参与采购单位的采购等处罚；如已中标（成交）的，自动放弃中标（成交）资格，并承担全部法律责任；给采购人造成损失的，依法承担赔偿责任。</w:t>
      </w:r>
    </w:p>
    <w:p w14:paraId="48C0E7CE">
      <w:pPr>
        <w:pStyle w:val="10"/>
        <w:ind w:firstLine="210"/>
        <w:rPr>
          <w:rFonts w:asciiTheme="minorEastAsia" w:hAnsiTheme="minorEastAsia" w:eastAsiaTheme="minorEastAsia"/>
        </w:rPr>
      </w:pPr>
    </w:p>
    <w:p w14:paraId="6243074A">
      <w:pPr>
        <w:pStyle w:val="10"/>
        <w:ind w:firstLine="210"/>
        <w:rPr>
          <w:rFonts w:asciiTheme="minorEastAsia" w:hAnsiTheme="minorEastAsia" w:eastAsiaTheme="minorEastAsia"/>
        </w:rPr>
      </w:pPr>
    </w:p>
    <w:p w14:paraId="5E6FDA1C">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14:paraId="6F199F42">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法定代表人（签字或印章）：</w:t>
      </w:r>
    </w:p>
    <w:p w14:paraId="0D86FC08">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14:paraId="07302EA9">
      <w:pPr>
        <w:topLinePunct/>
        <w:ind w:firstLine="420"/>
        <w:rPr>
          <w:rFonts w:cs="宋体" w:asciiTheme="minorEastAsia" w:hAnsiTheme="minorEastAsia" w:eastAsiaTheme="minorEastAsia"/>
          <w:szCs w:val="21"/>
        </w:rPr>
      </w:pPr>
    </w:p>
    <w:p w14:paraId="0ECF958E">
      <w:pPr>
        <w:topLinePun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备注：若以联合体形式参与采购活动的，联合体各成员应分别填写。</w:t>
      </w:r>
    </w:p>
    <w:p w14:paraId="73A06FDE">
      <w:pPr>
        <w:pStyle w:val="10"/>
        <w:ind w:firstLine="210"/>
        <w:rPr>
          <w:rFonts w:asciiTheme="minorEastAsia" w:hAnsiTheme="minorEastAsia" w:eastAsiaTheme="minorEastAsia"/>
        </w:rPr>
      </w:pPr>
    </w:p>
    <w:p w14:paraId="09FA73B6">
      <w:pPr>
        <w:widowControl/>
        <w:spacing w:line="240" w:lineRule="auto"/>
        <w:ind w:firstLine="0" w:firstLineChars="0"/>
        <w:jc w:val="left"/>
        <w:rPr>
          <w:rFonts w:ascii="宋体"/>
          <w:b/>
          <w:sz w:val="28"/>
          <w:szCs w:val="28"/>
        </w:rPr>
        <w:sectPr>
          <w:pgSz w:w="11907" w:h="16840"/>
          <w:pgMar w:top="1247" w:right="1304" w:bottom="1021" w:left="1304" w:header="720" w:footer="720" w:gutter="0"/>
          <w:cols w:space="720" w:num="1"/>
          <w:docGrid w:linePitch="286" w:charSpace="0"/>
        </w:sectPr>
      </w:pPr>
    </w:p>
    <w:p w14:paraId="7D067B30">
      <w:pPr>
        <w:pStyle w:val="4"/>
      </w:pPr>
      <w:r>
        <w:rPr>
          <w:rFonts w:hint="eastAsia"/>
        </w:rPr>
        <w:t>附件五 技术条款偏离表</w:t>
      </w:r>
    </w:p>
    <w:p w14:paraId="4845C440">
      <w:pPr>
        <w:ind w:firstLine="555" w:firstLineChars="0"/>
        <w:rPr>
          <w:rFonts w:cs="宋体" w:asciiTheme="minorEastAsia" w:hAnsiTheme="minorEastAsia" w:eastAsiaTheme="minorEastAsia"/>
          <w:b/>
          <w:bCs/>
          <w:iCs/>
          <w:spacing w:val="20"/>
          <w:szCs w:val="21"/>
        </w:rPr>
      </w:pPr>
    </w:p>
    <w:p w14:paraId="29CFCCBA">
      <w:pPr>
        <w:pStyle w:val="10"/>
        <w:ind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技术条款偏离表</w:t>
      </w:r>
    </w:p>
    <w:p w14:paraId="20459E2B">
      <w:pPr>
        <w:pStyle w:val="10"/>
        <w:ind w:firstLine="210"/>
        <w:rPr>
          <w:rFonts w:asciiTheme="minorEastAsia" w:hAnsiTheme="minorEastAsia" w:eastAsiaTheme="minorEastAsia"/>
        </w:rPr>
      </w:pPr>
    </w:p>
    <w:p w14:paraId="28E24F7C">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 xml:space="preserve">项目名称：                 采购编号：                   </w:t>
      </w:r>
    </w:p>
    <w:tbl>
      <w:tblPr>
        <w:tblStyle w:val="25"/>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14:paraId="0A0E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9" w:type="dxa"/>
            <w:vAlign w:val="center"/>
          </w:tcPr>
          <w:p w14:paraId="15C123D6">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4699" w:type="dxa"/>
            <w:vAlign w:val="center"/>
          </w:tcPr>
          <w:p w14:paraId="570B1158">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招标文件要求</w:t>
            </w:r>
          </w:p>
        </w:tc>
        <w:tc>
          <w:tcPr>
            <w:tcW w:w="4699" w:type="dxa"/>
            <w:vAlign w:val="center"/>
          </w:tcPr>
          <w:p w14:paraId="37E4C97A">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投标文件响应（逐条逐项列示投标产品的具体</w:t>
            </w:r>
            <w:r>
              <w:rPr>
                <w:rFonts w:hint="eastAsia" w:asciiTheme="minorEastAsia" w:hAnsiTheme="minorEastAsia" w:eastAsiaTheme="minorEastAsia"/>
                <w:szCs w:val="21"/>
              </w:rPr>
              <w:t>技术性能指标和参数等响应内容</w:t>
            </w:r>
            <w:r>
              <w:rPr>
                <w:rFonts w:hint="eastAsia" w:cs="宋体" w:asciiTheme="minorEastAsia" w:hAnsiTheme="minorEastAsia" w:eastAsiaTheme="minorEastAsia"/>
                <w:spacing w:val="20"/>
                <w:szCs w:val="21"/>
              </w:rPr>
              <w:t>）</w:t>
            </w:r>
          </w:p>
        </w:tc>
        <w:tc>
          <w:tcPr>
            <w:tcW w:w="2313" w:type="dxa"/>
            <w:vAlign w:val="center"/>
          </w:tcPr>
          <w:p w14:paraId="7602FD75">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偏离情况</w:t>
            </w:r>
          </w:p>
        </w:tc>
        <w:tc>
          <w:tcPr>
            <w:tcW w:w="1696" w:type="dxa"/>
            <w:vAlign w:val="center"/>
          </w:tcPr>
          <w:p w14:paraId="2E3DB91A">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备注</w:t>
            </w:r>
          </w:p>
        </w:tc>
      </w:tr>
      <w:tr w14:paraId="78AF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25ED4D09">
            <w:pPr>
              <w:ind w:firstLine="0" w:firstLineChars="0"/>
              <w:jc w:val="center"/>
              <w:rPr>
                <w:rFonts w:cs="宋体" w:asciiTheme="minorEastAsia" w:hAnsiTheme="minorEastAsia" w:eastAsiaTheme="minorEastAsia"/>
                <w:spacing w:val="20"/>
                <w:szCs w:val="21"/>
              </w:rPr>
            </w:pPr>
          </w:p>
        </w:tc>
        <w:tc>
          <w:tcPr>
            <w:tcW w:w="4699" w:type="dxa"/>
          </w:tcPr>
          <w:p w14:paraId="5F0A721F">
            <w:pPr>
              <w:ind w:firstLine="0" w:firstLineChars="0"/>
              <w:jc w:val="center"/>
              <w:rPr>
                <w:rFonts w:cs="宋体" w:asciiTheme="minorEastAsia" w:hAnsiTheme="minorEastAsia" w:eastAsiaTheme="minorEastAsia"/>
                <w:spacing w:val="20"/>
                <w:szCs w:val="21"/>
              </w:rPr>
            </w:pPr>
          </w:p>
        </w:tc>
        <w:tc>
          <w:tcPr>
            <w:tcW w:w="4699" w:type="dxa"/>
          </w:tcPr>
          <w:p w14:paraId="72F35544">
            <w:pPr>
              <w:ind w:firstLine="0" w:firstLineChars="0"/>
              <w:jc w:val="center"/>
              <w:rPr>
                <w:rFonts w:cs="宋体" w:asciiTheme="minorEastAsia" w:hAnsiTheme="minorEastAsia" w:eastAsiaTheme="minorEastAsia"/>
                <w:spacing w:val="20"/>
                <w:szCs w:val="21"/>
              </w:rPr>
            </w:pPr>
          </w:p>
        </w:tc>
        <w:tc>
          <w:tcPr>
            <w:tcW w:w="2313" w:type="dxa"/>
          </w:tcPr>
          <w:p w14:paraId="395662D3">
            <w:pPr>
              <w:ind w:firstLine="0" w:firstLineChars="0"/>
              <w:jc w:val="center"/>
              <w:rPr>
                <w:rFonts w:cs="宋体" w:asciiTheme="minorEastAsia" w:hAnsiTheme="minorEastAsia" w:eastAsiaTheme="minorEastAsia"/>
                <w:spacing w:val="20"/>
                <w:szCs w:val="21"/>
              </w:rPr>
            </w:pPr>
          </w:p>
        </w:tc>
        <w:tc>
          <w:tcPr>
            <w:tcW w:w="1696" w:type="dxa"/>
          </w:tcPr>
          <w:p w14:paraId="6B9CDC04">
            <w:pPr>
              <w:ind w:firstLine="0" w:firstLineChars="0"/>
              <w:jc w:val="center"/>
              <w:rPr>
                <w:rFonts w:cs="宋体" w:asciiTheme="minorEastAsia" w:hAnsiTheme="minorEastAsia" w:eastAsiaTheme="minorEastAsia"/>
                <w:spacing w:val="20"/>
                <w:szCs w:val="21"/>
              </w:rPr>
            </w:pPr>
          </w:p>
        </w:tc>
      </w:tr>
      <w:tr w14:paraId="2929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4D935905">
            <w:pPr>
              <w:ind w:firstLine="0" w:firstLineChars="0"/>
              <w:jc w:val="center"/>
              <w:rPr>
                <w:rFonts w:cs="宋体" w:asciiTheme="minorEastAsia" w:hAnsiTheme="minorEastAsia" w:eastAsiaTheme="minorEastAsia"/>
                <w:spacing w:val="20"/>
                <w:szCs w:val="21"/>
              </w:rPr>
            </w:pPr>
          </w:p>
        </w:tc>
        <w:tc>
          <w:tcPr>
            <w:tcW w:w="4699" w:type="dxa"/>
          </w:tcPr>
          <w:p w14:paraId="60121EC7">
            <w:pPr>
              <w:ind w:firstLine="0" w:firstLineChars="0"/>
              <w:jc w:val="center"/>
              <w:rPr>
                <w:rFonts w:cs="宋体" w:asciiTheme="minorEastAsia" w:hAnsiTheme="minorEastAsia" w:eastAsiaTheme="minorEastAsia"/>
                <w:spacing w:val="20"/>
                <w:szCs w:val="21"/>
              </w:rPr>
            </w:pPr>
          </w:p>
        </w:tc>
        <w:tc>
          <w:tcPr>
            <w:tcW w:w="4699" w:type="dxa"/>
          </w:tcPr>
          <w:p w14:paraId="2AACDB49">
            <w:pPr>
              <w:ind w:firstLine="0" w:firstLineChars="0"/>
              <w:jc w:val="center"/>
              <w:rPr>
                <w:rFonts w:cs="宋体" w:asciiTheme="minorEastAsia" w:hAnsiTheme="minorEastAsia" w:eastAsiaTheme="minorEastAsia"/>
                <w:spacing w:val="20"/>
                <w:szCs w:val="21"/>
              </w:rPr>
            </w:pPr>
          </w:p>
        </w:tc>
        <w:tc>
          <w:tcPr>
            <w:tcW w:w="2313" w:type="dxa"/>
          </w:tcPr>
          <w:p w14:paraId="0298EEC3">
            <w:pPr>
              <w:ind w:firstLine="0" w:firstLineChars="0"/>
              <w:jc w:val="center"/>
              <w:rPr>
                <w:rFonts w:cs="宋体" w:asciiTheme="minorEastAsia" w:hAnsiTheme="minorEastAsia" w:eastAsiaTheme="minorEastAsia"/>
                <w:spacing w:val="20"/>
                <w:szCs w:val="21"/>
              </w:rPr>
            </w:pPr>
          </w:p>
        </w:tc>
        <w:tc>
          <w:tcPr>
            <w:tcW w:w="1696" w:type="dxa"/>
          </w:tcPr>
          <w:p w14:paraId="773F28FB">
            <w:pPr>
              <w:ind w:firstLine="0" w:firstLineChars="0"/>
              <w:jc w:val="center"/>
              <w:rPr>
                <w:rFonts w:cs="宋体" w:asciiTheme="minorEastAsia" w:hAnsiTheme="minorEastAsia" w:eastAsiaTheme="minorEastAsia"/>
                <w:spacing w:val="20"/>
                <w:szCs w:val="21"/>
              </w:rPr>
            </w:pPr>
          </w:p>
        </w:tc>
      </w:tr>
      <w:tr w14:paraId="15FB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3F89E01E">
            <w:pPr>
              <w:ind w:firstLine="0" w:firstLineChars="0"/>
              <w:jc w:val="center"/>
              <w:rPr>
                <w:rFonts w:cs="宋体" w:asciiTheme="minorEastAsia" w:hAnsiTheme="minorEastAsia" w:eastAsiaTheme="minorEastAsia"/>
                <w:spacing w:val="20"/>
                <w:szCs w:val="21"/>
              </w:rPr>
            </w:pPr>
          </w:p>
        </w:tc>
        <w:tc>
          <w:tcPr>
            <w:tcW w:w="4699" w:type="dxa"/>
          </w:tcPr>
          <w:p w14:paraId="443FB1DA">
            <w:pPr>
              <w:ind w:firstLine="0" w:firstLineChars="0"/>
              <w:jc w:val="center"/>
              <w:rPr>
                <w:rFonts w:cs="宋体" w:asciiTheme="minorEastAsia" w:hAnsiTheme="minorEastAsia" w:eastAsiaTheme="minorEastAsia"/>
                <w:spacing w:val="20"/>
                <w:szCs w:val="21"/>
              </w:rPr>
            </w:pPr>
          </w:p>
        </w:tc>
        <w:tc>
          <w:tcPr>
            <w:tcW w:w="4699" w:type="dxa"/>
          </w:tcPr>
          <w:p w14:paraId="01DA2DD2">
            <w:pPr>
              <w:ind w:firstLine="0" w:firstLineChars="0"/>
              <w:jc w:val="center"/>
              <w:rPr>
                <w:rFonts w:cs="宋体" w:asciiTheme="minorEastAsia" w:hAnsiTheme="minorEastAsia" w:eastAsiaTheme="minorEastAsia"/>
                <w:spacing w:val="20"/>
                <w:szCs w:val="21"/>
              </w:rPr>
            </w:pPr>
          </w:p>
        </w:tc>
        <w:tc>
          <w:tcPr>
            <w:tcW w:w="2313" w:type="dxa"/>
          </w:tcPr>
          <w:p w14:paraId="4AAFC6FC">
            <w:pPr>
              <w:ind w:firstLine="0" w:firstLineChars="0"/>
              <w:jc w:val="center"/>
              <w:rPr>
                <w:rFonts w:cs="宋体" w:asciiTheme="minorEastAsia" w:hAnsiTheme="minorEastAsia" w:eastAsiaTheme="minorEastAsia"/>
                <w:spacing w:val="20"/>
                <w:szCs w:val="21"/>
              </w:rPr>
            </w:pPr>
          </w:p>
        </w:tc>
        <w:tc>
          <w:tcPr>
            <w:tcW w:w="1696" w:type="dxa"/>
          </w:tcPr>
          <w:p w14:paraId="74AF6240">
            <w:pPr>
              <w:ind w:firstLine="0" w:firstLineChars="0"/>
              <w:jc w:val="center"/>
              <w:rPr>
                <w:rFonts w:cs="宋体" w:asciiTheme="minorEastAsia" w:hAnsiTheme="minorEastAsia" w:eastAsiaTheme="minorEastAsia"/>
                <w:spacing w:val="20"/>
                <w:szCs w:val="21"/>
              </w:rPr>
            </w:pPr>
          </w:p>
        </w:tc>
      </w:tr>
      <w:tr w14:paraId="0A95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4132CBD4">
            <w:pPr>
              <w:ind w:firstLine="0" w:firstLineChars="0"/>
              <w:jc w:val="center"/>
              <w:rPr>
                <w:rFonts w:cs="宋体" w:asciiTheme="minorEastAsia" w:hAnsiTheme="minorEastAsia" w:eastAsiaTheme="minorEastAsia"/>
                <w:spacing w:val="20"/>
                <w:szCs w:val="21"/>
              </w:rPr>
            </w:pPr>
          </w:p>
        </w:tc>
        <w:tc>
          <w:tcPr>
            <w:tcW w:w="4699" w:type="dxa"/>
          </w:tcPr>
          <w:p w14:paraId="2BA5C9DF">
            <w:pPr>
              <w:ind w:firstLine="0" w:firstLineChars="0"/>
              <w:jc w:val="center"/>
              <w:rPr>
                <w:rFonts w:cs="宋体" w:asciiTheme="minorEastAsia" w:hAnsiTheme="minorEastAsia" w:eastAsiaTheme="minorEastAsia"/>
                <w:spacing w:val="20"/>
                <w:szCs w:val="21"/>
              </w:rPr>
            </w:pPr>
          </w:p>
        </w:tc>
        <w:tc>
          <w:tcPr>
            <w:tcW w:w="4699" w:type="dxa"/>
          </w:tcPr>
          <w:p w14:paraId="6F4E8549">
            <w:pPr>
              <w:ind w:firstLine="0" w:firstLineChars="0"/>
              <w:jc w:val="center"/>
              <w:rPr>
                <w:rFonts w:cs="宋体" w:asciiTheme="minorEastAsia" w:hAnsiTheme="minorEastAsia" w:eastAsiaTheme="minorEastAsia"/>
                <w:spacing w:val="20"/>
                <w:szCs w:val="21"/>
              </w:rPr>
            </w:pPr>
          </w:p>
        </w:tc>
        <w:tc>
          <w:tcPr>
            <w:tcW w:w="2313" w:type="dxa"/>
          </w:tcPr>
          <w:p w14:paraId="545F9CD4">
            <w:pPr>
              <w:ind w:firstLine="0" w:firstLineChars="0"/>
              <w:jc w:val="center"/>
              <w:rPr>
                <w:rFonts w:cs="宋体" w:asciiTheme="minorEastAsia" w:hAnsiTheme="minorEastAsia" w:eastAsiaTheme="minorEastAsia"/>
                <w:spacing w:val="20"/>
                <w:szCs w:val="21"/>
              </w:rPr>
            </w:pPr>
          </w:p>
        </w:tc>
        <w:tc>
          <w:tcPr>
            <w:tcW w:w="1696" w:type="dxa"/>
          </w:tcPr>
          <w:p w14:paraId="68AFDD08">
            <w:pPr>
              <w:ind w:firstLine="0" w:firstLineChars="0"/>
              <w:jc w:val="center"/>
              <w:rPr>
                <w:rFonts w:cs="宋体" w:asciiTheme="minorEastAsia" w:hAnsiTheme="minorEastAsia" w:eastAsiaTheme="minorEastAsia"/>
                <w:spacing w:val="20"/>
                <w:szCs w:val="21"/>
              </w:rPr>
            </w:pPr>
          </w:p>
        </w:tc>
      </w:tr>
      <w:tr w14:paraId="6CEF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7538C4F1">
            <w:pPr>
              <w:ind w:firstLine="0" w:firstLineChars="0"/>
              <w:jc w:val="center"/>
              <w:rPr>
                <w:rFonts w:cs="宋体" w:asciiTheme="minorEastAsia" w:hAnsiTheme="minorEastAsia" w:eastAsiaTheme="minorEastAsia"/>
                <w:spacing w:val="20"/>
                <w:szCs w:val="21"/>
              </w:rPr>
            </w:pPr>
          </w:p>
        </w:tc>
        <w:tc>
          <w:tcPr>
            <w:tcW w:w="4699" w:type="dxa"/>
          </w:tcPr>
          <w:p w14:paraId="64D51D33">
            <w:pPr>
              <w:ind w:firstLine="0" w:firstLineChars="0"/>
              <w:jc w:val="center"/>
              <w:rPr>
                <w:rFonts w:cs="宋体" w:asciiTheme="minorEastAsia" w:hAnsiTheme="minorEastAsia" w:eastAsiaTheme="minorEastAsia"/>
                <w:spacing w:val="20"/>
                <w:szCs w:val="21"/>
              </w:rPr>
            </w:pPr>
          </w:p>
        </w:tc>
        <w:tc>
          <w:tcPr>
            <w:tcW w:w="4699" w:type="dxa"/>
          </w:tcPr>
          <w:p w14:paraId="44004B1A">
            <w:pPr>
              <w:ind w:firstLine="0" w:firstLineChars="0"/>
              <w:jc w:val="center"/>
              <w:rPr>
                <w:rFonts w:cs="宋体" w:asciiTheme="minorEastAsia" w:hAnsiTheme="minorEastAsia" w:eastAsiaTheme="minorEastAsia"/>
                <w:spacing w:val="20"/>
                <w:szCs w:val="21"/>
              </w:rPr>
            </w:pPr>
          </w:p>
        </w:tc>
        <w:tc>
          <w:tcPr>
            <w:tcW w:w="2313" w:type="dxa"/>
          </w:tcPr>
          <w:p w14:paraId="026A2E92">
            <w:pPr>
              <w:ind w:firstLine="0" w:firstLineChars="0"/>
              <w:jc w:val="center"/>
              <w:rPr>
                <w:rFonts w:cs="宋体" w:asciiTheme="minorEastAsia" w:hAnsiTheme="minorEastAsia" w:eastAsiaTheme="minorEastAsia"/>
                <w:spacing w:val="20"/>
                <w:szCs w:val="21"/>
              </w:rPr>
            </w:pPr>
          </w:p>
        </w:tc>
        <w:tc>
          <w:tcPr>
            <w:tcW w:w="1696" w:type="dxa"/>
          </w:tcPr>
          <w:p w14:paraId="763E8A8B">
            <w:pPr>
              <w:ind w:firstLine="0" w:firstLineChars="0"/>
              <w:jc w:val="center"/>
              <w:rPr>
                <w:rFonts w:cs="宋体" w:asciiTheme="minorEastAsia" w:hAnsiTheme="minorEastAsia" w:eastAsiaTheme="minorEastAsia"/>
                <w:spacing w:val="20"/>
                <w:szCs w:val="21"/>
              </w:rPr>
            </w:pPr>
          </w:p>
        </w:tc>
      </w:tr>
      <w:tr w14:paraId="123A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46330A28">
            <w:pPr>
              <w:ind w:firstLine="0" w:firstLineChars="0"/>
              <w:jc w:val="center"/>
              <w:rPr>
                <w:rFonts w:cs="宋体" w:asciiTheme="minorEastAsia" w:hAnsiTheme="minorEastAsia" w:eastAsiaTheme="minorEastAsia"/>
                <w:spacing w:val="20"/>
                <w:szCs w:val="21"/>
              </w:rPr>
            </w:pPr>
          </w:p>
        </w:tc>
        <w:tc>
          <w:tcPr>
            <w:tcW w:w="4699" w:type="dxa"/>
          </w:tcPr>
          <w:p w14:paraId="1A068921">
            <w:pPr>
              <w:ind w:firstLine="0" w:firstLineChars="0"/>
              <w:jc w:val="center"/>
              <w:rPr>
                <w:rFonts w:cs="宋体" w:asciiTheme="minorEastAsia" w:hAnsiTheme="minorEastAsia" w:eastAsiaTheme="minorEastAsia"/>
                <w:spacing w:val="20"/>
                <w:szCs w:val="21"/>
              </w:rPr>
            </w:pPr>
          </w:p>
        </w:tc>
        <w:tc>
          <w:tcPr>
            <w:tcW w:w="4699" w:type="dxa"/>
          </w:tcPr>
          <w:p w14:paraId="615D711E">
            <w:pPr>
              <w:ind w:firstLine="0" w:firstLineChars="0"/>
              <w:jc w:val="center"/>
              <w:rPr>
                <w:rFonts w:cs="宋体" w:asciiTheme="minorEastAsia" w:hAnsiTheme="minorEastAsia" w:eastAsiaTheme="minorEastAsia"/>
                <w:spacing w:val="20"/>
                <w:szCs w:val="21"/>
              </w:rPr>
            </w:pPr>
          </w:p>
        </w:tc>
        <w:tc>
          <w:tcPr>
            <w:tcW w:w="2313" w:type="dxa"/>
          </w:tcPr>
          <w:p w14:paraId="1A0E0434">
            <w:pPr>
              <w:ind w:firstLine="0" w:firstLineChars="0"/>
              <w:jc w:val="center"/>
              <w:rPr>
                <w:rFonts w:cs="宋体" w:asciiTheme="minorEastAsia" w:hAnsiTheme="minorEastAsia" w:eastAsiaTheme="minorEastAsia"/>
                <w:spacing w:val="20"/>
                <w:szCs w:val="21"/>
              </w:rPr>
            </w:pPr>
          </w:p>
        </w:tc>
        <w:tc>
          <w:tcPr>
            <w:tcW w:w="1696" w:type="dxa"/>
          </w:tcPr>
          <w:p w14:paraId="0A53427B">
            <w:pPr>
              <w:ind w:firstLine="0" w:firstLineChars="0"/>
              <w:jc w:val="center"/>
              <w:rPr>
                <w:rFonts w:cs="宋体" w:asciiTheme="minorEastAsia" w:hAnsiTheme="minorEastAsia" w:eastAsiaTheme="minorEastAsia"/>
                <w:spacing w:val="20"/>
                <w:szCs w:val="21"/>
              </w:rPr>
            </w:pPr>
          </w:p>
        </w:tc>
      </w:tr>
      <w:tr w14:paraId="6C32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309A1DCA">
            <w:pPr>
              <w:ind w:firstLine="0" w:firstLineChars="0"/>
              <w:jc w:val="center"/>
              <w:rPr>
                <w:rFonts w:cs="宋体" w:asciiTheme="minorEastAsia" w:hAnsiTheme="minorEastAsia" w:eastAsiaTheme="minorEastAsia"/>
                <w:spacing w:val="20"/>
                <w:szCs w:val="21"/>
              </w:rPr>
            </w:pPr>
          </w:p>
        </w:tc>
        <w:tc>
          <w:tcPr>
            <w:tcW w:w="4699" w:type="dxa"/>
          </w:tcPr>
          <w:p w14:paraId="58B8576B">
            <w:pPr>
              <w:ind w:firstLine="0" w:firstLineChars="0"/>
              <w:jc w:val="center"/>
              <w:rPr>
                <w:rFonts w:cs="宋体" w:asciiTheme="minorEastAsia" w:hAnsiTheme="minorEastAsia" w:eastAsiaTheme="minorEastAsia"/>
                <w:spacing w:val="20"/>
                <w:szCs w:val="21"/>
              </w:rPr>
            </w:pPr>
          </w:p>
        </w:tc>
        <w:tc>
          <w:tcPr>
            <w:tcW w:w="4699" w:type="dxa"/>
          </w:tcPr>
          <w:p w14:paraId="11F888AB">
            <w:pPr>
              <w:ind w:firstLine="0" w:firstLineChars="0"/>
              <w:jc w:val="center"/>
              <w:rPr>
                <w:rFonts w:cs="宋体" w:asciiTheme="minorEastAsia" w:hAnsiTheme="minorEastAsia" w:eastAsiaTheme="minorEastAsia"/>
                <w:spacing w:val="20"/>
                <w:szCs w:val="21"/>
              </w:rPr>
            </w:pPr>
          </w:p>
        </w:tc>
        <w:tc>
          <w:tcPr>
            <w:tcW w:w="2313" w:type="dxa"/>
          </w:tcPr>
          <w:p w14:paraId="2E9185D7">
            <w:pPr>
              <w:ind w:firstLine="0" w:firstLineChars="0"/>
              <w:jc w:val="center"/>
              <w:rPr>
                <w:rFonts w:cs="宋体" w:asciiTheme="minorEastAsia" w:hAnsiTheme="minorEastAsia" w:eastAsiaTheme="minorEastAsia"/>
                <w:spacing w:val="20"/>
                <w:szCs w:val="21"/>
              </w:rPr>
            </w:pPr>
          </w:p>
        </w:tc>
        <w:tc>
          <w:tcPr>
            <w:tcW w:w="1696" w:type="dxa"/>
          </w:tcPr>
          <w:p w14:paraId="556C831D">
            <w:pPr>
              <w:ind w:firstLine="0" w:firstLineChars="0"/>
              <w:jc w:val="center"/>
              <w:rPr>
                <w:rFonts w:cs="宋体" w:asciiTheme="minorEastAsia" w:hAnsiTheme="minorEastAsia" w:eastAsiaTheme="minorEastAsia"/>
                <w:spacing w:val="20"/>
                <w:szCs w:val="21"/>
              </w:rPr>
            </w:pPr>
          </w:p>
        </w:tc>
      </w:tr>
    </w:tbl>
    <w:p w14:paraId="2C1A23BC">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注：本表请投标人按照招标文件要求填写，空白或者不填视为完全响应采购文件要求。</w:t>
      </w:r>
    </w:p>
    <w:p w14:paraId="75BD7D4F">
      <w:pPr>
        <w:ind w:firstLine="210" w:firstLineChars="100"/>
        <w:rPr>
          <w:rFonts w:cs="宋体" w:asciiTheme="minorEastAsia" w:hAnsiTheme="minorEastAsia" w:eastAsiaTheme="minorEastAsia"/>
          <w:szCs w:val="21"/>
        </w:rPr>
      </w:pPr>
    </w:p>
    <w:p w14:paraId="79F683C4">
      <w:pPr>
        <w:pStyle w:val="10"/>
        <w:ind w:firstLine="210"/>
        <w:rPr>
          <w:rFonts w:asciiTheme="minorEastAsia" w:hAnsiTheme="minorEastAsia" w:eastAsiaTheme="minorEastAsia"/>
        </w:rPr>
      </w:pPr>
    </w:p>
    <w:p w14:paraId="70DE389C">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投标人全称（盖章）：                             </w:t>
      </w:r>
    </w:p>
    <w:p w14:paraId="03C7BE4D">
      <w:pPr>
        <w:ind w:firstLine="210" w:firstLineChars="100"/>
        <w:rPr>
          <w:rFonts w:cs="宋体" w:asciiTheme="minorEastAsia" w:hAnsiTheme="minorEastAsia" w:eastAsiaTheme="minorEastAsia"/>
          <w:szCs w:val="21"/>
        </w:rPr>
      </w:pPr>
    </w:p>
    <w:p w14:paraId="51E0CB57">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授权委托人（签字或盖章）：              </w:t>
      </w:r>
    </w:p>
    <w:p w14:paraId="0798CF60">
      <w:pPr>
        <w:ind w:firstLine="210" w:firstLineChars="100"/>
        <w:rPr>
          <w:rFonts w:cs="宋体" w:asciiTheme="minorEastAsia" w:hAnsiTheme="minorEastAsia" w:eastAsiaTheme="minorEastAsia"/>
          <w:szCs w:val="21"/>
        </w:rPr>
      </w:pPr>
    </w:p>
    <w:p w14:paraId="0A0033F0">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日期：   </w:t>
      </w:r>
    </w:p>
    <w:p w14:paraId="00C67356">
      <w:pPr>
        <w:widowControl/>
        <w:ind w:firstLine="0" w:firstLineChars="0"/>
        <w:jc w:val="left"/>
        <w:rPr>
          <w:rFonts w:cs="宋体" w:asciiTheme="minorEastAsia" w:hAnsiTheme="minorEastAsia" w:eastAsiaTheme="minorEastAsia"/>
          <w:b/>
          <w:spacing w:val="20"/>
          <w:szCs w:val="21"/>
        </w:rPr>
        <w:sectPr>
          <w:pgSz w:w="16840" w:h="11907" w:orient="landscape"/>
          <w:pgMar w:top="1247" w:right="1304" w:bottom="1020" w:left="1304" w:header="720" w:footer="720" w:gutter="0"/>
          <w:cols w:space="720" w:num="1"/>
        </w:sectPr>
      </w:pPr>
    </w:p>
    <w:p w14:paraId="0091F255">
      <w:pPr>
        <w:pStyle w:val="4"/>
        <w:rPr>
          <w:spacing w:val="20"/>
        </w:rPr>
      </w:pPr>
      <w:r>
        <w:rPr>
          <w:rFonts w:hint="eastAsia"/>
        </w:rPr>
        <w:t>附件六 商务条款偏离表</w:t>
      </w:r>
    </w:p>
    <w:p w14:paraId="4D51DD47">
      <w:pPr>
        <w:ind w:firstLine="0" w:firstLineChars="0"/>
        <w:rPr>
          <w:rFonts w:cs="宋体" w:asciiTheme="minorEastAsia" w:hAnsiTheme="minorEastAsia" w:eastAsiaTheme="minorEastAsia"/>
          <w:spacing w:val="20"/>
          <w:szCs w:val="21"/>
        </w:rPr>
      </w:pPr>
    </w:p>
    <w:p w14:paraId="2FE5088A">
      <w:pPr>
        <w:pStyle w:val="10"/>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商务条款偏离表</w:t>
      </w:r>
    </w:p>
    <w:p w14:paraId="7E8F601A">
      <w:pPr>
        <w:pStyle w:val="10"/>
        <w:ind w:firstLine="210"/>
        <w:rPr>
          <w:rFonts w:asciiTheme="minorEastAsia" w:hAnsiTheme="minorEastAsia" w:eastAsiaTheme="minorEastAsia"/>
        </w:rPr>
      </w:pPr>
    </w:p>
    <w:p w14:paraId="5C5F19A7">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 xml:space="preserve">项名称目：                          采购编号：                  </w:t>
      </w:r>
    </w:p>
    <w:tbl>
      <w:tblPr>
        <w:tblStyle w:val="25"/>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14:paraId="6ADB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2B98E8BC">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4819" w:type="dxa"/>
            <w:vAlign w:val="center"/>
          </w:tcPr>
          <w:p w14:paraId="0B6C338D">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招标文件要求</w:t>
            </w:r>
          </w:p>
        </w:tc>
        <w:tc>
          <w:tcPr>
            <w:tcW w:w="4916" w:type="dxa"/>
            <w:vAlign w:val="center"/>
          </w:tcPr>
          <w:p w14:paraId="5D07B890">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投标文件响应（逐条逐项列示响应内容）</w:t>
            </w:r>
          </w:p>
        </w:tc>
        <w:tc>
          <w:tcPr>
            <w:tcW w:w="1463" w:type="dxa"/>
            <w:vAlign w:val="center"/>
          </w:tcPr>
          <w:p w14:paraId="7FD40D35">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偏离情况</w:t>
            </w:r>
          </w:p>
        </w:tc>
        <w:tc>
          <w:tcPr>
            <w:tcW w:w="2126" w:type="dxa"/>
            <w:vAlign w:val="center"/>
          </w:tcPr>
          <w:p w14:paraId="2D798C85">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备注</w:t>
            </w:r>
          </w:p>
        </w:tc>
      </w:tr>
      <w:tr w14:paraId="42AC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3BCC6394">
            <w:pPr>
              <w:ind w:firstLine="0" w:firstLineChars="0"/>
              <w:jc w:val="center"/>
              <w:rPr>
                <w:rFonts w:cs="宋体" w:asciiTheme="minorEastAsia" w:hAnsiTheme="minorEastAsia" w:eastAsiaTheme="minorEastAsia"/>
                <w:spacing w:val="20"/>
                <w:szCs w:val="21"/>
              </w:rPr>
            </w:pPr>
          </w:p>
        </w:tc>
        <w:tc>
          <w:tcPr>
            <w:tcW w:w="4819" w:type="dxa"/>
            <w:vAlign w:val="center"/>
          </w:tcPr>
          <w:p w14:paraId="24187D17">
            <w:pPr>
              <w:ind w:firstLine="0" w:firstLineChars="0"/>
              <w:jc w:val="center"/>
              <w:rPr>
                <w:rFonts w:cs="宋体" w:asciiTheme="minorEastAsia" w:hAnsiTheme="minorEastAsia" w:eastAsiaTheme="minorEastAsia"/>
                <w:spacing w:val="20"/>
                <w:szCs w:val="21"/>
              </w:rPr>
            </w:pPr>
          </w:p>
        </w:tc>
        <w:tc>
          <w:tcPr>
            <w:tcW w:w="4916" w:type="dxa"/>
            <w:vAlign w:val="center"/>
          </w:tcPr>
          <w:p w14:paraId="755430CA">
            <w:pPr>
              <w:ind w:firstLine="0" w:firstLineChars="0"/>
              <w:jc w:val="center"/>
              <w:rPr>
                <w:rFonts w:cs="宋体" w:asciiTheme="minorEastAsia" w:hAnsiTheme="minorEastAsia" w:eastAsiaTheme="minorEastAsia"/>
                <w:spacing w:val="20"/>
                <w:szCs w:val="21"/>
              </w:rPr>
            </w:pPr>
          </w:p>
        </w:tc>
        <w:tc>
          <w:tcPr>
            <w:tcW w:w="1463" w:type="dxa"/>
            <w:vAlign w:val="center"/>
          </w:tcPr>
          <w:p w14:paraId="0930C03B">
            <w:pPr>
              <w:ind w:firstLine="0" w:firstLineChars="0"/>
              <w:jc w:val="center"/>
              <w:rPr>
                <w:rFonts w:cs="宋体" w:asciiTheme="minorEastAsia" w:hAnsiTheme="minorEastAsia" w:eastAsiaTheme="minorEastAsia"/>
                <w:spacing w:val="20"/>
                <w:szCs w:val="21"/>
              </w:rPr>
            </w:pPr>
          </w:p>
        </w:tc>
        <w:tc>
          <w:tcPr>
            <w:tcW w:w="2126" w:type="dxa"/>
            <w:vAlign w:val="center"/>
          </w:tcPr>
          <w:p w14:paraId="346B9E4C">
            <w:pPr>
              <w:ind w:firstLine="0" w:firstLineChars="0"/>
              <w:jc w:val="center"/>
              <w:rPr>
                <w:rFonts w:cs="宋体" w:asciiTheme="minorEastAsia" w:hAnsiTheme="minorEastAsia" w:eastAsiaTheme="minorEastAsia"/>
                <w:spacing w:val="20"/>
                <w:szCs w:val="21"/>
              </w:rPr>
            </w:pPr>
          </w:p>
        </w:tc>
      </w:tr>
      <w:tr w14:paraId="68AD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26FA8938">
            <w:pPr>
              <w:ind w:firstLine="0" w:firstLineChars="0"/>
              <w:jc w:val="center"/>
              <w:rPr>
                <w:rFonts w:cs="宋体" w:asciiTheme="minorEastAsia" w:hAnsiTheme="minorEastAsia" w:eastAsiaTheme="minorEastAsia"/>
                <w:spacing w:val="20"/>
                <w:szCs w:val="21"/>
              </w:rPr>
            </w:pPr>
          </w:p>
        </w:tc>
        <w:tc>
          <w:tcPr>
            <w:tcW w:w="4819" w:type="dxa"/>
            <w:vAlign w:val="center"/>
          </w:tcPr>
          <w:p w14:paraId="4BA0CE2C">
            <w:pPr>
              <w:ind w:firstLine="0" w:firstLineChars="0"/>
              <w:jc w:val="center"/>
              <w:rPr>
                <w:rFonts w:cs="宋体" w:asciiTheme="minorEastAsia" w:hAnsiTheme="minorEastAsia" w:eastAsiaTheme="minorEastAsia"/>
                <w:spacing w:val="20"/>
                <w:szCs w:val="21"/>
              </w:rPr>
            </w:pPr>
          </w:p>
        </w:tc>
        <w:tc>
          <w:tcPr>
            <w:tcW w:w="4916" w:type="dxa"/>
            <w:vAlign w:val="center"/>
          </w:tcPr>
          <w:p w14:paraId="4A8C4648">
            <w:pPr>
              <w:ind w:firstLine="0" w:firstLineChars="0"/>
              <w:jc w:val="center"/>
              <w:rPr>
                <w:rFonts w:cs="宋体" w:asciiTheme="minorEastAsia" w:hAnsiTheme="minorEastAsia" w:eastAsiaTheme="minorEastAsia"/>
                <w:spacing w:val="20"/>
                <w:szCs w:val="21"/>
              </w:rPr>
            </w:pPr>
          </w:p>
        </w:tc>
        <w:tc>
          <w:tcPr>
            <w:tcW w:w="1463" w:type="dxa"/>
            <w:vAlign w:val="center"/>
          </w:tcPr>
          <w:p w14:paraId="04249F83">
            <w:pPr>
              <w:ind w:firstLine="0" w:firstLineChars="0"/>
              <w:jc w:val="center"/>
              <w:rPr>
                <w:rFonts w:cs="宋体" w:asciiTheme="minorEastAsia" w:hAnsiTheme="minorEastAsia" w:eastAsiaTheme="minorEastAsia"/>
                <w:spacing w:val="20"/>
                <w:szCs w:val="21"/>
              </w:rPr>
            </w:pPr>
          </w:p>
        </w:tc>
        <w:tc>
          <w:tcPr>
            <w:tcW w:w="2126" w:type="dxa"/>
            <w:vAlign w:val="center"/>
          </w:tcPr>
          <w:p w14:paraId="3C711E1E">
            <w:pPr>
              <w:ind w:firstLine="0" w:firstLineChars="0"/>
              <w:jc w:val="center"/>
              <w:rPr>
                <w:rFonts w:cs="宋体" w:asciiTheme="minorEastAsia" w:hAnsiTheme="minorEastAsia" w:eastAsiaTheme="minorEastAsia"/>
                <w:spacing w:val="20"/>
                <w:szCs w:val="21"/>
              </w:rPr>
            </w:pPr>
          </w:p>
        </w:tc>
      </w:tr>
      <w:tr w14:paraId="0D90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296F10DB">
            <w:pPr>
              <w:ind w:firstLine="0" w:firstLineChars="0"/>
              <w:jc w:val="center"/>
              <w:rPr>
                <w:rFonts w:cs="宋体" w:asciiTheme="minorEastAsia" w:hAnsiTheme="minorEastAsia" w:eastAsiaTheme="minorEastAsia"/>
                <w:spacing w:val="20"/>
                <w:szCs w:val="21"/>
              </w:rPr>
            </w:pPr>
          </w:p>
        </w:tc>
        <w:tc>
          <w:tcPr>
            <w:tcW w:w="4819" w:type="dxa"/>
            <w:vAlign w:val="center"/>
          </w:tcPr>
          <w:p w14:paraId="227D763B">
            <w:pPr>
              <w:ind w:firstLine="0" w:firstLineChars="0"/>
              <w:jc w:val="center"/>
              <w:rPr>
                <w:rFonts w:cs="宋体" w:asciiTheme="minorEastAsia" w:hAnsiTheme="minorEastAsia" w:eastAsiaTheme="minorEastAsia"/>
                <w:spacing w:val="20"/>
                <w:szCs w:val="21"/>
              </w:rPr>
            </w:pPr>
          </w:p>
        </w:tc>
        <w:tc>
          <w:tcPr>
            <w:tcW w:w="4916" w:type="dxa"/>
            <w:vAlign w:val="center"/>
          </w:tcPr>
          <w:p w14:paraId="4A947B5D">
            <w:pPr>
              <w:ind w:firstLine="0" w:firstLineChars="0"/>
              <w:jc w:val="center"/>
              <w:rPr>
                <w:rFonts w:cs="宋体" w:asciiTheme="minorEastAsia" w:hAnsiTheme="minorEastAsia" w:eastAsiaTheme="minorEastAsia"/>
                <w:spacing w:val="20"/>
                <w:szCs w:val="21"/>
              </w:rPr>
            </w:pPr>
          </w:p>
        </w:tc>
        <w:tc>
          <w:tcPr>
            <w:tcW w:w="1463" w:type="dxa"/>
            <w:vAlign w:val="center"/>
          </w:tcPr>
          <w:p w14:paraId="1CFC5373">
            <w:pPr>
              <w:ind w:firstLine="0" w:firstLineChars="0"/>
              <w:jc w:val="center"/>
              <w:rPr>
                <w:rFonts w:cs="宋体" w:asciiTheme="minorEastAsia" w:hAnsiTheme="minorEastAsia" w:eastAsiaTheme="minorEastAsia"/>
                <w:spacing w:val="20"/>
                <w:szCs w:val="21"/>
              </w:rPr>
            </w:pPr>
          </w:p>
        </w:tc>
        <w:tc>
          <w:tcPr>
            <w:tcW w:w="2126" w:type="dxa"/>
            <w:vAlign w:val="center"/>
          </w:tcPr>
          <w:p w14:paraId="3ABD2BD7">
            <w:pPr>
              <w:ind w:firstLine="0" w:firstLineChars="0"/>
              <w:jc w:val="center"/>
              <w:rPr>
                <w:rFonts w:cs="宋体" w:asciiTheme="minorEastAsia" w:hAnsiTheme="minorEastAsia" w:eastAsiaTheme="minorEastAsia"/>
                <w:spacing w:val="20"/>
                <w:szCs w:val="21"/>
              </w:rPr>
            </w:pPr>
          </w:p>
        </w:tc>
      </w:tr>
      <w:tr w14:paraId="7559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164DEAAD">
            <w:pPr>
              <w:ind w:firstLine="0" w:firstLineChars="0"/>
              <w:jc w:val="center"/>
              <w:rPr>
                <w:rFonts w:cs="宋体" w:asciiTheme="minorEastAsia" w:hAnsiTheme="minorEastAsia" w:eastAsiaTheme="minorEastAsia"/>
                <w:spacing w:val="20"/>
                <w:szCs w:val="21"/>
              </w:rPr>
            </w:pPr>
          </w:p>
        </w:tc>
        <w:tc>
          <w:tcPr>
            <w:tcW w:w="4819" w:type="dxa"/>
            <w:vAlign w:val="center"/>
          </w:tcPr>
          <w:p w14:paraId="5C097726">
            <w:pPr>
              <w:ind w:firstLine="0" w:firstLineChars="0"/>
              <w:jc w:val="center"/>
              <w:rPr>
                <w:rFonts w:cs="宋体" w:asciiTheme="minorEastAsia" w:hAnsiTheme="minorEastAsia" w:eastAsiaTheme="minorEastAsia"/>
                <w:spacing w:val="20"/>
                <w:szCs w:val="21"/>
              </w:rPr>
            </w:pPr>
          </w:p>
        </w:tc>
        <w:tc>
          <w:tcPr>
            <w:tcW w:w="4916" w:type="dxa"/>
            <w:vAlign w:val="center"/>
          </w:tcPr>
          <w:p w14:paraId="5911B5E3">
            <w:pPr>
              <w:ind w:firstLine="0" w:firstLineChars="0"/>
              <w:jc w:val="center"/>
              <w:rPr>
                <w:rFonts w:cs="宋体" w:asciiTheme="minorEastAsia" w:hAnsiTheme="minorEastAsia" w:eastAsiaTheme="minorEastAsia"/>
                <w:spacing w:val="20"/>
                <w:szCs w:val="21"/>
              </w:rPr>
            </w:pPr>
          </w:p>
        </w:tc>
        <w:tc>
          <w:tcPr>
            <w:tcW w:w="1463" w:type="dxa"/>
            <w:vAlign w:val="center"/>
          </w:tcPr>
          <w:p w14:paraId="464260CB">
            <w:pPr>
              <w:ind w:firstLine="0" w:firstLineChars="0"/>
              <w:jc w:val="center"/>
              <w:rPr>
                <w:rFonts w:cs="宋体" w:asciiTheme="minorEastAsia" w:hAnsiTheme="minorEastAsia" w:eastAsiaTheme="minorEastAsia"/>
                <w:spacing w:val="20"/>
                <w:szCs w:val="21"/>
              </w:rPr>
            </w:pPr>
          </w:p>
        </w:tc>
        <w:tc>
          <w:tcPr>
            <w:tcW w:w="2126" w:type="dxa"/>
            <w:vAlign w:val="center"/>
          </w:tcPr>
          <w:p w14:paraId="3AE8104A">
            <w:pPr>
              <w:ind w:firstLine="0" w:firstLineChars="0"/>
              <w:jc w:val="center"/>
              <w:rPr>
                <w:rFonts w:cs="宋体" w:asciiTheme="minorEastAsia" w:hAnsiTheme="minorEastAsia" w:eastAsiaTheme="minorEastAsia"/>
                <w:spacing w:val="20"/>
                <w:szCs w:val="21"/>
              </w:rPr>
            </w:pPr>
          </w:p>
        </w:tc>
      </w:tr>
      <w:tr w14:paraId="5EB1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AB2A79E">
            <w:pPr>
              <w:ind w:firstLine="0" w:firstLineChars="0"/>
              <w:jc w:val="center"/>
              <w:rPr>
                <w:rFonts w:cs="宋体" w:asciiTheme="minorEastAsia" w:hAnsiTheme="minorEastAsia" w:eastAsiaTheme="minorEastAsia"/>
                <w:spacing w:val="20"/>
                <w:szCs w:val="21"/>
              </w:rPr>
            </w:pPr>
          </w:p>
        </w:tc>
        <w:tc>
          <w:tcPr>
            <w:tcW w:w="4819" w:type="dxa"/>
            <w:vAlign w:val="center"/>
          </w:tcPr>
          <w:p w14:paraId="4D5BC84C">
            <w:pPr>
              <w:ind w:firstLine="0" w:firstLineChars="0"/>
              <w:jc w:val="center"/>
              <w:rPr>
                <w:rFonts w:cs="宋体" w:asciiTheme="minorEastAsia" w:hAnsiTheme="minorEastAsia" w:eastAsiaTheme="minorEastAsia"/>
                <w:spacing w:val="20"/>
                <w:szCs w:val="21"/>
              </w:rPr>
            </w:pPr>
          </w:p>
        </w:tc>
        <w:tc>
          <w:tcPr>
            <w:tcW w:w="4916" w:type="dxa"/>
            <w:vAlign w:val="center"/>
          </w:tcPr>
          <w:p w14:paraId="1D8CFC8F">
            <w:pPr>
              <w:ind w:firstLine="0" w:firstLineChars="0"/>
              <w:jc w:val="center"/>
              <w:rPr>
                <w:rFonts w:cs="宋体" w:asciiTheme="minorEastAsia" w:hAnsiTheme="minorEastAsia" w:eastAsiaTheme="minorEastAsia"/>
                <w:spacing w:val="20"/>
                <w:szCs w:val="21"/>
              </w:rPr>
            </w:pPr>
          </w:p>
        </w:tc>
        <w:tc>
          <w:tcPr>
            <w:tcW w:w="1463" w:type="dxa"/>
            <w:vAlign w:val="center"/>
          </w:tcPr>
          <w:p w14:paraId="6803E414">
            <w:pPr>
              <w:ind w:firstLine="0" w:firstLineChars="0"/>
              <w:jc w:val="center"/>
              <w:rPr>
                <w:rFonts w:cs="宋体" w:asciiTheme="minorEastAsia" w:hAnsiTheme="minorEastAsia" w:eastAsiaTheme="minorEastAsia"/>
                <w:spacing w:val="20"/>
                <w:szCs w:val="21"/>
              </w:rPr>
            </w:pPr>
          </w:p>
        </w:tc>
        <w:tc>
          <w:tcPr>
            <w:tcW w:w="2126" w:type="dxa"/>
            <w:vAlign w:val="center"/>
          </w:tcPr>
          <w:p w14:paraId="197936E6">
            <w:pPr>
              <w:ind w:firstLine="0" w:firstLineChars="0"/>
              <w:jc w:val="center"/>
              <w:rPr>
                <w:rFonts w:cs="宋体" w:asciiTheme="minorEastAsia" w:hAnsiTheme="minorEastAsia" w:eastAsiaTheme="minorEastAsia"/>
                <w:spacing w:val="20"/>
                <w:szCs w:val="21"/>
              </w:rPr>
            </w:pPr>
          </w:p>
        </w:tc>
      </w:tr>
      <w:tr w14:paraId="1DCA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2361A543">
            <w:pPr>
              <w:ind w:firstLine="0" w:firstLineChars="0"/>
              <w:jc w:val="center"/>
              <w:rPr>
                <w:rFonts w:cs="宋体" w:asciiTheme="minorEastAsia" w:hAnsiTheme="minorEastAsia" w:eastAsiaTheme="minorEastAsia"/>
                <w:spacing w:val="20"/>
                <w:szCs w:val="21"/>
              </w:rPr>
            </w:pPr>
          </w:p>
        </w:tc>
        <w:tc>
          <w:tcPr>
            <w:tcW w:w="4819" w:type="dxa"/>
            <w:vAlign w:val="center"/>
          </w:tcPr>
          <w:p w14:paraId="7AA58990">
            <w:pPr>
              <w:ind w:firstLine="0" w:firstLineChars="0"/>
              <w:jc w:val="center"/>
              <w:rPr>
                <w:rFonts w:cs="宋体" w:asciiTheme="minorEastAsia" w:hAnsiTheme="minorEastAsia" w:eastAsiaTheme="minorEastAsia"/>
                <w:spacing w:val="20"/>
                <w:szCs w:val="21"/>
              </w:rPr>
            </w:pPr>
          </w:p>
        </w:tc>
        <w:tc>
          <w:tcPr>
            <w:tcW w:w="4916" w:type="dxa"/>
            <w:vAlign w:val="center"/>
          </w:tcPr>
          <w:p w14:paraId="436748CC">
            <w:pPr>
              <w:ind w:firstLine="0" w:firstLineChars="0"/>
              <w:jc w:val="center"/>
              <w:rPr>
                <w:rFonts w:cs="宋体" w:asciiTheme="minorEastAsia" w:hAnsiTheme="minorEastAsia" w:eastAsiaTheme="minorEastAsia"/>
                <w:spacing w:val="20"/>
                <w:szCs w:val="21"/>
              </w:rPr>
            </w:pPr>
          </w:p>
        </w:tc>
        <w:tc>
          <w:tcPr>
            <w:tcW w:w="1463" w:type="dxa"/>
            <w:vAlign w:val="center"/>
          </w:tcPr>
          <w:p w14:paraId="319C65DE">
            <w:pPr>
              <w:ind w:firstLine="0" w:firstLineChars="0"/>
              <w:jc w:val="center"/>
              <w:rPr>
                <w:rFonts w:cs="宋体" w:asciiTheme="minorEastAsia" w:hAnsiTheme="minorEastAsia" w:eastAsiaTheme="minorEastAsia"/>
                <w:spacing w:val="20"/>
                <w:szCs w:val="21"/>
              </w:rPr>
            </w:pPr>
          </w:p>
        </w:tc>
        <w:tc>
          <w:tcPr>
            <w:tcW w:w="2126" w:type="dxa"/>
            <w:vAlign w:val="center"/>
          </w:tcPr>
          <w:p w14:paraId="34A0693A">
            <w:pPr>
              <w:ind w:firstLine="0" w:firstLineChars="0"/>
              <w:jc w:val="center"/>
              <w:rPr>
                <w:rFonts w:cs="宋体" w:asciiTheme="minorEastAsia" w:hAnsiTheme="minorEastAsia" w:eastAsiaTheme="minorEastAsia"/>
                <w:spacing w:val="20"/>
                <w:szCs w:val="21"/>
              </w:rPr>
            </w:pPr>
          </w:p>
        </w:tc>
      </w:tr>
      <w:tr w14:paraId="514E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78FEB20B">
            <w:pPr>
              <w:ind w:firstLine="0" w:firstLineChars="0"/>
              <w:jc w:val="center"/>
              <w:rPr>
                <w:rFonts w:cs="宋体" w:asciiTheme="minorEastAsia" w:hAnsiTheme="minorEastAsia" w:eastAsiaTheme="minorEastAsia"/>
                <w:spacing w:val="20"/>
                <w:szCs w:val="21"/>
              </w:rPr>
            </w:pPr>
          </w:p>
        </w:tc>
        <w:tc>
          <w:tcPr>
            <w:tcW w:w="4819" w:type="dxa"/>
            <w:vAlign w:val="center"/>
          </w:tcPr>
          <w:p w14:paraId="7D8E7D96">
            <w:pPr>
              <w:ind w:firstLine="0" w:firstLineChars="0"/>
              <w:jc w:val="center"/>
              <w:rPr>
                <w:rFonts w:cs="宋体" w:asciiTheme="minorEastAsia" w:hAnsiTheme="minorEastAsia" w:eastAsiaTheme="minorEastAsia"/>
                <w:spacing w:val="20"/>
                <w:szCs w:val="21"/>
              </w:rPr>
            </w:pPr>
          </w:p>
        </w:tc>
        <w:tc>
          <w:tcPr>
            <w:tcW w:w="4916" w:type="dxa"/>
            <w:vAlign w:val="center"/>
          </w:tcPr>
          <w:p w14:paraId="0223F654">
            <w:pPr>
              <w:ind w:firstLine="0" w:firstLineChars="0"/>
              <w:jc w:val="center"/>
              <w:rPr>
                <w:rFonts w:cs="宋体" w:asciiTheme="minorEastAsia" w:hAnsiTheme="minorEastAsia" w:eastAsiaTheme="minorEastAsia"/>
                <w:spacing w:val="20"/>
                <w:szCs w:val="21"/>
              </w:rPr>
            </w:pPr>
          </w:p>
        </w:tc>
        <w:tc>
          <w:tcPr>
            <w:tcW w:w="1463" w:type="dxa"/>
            <w:vAlign w:val="center"/>
          </w:tcPr>
          <w:p w14:paraId="1953F2D9">
            <w:pPr>
              <w:ind w:firstLine="0" w:firstLineChars="0"/>
              <w:jc w:val="center"/>
              <w:rPr>
                <w:rFonts w:cs="宋体" w:asciiTheme="minorEastAsia" w:hAnsiTheme="minorEastAsia" w:eastAsiaTheme="minorEastAsia"/>
                <w:spacing w:val="20"/>
                <w:szCs w:val="21"/>
              </w:rPr>
            </w:pPr>
          </w:p>
        </w:tc>
        <w:tc>
          <w:tcPr>
            <w:tcW w:w="2126" w:type="dxa"/>
            <w:vAlign w:val="center"/>
          </w:tcPr>
          <w:p w14:paraId="777B392B">
            <w:pPr>
              <w:ind w:firstLine="0" w:firstLineChars="0"/>
              <w:jc w:val="center"/>
              <w:rPr>
                <w:rFonts w:cs="宋体" w:asciiTheme="minorEastAsia" w:hAnsiTheme="minorEastAsia" w:eastAsiaTheme="minorEastAsia"/>
                <w:spacing w:val="20"/>
                <w:szCs w:val="21"/>
              </w:rPr>
            </w:pPr>
          </w:p>
        </w:tc>
      </w:tr>
      <w:tr w14:paraId="470E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7C393FE4">
            <w:pPr>
              <w:ind w:firstLine="0" w:firstLineChars="0"/>
              <w:jc w:val="center"/>
              <w:rPr>
                <w:rFonts w:cs="宋体" w:asciiTheme="minorEastAsia" w:hAnsiTheme="minorEastAsia" w:eastAsiaTheme="minorEastAsia"/>
                <w:spacing w:val="20"/>
                <w:szCs w:val="21"/>
              </w:rPr>
            </w:pPr>
          </w:p>
        </w:tc>
        <w:tc>
          <w:tcPr>
            <w:tcW w:w="4819" w:type="dxa"/>
            <w:vAlign w:val="center"/>
          </w:tcPr>
          <w:p w14:paraId="48A71EC7">
            <w:pPr>
              <w:ind w:firstLine="0" w:firstLineChars="0"/>
              <w:jc w:val="center"/>
              <w:rPr>
                <w:rFonts w:cs="宋体" w:asciiTheme="minorEastAsia" w:hAnsiTheme="minorEastAsia" w:eastAsiaTheme="minorEastAsia"/>
                <w:spacing w:val="20"/>
                <w:szCs w:val="21"/>
              </w:rPr>
            </w:pPr>
          </w:p>
        </w:tc>
        <w:tc>
          <w:tcPr>
            <w:tcW w:w="4916" w:type="dxa"/>
            <w:vAlign w:val="center"/>
          </w:tcPr>
          <w:p w14:paraId="7887E4BB">
            <w:pPr>
              <w:ind w:firstLine="0" w:firstLineChars="0"/>
              <w:jc w:val="center"/>
              <w:rPr>
                <w:rFonts w:cs="宋体" w:asciiTheme="minorEastAsia" w:hAnsiTheme="minorEastAsia" w:eastAsiaTheme="minorEastAsia"/>
                <w:spacing w:val="20"/>
                <w:szCs w:val="21"/>
              </w:rPr>
            </w:pPr>
          </w:p>
        </w:tc>
        <w:tc>
          <w:tcPr>
            <w:tcW w:w="1463" w:type="dxa"/>
            <w:vAlign w:val="center"/>
          </w:tcPr>
          <w:p w14:paraId="709B6C22">
            <w:pPr>
              <w:ind w:firstLine="0" w:firstLineChars="0"/>
              <w:jc w:val="center"/>
              <w:rPr>
                <w:rFonts w:cs="宋体" w:asciiTheme="minorEastAsia" w:hAnsiTheme="minorEastAsia" w:eastAsiaTheme="minorEastAsia"/>
                <w:spacing w:val="20"/>
                <w:szCs w:val="21"/>
              </w:rPr>
            </w:pPr>
          </w:p>
        </w:tc>
        <w:tc>
          <w:tcPr>
            <w:tcW w:w="2126" w:type="dxa"/>
            <w:vAlign w:val="center"/>
          </w:tcPr>
          <w:p w14:paraId="448F2548">
            <w:pPr>
              <w:ind w:firstLine="0" w:firstLineChars="0"/>
              <w:jc w:val="center"/>
              <w:rPr>
                <w:rFonts w:cs="宋体" w:asciiTheme="minorEastAsia" w:hAnsiTheme="minorEastAsia" w:eastAsiaTheme="minorEastAsia"/>
                <w:spacing w:val="20"/>
                <w:szCs w:val="21"/>
              </w:rPr>
            </w:pPr>
          </w:p>
        </w:tc>
      </w:tr>
      <w:tr w14:paraId="40CA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7E43E8DB">
            <w:pPr>
              <w:ind w:firstLine="0" w:firstLineChars="0"/>
              <w:jc w:val="center"/>
              <w:rPr>
                <w:rFonts w:cs="宋体" w:asciiTheme="minorEastAsia" w:hAnsiTheme="minorEastAsia" w:eastAsiaTheme="minorEastAsia"/>
                <w:spacing w:val="20"/>
                <w:szCs w:val="21"/>
              </w:rPr>
            </w:pPr>
          </w:p>
        </w:tc>
        <w:tc>
          <w:tcPr>
            <w:tcW w:w="4819" w:type="dxa"/>
            <w:vAlign w:val="center"/>
          </w:tcPr>
          <w:p w14:paraId="68AE7E86">
            <w:pPr>
              <w:ind w:firstLine="0" w:firstLineChars="0"/>
              <w:jc w:val="center"/>
              <w:rPr>
                <w:rFonts w:cs="宋体" w:asciiTheme="minorEastAsia" w:hAnsiTheme="minorEastAsia" w:eastAsiaTheme="minorEastAsia"/>
                <w:spacing w:val="20"/>
                <w:szCs w:val="21"/>
              </w:rPr>
            </w:pPr>
          </w:p>
        </w:tc>
        <w:tc>
          <w:tcPr>
            <w:tcW w:w="4916" w:type="dxa"/>
            <w:vAlign w:val="center"/>
          </w:tcPr>
          <w:p w14:paraId="66A7E08C">
            <w:pPr>
              <w:ind w:firstLine="0" w:firstLineChars="0"/>
              <w:jc w:val="center"/>
              <w:rPr>
                <w:rFonts w:cs="宋体" w:asciiTheme="minorEastAsia" w:hAnsiTheme="minorEastAsia" w:eastAsiaTheme="minorEastAsia"/>
                <w:spacing w:val="20"/>
                <w:szCs w:val="21"/>
              </w:rPr>
            </w:pPr>
          </w:p>
        </w:tc>
        <w:tc>
          <w:tcPr>
            <w:tcW w:w="1463" w:type="dxa"/>
            <w:vAlign w:val="center"/>
          </w:tcPr>
          <w:p w14:paraId="24A9B1C7">
            <w:pPr>
              <w:ind w:firstLine="0" w:firstLineChars="0"/>
              <w:jc w:val="center"/>
              <w:rPr>
                <w:rFonts w:cs="宋体" w:asciiTheme="minorEastAsia" w:hAnsiTheme="minorEastAsia" w:eastAsiaTheme="minorEastAsia"/>
                <w:spacing w:val="20"/>
                <w:szCs w:val="21"/>
              </w:rPr>
            </w:pPr>
          </w:p>
        </w:tc>
        <w:tc>
          <w:tcPr>
            <w:tcW w:w="2126" w:type="dxa"/>
            <w:vAlign w:val="center"/>
          </w:tcPr>
          <w:p w14:paraId="6F791413">
            <w:pPr>
              <w:ind w:firstLine="0" w:firstLineChars="0"/>
              <w:jc w:val="center"/>
              <w:rPr>
                <w:rFonts w:cs="宋体" w:asciiTheme="minorEastAsia" w:hAnsiTheme="minorEastAsia" w:eastAsiaTheme="minorEastAsia"/>
                <w:spacing w:val="20"/>
                <w:szCs w:val="21"/>
              </w:rPr>
            </w:pPr>
          </w:p>
        </w:tc>
      </w:tr>
      <w:tr w14:paraId="0F6E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69A27634">
            <w:pPr>
              <w:ind w:firstLine="0" w:firstLineChars="0"/>
              <w:jc w:val="center"/>
              <w:rPr>
                <w:rFonts w:cs="宋体" w:asciiTheme="minorEastAsia" w:hAnsiTheme="minorEastAsia" w:eastAsiaTheme="minorEastAsia"/>
                <w:spacing w:val="20"/>
                <w:szCs w:val="21"/>
              </w:rPr>
            </w:pPr>
          </w:p>
        </w:tc>
        <w:tc>
          <w:tcPr>
            <w:tcW w:w="4819" w:type="dxa"/>
            <w:vAlign w:val="center"/>
          </w:tcPr>
          <w:p w14:paraId="3EFFF0FD">
            <w:pPr>
              <w:ind w:firstLine="0" w:firstLineChars="0"/>
              <w:jc w:val="center"/>
              <w:rPr>
                <w:rFonts w:cs="宋体" w:asciiTheme="minorEastAsia" w:hAnsiTheme="minorEastAsia" w:eastAsiaTheme="minorEastAsia"/>
                <w:spacing w:val="20"/>
                <w:szCs w:val="21"/>
              </w:rPr>
            </w:pPr>
          </w:p>
        </w:tc>
        <w:tc>
          <w:tcPr>
            <w:tcW w:w="4916" w:type="dxa"/>
            <w:vAlign w:val="center"/>
          </w:tcPr>
          <w:p w14:paraId="6BCAFDCE">
            <w:pPr>
              <w:ind w:firstLine="0" w:firstLineChars="0"/>
              <w:jc w:val="center"/>
              <w:rPr>
                <w:rFonts w:cs="宋体" w:asciiTheme="minorEastAsia" w:hAnsiTheme="minorEastAsia" w:eastAsiaTheme="minorEastAsia"/>
                <w:spacing w:val="20"/>
                <w:szCs w:val="21"/>
              </w:rPr>
            </w:pPr>
          </w:p>
        </w:tc>
        <w:tc>
          <w:tcPr>
            <w:tcW w:w="1463" w:type="dxa"/>
            <w:vAlign w:val="center"/>
          </w:tcPr>
          <w:p w14:paraId="6A41DC4A">
            <w:pPr>
              <w:ind w:firstLine="0" w:firstLineChars="0"/>
              <w:jc w:val="center"/>
              <w:rPr>
                <w:rFonts w:cs="宋体" w:asciiTheme="minorEastAsia" w:hAnsiTheme="minorEastAsia" w:eastAsiaTheme="minorEastAsia"/>
                <w:spacing w:val="20"/>
                <w:szCs w:val="21"/>
              </w:rPr>
            </w:pPr>
          </w:p>
        </w:tc>
        <w:tc>
          <w:tcPr>
            <w:tcW w:w="2126" w:type="dxa"/>
            <w:vAlign w:val="center"/>
          </w:tcPr>
          <w:p w14:paraId="7EE28206">
            <w:pPr>
              <w:ind w:firstLine="0" w:firstLineChars="0"/>
              <w:jc w:val="center"/>
              <w:rPr>
                <w:rFonts w:cs="宋体" w:asciiTheme="minorEastAsia" w:hAnsiTheme="minorEastAsia" w:eastAsiaTheme="minorEastAsia"/>
                <w:spacing w:val="20"/>
                <w:szCs w:val="21"/>
              </w:rPr>
            </w:pPr>
          </w:p>
        </w:tc>
      </w:tr>
    </w:tbl>
    <w:p w14:paraId="7254CC55">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注：本表请投标人按照招标文件要求填写，空白或者不填视为完全响应采购文件要求。</w:t>
      </w:r>
    </w:p>
    <w:p w14:paraId="383427AF">
      <w:pPr>
        <w:ind w:firstLine="210" w:firstLineChars="100"/>
        <w:rPr>
          <w:rFonts w:cs="宋体" w:asciiTheme="minorEastAsia" w:hAnsiTheme="minorEastAsia" w:eastAsiaTheme="minorEastAsia"/>
          <w:szCs w:val="21"/>
        </w:rPr>
      </w:pPr>
    </w:p>
    <w:p w14:paraId="3A7CFC7F">
      <w:pPr>
        <w:ind w:firstLine="210" w:firstLineChars="100"/>
        <w:rPr>
          <w:rFonts w:cs="宋体" w:asciiTheme="minorEastAsia" w:hAnsiTheme="minorEastAsia" w:eastAsiaTheme="minorEastAsia"/>
          <w:szCs w:val="21"/>
        </w:rPr>
      </w:pPr>
    </w:p>
    <w:p w14:paraId="1B0137EF">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投标人全称（盖章）：                               </w:t>
      </w:r>
    </w:p>
    <w:p w14:paraId="50FCC5F5">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授权委托人（签字或盖章）：                        日期：</w:t>
      </w:r>
    </w:p>
    <w:p w14:paraId="5FC44F1F">
      <w:pPr>
        <w:ind w:firstLine="502"/>
        <w:rPr>
          <w:rFonts w:cs="宋体" w:asciiTheme="minorEastAsia" w:hAnsiTheme="minorEastAsia" w:eastAsiaTheme="minorEastAsia"/>
          <w:b/>
          <w:spacing w:val="20"/>
          <w:szCs w:val="21"/>
        </w:rPr>
        <w:sectPr>
          <w:pgSz w:w="16840" w:h="11907" w:orient="landscape"/>
          <w:pgMar w:top="1247" w:right="1304" w:bottom="1020" w:left="1304" w:header="720" w:footer="720" w:gutter="0"/>
          <w:cols w:space="720" w:num="1"/>
        </w:sectPr>
      </w:pPr>
    </w:p>
    <w:p w14:paraId="218D2DC6">
      <w:pPr>
        <w:pStyle w:val="4"/>
      </w:pPr>
      <w:r>
        <w:rPr>
          <w:rFonts w:hint="eastAsia"/>
        </w:rPr>
        <w:t>附件七 项目负责人情况表</w:t>
      </w:r>
    </w:p>
    <w:p w14:paraId="35CF0E73">
      <w:pPr>
        <w:ind w:firstLine="0" w:firstLineChars="0"/>
        <w:rPr>
          <w:rFonts w:cs="宋体" w:asciiTheme="minorEastAsia" w:hAnsiTheme="minorEastAsia" w:eastAsiaTheme="minorEastAsia"/>
        </w:rPr>
      </w:pPr>
    </w:p>
    <w:p w14:paraId="5FE0A73C">
      <w:pPr>
        <w:pStyle w:val="1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b/>
          <w:bCs/>
          <w:sz w:val="32"/>
          <w:szCs w:val="32"/>
        </w:rPr>
        <w:t>项目负责人情况表</w:t>
      </w:r>
    </w:p>
    <w:p w14:paraId="38EDFCE1">
      <w:pPr>
        <w:pStyle w:val="10"/>
        <w:ind w:firstLine="210"/>
        <w:rPr>
          <w:rFonts w:cs="宋体" w:asciiTheme="minorEastAsia" w:hAnsiTheme="minorEastAsia" w:eastAsiaTheme="minorEastAsia"/>
        </w:rPr>
      </w:pPr>
    </w:p>
    <w:tbl>
      <w:tblPr>
        <w:tblStyle w:val="25"/>
        <w:tblW w:w="9240" w:type="dxa"/>
        <w:jc w:val="center"/>
        <w:tblLayout w:type="fixed"/>
        <w:tblCellMar>
          <w:top w:w="0" w:type="dxa"/>
          <w:left w:w="108" w:type="dxa"/>
          <w:bottom w:w="0" w:type="dxa"/>
          <w:right w:w="108" w:type="dxa"/>
        </w:tblCellMar>
      </w:tblPr>
      <w:tblGrid>
        <w:gridCol w:w="1412"/>
        <w:gridCol w:w="2126"/>
        <w:gridCol w:w="5702"/>
      </w:tblGrid>
      <w:tr w14:paraId="48815B4E">
        <w:tblPrEx>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14:paraId="307F085E">
            <w:pPr>
              <w:adjustRightInd w:val="0"/>
              <w:snapToGrid w:val="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14:paraId="280C8CB2">
            <w:pPr>
              <w:adjustRightInd w:val="0"/>
              <w:snapToGrid w:val="0"/>
              <w:ind w:firstLine="0" w:firstLineChars="0"/>
              <w:jc w:val="center"/>
              <w:rPr>
                <w:rFonts w:cs="宋体" w:asciiTheme="minorEastAsia" w:hAnsiTheme="minorEastAsia" w:eastAsiaTheme="minorEastAsia"/>
              </w:rPr>
            </w:pPr>
          </w:p>
        </w:tc>
        <w:tc>
          <w:tcPr>
            <w:tcW w:w="5702" w:type="dxa"/>
            <w:tcBorders>
              <w:top w:val="single" w:color="auto" w:sz="4" w:space="0"/>
              <w:left w:val="single" w:color="auto" w:sz="6" w:space="0"/>
              <w:bottom w:val="single" w:color="auto" w:sz="6" w:space="0"/>
              <w:right w:val="single" w:color="auto" w:sz="4" w:space="0"/>
            </w:tcBorders>
            <w:vAlign w:val="center"/>
          </w:tcPr>
          <w:p w14:paraId="783490FF">
            <w:pPr>
              <w:adjustRightInd w:val="0"/>
              <w:snapToGrid w:val="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业绩及承担的主要工作情况</w:t>
            </w:r>
          </w:p>
        </w:tc>
      </w:tr>
      <w:tr w14:paraId="5D7F8065">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14:paraId="05562132">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14:paraId="373C117E">
            <w:pPr>
              <w:adjustRightInd w:val="0"/>
              <w:snapToGrid w:val="0"/>
              <w:ind w:firstLine="0" w:firstLineChars="0"/>
              <w:rPr>
                <w:rFonts w:cs="宋体" w:asciiTheme="minorEastAsia" w:hAnsiTheme="minorEastAsia" w:eastAsiaTheme="minorEastAsia"/>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14:paraId="3654DFF7">
            <w:pPr>
              <w:adjustRightInd w:val="0"/>
              <w:snapToGrid w:val="0"/>
              <w:spacing w:after="120" w:afterLines="50"/>
              <w:ind w:firstLine="0" w:firstLineChars="0"/>
              <w:rPr>
                <w:rFonts w:cs="宋体" w:asciiTheme="minorEastAsia" w:hAnsiTheme="minorEastAsia" w:eastAsiaTheme="minorEastAsia"/>
              </w:rPr>
            </w:pPr>
          </w:p>
        </w:tc>
      </w:tr>
      <w:tr w14:paraId="5BD2B59C">
        <w:tblPrEx>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14:paraId="698E62FB">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14:paraId="61E17827">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14:paraId="6A566D73">
            <w:pPr>
              <w:adjustRightInd w:val="0"/>
              <w:snapToGrid w:val="0"/>
              <w:spacing w:after="120" w:afterLines="50"/>
              <w:ind w:firstLine="0" w:firstLineChars="0"/>
              <w:rPr>
                <w:rFonts w:cs="宋体" w:asciiTheme="minorEastAsia" w:hAnsiTheme="minorEastAsia" w:eastAsiaTheme="minorEastAsia"/>
              </w:rPr>
            </w:pPr>
          </w:p>
        </w:tc>
      </w:tr>
      <w:tr w14:paraId="7478ACC5">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2C448B3E">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14:paraId="469E831D">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76690AC7">
            <w:pPr>
              <w:adjustRightInd w:val="0"/>
              <w:snapToGrid w:val="0"/>
              <w:spacing w:after="120" w:afterLines="50"/>
              <w:ind w:firstLine="0" w:firstLineChars="0"/>
              <w:rPr>
                <w:rFonts w:cs="宋体" w:asciiTheme="minorEastAsia" w:hAnsiTheme="minorEastAsia" w:eastAsiaTheme="minorEastAsia"/>
              </w:rPr>
            </w:pPr>
          </w:p>
        </w:tc>
      </w:tr>
      <w:tr w14:paraId="0C8A9A82">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6D60C1C2">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14:paraId="436F92DC">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0036DF6F">
            <w:pPr>
              <w:adjustRightInd w:val="0"/>
              <w:snapToGrid w:val="0"/>
              <w:spacing w:after="120" w:afterLines="50"/>
              <w:ind w:firstLine="0" w:firstLineChars="0"/>
              <w:rPr>
                <w:rFonts w:cs="宋体" w:asciiTheme="minorEastAsia" w:hAnsiTheme="minorEastAsia" w:eastAsiaTheme="minorEastAsia"/>
              </w:rPr>
            </w:pPr>
          </w:p>
        </w:tc>
      </w:tr>
      <w:tr w14:paraId="487E5A0D">
        <w:tblPrEx>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6A697011">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14:paraId="5B3F6675">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197A969D">
            <w:pPr>
              <w:adjustRightInd w:val="0"/>
              <w:snapToGrid w:val="0"/>
              <w:spacing w:after="120" w:afterLines="50"/>
              <w:ind w:firstLine="0" w:firstLineChars="0"/>
              <w:rPr>
                <w:rFonts w:cs="宋体" w:asciiTheme="minorEastAsia" w:hAnsiTheme="minorEastAsia" w:eastAsiaTheme="minorEastAsia"/>
              </w:rPr>
            </w:pPr>
          </w:p>
        </w:tc>
      </w:tr>
      <w:tr w14:paraId="5018D164">
        <w:tblPrEx>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3B090B58">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14:paraId="4D84066D">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356F8050">
            <w:pPr>
              <w:adjustRightInd w:val="0"/>
              <w:snapToGrid w:val="0"/>
              <w:spacing w:after="120" w:afterLines="50"/>
              <w:ind w:firstLine="0" w:firstLineChars="0"/>
              <w:rPr>
                <w:rFonts w:cs="宋体" w:asciiTheme="minorEastAsia" w:hAnsiTheme="minorEastAsia" w:eastAsiaTheme="minorEastAsia"/>
              </w:rPr>
            </w:pPr>
          </w:p>
        </w:tc>
      </w:tr>
      <w:tr w14:paraId="5EF409E6">
        <w:tblPrEx>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16C729C0">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14:paraId="5CA9E3E2">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7EAA2488">
            <w:pPr>
              <w:adjustRightInd w:val="0"/>
              <w:snapToGrid w:val="0"/>
              <w:spacing w:after="120" w:afterLines="50"/>
              <w:ind w:firstLine="0" w:firstLineChars="0"/>
              <w:rPr>
                <w:rFonts w:cs="宋体" w:asciiTheme="minorEastAsia" w:hAnsiTheme="minorEastAsia" w:eastAsiaTheme="minorEastAsia"/>
              </w:rPr>
            </w:pPr>
          </w:p>
        </w:tc>
      </w:tr>
      <w:tr w14:paraId="4CCE0F26">
        <w:tblPrEx>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4B7CDC5F">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14:paraId="7CBC99E7">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703D7CEA">
            <w:pPr>
              <w:adjustRightInd w:val="0"/>
              <w:snapToGrid w:val="0"/>
              <w:spacing w:after="120" w:afterLines="50"/>
              <w:ind w:firstLine="0" w:firstLineChars="0"/>
              <w:rPr>
                <w:rFonts w:cs="宋体" w:asciiTheme="minorEastAsia" w:hAnsiTheme="minorEastAsia" w:eastAsiaTheme="minorEastAsia"/>
              </w:rPr>
            </w:pPr>
          </w:p>
        </w:tc>
      </w:tr>
      <w:tr w14:paraId="0F5E12CD">
        <w:tblPrEx>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468FB3BB">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14:paraId="09063B9C">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3D9B30D7">
            <w:pPr>
              <w:adjustRightInd w:val="0"/>
              <w:snapToGrid w:val="0"/>
              <w:spacing w:after="120" w:afterLines="50"/>
              <w:ind w:firstLine="0" w:firstLineChars="0"/>
              <w:rPr>
                <w:rFonts w:cs="宋体" w:asciiTheme="minorEastAsia" w:hAnsiTheme="minorEastAsia" w:eastAsiaTheme="minorEastAsia"/>
              </w:rPr>
            </w:pPr>
          </w:p>
        </w:tc>
      </w:tr>
    </w:tbl>
    <w:p w14:paraId="38CE1E71">
      <w:pPr>
        <w:ind w:firstLine="420"/>
        <w:rPr>
          <w:rFonts w:cs="宋体" w:asciiTheme="minorEastAsia" w:hAnsiTheme="minorEastAsia" w:eastAsiaTheme="minorEastAsia"/>
          <w:szCs w:val="21"/>
        </w:rPr>
      </w:pPr>
    </w:p>
    <w:p w14:paraId="5A3D7794">
      <w:pPr>
        <w:ind w:firstLine="420"/>
        <w:rPr>
          <w:rFonts w:cs="宋体" w:asciiTheme="minorEastAsia" w:hAnsiTheme="minorEastAsia" w:eastAsiaTheme="minorEastAsia"/>
          <w:szCs w:val="21"/>
        </w:rPr>
      </w:pPr>
    </w:p>
    <w:p w14:paraId="34675D3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投标人全称（公章）：                               </w:t>
      </w:r>
    </w:p>
    <w:p w14:paraId="44B8FBF4">
      <w:pPr>
        <w:ind w:firstLine="420"/>
        <w:rPr>
          <w:rFonts w:cs="宋体" w:asciiTheme="minorEastAsia" w:hAnsiTheme="minorEastAsia" w:eastAsiaTheme="minorEastAsia"/>
          <w:szCs w:val="21"/>
        </w:rPr>
      </w:pPr>
    </w:p>
    <w:p w14:paraId="52B2E44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                        </w:t>
      </w:r>
    </w:p>
    <w:p w14:paraId="11C20AEB">
      <w:pPr>
        <w:ind w:firstLine="420"/>
        <w:rPr>
          <w:rFonts w:cs="宋体" w:asciiTheme="minorEastAsia" w:hAnsiTheme="minorEastAsia" w:eastAsiaTheme="minorEastAsia"/>
          <w:szCs w:val="21"/>
        </w:rPr>
      </w:pPr>
    </w:p>
    <w:p w14:paraId="580C884E">
      <w:pPr>
        <w:ind w:firstLine="420"/>
        <w:rPr>
          <w:rFonts w:cs="宋体" w:asciiTheme="minorEastAsia" w:hAnsiTheme="minorEastAsia" w:eastAsiaTheme="minorEastAsia"/>
        </w:rPr>
      </w:pPr>
      <w:r>
        <w:rPr>
          <w:rFonts w:hint="eastAsia" w:cs="宋体" w:asciiTheme="minorEastAsia" w:hAnsiTheme="minorEastAsia" w:eastAsiaTheme="minorEastAsia"/>
          <w:szCs w:val="21"/>
        </w:rPr>
        <w:t>日期：</w:t>
      </w:r>
    </w:p>
    <w:p w14:paraId="7324DD1E">
      <w:pPr>
        <w:keepNext/>
        <w:keepLines/>
        <w:ind w:firstLine="0" w:firstLineChars="0"/>
        <w:outlineLvl w:val="2"/>
        <w:rPr>
          <w:rFonts w:cs="宋体" w:asciiTheme="minorEastAsia" w:hAnsiTheme="minorEastAsia" w:eastAsiaTheme="minorEastAsia"/>
          <w:b/>
          <w:bCs/>
          <w:szCs w:val="32"/>
        </w:rPr>
      </w:pPr>
      <w:r>
        <w:rPr>
          <w:rFonts w:hint="eastAsia" w:cs="宋体" w:asciiTheme="minorEastAsia" w:hAnsiTheme="minorEastAsia" w:eastAsiaTheme="minorEastAsia"/>
          <w:b/>
          <w:bCs/>
          <w:szCs w:val="32"/>
        </w:rPr>
        <w:br w:type="page"/>
      </w:r>
      <w:r>
        <w:rPr>
          <w:rFonts w:hint="eastAsia" w:cs="宋体" w:asciiTheme="minorEastAsia" w:hAnsiTheme="minorEastAsia" w:eastAsiaTheme="minorEastAsia"/>
          <w:b/>
          <w:bCs/>
          <w:szCs w:val="32"/>
        </w:rPr>
        <w:t>附件八 项目团队人员情况表</w:t>
      </w:r>
    </w:p>
    <w:p w14:paraId="4B298A4D">
      <w:pPr>
        <w:ind w:firstLine="422"/>
        <w:rPr>
          <w:rFonts w:cs="宋体" w:asciiTheme="minorEastAsia" w:hAnsiTheme="minorEastAsia" w:eastAsiaTheme="minorEastAsia"/>
          <w:b/>
          <w:bCs/>
          <w:szCs w:val="32"/>
        </w:rPr>
      </w:pPr>
    </w:p>
    <w:p w14:paraId="44DECA78">
      <w:pPr>
        <w:ind w:firstLine="0" w:firstLineChars="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项目团队人员情况表</w:t>
      </w:r>
    </w:p>
    <w:p w14:paraId="5C2D1F6E">
      <w:pPr>
        <w:pStyle w:val="10"/>
        <w:ind w:firstLine="210"/>
        <w:rPr>
          <w:rFonts w:asciiTheme="minorEastAsia" w:hAnsiTheme="minorEastAsia" w:eastAsiaTheme="minorEastAsia"/>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14:paraId="77C3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840B8F3">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序号</w:t>
            </w:r>
          </w:p>
        </w:tc>
        <w:tc>
          <w:tcPr>
            <w:tcW w:w="787" w:type="dxa"/>
            <w:vAlign w:val="center"/>
          </w:tcPr>
          <w:p w14:paraId="5C1045EB">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姓名</w:t>
            </w:r>
          </w:p>
        </w:tc>
        <w:tc>
          <w:tcPr>
            <w:tcW w:w="788" w:type="dxa"/>
            <w:vAlign w:val="center"/>
          </w:tcPr>
          <w:p w14:paraId="5449DD24">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性别</w:t>
            </w:r>
          </w:p>
        </w:tc>
        <w:tc>
          <w:tcPr>
            <w:tcW w:w="840" w:type="dxa"/>
            <w:vAlign w:val="center"/>
          </w:tcPr>
          <w:p w14:paraId="6EA698F8">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年龄</w:t>
            </w:r>
          </w:p>
        </w:tc>
        <w:tc>
          <w:tcPr>
            <w:tcW w:w="840" w:type="dxa"/>
            <w:vAlign w:val="center"/>
          </w:tcPr>
          <w:p w14:paraId="3090BC9E">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学历</w:t>
            </w:r>
          </w:p>
        </w:tc>
        <w:tc>
          <w:tcPr>
            <w:tcW w:w="840" w:type="dxa"/>
            <w:vAlign w:val="center"/>
          </w:tcPr>
          <w:p w14:paraId="10654547">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专业</w:t>
            </w:r>
          </w:p>
        </w:tc>
        <w:tc>
          <w:tcPr>
            <w:tcW w:w="945" w:type="dxa"/>
            <w:vAlign w:val="center"/>
          </w:tcPr>
          <w:p w14:paraId="399EB155">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职称</w:t>
            </w:r>
          </w:p>
        </w:tc>
        <w:tc>
          <w:tcPr>
            <w:tcW w:w="1066" w:type="dxa"/>
            <w:vAlign w:val="center"/>
          </w:tcPr>
          <w:p w14:paraId="1E780C4F">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本项目中的职责</w:t>
            </w:r>
          </w:p>
        </w:tc>
        <w:tc>
          <w:tcPr>
            <w:tcW w:w="1134" w:type="dxa"/>
            <w:vAlign w:val="center"/>
          </w:tcPr>
          <w:p w14:paraId="7D6D4C75">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项目经历</w:t>
            </w:r>
          </w:p>
        </w:tc>
        <w:tc>
          <w:tcPr>
            <w:tcW w:w="1276" w:type="dxa"/>
            <w:vAlign w:val="center"/>
          </w:tcPr>
          <w:p w14:paraId="4C532153">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参与本项目的到位情况</w:t>
            </w:r>
          </w:p>
        </w:tc>
      </w:tr>
      <w:tr w14:paraId="2A42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0" w:type="dxa"/>
            <w:vAlign w:val="center"/>
          </w:tcPr>
          <w:p w14:paraId="7DCF096C">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65153A19">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4EAB8F0A">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34A660A9">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136F0186">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D48A600">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5C447F2B">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1E42D761">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304DBF5D">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4BDAEE9C">
            <w:pPr>
              <w:adjustRightInd w:val="0"/>
              <w:snapToGrid w:val="0"/>
              <w:spacing w:after="120" w:afterLines="50"/>
              <w:ind w:firstLine="420"/>
              <w:jc w:val="center"/>
              <w:rPr>
                <w:rFonts w:cs="宋体" w:asciiTheme="minorEastAsia" w:hAnsiTheme="minorEastAsia" w:eastAsiaTheme="minorEastAsia"/>
              </w:rPr>
            </w:pPr>
          </w:p>
        </w:tc>
      </w:tr>
      <w:tr w14:paraId="6E98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7C5ABD3F">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5900377F">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00C566E6">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77FE966">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E49E88C">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34082596">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76E2E363">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7084FD16">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6C864503">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6D29818E">
            <w:pPr>
              <w:adjustRightInd w:val="0"/>
              <w:snapToGrid w:val="0"/>
              <w:spacing w:after="120" w:afterLines="50"/>
              <w:ind w:firstLine="420"/>
              <w:jc w:val="center"/>
              <w:rPr>
                <w:rFonts w:cs="宋体" w:asciiTheme="minorEastAsia" w:hAnsiTheme="minorEastAsia" w:eastAsiaTheme="minorEastAsia"/>
              </w:rPr>
            </w:pPr>
          </w:p>
        </w:tc>
      </w:tr>
      <w:tr w14:paraId="6CC6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1A43109B">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3660AAFE">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739843CF">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1922CD53">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B0109BE">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36FD2ED8">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6D448BB9">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3CFF59F4">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3107F2ED">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48161049">
            <w:pPr>
              <w:adjustRightInd w:val="0"/>
              <w:snapToGrid w:val="0"/>
              <w:spacing w:after="120" w:afterLines="50"/>
              <w:ind w:firstLine="420"/>
              <w:jc w:val="center"/>
              <w:rPr>
                <w:rFonts w:cs="宋体" w:asciiTheme="minorEastAsia" w:hAnsiTheme="minorEastAsia" w:eastAsiaTheme="minorEastAsia"/>
              </w:rPr>
            </w:pPr>
          </w:p>
        </w:tc>
      </w:tr>
      <w:tr w14:paraId="5C46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3256B22C">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4D06AE2B">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5B2B2B2E">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A11D3F3">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6801707">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10C1622">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688BDF37">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0EE8914D">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378EA193">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139582DD">
            <w:pPr>
              <w:adjustRightInd w:val="0"/>
              <w:snapToGrid w:val="0"/>
              <w:spacing w:after="120" w:afterLines="50"/>
              <w:ind w:firstLine="420"/>
              <w:jc w:val="center"/>
              <w:rPr>
                <w:rFonts w:cs="宋体" w:asciiTheme="minorEastAsia" w:hAnsiTheme="minorEastAsia" w:eastAsiaTheme="minorEastAsia"/>
              </w:rPr>
            </w:pPr>
          </w:p>
        </w:tc>
      </w:tr>
      <w:tr w14:paraId="0355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267A7DAB">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5F5DD3C7">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24998FAB">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71724324">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1F4BCA37">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E00DDB3">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5DBE4673">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4DE848FC">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3E1C973E">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5AF19CAB">
            <w:pPr>
              <w:adjustRightInd w:val="0"/>
              <w:snapToGrid w:val="0"/>
              <w:spacing w:after="120" w:afterLines="50"/>
              <w:ind w:firstLine="420"/>
              <w:jc w:val="center"/>
              <w:rPr>
                <w:rFonts w:cs="宋体" w:asciiTheme="minorEastAsia" w:hAnsiTheme="minorEastAsia" w:eastAsiaTheme="minorEastAsia"/>
              </w:rPr>
            </w:pPr>
          </w:p>
        </w:tc>
      </w:tr>
      <w:tr w14:paraId="1029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13130AD9">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2A9904A6">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518B5AB8">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3A615D4">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5BF898E0">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9AC1164">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32B97DCC">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7C1E74C4">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65031923">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6ABA0BC1">
            <w:pPr>
              <w:adjustRightInd w:val="0"/>
              <w:snapToGrid w:val="0"/>
              <w:spacing w:after="120" w:afterLines="50"/>
              <w:ind w:firstLine="420"/>
              <w:jc w:val="center"/>
              <w:rPr>
                <w:rFonts w:cs="宋体" w:asciiTheme="minorEastAsia" w:hAnsiTheme="minorEastAsia" w:eastAsiaTheme="minorEastAsia"/>
              </w:rPr>
            </w:pPr>
          </w:p>
        </w:tc>
      </w:tr>
      <w:tr w14:paraId="7BF7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0A47134D">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00A84775">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4E0A98A9">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1CB62A9">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64D1062">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6BAE3BB8">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68A21DF2">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6110EBDB">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45617ADE">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3505699F">
            <w:pPr>
              <w:adjustRightInd w:val="0"/>
              <w:snapToGrid w:val="0"/>
              <w:spacing w:after="120" w:afterLines="50"/>
              <w:ind w:firstLine="420"/>
              <w:jc w:val="center"/>
              <w:rPr>
                <w:rFonts w:cs="宋体" w:asciiTheme="minorEastAsia" w:hAnsiTheme="minorEastAsia" w:eastAsiaTheme="minorEastAsia"/>
              </w:rPr>
            </w:pPr>
          </w:p>
        </w:tc>
      </w:tr>
      <w:tr w14:paraId="37D2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12F0384A">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6CB09AD8">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21B1CA03">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17C3D9F">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6E441B93">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A5D8BB8">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27DF7207">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43AC7B79">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2AE2D457">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0594332C">
            <w:pPr>
              <w:adjustRightInd w:val="0"/>
              <w:snapToGrid w:val="0"/>
              <w:spacing w:after="120" w:afterLines="50"/>
              <w:ind w:firstLine="420"/>
              <w:jc w:val="center"/>
              <w:rPr>
                <w:rFonts w:cs="宋体" w:asciiTheme="minorEastAsia" w:hAnsiTheme="minorEastAsia" w:eastAsiaTheme="minorEastAsia"/>
              </w:rPr>
            </w:pPr>
          </w:p>
        </w:tc>
      </w:tr>
      <w:tr w14:paraId="5477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07C56806">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36455C6A">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35EF3273">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7BCD0D39">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5E3CA1BC">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B018EEE">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4FBCC7F6">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11FFB146">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4E2627CD">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7832AC3A">
            <w:pPr>
              <w:adjustRightInd w:val="0"/>
              <w:snapToGrid w:val="0"/>
              <w:spacing w:after="120" w:afterLines="50"/>
              <w:ind w:firstLine="420"/>
              <w:jc w:val="center"/>
              <w:rPr>
                <w:rFonts w:cs="宋体" w:asciiTheme="minorEastAsia" w:hAnsiTheme="minorEastAsia" w:eastAsiaTheme="minorEastAsia"/>
              </w:rPr>
            </w:pPr>
          </w:p>
        </w:tc>
      </w:tr>
      <w:tr w14:paraId="7D4F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ACEB5E1">
            <w:pPr>
              <w:adjustRightInd w:val="0"/>
              <w:snapToGrid w:val="0"/>
              <w:spacing w:after="120" w:afterLines="50"/>
              <w:ind w:firstLine="420"/>
              <w:jc w:val="center"/>
              <w:rPr>
                <w:rFonts w:cs="宋体" w:asciiTheme="minorEastAsia" w:hAnsiTheme="minorEastAsia" w:eastAsiaTheme="minorEastAsia"/>
              </w:rPr>
            </w:pPr>
          </w:p>
          <w:p w14:paraId="1A052777">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1065A9CB">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508AE589">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316D286">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CEB5916">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6140BA1">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20F1CF6B">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187DB14F">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0A192805">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1DB2D5CF">
            <w:pPr>
              <w:adjustRightInd w:val="0"/>
              <w:snapToGrid w:val="0"/>
              <w:spacing w:after="120" w:afterLines="50"/>
              <w:ind w:firstLine="420"/>
              <w:jc w:val="center"/>
              <w:rPr>
                <w:rFonts w:cs="宋体" w:asciiTheme="minorEastAsia" w:hAnsiTheme="minorEastAsia" w:eastAsiaTheme="minorEastAsia"/>
              </w:rPr>
            </w:pPr>
          </w:p>
        </w:tc>
      </w:tr>
      <w:tr w14:paraId="0DB6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300E9F3">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31F86C46">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56D09B9F">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7A61417F">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7022B79">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195A77F0">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78AFEC68">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1F2C1CE0">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0CD6918C">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68053FE5">
            <w:pPr>
              <w:adjustRightInd w:val="0"/>
              <w:snapToGrid w:val="0"/>
              <w:spacing w:after="120" w:afterLines="50"/>
              <w:ind w:firstLine="420"/>
              <w:jc w:val="center"/>
              <w:rPr>
                <w:rFonts w:cs="宋体" w:asciiTheme="minorEastAsia" w:hAnsiTheme="minorEastAsia" w:eastAsiaTheme="minorEastAsia"/>
              </w:rPr>
            </w:pPr>
          </w:p>
        </w:tc>
      </w:tr>
      <w:tr w14:paraId="0357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31BDD1F4">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2252E8A3">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6D734015">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6DB30E14">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56176394">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1E1FDBDD">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31D5CFEA">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566E6F5D">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4183D885">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737724F4">
            <w:pPr>
              <w:adjustRightInd w:val="0"/>
              <w:snapToGrid w:val="0"/>
              <w:spacing w:after="120" w:afterLines="50"/>
              <w:ind w:firstLine="420"/>
              <w:jc w:val="center"/>
              <w:rPr>
                <w:rFonts w:cs="宋体" w:asciiTheme="minorEastAsia" w:hAnsiTheme="minorEastAsia" w:eastAsiaTheme="minorEastAsia"/>
              </w:rPr>
            </w:pPr>
          </w:p>
        </w:tc>
      </w:tr>
      <w:tr w14:paraId="1E9E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24E01BF8">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629C3003">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02AAC223">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CC03040">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5430341">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B6E25C1">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2D37B9D0">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29F895F1">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15533D48">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34C6BE11">
            <w:pPr>
              <w:adjustRightInd w:val="0"/>
              <w:snapToGrid w:val="0"/>
              <w:spacing w:after="120" w:afterLines="50"/>
              <w:ind w:firstLine="420"/>
              <w:jc w:val="center"/>
              <w:rPr>
                <w:rFonts w:cs="宋体" w:asciiTheme="minorEastAsia" w:hAnsiTheme="minorEastAsia" w:eastAsiaTheme="minorEastAsia"/>
              </w:rPr>
            </w:pPr>
          </w:p>
        </w:tc>
      </w:tr>
    </w:tbl>
    <w:p w14:paraId="5D349BB3">
      <w:pPr>
        <w:ind w:firstLine="420"/>
        <w:rPr>
          <w:rFonts w:cs="宋体" w:asciiTheme="minorEastAsia" w:hAnsiTheme="minorEastAsia" w:eastAsiaTheme="minorEastAsia"/>
          <w:szCs w:val="21"/>
        </w:rPr>
      </w:pPr>
    </w:p>
    <w:p w14:paraId="23C278EA">
      <w:pPr>
        <w:pStyle w:val="10"/>
        <w:spacing w:line="360" w:lineRule="auto"/>
        <w:ind w:firstLineChars="200"/>
        <w:rPr>
          <w:rFonts w:cs="宋体" w:asciiTheme="minorEastAsia" w:hAnsiTheme="minorEastAsia" w:eastAsiaTheme="minorEastAsia"/>
        </w:rPr>
      </w:pPr>
    </w:p>
    <w:p w14:paraId="15D8EEA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投标人全称（公章）：                               </w:t>
      </w:r>
    </w:p>
    <w:p w14:paraId="22A9C5BE">
      <w:pPr>
        <w:ind w:firstLine="420"/>
        <w:rPr>
          <w:rFonts w:cs="宋体" w:asciiTheme="minorEastAsia" w:hAnsiTheme="minorEastAsia" w:eastAsiaTheme="minorEastAsia"/>
          <w:szCs w:val="21"/>
        </w:rPr>
      </w:pPr>
    </w:p>
    <w:p w14:paraId="02D6C7E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w:t>
      </w:r>
      <w:r>
        <w:rPr>
          <w:rFonts w:hint="eastAsia" w:cs="宋体" w:asciiTheme="minorEastAsia" w:hAnsiTheme="minorEastAsia" w:eastAsiaTheme="minorEastAsia"/>
        </w:rPr>
        <w:t>或盖章</w:t>
      </w:r>
      <w:r>
        <w:rPr>
          <w:rFonts w:hint="eastAsia" w:cs="宋体" w:asciiTheme="minorEastAsia" w:hAnsiTheme="minorEastAsia" w:eastAsiaTheme="minorEastAsia"/>
          <w:szCs w:val="21"/>
        </w:rPr>
        <w:t xml:space="preserve">）：                        </w:t>
      </w:r>
    </w:p>
    <w:p w14:paraId="02EE612D">
      <w:pPr>
        <w:ind w:firstLine="420"/>
        <w:rPr>
          <w:rFonts w:cs="宋体" w:asciiTheme="minorEastAsia" w:hAnsiTheme="minorEastAsia" w:eastAsiaTheme="minorEastAsia"/>
          <w:szCs w:val="21"/>
        </w:rPr>
      </w:pPr>
    </w:p>
    <w:p w14:paraId="319BCBE2">
      <w:pPr>
        <w:ind w:firstLine="420"/>
        <w:rPr>
          <w:rFonts w:cs="宋体" w:asciiTheme="minorEastAsia" w:hAnsiTheme="minorEastAsia" w:eastAsiaTheme="minorEastAsia"/>
        </w:rPr>
      </w:pPr>
      <w:r>
        <w:rPr>
          <w:rFonts w:hint="eastAsia" w:cs="宋体" w:asciiTheme="minorEastAsia" w:hAnsiTheme="minorEastAsia" w:eastAsiaTheme="minorEastAsia"/>
          <w:szCs w:val="21"/>
        </w:rPr>
        <w:t>日期：</w:t>
      </w:r>
    </w:p>
    <w:p w14:paraId="325E442C">
      <w:pPr>
        <w:keepNext/>
        <w:keepLines/>
        <w:ind w:firstLine="422"/>
        <w:outlineLvl w:val="2"/>
        <w:rPr>
          <w:rFonts w:cs="宋体" w:asciiTheme="minorEastAsia" w:hAnsiTheme="minorEastAsia" w:eastAsiaTheme="minorEastAsia"/>
          <w:b/>
          <w:bCs/>
          <w:szCs w:val="32"/>
        </w:rPr>
        <w:sectPr>
          <w:pgSz w:w="11907" w:h="16840"/>
          <w:pgMar w:top="1247" w:right="1304" w:bottom="1021" w:left="1304" w:header="720" w:footer="720" w:gutter="0"/>
          <w:cols w:space="720" w:num="1"/>
        </w:sectPr>
      </w:pPr>
    </w:p>
    <w:p w14:paraId="2F228DA7">
      <w:pPr>
        <w:pStyle w:val="4"/>
      </w:pPr>
      <w:bookmarkStart w:id="111" w:name="_Toc450840090"/>
      <w:r>
        <w:rPr>
          <w:rFonts w:hint="eastAsia"/>
        </w:rPr>
        <w:t>附件九</w:t>
      </w:r>
      <w:r>
        <w:t xml:space="preserve"> </w:t>
      </w:r>
      <w:r>
        <w:rPr>
          <w:rFonts w:hint="eastAsia"/>
        </w:rPr>
        <w:t>服务内容及服务标准</w:t>
      </w:r>
    </w:p>
    <w:p w14:paraId="3CDB693C">
      <w:pPr>
        <w:ind w:firstLine="420"/>
      </w:pPr>
    </w:p>
    <w:p w14:paraId="4E2E6690">
      <w:pPr>
        <w:ind w:firstLine="420"/>
      </w:pPr>
      <w:r>
        <w:rPr>
          <w:rFonts w:hint="eastAsia"/>
        </w:rPr>
        <w:t>格式可由投标人自行编制</w:t>
      </w:r>
    </w:p>
    <w:tbl>
      <w:tblPr>
        <w:tblStyle w:val="25"/>
        <w:tblW w:w="90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1980"/>
        <w:gridCol w:w="2700"/>
      </w:tblGrid>
      <w:tr w14:paraId="64B3B1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2160" w:type="dxa"/>
            <w:tcBorders>
              <w:top w:val="double" w:color="auto" w:sz="4" w:space="0"/>
            </w:tcBorders>
            <w:vAlign w:val="center"/>
          </w:tcPr>
          <w:p w14:paraId="217D961E">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序号</w:t>
            </w:r>
          </w:p>
        </w:tc>
        <w:tc>
          <w:tcPr>
            <w:tcW w:w="2160" w:type="dxa"/>
            <w:tcBorders>
              <w:top w:val="double" w:color="auto" w:sz="4" w:space="0"/>
            </w:tcBorders>
            <w:vAlign w:val="center"/>
          </w:tcPr>
          <w:p w14:paraId="1CF7AC6A">
            <w:pPr>
              <w:adjustRightInd w:val="0"/>
              <w:snapToGrid w:val="0"/>
              <w:spacing w:line="400" w:lineRule="atLeast"/>
              <w:ind w:firstLine="420"/>
              <w:jc w:val="center"/>
              <w:rPr>
                <w:rFonts w:ascii="Arial" w:hAnsi="Arial" w:cs="Arial"/>
                <w:szCs w:val="21"/>
              </w:rPr>
            </w:pPr>
            <w:r>
              <w:rPr>
                <w:rFonts w:hint="eastAsia" w:ascii="Arial" w:hAnsi="Arial" w:cs="Arial"/>
                <w:szCs w:val="21"/>
              </w:rPr>
              <w:t>服务项目</w:t>
            </w:r>
          </w:p>
        </w:tc>
        <w:tc>
          <w:tcPr>
            <w:tcW w:w="1980" w:type="dxa"/>
            <w:tcBorders>
              <w:top w:val="double" w:color="auto" w:sz="4" w:space="0"/>
            </w:tcBorders>
            <w:vAlign w:val="center"/>
          </w:tcPr>
          <w:p w14:paraId="04B17949">
            <w:pPr>
              <w:adjustRightInd w:val="0"/>
              <w:snapToGrid w:val="0"/>
              <w:spacing w:line="400" w:lineRule="atLeast"/>
              <w:ind w:firstLine="420"/>
              <w:jc w:val="center"/>
              <w:rPr>
                <w:rFonts w:ascii="Arial" w:hAnsi="Arial" w:cs="Arial"/>
                <w:szCs w:val="21"/>
              </w:rPr>
            </w:pPr>
            <w:r>
              <w:rPr>
                <w:rFonts w:hint="eastAsia" w:ascii="Arial" w:hAnsi="Arial" w:cs="Arial"/>
                <w:szCs w:val="21"/>
              </w:rPr>
              <w:t>服务内容</w:t>
            </w:r>
          </w:p>
        </w:tc>
        <w:tc>
          <w:tcPr>
            <w:tcW w:w="2700" w:type="dxa"/>
            <w:tcBorders>
              <w:top w:val="double" w:color="auto" w:sz="4" w:space="0"/>
            </w:tcBorders>
            <w:vAlign w:val="center"/>
          </w:tcPr>
          <w:p w14:paraId="1C1E5045">
            <w:pPr>
              <w:adjustRightInd w:val="0"/>
              <w:snapToGrid w:val="0"/>
              <w:spacing w:line="400" w:lineRule="atLeast"/>
              <w:ind w:firstLine="420"/>
              <w:jc w:val="center"/>
              <w:rPr>
                <w:rFonts w:ascii="Arial" w:hAnsi="Arial" w:cs="Arial"/>
                <w:szCs w:val="21"/>
              </w:rPr>
            </w:pPr>
            <w:r>
              <w:rPr>
                <w:rFonts w:hint="eastAsia" w:ascii="Arial" w:hAnsi="Arial" w:cs="Arial"/>
                <w:szCs w:val="21"/>
              </w:rPr>
              <w:t>服务标准</w:t>
            </w:r>
          </w:p>
        </w:tc>
      </w:tr>
      <w:tr w14:paraId="42E12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160" w:type="dxa"/>
            <w:tcBorders>
              <w:top w:val="double" w:color="auto" w:sz="4" w:space="0"/>
            </w:tcBorders>
          </w:tcPr>
          <w:p w14:paraId="5EE8AC17">
            <w:pPr>
              <w:adjustRightInd w:val="0"/>
              <w:snapToGrid w:val="0"/>
              <w:spacing w:line="400" w:lineRule="atLeast"/>
              <w:ind w:firstLine="420"/>
              <w:jc w:val="center"/>
              <w:rPr>
                <w:rFonts w:ascii="Arial" w:hAnsi="Arial" w:cs="Arial"/>
                <w:szCs w:val="21"/>
              </w:rPr>
            </w:pPr>
          </w:p>
        </w:tc>
        <w:tc>
          <w:tcPr>
            <w:tcW w:w="2160" w:type="dxa"/>
            <w:tcBorders>
              <w:top w:val="double" w:color="auto" w:sz="4" w:space="0"/>
            </w:tcBorders>
            <w:vAlign w:val="center"/>
          </w:tcPr>
          <w:p w14:paraId="5B3E6767">
            <w:pPr>
              <w:adjustRightInd w:val="0"/>
              <w:snapToGrid w:val="0"/>
              <w:spacing w:line="400" w:lineRule="atLeast"/>
              <w:ind w:firstLine="420"/>
              <w:jc w:val="center"/>
              <w:rPr>
                <w:rFonts w:ascii="Arial" w:hAnsi="Arial" w:cs="Arial"/>
                <w:szCs w:val="21"/>
              </w:rPr>
            </w:pPr>
          </w:p>
        </w:tc>
        <w:tc>
          <w:tcPr>
            <w:tcW w:w="1980" w:type="dxa"/>
            <w:tcBorders>
              <w:top w:val="double" w:color="auto" w:sz="4" w:space="0"/>
            </w:tcBorders>
            <w:vAlign w:val="center"/>
          </w:tcPr>
          <w:p w14:paraId="07F1020F">
            <w:pPr>
              <w:adjustRightInd w:val="0"/>
              <w:snapToGrid w:val="0"/>
              <w:spacing w:line="400" w:lineRule="atLeast"/>
              <w:ind w:firstLine="0" w:firstLineChars="0"/>
              <w:jc w:val="center"/>
              <w:rPr>
                <w:rFonts w:ascii="Arial" w:hAnsi="Arial" w:cs="Arial"/>
                <w:szCs w:val="21"/>
              </w:rPr>
            </w:pPr>
          </w:p>
        </w:tc>
        <w:tc>
          <w:tcPr>
            <w:tcW w:w="2700" w:type="dxa"/>
            <w:tcBorders>
              <w:top w:val="double" w:color="auto" w:sz="4" w:space="0"/>
            </w:tcBorders>
            <w:vAlign w:val="center"/>
          </w:tcPr>
          <w:p w14:paraId="2BE379F8">
            <w:pPr>
              <w:adjustRightInd w:val="0"/>
              <w:snapToGrid w:val="0"/>
              <w:spacing w:line="400" w:lineRule="atLeast"/>
              <w:ind w:firstLine="0" w:firstLineChars="0"/>
              <w:jc w:val="center"/>
              <w:rPr>
                <w:rFonts w:ascii="Arial" w:hAnsi="Arial" w:cs="Arial"/>
                <w:szCs w:val="21"/>
              </w:rPr>
            </w:pPr>
          </w:p>
        </w:tc>
      </w:tr>
      <w:tr w14:paraId="6EDF0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60" w:type="dxa"/>
          </w:tcPr>
          <w:p w14:paraId="0A4E1363">
            <w:pPr>
              <w:adjustRightInd w:val="0"/>
              <w:snapToGrid w:val="0"/>
              <w:spacing w:line="400" w:lineRule="atLeast"/>
              <w:ind w:firstLine="420"/>
              <w:jc w:val="center"/>
              <w:rPr>
                <w:rFonts w:ascii="Arial" w:hAnsi="Arial" w:cs="Arial"/>
                <w:szCs w:val="21"/>
              </w:rPr>
            </w:pPr>
          </w:p>
        </w:tc>
        <w:tc>
          <w:tcPr>
            <w:tcW w:w="2160" w:type="dxa"/>
            <w:vAlign w:val="center"/>
          </w:tcPr>
          <w:p w14:paraId="160FA964">
            <w:pPr>
              <w:adjustRightInd w:val="0"/>
              <w:snapToGrid w:val="0"/>
              <w:spacing w:line="400" w:lineRule="atLeast"/>
              <w:ind w:firstLine="420"/>
              <w:jc w:val="center"/>
              <w:rPr>
                <w:rFonts w:ascii="Arial" w:hAnsi="Arial" w:cs="Arial"/>
                <w:szCs w:val="21"/>
              </w:rPr>
            </w:pPr>
          </w:p>
        </w:tc>
        <w:tc>
          <w:tcPr>
            <w:tcW w:w="1980" w:type="dxa"/>
            <w:vAlign w:val="center"/>
          </w:tcPr>
          <w:p w14:paraId="1CC00DE5">
            <w:pPr>
              <w:adjustRightInd w:val="0"/>
              <w:snapToGrid w:val="0"/>
              <w:spacing w:line="400" w:lineRule="atLeast"/>
              <w:ind w:firstLine="420"/>
              <w:jc w:val="center"/>
              <w:rPr>
                <w:rFonts w:ascii="Arial" w:hAnsi="Arial" w:cs="Arial"/>
                <w:szCs w:val="21"/>
              </w:rPr>
            </w:pPr>
          </w:p>
        </w:tc>
        <w:tc>
          <w:tcPr>
            <w:tcW w:w="2700" w:type="dxa"/>
            <w:vAlign w:val="center"/>
          </w:tcPr>
          <w:p w14:paraId="6EF02172">
            <w:pPr>
              <w:adjustRightInd w:val="0"/>
              <w:snapToGrid w:val="0"/>
              <w:spacing w:line="400" w:lineRule="atLeast"/>
              <w:ind w:firstLine="420"/>
              <w:jc w:val="center"/>
              <w:rPr>
                <w:rFonts w:ascii="Arial" w:hAnsi="Arial" w:cs="Arial"/>
                <w:szCs w:val="21"/>
              </w:rPr>
            </w:pPr>
          </w:p>
        </w:tc>
      </w:tr>
      <w:tr w14:paraId="67B557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160" w:type="dxa"/>
          </w:tcPr>
          <w:p w14:paraId="419F9EDB">
            <w:pPr>
              <w:adjustRightInd w:val="0"/>
              <w:snapToGrid w:val="0"/>
              <w:spacing w:line="400" w:lineRule="atLeast"/>
              <w:ind w:firstLine="420"/>
              <w:jc w:val="center"/>
              <w:rPr>
                <w:rFonts w:ascii="Arial" w:hAnsi="Arial" w:cs="Arial"/>
                <w:szCs w:val="21"/>
              </w:rPr>
            </w:pPr>
          </w:p>
        </w:tc>
        <w:tc>
          <w:tcPr>
            <w:tcW w:w="2160" w:type="dxa"/>
            <w:vAlign w:val="center"/>
          </w:tcPr>
          <w:p w14:paraId="083BF5C7">
            <w:pPr>
              <w:adjustRightInd w:val="0"/>
              <w:snapToGrid w:val="0"/>
              <w:spacing w:line="400" w:lineRule="atLeast"/>
              <w:ind w:firstLine="420"/>
              <w:jc w:val="center"/>
              <w:rPr>
                <w:rFonts w:ascii="Arial" w:hAnsi="Arial" w:cs="Arial"/>
                <w:szCs w:val="21"/>
              </w:rPr>
            </w:pPr>
          </w:p>
        </w:tc>
        <w:tc>
          <w:tcPr>
            <w:tcW w:w="1980" w:type="dxa"/>
            <w:vAlign w:val="center"/>
          </w:tcPr>
          <w:p w14:paraId="61EF0E32">
            <w:pPr>
              <w:adjustRightInd w:val="0"/>
              <w:snapToGrid w:val="0"/>
              <w:spacing w:line="400" w:lineRule="atLeast"/>
              <w:ind w:firstLine="420"/>
              <w:jc w:val="center"/>
              <w:rPr>
                <w:rFonts w:ascii="Arial" w:hAnsi="Arial" w:cs="Arial"/>
                <w:szCs w:val="21"/>
              </w:rPr>
            </w:pPr>
          </w:p>
        </w:tc>
        <w:tc>
          <w:tcPr>
            <w:tcW w:w="2700" w:type="dxa"/>
            <w:vAlign w:val="center"/>
          </w:tcPr>
          <w:p w14:paraId="2A217172">
            <w:pPr>
              <w:adjustRightInd w:val="0"/>
              <w:snapToGrid w:val="0"/>
              <w:spacing w:line="400" w:lineRule="atLeast"/>
              <w:ind w:firstLine="420"/>
              <w:jc w:val="center"/>
              <w:rPr>
                <w:rFonts w:ascii="Arial" w:hAnsi="Arial" w:cs="Arial"/>
                <w:szCs w:val="21"/>
              </w:rPr>
            </w:pPr>
          </w:p>
        </w:tc>
      </w:tr>
      <w:tr w14:paraId="0747A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160" w:type="dxa"/>
          </w:tcPr>
          <w:p w14:paraId="46039C8E">
            <w:pPr>
              <w:adjustRightInd w:val="0"/>
              <w:snapToGrid w:val="0"/>
              <w:spacing w:line="400" w:lineRule="atLeast"/>
              <w:ind w:firstLine="420"/>
              <w:jc w:val="center"/>
              <w:rPr>
                <w:rFonts w:ascii="Arial" w:hAnsi="Arial" w:cs="Arial"/>
                <w:szCs w:val="21"/>
              </w:rPr>
            </w:pPr>
          </w:p>
        </w:tc>
        <w:tc>
          <w:tcPr>
            <w:tcW w:w="2160" w:type="dxa"/>
            <w:vAlign w:val="center"/>
          </w:tcPr>
          <w:p w14:paraId="1A19549D">
            <w:pPr>
              <w:adjustRightInd w:val="0"/>
              <w:snapToGrid w:val="0"/>
              <w:spacing w:line="400" w:lineRule="atLeast"/>
              <w:ind w:firstLine="420"/>
              <w:jc w:val="center"/>
              <w:rPr>
                <w:rFonts w:ascii="Arial" w:hAnsi="Arial" w:cs="Arial"/>
                <w:szCs w:val="21"/>
              </w:rPr>
            </w:pPr>
          </w:p>
        </w:tc>
        <w:tc>
          <w:tcPr>
            <w:tcW w:w="1980" w:type="dxa"/>
            <w:vAlign w:val="center"/>
          </w:tcPr>
          <w:p w14:paraId="1010258F">
            <w:pPr>
              <w:adjustRightInd w:val="0"/>
              <w:snapToGrid w:val="0"/>
              <w:spacing w:line="400" w:lineRule="atLeast"/>
              <w:ind w:firstLine="420"/>
              <w:jc w:val="center"/>
              <w:rPr>
                <w:rFonts w:ascii="Arial" w:hAnsi="Arial" w:cs="Arial"/>
                <w:szCs w:val="21"/>
              </w:rPr>
            </w:pPr>
          </w:p>
        </w:tc>
        <w:tc>
          <w:tcPr>
            <w:tcW w:w="2700" w:type="dxa"/>
            <w:vAlign w:val="center"/>
          </w:tcPr>
          <w:p w14:paraId="2C494FC3">
            <w:pPr>
              <w:adjustRightInd w:val="0"/>
              <w:snapToGrid w:val="0"/>
              <w:spacing w:line="400" w:lineRule="atLeast"/>
              <w:ind w:firstLine="420"/>
              <w:jc w:val="center"/>
              <w:rPr>
                <w:rFonts w:ascii="Arial" w:hAnsi="Arial" w:cs="Arial"/>
                <w:szCs w:val="21"/>
              </w:rPr>
            </w:pPr>
          </w:p>
        </w:tc>
      </w:tr>
      <w:tr w14:paraId="1F57BC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tcPr>
          <w:p w14:paraId="6A84E799">
            <w:pPr>
              <w:adjustRightInd w:val="0"/>
              <w:snapToGrid w:val="0"/>
              <w:spacing w:line="400" w:lineRule="atLeast"/>
              <w:ind w:firstLine="420"/>
              <w:jc w:val="center"/>
              <w:rPr>
                <w:rFonts w:ascii="Arial" w:hAnsi="Arial" w:cs="Arial"/>
                <w:szCs w:val="21"/>
              </w:rPr>
            </w:pPr>
          </w:p>
        </w:tc>
        <w:tc>
          <w:tcPr>
            <w:tcW w:w="2160" w:type="dxa"/>
            <w:vAlign w:val="center"/>
          </w:tcPr>
          <w:p w14:paraId="1F7F5A0E">
            <w:pPr>
              <w:adjustRightInd w:val="0"/>
              <w:snapToGrid w:val="0"/>
              <w:spacing w:line="400" w:lineRule="atLeast"/>
              <w:ind w:firstLine="420"/>
              <w:jc w:val="center"/>
              <w:rPr>
                <w:rFonts w:ascii="Arial" w:hAnsi="Arial" w:cs="Arial"/>
                <w:szCs w:val="21"/>
              </w:rPr>
            </w:pPr>
          </w:p>
        </w:tc>
        <w:tc>
          <w:tcPr>
            <w:tcW w:w="1980" w:type="dxa"/>
            <w:vAlign w:val="center"/>
          </w:tcPr>
          <w:p w14:paraId="22FA3052">
            <w:pPr>
              <w:adjustRightInd w:val="0"/>
              <w:snapToGrid w:val="0"/>
              <w:spacing w:line="400" w:lineRule="atLeast"/>
              <w:ind w:firstLine="420"/>
              <w:jc w:val="center"/>
              <w:rPr>
                <w:rFonts w:ascii="Arial" w:hAnsi="Arial" w:cs="Arial"/>
                <w:szCs w:val="21"/>
              </w:rPr>
            </w:pPr>
          </w:p>
        </w:tc>
        <w:tc>
          <w:tcPr>
            <w:tcW w:w="2700" w:type="dxa"/>
            <w:vAlign w:val="center"/>
          </w:tcPr>
          <w:p w14:paraId="527393C6">
            <w:pPr>
              <w:adjustRightInd w:val="0"/>
              <w:snapToGrid w:val="0"/>
              <w:spacing w:line="400" w:lineRule="atLeast"/>
              <w:ind w:firstLine="420"/>
              <w:jc w:val="center"/>
              <w:rPr>
                <w:rFonts w:ascii="Arial" w:hAnsi="Arial" w:cs="Arial"/>
                <w:szCs w:val="21"/>
              </w:rPr>
            </w:pPr>
          </w:p>
        </w:tc>
      </w:tr>
      <w:tr w14:paraId="222AD3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160" w:type="dxa"/>
          </w:tcPr>
          <w:p w14:paraId="2E47D46F">
            <w:pPr>
              <w:adjustRightInd w:val="0"/>
              <w:snapToGrid w:val="0"/>
              <w:spacing w:line="400" w:lineRule="atLeast"/>
              <w:ind w:firstLine="420"/>
              <w:jc w:val="center"/>
              <w:rPr>
                <w:rFonts w:ascii="Arial" w:hAnsi="Arial" w:cs="Arial"/>
                <w:szCs w:val="21"/>
              </w:rPr>
            </w:pPr>
          </w:p>
        </w:tc>
        <w:tc>
          <w:tcPr>
            <w:tcW w:w="2160" w:type="dxa"/>
            <w:vAlign w:val="center"/>
          </w:tcPr>
          <w:p w14:paraId="064D3055">
            <w:pPr>
              <w:adjustRightInd w:val="0"/>
              <w:snapToGrid w:val="0"/>
              <w:spacing w:line="400" w:lineRule="atLeast"/>
              <w:ind w:firstLine="420"/>
              <w:jc w:val="center"/>
              <w:rPr>
                <w:rFonts w:ascii="Arial" w:hAnsi="Arial" w:cs="Arial"/>
                <w:szCs w:val="21"/>
              </w:rPr>
            </w:pPr>
          </w:p>
        </w:tc>
        <w:tc>
          <w:tcPr>
            <w:tcW w:w="1980" w:type="dxa"/>
            <w:vAlign w:val="center"/>
          </w:tcPr>
          <w:p w14:paraId="57901368">
            <w:pPr>
              <w:adjustRightInd w:val="0"/>
              <w:snapToGrid w:val="0"/>
              <w:spacing w:line="400" w:lineRule="atLeast"/>
              <w:ind w:firstLine="420"/>
              <w:jc w:val="center"/>
              <w:rPr>
                <w:rFonts w:ascii="Arial" w:hAnsi="Arial" w:cs="Arial"/>
                <w:szCs w:val="21"/>
              </w:rPr>
            </w:pPr>
          </w:p>
        </w:tc>
        <w:tc>
          <w:tcPr>
            <w:tcW w:w="2700" w:type="dxa"/>
            <w:vAlign w:val="center"/>
          </w:tcPr>
          <w:p w14:paraId="6F1BD72D">
            <w:pPr>
              <w:adjustRightInd w:val="0"/>
              <w:snapToGrid w:val="0"/>
              <w:spacing w:line="400" w:lineRule="atLeast"/>
              <w:ind w:firstLine="420"/>
              <w:jc w:val="center"/>
              <w:rPr>
                <w:rFonts w:ascii="Arial" w:hAnsi="Arial" w:cs="Arial"/>
                <w:szCs w:val="21"/>
              </w:rPr>
            </w:pPr>
          </w:p>
        </w:tc>
      </w:tr>
      <w:tr w14:paraId="025D68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160" w:type="dxa"/>
          </w:tcPr>
          <w:p w14:paraId="3D14DE8C">
            <w:pPr>
              <w:adjustRightInd w:val="0"/>
              <w:snapToGrid w:val="0"/>
              <w:spacing w:line="400" w:lineRule="atLeast"/>
              <w:ind w:firstLine="420"/>
              <w:jc w:val="center"/>
              <w:rPr>
                <w:rFonts w:ascii="Arial" w:hAnsi="Arial" w:cs="Arial"/>
                <w:szCs w:val="21"/>
              </w:rPr>
            </w:pPr>
          </w:p>
        </w:tc>
        <w:tc>
          <w:tcPr>
            <w:tcW w:w="2160" w:type="dxa"/>
            <w:vAlign w:val="center"/>
          </w:tcPr>
          <w:p w14:paraId="74619424">
            <w:pPr>
              <w:adjustRightInd w:val="0"/>
              <w:snapToGrid w:val="0"/>
              <w:spacing w:line="400" w:lineRule="atLeast"/>
              <w:ind w:firstLine="420"/>
              <w:jc w:val="center"/>
              <w:rPr>
                <w:rFonts w:ascii="Arial" w:hAnsi="Arial" w:cs="Arial"/>
                <w:szCs w:val="21"/>
              </w:rPr>
            </w:pPr>
          </w:p>
        </w:tc>
        <w:tc>
          <w:tcPr>
            <w:tcW w:w="1980" w:type="dxa"/>
            <w:vAlign w:val="center"/>
          </w:tcPr>
          <w:p w14:paraId="61AA4CBA">
            <w:pPr>
              <w:adjustRightInd w:val="0"/>
              <w:snapToGrid w:val="0"/>
              <w:spacing w:line="400" w:lineRule="atLeast"/>
              <w:ind w:firstLine="420"/>
              <w:jc w:val="center"/>
              <w:rPr>
                <w:rFonts w:ascii="Arial" w:hAnsi="Arial" w:cs="Arial"/>
                <w:szCs w:val="21"/>
              </w:rPr>
            </w:pPr>
          </w:p>
        </w:tc>
        <w:tc>
          <w:tcPr>
            <w:tcW w:w="2700" w:type="dxa"/>
            <w:vAlign w:val="center"/>
          </w:tcPr>
          <w:p w14:paraId="5C0FE6C7">
            <w:pPr>
              <w:adjustRightInd w:val="0"/>
              <w:snapToGrid w:val="0"/>
              <w:spacing w:line="400" w:lineRule="atLeast"/>
              <w:ind w:firstLine="420"/>
              <w:jc w:val="center"/>
              <w:rPr>
                <w:rFonts w:ascii="Arial" w:hAnsi="Arial" w:cs="Arial"/>
                <w:szCs w:val="21"/>
              </w:rPr>
            </w:pPr>
          </w:p>
        </w:tc>
      </w:tr>
      <w:tr w14:paraId="3366B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2160" w:type="dxa"/>
          </w:tcPr>
          <w:p w14:paraId="049570EC">
            <w:pPr>
              <w:adjustRightInd w:val="0"/>
              <w:snapToGrid w:val="0"/>
              <w:spacing w:line="400" w:lineRule="atLeast"/>
              <w:ind w:firstLine="420"/>
              <w:jc w:val="center"/>
              <w:rPr>
                <w:rFonts w:ascii="Arial" w:hAnsi="Arial" w:cs="Arial"/>
                <w:szCs w:val="21"/>
              </w:rPr>
            </w:pPr>
          </w:p>
        </w:tc>
        <w:tc>
          <w:tcPr>
            <w:tcW w:w="2160" w:type="dxa"/>
            <w:vAlign w:val="center"/>
          </w:tcPr>
          <w:p w14:paraId="7920335D">
            <w:pPr>
              <w:adjustRightInd w:val="0"/>
              <w:snapToGrid w:val="0"/>
              <w:spacing w:line="400" w:lineRule="atLeast"/>
              <w:ind w:firstLine="420"/>
              <w:jc w:val="center"/>
              <w:rPr>
                <w:rFonts w:ascii="Arial" w:hAnsi="Arial" w:cs="Arial"/>
                <w:szCs w:val="21"/>
              </w:rPr>
            </w:pPr>
          </w:p>
        </w:tc>
        <w:tc>
          <w:tcPr>
            <w:tcW w:w="1980" w:type="dxa"/>
            <w:vAlign w:val="center"/>
          </w:tcPr>
          <w:p w14:paraId="245F421B">
            <w:pPr>
              <w:adjustRightInd w:val="0"/>
              <w:snapToGrid w:val="0"/>
              <w:spacing w:line="400" w:lineRule="atLeast"/>
              <w:ind w:firstLine="420"/>
              <w:jc w:val="center"/>
              <w:rPr>
                <w:rFonts w:ascii="Arial" w:hAnsi="Arial" w:cs="Arial"/>
                <w:szCs w:val="21"/>
              </w:rPr>
            </w:pPr>
          </w:p>
        </w:tc>
        <w:tc>
          <w:tcPr>
            <w:tcW w:w="2700" w:type="dxa"/>
            <w:vAlign w:val="center"/>
          </w:tcPr>
          <w:p w14:paraId="541FD6B8">
            <w:pPr>
              <w:adjustRightInd w:val="0"/>
              <w:snapToGrid w:val="0"/>
              <w:spacing w:line="400" w:lineRule="atLeast"/>
              <w:ind w:firstLine="420"/>
              <w:jc w:val="center"/>
              <w:rPr>
                <w:rFonts w:ascii="Arial" w:hAnsi="Arial" w:cs="Arial"/>
                <w:szCs w:val="21"/>
              </w:rPr>
            </w:pPr>
          </w:p>
        </w:tc>
      </w:tr>
      <w:tr w14:paraId="404A85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160" w:type="dxa"/>
            <w:tcBorders>
              <w:bottom w:val="double" w:color="auto" w:sz="4" w:space="0"/>
            </w:tcBorders>
          </w:tcPr>
          <w:p w14:paraId="165CC92A">
            <w:pPr>
              <w:adjustRightInd w:val="0"/>
              <w:snapToGrid w:val="0"/>
              <w:spacing w:line="400" w:lineRule="atLeast"/>
              <w:ind w:firstLine="420"/>
              <w:jc w:val="center"/>
              <w:rPr>
                <w:rFonts w:ascii="Arial" w:hAnsi="Arial" w:cs="Arial"/>
                <w:szCs w:val="21"/>
              </w:rPr>
            </w:pPr>
          </w:p>
        </w:tc>
        <w:tc>
          <w:tcPr>
            <w:tcW w:w="2160" w:type="dxa"/>
            <w:tcBorders>
              <w:bottom w:val="double" w:color="auto" w:sz="4" w:space="0"/>
            </w:tcBorders>
            <w:vAlign w:val="center"/>
          </w:tcPr>
          <w:p w14:paraId="68F45889">
            <w:pPr>
              <w:adjustRightInd w:val="0"/>
              <w:snapToGrid w:val="0"/>
              <w:spacing w:line="400" w:lineRule="atLeast"/>
              <w:ind w:firstLine="420"/>
              <w:jc w:val="center"/>
              <w:rPr>
                <w:rFonts w:ascii="Arial" w:hAnsi="Arial" w:cs="Arial"/>
                <w:szCs w:val="21"/>
              </w:rPr>
            </w:pPr>
          </w:p>
        </w:tc>
        <w:tc>
          <w:tcPr>
            <w:tcW w:w="1980" w:type="dxa"/>
            <w:tcBorders>
              <w:bottom w:val="double" w:color="auto" w:sz="4" w:space="0"/>
            </w:tcBorders>
            <w:vAlign w:val="center"/>
          </w:tcPr>
          <w:p w14:paraId="470A024C">
            <w:pPr>
              <w:adjustRightInd w:val="0"/>
              <w:snapToGrid w:val="0"/>
              <w:spacing w:line="400" w:lineRule="atLeast"/>
              <w:ind w:firstLine="420"/>
              <w:jc w:val="center"/>
              <w:rPr>
                <w:rFonts w:ascii="Arial" w:hAnsi="Arial" w:cs="Arial"/>
                <w:szCs w:val="21"/>
              </w:rPr>
            </w:pPr>
          </w:p>
        </w:tc>
        <w:tc>
          <w:tcPr>
            <w:tcW w:w="2700" w:type="dxa"/>
            <w:tcBorders>
              <w:bottom w:val="double" w:color="auto" w:sz="4" w:space="0"/>
            </w:tcBorders>
            <w:vAlign w:val="center"/>
          </w:tcPr>
          <w:p w14:paraId="5BF190C6">
            <w:pPr>
              <w:adjustRightInd w:val="0"/>
              <w:snapToGrid w:val="0"/>
              <w:spacing w:line="400" w:lineRule="atLeast"/>
              <w:ind w:firstLine="420"/>
              <w:jc w:val="center"/>
              <w:rPr>
                <w:rFonts w:ascii="Arial" w:hAnsi="Arial" w:cs="Arial"/>
                <w:szCs w:val="21"/>
              </w:rPr>
            </w:pPr>
          </w:p>
        </w:tc>
      </w:tr>
    </w:tbl>
    <w:p w14:paraId="2DB55C7C">
      <w:pPr>
        <w:ind w:firstLine="210" w:firstLineChars="100"/>
        <w:rPr>
          <w:rFonts w:ascii="宋体"/>
          <w:szCs w:val="21"/>
        </w:rPr>
      </w:pPr>
    </w:p>
    <w:p w14:paraId="38989E06">
      <w:pPr>
        <w:ind w:firstLine="210" w:firstLineChars="100"/>
        <w:rPr>
          <w:rFonts w:ascii="宋体"/>
          <w:szCs w:val="21"/>
        </w:rPr>
      </w:pPr>
    </w:p>
    <w:p w14:paraId="0BBB45DC">
      <w:pPr>
        <w:ind w:firstLine="210" w:firstLineChars="100"/>
        <w:rPr>
          <w:rFonts w:ascii="宋体"/>
          <w:szCs w:val="21"/>
        </w:rPr>
      </w:pPr>
    </w:p>
    <w:p w14:paraId="343B589F">
      <w:pPr>
        <w:ind w:firstLine="210" w:firstLineChars="100"/>
        <w:rPr>
          <w:rFonts w:ascii="宋体"/>
          <w:szCs w:val="21"/>
        </w:rPr>
      </w:pPr>
      <w:r>
        <w:rPr>
          <w:rFonts w:hint="eastAsia" w:ascii="宋体" w:hAnsi="宋体"/>
          <w:szCs w:val="21"/>
        </w:rPr>
        <w:t>投标人（盖章）：</w:t>
      </w:r>
    </w:p>
    <w:p w14:paraId="693DD75D">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p>
    <w:p w14:paraId="3D106367">
      <w:pPr>
        <w:ind w:firstLine="199" w:firstLineChars="95"/>
      </w:pPr>
      <w:r>
        <w:rPr>
          <w:rFonts w:hint="eastAsia" w:ascii="宋体" w:hAnsi="宋体"/>
          <w:szCs w:val="21"/>
        </w:rPr>
        <w:t>日期：</w:t>
      </w:r>
    </w:p>
    <w:p w14:paraId="6968E962">
      <w:pPr>
        <w:ind w:firstLine="420"/>
      </w:pPr>
    </w:p>
    <w:p w14:paraId="1B0BEBB3">
      <w:pPr>
        <w:pStyle w:val="4"/>
      </w:pPr>
      <w:r>
        <w:br w:type="page"/>
      </w:r>
      <w:r>
        <w:rPr>
          <w:rFonts w:hint="eastAsia"/>
        </w:rPr>
        <w:t>附件十</w:t>
      </w:r>
      <w:r>
        <w:t xml:space="preserve"> </w:t>
      </w:r>
      <w:r>
        <w:rPr>
          <w:rFonts w:hint="eastAsia"/>
        </w:rPr>
        <w:t>服务期间所需配备的各种设备、设施、工具列表</w:t>
      </w:r>
    </w:p>
    <w:p w14:paraId="1948909B">
      <w:pPr>
        <w:ind w:firstLine="420"/>
      </w:pPr>
    </w:p>
    <w:tbl>
      <w:tblPr>
        <w:tblStyle w:val="25"/>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700C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65F47536">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名称</w:t>
            </w:r>
          </w:p>
        </w:tc>
        <w:tc>
          <w:tcPr>
            <w:tcW w:w="1388" w:type="dxa"/>
            <w:vAlign w:val="center"/>
          </w:tcPr>
          <w:p w14:paraId="1FDEAABF">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规格</w:t>
            </w:r>
          </w:p>
        </w:tc>
        <w:tc>
          <w:tcPr>
            <w:tcW w:w="1163" w:type="dxa"/>
            <w:vAlign w:val="center"/>
          </w:tcPr>
          <w:p w14:paraId="432FF4BA">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数量</w:t>
            </w:r>
          </w:p>
        </w:tc>
        <w:tc>
          <w:tcPr>
            <w:tcW w:w="1704" w:type="dxa"/>
            <w:vAlign w:val="center"/>
          </w:tcPr>
          <w:p w14:paraId="282F7898">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产地</w:t>
            </w:r>
          </w:p>
        </w:tc>
        <w:tc>
          <w:tcPr>
            <w:tcW w:w="2199" w:type="dxa"/>
            <w:vAlign w:val="center"/>
          </w:tcPr>
          <w:p w14:paraId="56956129">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出厂日期</w:t>
            </w:r>
          </w:p>
        </w:tc>
      </w:tr>
      <w:tr w14:paraId="5523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772CA86">
            <w:pPr>
              <w:adjustRightInd w:val="0"/>
              <w:snapToGrid w:val="0"/>
              <w:spacing w:line="400" w:lineRule="atLeast"/>
              <w:ind w:firstLine="420"/>
              <w:jc w:val="center"/>
              <w:rPr>
                <w:rFonts w:ascii="Arial" w:hAnsi="Arial" w:cs="Arial"/>
                <w:szCs w:val="21"/>
              </w:rPr>
            </w:pPr>
          </w:p>
        </w:tc>
        <w:tc>
          <w:tcPr>
            <w:tcW w:w="1388" w:type="dxa"/>
          </w:tcPr>
          <w:p w14:paraId="67E7D1FE">
            <w:pPr>
              <w:adjustRightInd w:val="0"/>
              <w:snapToGrid w:val="0"/>
              <w:spacing w:line="400" w:lineRule="atLeast"/>
              <w:ind w:firstLine="420"/>
              <w:jc w:val="center"/>
              <w:rPr>
                <w:rFonts w:ascii="Arial" w:hAnsi="Arial" w:cs="Arial"/>
                <w:szCs w:val="21"/>
              </w:rPr>
            </w:pPr>
          </w:p>
        </w:tc>
        <w:tc>
          <w:tcPr>
            <w:tcW w:w="1163" w:type="dxa"/>
          </w:tcPr>
          <w:p w14:paraId="53A4E3E3">
            <w:pPr>
              <w:adjustRightInd w:val="0"/>
              <w:snapToGrid w:val="0"/>
              <w:spacing w:line="400" w:lineRule="atLeast"/>
              <w:ind w:firstLine="420"/>
              <w:jc w:val="center"/>
              <w:rPr>
                <w:rFonts w:ascii="Arial" w:hAnsi="Arial" w:cs="Arial"/>
                <w:szCs w:val="21"/>
              </w:rPr>
            </w:pPr>
          </w:p>
        </w:tc>
        <w:tc>
          <w:tcPr>
            <w:tcW w:w="1704" w:type="dxa"/>
          </w:tcPr>
          <w:p w14:paraId="557AC278">
            <w:pPr>
              <w:adjustRightInd w:val="0"/>
              <w:snapToGrid w:val="0"/>
              <w:spacing w:line="400" w:lineRule="atLeast"/>
              <w:ind w:firstLine="420"/>
              <w:jc w:val="center"/>
              <w:rPr>
                <w:rFonts w:ascii="Arial" w:hAnsi="Arial" w:cs="Arial"/>
                <w:szCs w:val="21"/>
              </w:rPr>
            </w:pPr>
          </w:p>
        </w:tc>
        <w:tc>
          <w:tcPr>
            <w:tcW w:w="2199" w:type="dxa"/>
          </w:tcPr>
          <w:p w14:paraId="57785C3C">
            <w:pPr>
              <w:adjustRightInd w:val="0"/>
              <w:snapToGrid w:val="0"/>
              <w:spacing w:line="400" w:lineRule="atLeast"/>
              <w:ind w:firstLine="420"/>
              <w:jc w:val="center"/>
              <w:rPr>
                <w:rFonts w:ascii="Arial" w:hAnsi="Arial" w:cs="Arial"/>
                <w:szCs w:val="21"/>
              </w:rPr>
            </w:pPr>
          </w:p>
        </w:tc>
      </w:tr>
      <w:tr w14:paraId="263A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9AF725F">
            <w:pPr>
              <w:adjustRightInd w:val="0"/>
              <w:snapToGrid w:val="0"/>
              <w:spacing w:line="400" w:lineRule="atLeast"/>
              <w:ind w:firstLine="480"/>
              <w:jc w:val="center"/>
              <w:rPr>
                <w:rFonts w:ascii="Arial" w:hAnsi="Arial" w:cs="Arial"/>
                <w:sz w:val="24"/>
              </w:rPr>
            </w:pPr>
          </w:p>
        </w:tc>
        <w:tc>
          <w:tcPr>
            <w:tcW w:w="1388" w:type="dxa"/>
          </w:tcPr>
          <w:p w14:paraId="7B38BCA8">
            <w:pPr>
              <w:adjustRightInd w:val="0"/>
              <w:snapToGrid w:val="0"/>
              <w:spacing w:line="400" w:lineRule="atLeast"/>
              <w:ind w:firstLine="480"/>
              <w:jc w:val="center"/>
              <w:rPr>
                <w:rFonts w:ascii="Arial" w:hAnsi="Arial" w:cs="Arial"/>
                <w:sz w:val="24"/>
              </w:rPr>
            </w:pPr>
          </w:p>
        </w:tc>
        <w:tc>
          <w:tcPr>
            <w:tcW w:w="1163" w:type="dxa"/>
          </w:tcPr>
          <w:p w14:paraId="165F3FC8">
            <w:pPr>
              <w:adjustRightInd w:val="0"/>
              <w:snapToGrid w:val="0"/>
              <w:spacing w:line="400" w:lineRule="atLeast"/>
              <w:ind w:firstLine="480"/>
              <w:jc w:val="center"/>
              <w:rPr>
                <w:rFonts w:ascii="Arial" w:hAnsi="Arial" w:cs="Arial"/>
                <w:sz w:val="24"/>
              </w:rPr>
            </w:pPr>
          </w:p>
        </w:tc>
        <w:tc>
          <w:tcPr>
            <w:tcW w:w="1704" w:type="dxa"/>
          </w:tcPr>
          <w:p w14:paraId="3A8A25C2">
            <w:pPr>
              <w:adjustRightInd w:val="0"/>
              <w:snapToGrid w:val="0"/>
              <w:spacing w:line="400" w:lineRule="atLeast"/>
              <w:ind w:firstLine="480"/>
              <w:jc w:val="center"/>
              <w:rPr>
                <w:rFonts w:ascii="Arial" w:hAnsi="Arial" w:cs="Arial"/>
                <w:sz w:val="24"/>
              </w:rPr>
            </w:pPr>
          </w:p>
        </w:tc>
        <w:tc>
          <w:tcPr>
            <w:tcW w:w="2199" w:type="dxa"/>
          </w:tcPr>
          <w:p w14:paraId="29EF6FFB">
            <w:pPr>
              <w:adjustRightInd w:val="0"/>
              <w:snapToGrid w:val="0"/>
              <w:spacing w:line="400" w:lineRule="atLeast"/>
              <w:ind w:firstLine="480"/>
              <w:jc w:val="center"/>
              <w:rPr>
                <w:rFonts w:ascii="Arial" w:hAnsi="Arial" w:cs="Arial"/>
                <w:sz w:val="24"/>
              </w:rPr>
            </w:pPr>
          </w:p>
        </w:tc>
      </w:tr>
      <w:tr w14:paraId="0219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864F5CF">
            <w:pPr>
              <w:adjustRightInd w:val="0"/>
              <w:snapToGrid w:val="0"/>
              <w:spacing w:line="400" w:lineRule="atLeast"/>
              <w:ind w:firstLine="480"/>
              <w:jc w:val="center"/>
              <w:rPr>
                <w:rFonts w:ascii="Arial" w:hAnsi="Arial" w:cs="Arial"/>
                <w:sz w:val="24"/>
              </w:rPr>
            </w:pPr>
          </w:p>
        </w:tc>
        <w:tc>
          <w:tcPr>
            <w:tcW w:w="1388" w:type="dxa"/>
          </w:tcPr>
          <w:p w14:paraId="4BA7C295">
            <w:pPr>
              <w:adjustRightInd w:val="0"/>
              <w:snapToGrid w:val="0"/>
              <w:spacing w:line="400" w:lineRule="atLeast"/>
              <w:ind w:firstLine="480"/>
              <w:jc w:val="center"/>
              <w:rPr>
                <w:rFonts w:ascii="Arial" w:hAnsi="Arial" w:cs="Arial"/>
                <w:sz w:val="24"/>
              </w:rPr>
            </w:pPr>
          </w:p>
        </w:tc>
        <w:tc>
          <w:tcPr>
            <w:tcW w:w="1163" w:type="dxa"/>
          </w:tcPr>
          <w:p w14:paraId="7319B31C">
            <w:pPr>
              <w:adjustRightInd w:val="0"/>
              <w:snapToGrid w:val="0"/>
              <w:spacing w:line="400" w:lineRule="atLeast"/>
              <w:ind w:firstLine="480"/>
              <w:jc w:val="center"/>
              <w:rPr>
                <w:rFonts w:ascii="Arial" w:hAnsi="Arial" w:cs="Arial"/>
                <w:sz w:val="24"/>
              </w:rPr>
            </w:pPr>
          </w:p>
        </w:tc>
        <w:tc>
          <w:tcPr>
            <w:tcW w:w="1704" w:type="dxa"/>
          </w:tcPr>
          <w:p w14:paraId="43420BDC">
            <w:pPr>
              <w:adjustRightInd w:val="0"/>
              <w:snapToGrid w:val="0"/>
              <w:spacing w:line="400" w:lineRule="atLeast"/>
              <w:ind w:firstLine="480"/>
              <w:jc w:val="center"/>
              <w:rPr>
                <w:rFonts w:ascii="Arial" w:hAnsi="Arial" w:cs="Arial"/>
                <w:sz w:val="24"/>
              </w:rPr>
            </w:pPr>
          </w:p>
        </w:tc>
        <w:tc>
          <w:tcPr>
            <w:tcW w:w="2199" w:type="dxa"/>
          </w:tcPr>
          <w:p w14:paraId="307C5496">
            <w:pPr>
              <w:adjustRightInd w:val="0"/>
              <w:snapToGrid w:val="0"/>
              <w:spacing w:line="400" w:lineRule="atLeast"/>
              <w:ind w:firstLine="480"/>
              <w:jc w:val="center"/>
              <w:rPr>
                <w:rFonts w:ascii="Arial" w:hAnsi="Arial" w:cs="Arial"/>
                <w:sz w:val="24"/>
              </w:rPr>
            </w:pPr>
          </w:p>
        </w:tc>
      </w:tr>
      <w:tr w14:paraId="0BC8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71179DB">
            <w:pPr>
              <w:adjustRightInd w:val="0"/>
              <w:snapToGrid w:val="0"/>
              <w:spacing w:line="400" w:lineRule="atLeast"/>
              <w:ind w:firstLine="480"/>
              <w:jc w:val="center"/>
              <w:rPr>
                <w:rFonts w:ascii="Arial" w:hAnsi="Arial" w:cs="Arial"/>
                <w:sz w:val="24"/>
              </w:rPr>
            </w:pPr>
          </w:p>
        </w:tc>
        <w:tc>
          <w:tcPr>
            <w:tcW w:w="1388" w:type="dxa"/>
          </w:tcPr>
          <w:p w14:paraId="54173827">
            <w:pPr>
              <w:adjustRightInd w:val="0"/>
              <w:snapToGrid w:val="0"/>
              <w:spacing w:line="400" w:lineRule="atLeast"/>
              <w:ind w:firstLine="480"/>
              <w:jc w:val="center"/>
              <w:rPr>
                <w:rFonts w:ascii="Arial" w:hAnsi="Arial" w:cs="Arial"/>
                <w:sz w:val="24"/>
              </w:rPr>
            </w:pPr>
          </w:p>
        </w:tc>
        <w:tc>
          <w:tcPr>
            <w:tcW w:w="1163" w:type="dxa"/>
          </w:tcPr>
          <w:p w14:paraId="4B420D8A">
            <w:pPr>
              <w:adjustRightInd w:val="0"/>
              <w:snapToGrid w:val="0"/>
              <w:spacing w:line="400" w:lineRule="atLeast"/>
              <w:ind w:firstLine="480"/>
              <w:jc w:val="center"/>
              <w:rPr>
                <w:rFonts w:ascii="Arial" w:hAnsi="Arial" w:cs="Arial"/>
                <w:sz w:val="24"/>
              </w:rPr>
            </w:pPr>
          </w:p>
        </w:tc>
        <w:tc>
          <w:tcPr>
            <w:tcW w:w="1704" w:type="dxa"/>
          </w:tcPr>
          <w:p w14:paraId="0BA421FF">
            <w:pPr>
              <w:adjustRightInd w:val="0"/>
              <w:snapToGrid w:val="0"/>
              <w:spacing w:line="400" w:lineRule="atLeast"/>
              <w:ind w:firstLine="480"/>
              <w:jc w:val="center"/>
              <w:rPr>
                <w:rFonts w:ascii="Arial" w:hAnsi="Arial" w:cs="Arial"/>
                <w:sz w:val="24"/>
              </w:rPr>
            </w:pPr>
          </w:p>
        </w:tc>
        <w:tc>
          <w:tcPr>
            <w:tcW w:w="2199" w:type="dxa"/>
          </w:tcPr>
          <w:p w14:paraId="54B870B5">
            <w:pPr>
              <w:adjustRightInd w:val="0"/>
              <w:snapToGrid w:val="0"/>
              <w:spacing w:line="400" w:lineRule="atLeast"/>
              <w:ind w:firstLine="480"/>
              <w:jc w:val="center"/>
              <w:rPr>
                <w:rFonts w:ascii="Arial" w:hAnsi="Arial" w:cs="Arial"/>
                <w:sz w:val="24"/>
              </w:rPr>
            </w:pPr>
          </w:p>
        </w:tc>
      </w:tr>
      <w:tr w14:paraId="0663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B66D9F4">
            <w:pPr>
              <w:adjustRightInd w:val="0"/>
              <w:snapToGrid w:val="0"/>
              <w:spacing w:line="400" w:lineRule="atLeast"/>
              <w:ind w:firstLine="480"/>
              <w:jc w:val="center"/>
              <w:rPr>
                <w:rFonts w:ascii="Arial" w:hAnsi="Arial" w:cs="Arial"/>
                <w:sz w:val="24"/>
              </w:rPr>
            </w:pPr>
          </w:p>
        </w:tc>
        <w:tc>
          <w:tcPr>
            <w:tcW w:w="1388" w:type="dxa"/>
          </w:tcPr>
          <w:p w14:paraId="0B624FAD">
            <w:pPr>
              <w:adjustRightInd w:val="0"/>
              <w:snapToGrid w:val="0"/>
              <w:spacing w:line="400" w:lineRule="atLeast"/>
              <w:ind w:firstLine="480"/>
              <w:jc w:val="center"/>
              <w:rPr>
                <w:rFonts w:ascii="Arial" w:hAnsi="Arial" w:cs="Arial"/>
                <w:sz w:val="24"/>
              </w:rPr>
            </w:pPr>
          </w:p>
        </w:tc>
        <w:tc>
          <w:tcPr>
            <w:tcW w:w="1163" w:type="dxa"/>
          </w:tcPr>
          <w:p w14:paraId="7E43A984">
            <w:pPr>
              <w:adjustRightInd w:val="0"/>
              <w:snapToGrid w:val="0"/>
              <w:spacing w:line="400" w:lineRule="atLeast"/>
              <w:ind w:firstLine="480"/>
              <w:jc w:val="center"/>
              <w:rPr>
                <w:rFonts w:ascii="Arial" w:hAnsi="Arial" w:cs="Arial"/>
                <w:sz w:val="24"/>
              </w:rPr>
            </w:pPr>
          </w:p>
        </w:tc>
        <w:tc>
          <w:tcPr>
            <w:tcW w:w="1704" w:type="dxa"/>
          </w:tcPr>
          <w:p w14:paraId="31A83D83">
            <w:pPr>
              <w:adjustRightInd w:val="0"/>
              <w:snapToGrid w:val="0"/>
              <w:spacing w:line="400" w:lineRule="atLeast"/>
              <w:ind w:firstLine="480"/>
              <w:jc w:val="center"/>
              <w:rPr>
                <w:rFonts w:ascii="Arial" w:hAnsi="Arial" w:cs="Arial"/>
                <w:sz w:val="24"/>
              </w:rPr>
            </w:pPr>
          </w:p>
        </w:tc>
        <w:tc>
          <w:tcPr>
            <w:tcW w:w="2199" w:type="dxa"/>
          </w:tcPr>
          <w:p w14:paraId="4F3EC695">
            <w:pPr>
              <w:adjustRightInd w:val="0"/>
              <w:snapToGrid w:val="0"/>
              <w:spacing w:line="400" w:lineRule="atLeast"/>
              <w:ind w:firstLine="480"/>
              <w:jc w:val="center"/>
              <w:rPr>
                <w:rFonts w:ascii="Arial" w:hAnsi="Arial" w:cs="Arial"/>
                <w:sz w:val="24"/>
              </w:rPr>
            </w:pPr>
          </w:p>
        </w:tc>
      </w:tr>
      <w:tr w14:paraId="3C1B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721AE3E8">
            <w:pPr>
              <w:adjustRightInd w:val="0"/>
              <w:snapToGrid w:val="0"/>
              <w:spacing w:line="400" w:lineRule="atLeast"/>
              <w:ind w:firstLine="480"/>
              <w:jc w:val="center"/>
              <w:rPr>
                <w:rFonts w:ascii="Arial" w:hAnsi="Arial" w:cs="Arial"/>
                <w:sz w:val="24"/>
              </w:rPr>
            </w:pPr>
          </w:p>
        </w:tc>
        <w:tc>
          <w:tcPr>
            <w:tcW w:w="1388" w:type="dxa"/>
          </w:tcPr>
          <w:p w14:paraId="3F2129F8">
            <w:pPr>
              <w:adjustRightInd w:val="0"/>
              <w:snapToGrid w:val="0"/>
              <w:spacing w:line="400" w:lineRule="atLeast"/>
              <w:ind w:firstLine="480"/>
              <w:jc w:val="center"/>
              <w:rPr>
                <w:rFonts w:ascii="Arial" w:hAnsi="Arial" w:cs="Arial"/>
                <w:sz w:val="24"/>
              </w:rPr>
            </w:pPr>
          </w:p>
        </w:tc>
        <w:tc>
          <w:tcPr>
            <w:tcW w:w="1163" w:type="dxa"/>
          </w:tcPr>
          <w:p w14:paraId="02EE13F7">
            <w:pPr>
              <w:adjustRightInd w:val="0"/>
              <w:snapToGrid w:val="0"/>
              <w:spacing w:line="400" w:lineRule="atLeast"/>
              <w:ind w:firstLine="480"/>
              <w:jc w:val="center"/>
              <w:rPr>
                <w:rFonts w:ascii="Arial" w:hAnsi="Arial" w:cs="Arial"/>
                <w:sz w:val="24"/>
              </w:rPr>
            </w:pPr>
          </w:p>
        </w:tc>
        <w:tc>
          <w:tcPr>
            <w:tcW w:w="1704" w:type="dxa"/>
          </w:tcPr>
          <w:p w14:paraId="4398E3C6">
            <w:pPr>
              <w:adjustRightInd w:val="0"/>
              <w:snapToGrid w:val="0"/>
              <w:spacing w:line="400" w:lineRule="atLeast"/>
              <w:ind w:firstLine="480"/>
              <w:jc w:val="center"/>
              <w:rPr>
                <w:rFonts w:ascii="Arial" w:hAnsi="Arial" w:cs="Arial"/>
                <w:sz w:val="24"/>
              </w:rPr>
            </w:pPr>
          </w:p>
        </w:tc>
        <w:tc>
          <w:tcPr>
            <w:tcW w:w="2199" w:type="dxa"/>
          </w:tcPr>
          <w:p w14:paraId="3887FF70">
            <w:pPr>
              <w:adjustRightInd w:val="0"/>
              <w:snapToGrid w:val="0"/>
              <w:spacing w:line="400" w:lineRule="atLeast"/>
              <w:ind w:firstLine="480"/>
              <w:jc w:val="center"/>
              <w:rPr>
                <w:rFonts w:ascii="Arial" w:hAnsi="Arial" w:cs="Arial"/>
                <w:sz w:val="24"/>
              </w:rPr>
            </w:pPr>
          </w:p>
        </w:tc>
      </w:tr>
      <w:tr w14:paraId="51C5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D6AE064">
            <w:pPr>
              <w:adjustRightInd w:val="0"/>
              <w:snapToGrid w:val="0"/>
              <w:spacing w:line="400" w:lineRule="atLeast"/>
              <w:ind w:firstLine="480"/>
              <w:jc w:val="center"/>
              <w:rPr>
                <w:rFonts w:ascii="Arial" w:hAnsi="Arial" w:cs="Arial"/>
                <w:sz w:val="24"/>
              </w:rPr>
            </w:pPr>
          </w:p>
        </w:tc>
        <w:tc>
          <w:tcPr>
            <w:tcW w:w="1388" w:type="dxa"/>
          </w:tcPr>
          <w:p w14:paraId="6800DED7">
            <w:pPr>
              <w:adjustRightInd w:val="0"/>
              <w:snapToGrid w:val="0"/>
              <w:spacing w:line="400" w:lineRule="atLeast"/>
              <w:ind w:firstLine="480"/>
              <w:jc w:val="center"/>
              <w:rPr>
                <w:rFonts w:ascii="Arial" w:hAnsi="Arial" w:cs="Arial"/>
                <w:sz w:val="24"/>
              </w:rPr>
            </w:pPr>
          </w:p>
        </w:tc>
        <w:tc>
          <w:tcPr>
            <w:tcW w:w="1163" w:type="dxa"/>
          </w:tcPr>
          <w:p w14:paraId="5D562505">
            <w:pPr>
              <w:adjustRightInd w:val="0"/>
              <w:snapToGrid w:val="0"/>
              <w:spacing w:line="400" w:lineRule="atLeast"/>
              <w:ind w:firstLine="480"/>
              <w:jc w:val="center"/>
              <w:rPr>
                <w:rFonts w:ascii="Arial" w:hAnsi="Arial" w:cs="Arial"/>
                <w:sz w:val="24"/>
              </w:rPr>
            </w:pPr>
          </w:p>
        </w:tc>
        <w:tc>
          <w:tcPr>
            <w:tcW w:w="1704" w:type="dxa"/>
          </w:tcPr>
          <w:p w14:paraId="498EC9A1">
            <w:pPr>
              <w:adjustRightInd w:val="0"/>
              <w:snapToGrid w:val="0"/>
              <w:spacing w:line="400" w:lineRule="atLeast"/>
              <w:ind w:firstLine="480"/>
              <w:jc w:val="center"/>
              <w:rPr>
                <w:rFonts w:ascii="Arial" w:hAnsi="Arial" w:cs="Arial"/>
                <w:sz w:val="24"/>
              </w:rPr>
            </w:pPr>
          </w:p>
        </w:tc>
        <w:tc>
          <w:tcPr>
            <w:tcW w:w="2199" w:type="dxa"/>
          </w:tcPr>
          <w:p w14:paraId="181F316B">
            <w:pPr>
              <w:adjustRightInd w:val="0"/>
              <w:snapToGrid w:val="0"/>
              <w:spacing w:line="400" w:lineRule="atLeast"/>
              <w:ind w:firstLine="480"/>
              <w:jc w:val="center"/>
              <w:rPr>
                <w:rFonts w:ascii="Arial" w:hAnsi="Arial" w:cs="Arial"/>
                <w:sz w:val="24"/>
              </w:rPr>
            </w:pPr>
          </w:p>
        </w:tc>
      </w:tr>
      <w:tr w14:paraId="3536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09BEA2C">
            <w:pPr>
              <w:adjustRightInd w:val="0"/>
              <w:snapToGrid w:val="0"/>
              <w:spacing w:line="400" w:lineRule="atLeast"/>
              <w:ind w:firstLine="480"/>
              <w:jc w:val="center"/>
              <w:rPr>
                <w:rFonts w:ascii="Arial" w:hAnsi="Arial" w:cs="Arial"/>
                <w:sz w:val="24"/>
              </w:rPr>
            </w:pPr>
          </w:p>
        </w:tc>
        <w:tc>
          <w:tcPr>
            <w:tcW w:w="1388" w:type="dxa"/>
          </w:tcPr>
          <w:p w14:paraId="2E7A0C93">
            <w:pPr>
              <w:adjustRightInd w:val="0"/>
              <w:snapToGrid w:val="0"/>
              <w:spacing w:line="400" w:lineRule="atLeast"/>
              <w:ind w:firstLine="480"/>
              <w:jc w:val="center"/>
              <w:rPr>
                <w:rFonts w:ascii="Arial" w:hAnsi="Arial" w:cs="Arial"/>
                <w:sz w:val="24"/>
              </w:rPr>
            </w:pPr>
          </w:p>
        </w:tc>
        <w:tc>
          <w:tcPr>
            <w:tcW w:w="1163" w:type="dxa"/>
          </w:tcPr>
          <w:p w14:paraId="4EAA0E45">
            <w:pPr>
              <w:adjustRightInd w:val="0"/>
              <w:snapToGrid w:val="0"/>
              <w:spacing w:line="400" w:lineRule="atLeast"/>
              <w:ind w:firstLine="480"/>
              <w:jc w:val="center"/>
              <w:rPr>
                <w:rFonts w:ascii="Arial" w:hAnsi="Arial" w:cs="Arial"/>
                <w:sz w:val="24"/>
              </w:rPr>
            </w:pPr>
          </w:p>
        </w:tc>
        <w:tc>
          <w:tcPr>
            <w:tcW w:w="1704" w:type="dxa"/>
          </w:tcPr>
          <w:p w14:paraId="473FF541">
            <w:pPr>
              <w:adjustRightInd w:val="0"/>
              <w:snapToGrid w:val="0"/>
              <w:spacing w:line="400" w:lineRule="atLeast"/>
              <w:ind w:firstLine="480"/>
              <w:jc w:val="center"/>
              <w:rPr>
                <w:rFonts w:ascii="Arial" w:hAnsi="Arial" w:cs="Arial"/>
                <w:sz w:val="24"/>
              </w:rPr>
            </w:pPr>
          </w:p>
        </w:tc>
        <w:tc>
          <w:tcPr>
            <w:tcW w:w="2199" w:type="dxa"/>
          </w:tcPr>
          <w:p w14:paraId="73A8DF44">
            <w:pPr>
              <w:adjustRightInd w:val="0"/>
              <w:snapToGrid w:val="0"/>
              <w:spacing w:line="400" w:lineRule="atLeast"/>
              <w:ind w:firstLine="480"/>
              <w:jc w:val="center"/>
              <w:rPr>
                <w:rFonts w:ascii="Arial" w:hAnsi="Arial" w:cs="Arial"/>
                <w:sz w:val="24"/>
              </w:rPr>
            </w:pPr>
          </w:p>
        </w:tc>
      </w:tr>
      <w:tr w14:paraId="5D66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0ECB0F5">
            <w:pPr>
              <w:adjustRightInd w:val="0"/>
              <w:snapToGrid w:val="0"/>
              <w:spacing w:line="400" w:lineRule="atLeast"/>
              <w:ind w:firstLine="480"/>
              <w:jc w:val="center"/>
              <w:rPr>
                <w:rFonts w:ascii="Arial" w:hAnsi="Arial" w:cs="Arial"/>
                <w:sz w:val="24"/>
              </w:rPr>
            </w:pPr>
          </w:p>
        </w:tc>
        <w:tc>
          <w:tcPr>
            <w:tcW w:w="1388" w:type="dxa"/>
          </w:tcPr>
          <w:p w14:paraId="059D0B3A">
            <w:pPr>
              <w:adjustRightInd w:val="0"/>
              <w:snapToGrid w:val="0"/>
              <w:spacing w:line="400" w:lineRule="atLeast"/>
              <w:ind w:firstLine="480"/>
              <w:jc w:val="center"/>
              <w:rPr>
                <w:rFonts w:ascii="Arial" w:hAnsi="Arial" w:cs="Arial"/>
                <w:sz w:val="24"/>
              </w:rPr>
            </w:pPr>
          </w:p>
        </w:tc>
        <w:tc>
          <w:tcPr>
            <w:tcW w:w="1163" w:type="dxa"/>
          </w:tcPr>
          <w:p w14:paraId="7A3B0330">
            <w:pPr>
              <w:adjustRightInd w:val="0"/>
              <w:snapToGrid w:val="0"/>
              <w:spacing w:line="400" w:lineRule="atLeast"/>
              <w:ind w:firstLine="480"/>
              <w:jc w:val="center"/>
              <w:rPr>
                <w:rFonts w:ascii="Arial" w:hAnsi="Arial" w:cs="Arial"/>
                <w:sz w:val="24"/>
              </w:rPr>
            </w:pPr>
          </w:p>
        </w:tc>
        <w:tc>
          <w:tcPr>
            <w:tcW w:w="1704" w:type="dxa"/>
          </w:tcPr>
          <w:p w14:paraId="449F2A0B">
            <w:pPr>
              <w:adjustRightInd w:val="0"/>
              <w:snapToGrid w:val="0"/>
              <w:spacing w:line="400" w:lineRule="atLeast"/>
              <w:ind w:firstLine="480"/>
              <w:jc w:val="center"/>
              <w:rPr>
                <w:rFonts w:ascii="Arial" w:hAnsi="Arial" w:cs="Arial"/>
                <w:sz w:val="24"/>
              </w:rPr>
            </w:pPr>
          </w:p>
        </w:tc>
        <w:tc>
          <w:tcPr>
            <w:tcW w:w="2199" w:type="dxa"/>
          </w:tcPr>
          <w:p w14:paraId="7AE70191">
            <w:pPr>
              <w:adjustRightInd w:val="0"/>
              <w:snapToGrid w:val="0"/>
              <w:spacing w:line="400" w:lineRule="atLeast"/>
              <w:ind w:firstLine="480"/>
              <w:jc w:val="center"/>
              <w:rPr>
                <w:rFonts w:ascii="Arial" w:hAnsi="Arial" w:cs="Arial"/>
                <w:sz w:val="24"/>
              </w:rPr>
            </w:pPr>
          </w:p>
        </w:tc>
      </w:tr>
      <w:tr w14:paraId="218A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7F9A5F81">
            <w:pPr>
              <w:adjustRightInd w:val="0"/>
              <w:snapToGrid w:val="0"/>
              <w:spacing w:line="400" w:lineRule="atLeast"/>
              <w:ind w:firstLine="480"/>
              <w:jc w:val="center"/>
              <w:rPr>
                <w:rFonts w:ascii="Arial" w:hAnsi="Arial" w:cs="Arial"/>
                <w:sz w:val="24"/>
              </w:rPr>
            </w:pPr>
          </w:p>
        </w:tc>
        <w:tc>
          <w:tcPr>
            <w:tcW w:w="1388" w:type="dxa"/>
          </w:tcPr>
          <w:p w14:paraId="49F5A93E">
            <w:pPr>
              <w:adjustRightInd w:val="0"/>
              <w:snapToGrid w:val="0"/>
              <w:spacing w:line="400" w:lineRule="atLeast"/>
              <w:ind w:firstLine="480"/>
              <w:jc w:val="center"/>
              <w:rPr>
                <w:rFonts w:ascii="Arial" w:hAnsi="Arial" w:cs="Arial"/>
                <w:sz w:val="24"/>
              </w:rPr>
            </w:pPr>
          </w:p>
        </w:tc>
        <w:tc>
          <w:tcPr>
            <w:tcW w:w="1163" w:type="dxa"/>
          </w:tcPr>
          <w:p w14:paraId="3AFBC55D">
            <w:pPr>
              <w:adjustRightInd w:val="0"/>
              <w:snapToGrid w:val="0"/>
              <w:spacing w:line="400" w:lineRule="atLeast"/>
              <w:ind w:firstLine="480"/>
              <w:jc w:val="center"/>
              <w:rPr>
                <w:rFonts w:ascii="Arial" w:hAnsi="Arial" w:cs="Arial"/>
                <w:sz w:val="24"/>
              </w:rPr>
            </w:pPr>
          </w:p>
        </w:tc>
        <w:tc>
          <w:tcPr>
            <w:tcW w:w="1704" w:type="dxa"/>
          </w:tcPr>
          <w:p w14:paraId="5F737080">
            <w:pPr>
              <w:adjustRightInd w:val="0"/>
              <w:snapToGrid w:val="0"/>
              <w:spacing w:line="400" w:lineRule="atLeast"/>
              <w:ind w:firstLine="480"/>
              <w:jc w:val="center"/>
              <w:rPr>
                <w:rFonts w:ascii="Arial" w:hAnsi="Arial" w:cs="Arial"/>
                <w:sz w:val="24"/>
              </w:rPr>
            </w:pPr>
          </w:p>
        </w:tc>
        <w:tc>
          <w:tcPr>
            <w:tcW w:w="2199" w:type="dxa"/>
          </w:tcPr>
          <w:p w14:paraId="79FEA485">
            <w:pPr>
              <w:adjustRightInd w:val="0"/>
              <w:snapToGrid w:val="0"/>
              <w:spacing w:line="400" w:lineRule="atLeast"/>
              <w:ind w:firstLine="480"/>
              <w:jc w:val="center"/>
              <w:rPr>
                <w:rFonts w:ascii="Arial" w:hAnsi="Arial" w:cs="Arial"/>
                <w:sz w:val="24"/>
              </w:rPr>
            </w:pPr>
          </w:p>
        </w:tc>
      </w:tr>
      <w:tr w14:paraId="4B7C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9BE2031">
            <w:pPr>
              <w:adjustRightInd w:val="0"/>
              <w:snapToGrid w:val="0"/>
              <w:spacing w:line="400" w:lineRule="atLeast"/>
              <w:ind w:firstLine="480"/>
              <w:jc w:val="center"/>
              <w:rPr>
                <w:rFonts w:ascii="Arial" w:hAnsi="Arial" w:cs="Arial"/>
                <w:sz w:val="24"/>
              </w:rPr>
            </w:pPr>
          </w:p>
        </w:tc>
        <w:tc>
          <w:tcPr>
            <w:tcW w:w="1388" w:type="dxa"/>
          </w:tcPr>
          <w:p w14:paraId="73978AE6">
            <w:pPr>
              <w:adjustRightInd w:val="0"/>
              <w:snapToGrid w:val="0"/>
              <w:spacing w:line="400" w:lineRule="atLeast"/>
              <w:ind w:firstLine="480"/>
              <w:jc w:val="center"/>
              <w:rPr>
                <w:rFonts w:ascii="Arial" w:hAnsi="Arial" w:cs="Arial"/>
                <w:sz w:val="24"/>
              </w:rPr>
            </w:pPr>
          </w:p>
        </w:tc>
        <w:tc>
          <w:tcPr>
            <w:tcW w:w="1163" w:type="dxa"/>
          </w:tcPr>
          <w:p w14:paraId="28914540">
            <w:pPr>
              <w:adjustRightInd w:val="0"/>
              <w:snapToGrid w:val="0"/>
              <w:spacing w:line="400" w:lineRule="atLeast"/>
              <w:ind w:firstLine="480"/>
              <w:jc w:val="center"/>
              <w:rPr>
                <w:rFonts w:ascii="Arial" w:hAnsi="Arial" w:cs="Arial"/>
                <w:sz w:val="24"/>
              </w:rPr>
            </w:pPr>
          </w:p>
        </w:tc>
        <w:tc>
          <w:tcPr>
            <w:tcW w:w="1704" w:type="dxa"/>
          </w:tcPr>
          <w:p w14:paraId="4CD27FFE">
            <w:pPr>
              <w:adjustRightInd w:val="0"/>
              <w:snapToGrid w:val="0"/>
              <w:spacing w:line="400" w:lineRule="atLeast"/>
              <w:ind w:firstLine="480"/>
              <w:jc w:val="center"/>
              <w:rPr>
                <w:rFonts w:ascii="Arial" w:hAnsi="Arial" w:cs="Arial"/>
                <w:sz w:val="24"/>
              </w:rPr>
            </w:pPr>
          </w:p>
        </w:tc>
        <w:tc>
          <w:tcPr>
            <w:tcW w:w="2199" w:type="dxa"/>
          </w:tcPr>
          <w:p w14:paraId="025F73D9">
            <w:pPr>
              <w:adjustRightInd w:val="0"/>
              <w:snapToGrid w:val="0"/>
              <w:spacing w:line="400" w:lineRule="atLeast"/>
              <w:ind w:firstLine="480"/>
              <w:jc w:val="center"/>
              <w:rPr>
                <w:rFonts w:ascii="Arial" w:hAnsi="Arial" w:cs="Arial"/>
                <w:sz w:val="24"/>
              </w:rPr>
            </w:pPr>
          </w:p>
        </w:tc>
      </w:tr>
      <w:tr w14:paraId="3A7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7A30B1F">
            <w:pPr>
              <w:adjustRightInd w:val="0"/>
              <w:snapToGrid w:val="0"/>
              <w:spacing w:line="400" w:lineRule="atLeast"/>
              <w:ind w:firstLine="480"/>
              <w:jc w:val="center"/>
              <w:rPr>
                <w:rFonts w:ascii="Arial" w:hAnsi="Arial" w:cs="Arial"/>
                <w:sz w:val="24"/>
              </w:rPr>
            </w:pPr>
          </w:p>
        </w:tc>
        <w:tc>
          <w:tcPr>
            <w:tcW w:w="1388" w:type="dxa"/>
          </w:tcPr>
          <w:p w14:paraId="17B00F2D">
            <w:pPr>
              <w:adjustRightInd w:val="0"/>
              <w:snapToGrid w:val="0"/>
              <w:spacing w:line="400" w:lineRule="atLeast"/>
              <w:ind w:firstLine="480"/>
              <w:jc w:val="center"/>
              <w:rPr>
                <w:rFonts w:ascii="Arial" w:hAnsi="Arial" w:cs="Arial"/>
                <w:sz w:val="24"/>
              </w:rPr>
            </w:pPr>
          </w:p>
        </w:tc>
        <w:tc>
          <w:tcPr>
            <w:tcW w:w="1163" w:type="dxa"/>
          </w:tcPr>
          <w:p w14:paraId="00259CF7">
            <w:pPr>
              <w:adjustRightInd w:val="0"/>
              <w:snapToGrid w:val="0"/>
              <w:spacing w:line="400" w:lineRule="atLeast"/>
              <w:ind w:firstLine="480"/>
              <w:jc w:val="center"/>
              <w:rPr>
                <w:rFonts w:ascii="Arial" w:hAnsi="Arial" w:cs="Arial"/>
                <w:sz w:val="24"/>
              </w:rPr>
            </w:pPr>
          </w:p>
        </w:tc>
        <w:tc>
          <w:tcPr>
            <w:tcW w:w="1704" w:type="dxa"/>
          </w:tcPr>
          <w:p w14:paraId="160954E6">
            <w:pPr>
              <w:adjustRightInd w:val="0"/>
              <w:snapToGrid w:val="0"/>
              <w:spacing w:line="400" w:lineRule="atLeast"/>
              <w:ind w:firstLine="480"/>
              <w:jc w:val="center"/>
              <w:rPr>
                <w:rFonts w:ascii="Arial" w:hAnsi="Arial" w:cs="Arial"/>
                <w:sz w:val="24"/>
              </w:rPr>
            </w:pPr>
          </w:p>
        </w:tc>
        <w:tc>
          <w:tcPr>
            <w:tcW w:w="2199" w:type="dxa"/>
          </w:tcPr>
          <w:p w14:paraId="6C401BCA">
            <w:pPr>
              <w:adjustRightInd w:val="0"/>
              <w:snapToGrid w:val="0"/>
              <w:spacing w:line="400" w:lineRule="atLeast"/>
              <w:ind w:firstLine="480"/>
              <w:jc w:val="center"/>
              <w:rPr>
                <w:rFonts w:ascii="Arial" w:hAnsi="Arial" w:cs="Arial"/>
                <w:sz w:val="24"/>
              </w:rPr>
            </w:pPr>
          </w:p>
        </w:tc>
      </w:tr>
      <w:tr w14:paraId="55A7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19EACE7">
            <w:pPr>
              <w:adjustRightInd w:val="0"/>
              <w:snapToGrid w:val="0"/>
              <w:spacing w:line="400" w:lineRule="atLeast"/>
              <w:ind w:firstLine="480"/>
              <w:jc w:val="center"/>
              <w:rPr>
                <w:rFonts w:ascii="Arial" w:hAnsi="Arial" w:cs="Arial"/>
                <w:sz w:val="24"/>
              </w:rPr>
            </w:pPr>
          </w:p>
        </w:tc>
        <w:tc>
          <w:tcPr>
            <w:tcW w:w="1388" w:type="dxa"/>
          </w:tcPr>
          <w:p w14:paraId="102CAA77">
            <w:pPr>
              <w:adjustRightInd w:val="0"/>
              <w:snapToGrid w:val="0"/>
              <w:spacing w:line="400" w:lineRule="atLeast"/>
              <w:ind w:firstLine="480"/>
              <w:jc w:val="center"/>
              <w:rPr>
                <w:rFonts w:ascii="Arial" w:hAnsi="Arial" w:cs="Arial"/>
                <w:sz w:val="24"/>
              </w:rPr>
            </w:pPr>
          </w:p>
        </w:tc>
        <w:tc>
          <w:tcPr>
            <w:tcW w:w="1163" w:type="dxa"/>
          </w:tcPr>
          <w:p w14:paraId="2216BD6B">
            <w:pPr>
              <w:adjustRightInd w:val="0"/>
              <w:snapToGrid w:val="0"/>
              <w:spacing w:line="400" w:lineRule="atLeast"/>
              <w:ind w:firstLine="480"/>
              <w:jc w:val="center"/>
              <w:rPr>
                <w:rFonts w:ascii="Arial" w:hAnsi="Arial" w:cs="Arial"/>
                <w:sz w:val="24"/>
              </w:rPr>
            </w:pPr>
          </w:p>
        </w:tc>
        <w:tc>
          <w:tcPr>
            <w:tcW w:w="1704" w:type="dxa"/>
          </w:tcPr>
          <w:p w14:paraId="3DD68AAA">
            <w:pPr>
              <w:adjustRightInd w:val="0"/>
              <w:snapToGrid w:val="0"/>
              <w:spacing w:line="400" w:lineRule="atLeast"/>
              <w:ind w:firstLine="480"/>
              <w:jc w:val="center"/>
              <w:rPr>
                <w:rFonts w:ascii="Arial" w:hAnsi="Arial" w:cs="Arial"/>
                <w:sz w:val="24"/>
              </w:rPr>
            </w:pPr>
          </w:p>
        </w:tc>
        <w:tc>
          <w:tcPr>
            <w:tcW w:w="2199" w:type="dxa"/>
          </w:tcPr>
          <w:p w14:paraId="63C0038D">
            <w:pPr>
              <w:adjustRightInd w:val="0"/>
              <w:snapToGrid w:val="0"/>
              <w:spacing w:line="400" w:lineRule="atLeast"/>
              <w:ind w:firstLine="480"/>
              <w:jc w:val="center"/>
              <w:rPr>
                <w:rFonts w:ascii="Arial" w:hAnsi="Arial" w:cs="Arial"/>
                <w:sz w:val="24"/>
              </w:rPr>
            </w:pPr>
          </w:p>
        </w:tc>
      </w:tr>
      <w:tr w14:paraId="26D2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DF8BECF">
            <w:pPr>
              <w:adjustRightInd w:val="0"/>
              <w:snapToGrid w:val="0"/>
              <w:spacing w:line="400" w:lineRule="atLeast"/>
              <w:ind w:firstLine="480"/>
              <w:jc w:val="center"/>
              <w:rPr>
                <w:rFonts w:ascii="Arial" w:hAnsi="Arial" w:cs="Arial"/>
                <w:sz w:val="24"/>
              </w:rPr>
            </w:pPr>
          </w:p>
        </w:tc>
        <w:tc>
          <w:tcPr>
            <w:tcW w:w="1388" w:type="dxa"/>
          </w:tcPr>
          <w:p w14:paraId="10D93D33">
            <w:pPr>
              <w:adjustRightInd w:val="0"/>
              <w:snapToGrid w:val="0"/>
              <w:spacing w:line="400" w:lineRule="atLeast"/>
              <w:ind w:firstLine="480"/>
              <w:jc w:val="center"/>
              <w:rPr>
                <w:rFonts w:ascii="Arial" w:hAnsi="Arial" w:cs="Arial"/>
                <w:sz w:val="24"/>
              </w:rPr>
            </w:pPr>
          </w:p>
        </w:tc>
        <w:tc>
          <w:tcPr>
            <w:tcW w:w="1163" w:type="dxa"/>
          </w:tcPr>
          <w:p w14:paraId="577EA1E1">
            <w:pPr>
              <w:adjustRightInd w:val="0"/>
              <w:snapToGrid w:val="0"/>
              <w:spacing w:line="400" w:lineRule="atLeast"/>
              <w:ind w:firstLine="480"/>
              <w:jc w:val="center"/>
              <w:rPr>
                <w:rFonts w:ascii="Arial" w:hAnsi="Arial" w:cs="Arial"/>
                <w:sz w:val="24"/>
              </w:rPr>
            </w:pPr>
          </w:p>
        </w:tc>
        <w:tc>
          <w:tcPr>
            <w:tcW w:w="1704" w:type="dxa"/>
          </w:tcPr>
          <w:p w14:paraId="3036ACCF">
            <w:pPr>
              <w:adjustRightInd w:val="0"/>
              <w:snapToGrid w:val="0"/>
              <w:spacing w:line="400" w:lineRule="atLeast"/>
              <w:ind w:firstLine="480"/>
              <w:jc w:val="center"/>
              <w:rPr>
                <w:rFonts w:ascii="Arial" w:hAnsi="Arial" w:cs="Arial"/>
                <w:sz w:val="24"/>
              </w:rPr>
            </w:pPr>
          </w:p>
        </w:tc>
        <w:tc>
          <w:tcPr>
            <w:tcW w:w="2199" w:type="dxa"/>
          </w:tcPr>
          <w:p w14:paraId="560835A4">
            <w:pPr>
              <w:adjustRightInd w:val="0"/>
              <w:snapToGrid w:val="0"/>
              <w:spacing w:line="400" w:lineRule="atLeast"/>
              <w:ind w:firstLine="480"/>
              <w:jc w:val="center"/>
              <w:rPr>
                <w:rFonts w:ascii="Arial" w:hAnsi="Arial" w:cs="Arial"/>
                <w:sz w:val="24"/>
              </w:rPr>
            </w:pPr>
          </w:p>
        </w:tc>
      </w:tr>
    </w:tbl>
    <w:p w14:paraId="659AAD0A">
      <w:pPr>
        <w:ind w:firstLine="210" w:firstLineChars="100"/>
        <w:rPr>
          <w:rFonts w:ascii="宋体"/>
          <w:szCs w:val="21"/>
        </w:rPr>
      </w:pPr>
      <w:r>
        <w:rPr>
          <w:rFonts w:hint="eastAsia" w:ascii="宋体" w:hAnsi="宋体"/>
          <w:szCs w:val="21"/>
        </w:rPr>
        <w:t>投标人（盖章）：</w:t>
      </w:r>
      <w:r>
        <w:rPr>
          <w:rFonts w:ascii="宋体" w:hAnsi="宋体"/>
          <w:szCs w:val="21"/>
        </w:rPr>
        <w:t xml:space="preserve">                               </w:t>
      </w:r>
    </w:p>
    <w:p w14:paraId="1D3A8636">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r>
        <w:rPr>
          <w:rFonts w:ascii="宋体" w:hAnsi="宋体"/>
          <w:szCs w:val="21"/>
        </w:rPr>
        <w:t xml:space="preserve">                        </w:t>
      </w:r>
    </w:p>
    <w:p w14:paraId="767B324F">
      <w:pPr>
        <w:ind w:firstLine="199" w:firstLineChars="95"/>
      </w:pPr>
      <w:r>
        <w:rPr>
          <w:rFonts w:hint="eastAsia" w:ascii="宋体" w:hAnsi="宋体"/>
          <w:szCs w:val="21"/>
        </w:rPr>
        <w:t>日期：</w:t>
      </w:r>
    </w:p>
    <w:p w14:paraId="56F6494D">
      <w:pPr>
        <w:pStyle w:val="2"/>
        <w:ind w:firstLine="0" w:firstLineChars="0"/>
        <w:rPr>
          <w:szCs w:val="32"/>
        </w:rPr>
        <w:sectPr>
          <w:pgSz w:w="11906" w:h="16838"/>
          <w:pgMar w:top="1247" w:right="1304" w:bottom="1020" w:left="1304" w:header="720" w:footer="720" w:gutter="0"/>
          <w:cols w:space="720" w:num="1"/>
          <w:docGrid w:type="lines" w:linePitch="312" w:charSpace="0"/>
        </w:sectPr>
      </w:pPr>
    </w:p>
    <w:p w14:paraId="298CB7A7">
      <w:pPr>
        <w:pStyle w:val="4"/>
      </w:pPr>
      <w:r>
        <w:rPr>
          <w:rFonts w:hint="eastAsia"/>
        </w:rPr>
        <w:t>附件十一  符合参加采购活动应当具备的一般条件的承诺函</w:t>
      </w:r>
    </w:p>
    <w:p w14:paraId="3DE6F96A">
      <w:pPr>
        <w:snapToGrid w:val="0"/>
        <w:ind w:firstLine="480"/>
        <w:rPr>
          <w:rFonts w:ascii="宋体" w:hAnsi="宋体" w:cs="宋体"/>
          <w:sz w:val="24"/>
        </w:rPr>
      </w:pPr>
    </w:p>
    <w:p w14:paraId="35718A82">
      <w:pPr>
        <w:snapToGrid w:val="0"/>
        <w:ind w:firstLine="420"/>
        <w:rPr>
          <w:rFonts w:ascii="宋体" w:hAnsi="宋体" w:cs="宋体"/>
          <w:szCs w:val="21"/>
        </w:rPr>
      </w:pPr>
      <w:r>
        <w:rPr>
          <w:rFonts w:hint="eastAsia" w:ascii="宋体" w:hAnsi="宋体" w:cs="宋体"/>
          <w:szCs w:val="21"/>
        </w:rPr>
        <w:t>（采购人）、（采购代理机构）：</w:t>
      </w:r>
    </w:p>
    <w:p w14:paraId="31087514">
      <w:pPr>
        <w:snapToGrid w:val="0"/>
        <w:ind w:firstLine="420"/>
        <w:rPr>
          <w:rFonts w:ascii="宋体" w:hAnsi="宋体" w:cs="宋体"/>
          <w:szCs w:val="21"/>
        </w:rPr>
      </w:pPr>
      <w:r>
        <w:rPr>
          <w:rFonts w:hint="eastAsia" w:ascii="宋体" w:hAnsi="宋体" w:cs="宋体"/>
          <w:szCs w:val="21"/>
        </w:rPr>
        <w:t>我方参与</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（采购编号）</w:t>
      </w:r>
      <w:r>
        <w:rPr>
          <w:rFonts w:hint="eastAsia" w:ascii="宋体" w:hAnsi="宋体" w:cs="宋体"/>
          <w:szCs w:val="21"/>
        </w:rPr>
        <w:t>】采购活动，郑重承诺：</w:t>
      </w:r>
    </w:p>
    <w:p w14:paraId="0E7D4574">
      <w:pPr>
        <w:snapToGrid w:val="0"/>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598FD80B">
      <w:pPr>
        <w:snapToGrid w:val="0"/>
        <w:ind w:firstLine="420"/>
        <w:rPr>
          <w:rFonts w:ascii="宋体" w:hAnsi="宋体" w:cs="宋体"/>
          <w:szCs w:val="21"/>
        </w:rPr>
      </w:pPr>
      <w:r>
        <w:rPr>
          <w:rFonts w:hint="eastAsia" w:ascii="宋体" w:hAnsi="宋体" w:cs="宋体"/>
          <w:szCs w:val="21"/>
        </w:rPr>
        <w:t>1、具有独立承担民事责任的能力；</w:t>
      </w:r>
    </w:p>
    <w:p w14:paraId="11643814">
      <w:pPr>
        <w:snapToGrid w:val="0"/>
        <w:ind w:firstLine="420"/>
        <w:rPr>
          <w:rFonts w:ascii="宋体" w:hAnsi="宋体" w:cs="宋体"/>
          <w:szCs w:val="21"/>
        </w:rPr>
      </w:pPr>
      <w:r>
        <w:rPr>
          <w:rFonts w:hint="eastAsia" w:ascii="宋体" w:hAnsi="宋体" w:cs="宋体"/>
          <w:szCs w:val="21"/>
        </w:rPr>
        <w:t xml:space="preserve">2、具有良好的商业信誉和健全的财务会计制度； </w:t>
      </w:r>
    </w:p>
    <w:p w14:paraId="473853DD">
      <w:pPr>
        <w:snapToGrid w:val="0"/>
        <w:ind w:firstLine="420"/>
        <w:rPr>
          <w:rFonts w:ascii="宋体" w:hAnsi="宋体" w:cs="宋体"/>
          <w:szCs w:val="21"/>
        </w:rPr>
      </w:pPr>
      <w:r>
        <w:rPr>
          <w:rFonts w:hint="eastAsia" w:ascii="宋体" w:hAnsi="宋体" w:cs="宋体"/>
          <w:szCs w:val="21"/>
        </w:rPr>
        <w:t>3、具有履行合同所必需的设备和专业技术能力；</w:t>
      </w:r>
    </w:p>
    <w:p w14:paraId="7C9038AD">
      <w:pPr>
        <w:snapToGrid w:val="0"/>
        <w:ind w:firstLine="420"/>
        <w:rPr>
          <w:rFonts w:ascii="宋体" w:hAnsi="宋体" w:cs="宋体"/>
          <w:szCs w:val="21"/>
        </w:rPr>
      </w:pPr>
      <w:r>
        <w:rPr>
          <w:rFonts w:hint="eastAsia" w:ascii="宋体" w:hAnsi="宋体" w:cs="宋体"/>
          <w:szCs w:val="21"/>
        </w:rPr>
        <w:t>4、有依法缴纳税收和社会保障资金的良好记录；</w:t>
      </w:r>
    </w:p>
    <w:p w14:paraId="403DB38D">
      <w:pPr>
        <w:snapToGrid w:val="0"/>
        <w:ind w:firstLine="420"/>
        <w:rPr>
          <w:rFonts w:ascii="宋体" w:hAnsi="宋体" w:cs="宋体"/>
          <w:szCs w:val="21"/>
        </w:rPr>
      </w:pPr>
      <w:r>
        <w:rPr>
          <w:rFonts w:hint="eastAsia" w:ascii="宋体" w:hAnsi="宋体" w:cs="宋体"/>
          <w:szCs w:val="21"/>
        </w:rPr>
        <w:t>5、参加采购活动前三年内，在经营活动中没有重大违法记录；</w:t>
      </w:r>
    </w:p>
    <w:p w14:paraId="128EDC64">
      <w:pPr>
        <w:snapToGrid w:val="0"/>
        <w:ind w:firstLine="420"/>
        <w:rPr>
          <w:rFonts w:ascii="宋体" w:hAnsi="宋体" w:cs="宋体"/>
          <w:szCs w:val="21"/>
        </w:rPr>
      </w:pPr>
      <w:r>
        <w:rPr>
          <w:rFonts w:hint="eastAsia" w:ascii="宋体" w:hAnsi="宋体" w:cs="宋体"/>
          <w:szCs w:val="21"/>
        </w:rPr>
        <w:t>6、具有法律、行政法规规定的其他条件。</w:t>
      </w:r>
    </w:p>
    <w:p w14:paraId="78DD5055">
      <w:pPr>
        <w:snapToGrid w:val="0"/>
        <w:ind w:firstLine="42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0AB11FD2">
      <w:pPr>
        <w:snapToGrid w:val="0"/>
        <w:ind w:firstLine="420"/>
        <w:rPr>
          <w:rFonts w:ascii="宋体" w:hAnsi="宋体" w:cs="宋体"/>
          <w:szCs w:val="21"/>
        </w:rPr>
      </w:pPr>
      <w:r>
        <w:rPr>
          <w:rFonts w:hint="eastAsia" w:ascii="宋体" w:hAnsi="宋体" w:cs="宋体"/>
          <w:szCs w:val="21"/>
        </w:rPr>
        <w:t>（三）不存在以下情况：</w:t>
      </w:r>
    </w:p>
    <w:p w14:paraId="0F6A65A9">
      <w:pPr>
        <w:snapToGrid w:val="0"/>
        <w:ind w:firstLine="420"/>
        <w:rPr>
          <w:rFonts w:ascii="宋体" w:hAnsi="宋体" w:cs="宋体"/>
          <w:szCs w:val="21"/>
        </w:rPr>
      </w:pPr>
      <w:r>
        <w:rPr>
          <w:rFonts w:hint="eastAsia" w:ascii="宋体" w:hAnsi="宋体" w:cs="宋体"/>
          <w:szCs w:val="21"/>
        </w:rPr>
        <w:t>1、单位负责人为同一人或者存在直接控股、管理关系的不同供应商参加同一合同项下的采购活动的；</w:t>
      </w:r>
    </w:p>
    <w:p w14:paraId="2A8E305D">
      <w:pPr>
        <w:snapToGrid w:val="0"/>
        <w:ind w:firstLine="42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68510A7F">
      <w:pPr>
        <w:ind w:firstLine="210" w:firstLineChars="100"/>
        <w:jc w:val="right"/>
        <w:rPr>
          <w:rFonts w:ascii="宋体" w:hAnsi="宋体"/>
          <w:szCs w:val="21"/>
        </w:rPr>
      </w:pPr>
      <w:r>
        <w:rPr>
          <w:rFonts w:hint="eastAsia" w:ascii="宋体" w:hAnsi="宋体"/>
          <w:szCs w:val="21"/>
        </w:rPr>
        <w:t>投标人（盖章）：</w:t>
      </w:r>
    </w:p>
    <w:p w14:paraId="7D9E928A">
      <w:pPr>
        <w:ind w:firstLine="210" w:firstLineChars="100"/>
        <w:jc w:val="right"/>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p>
    <w:p w14:paraId="7F54BA45">
      <w:pPr>
        <w:ind w:firstLine="8820" w:firstLineChars="4200"/>
        <w:rPr>
          <w:rFonts w:ascii="宋体" w:hAnsi="宋体"/>
          <w:szCs w:val="21"/>
        </w:rPr>
      </w:pPr>
      <w:r>
        <w:rPr>
          <w:rFonts w:hint="eastAsia" w:ascii="宋体" w:hAnsi="宋体"/>
          <w:szCs w:val="21"/>
        </w:rPr>
        <w:t>日期：</w:t>
      </w:r>
      <w:bookmarkStart w:id="112" w:name="_Toc12499"/>
    </w:p>
    <w:p w14:paraId="3B566DC2">
      <w:pPr>
        <w:pStyle w:val="2"/>
        <w:ind w:firstLine="0" w:firstLineChars="0"/>
        <w:jc w:val="right"/>
        <w:rPr>
          <w:rFonts w:ascii="宋体" w:hAnsi="宋体"/>
          <w:szCs w:val="21"/>
        </w:rPr>
      </w:pPr>
    </w:p>
    <w:p w14:paraId="6315EEDE">
      <w:pPr>
        <w:ind w:firstLine="420"/>
        <w:rPr>
          <w:rFonts w:ascii="宋体" w:hAnsi="宋体"/>
          <w:szCs w:val="21"/>
        </w:rPr>
      </w:pPr>
    </w:p>
    <w:p w14:paraId="38FE2F7B">
      <w:pPr>
        <w:pStyle w:val="10"/>
        <w:ind w:firstLine="210"/>
        <w:rPr>
          <w:rFonts w:ascii="宋体" w:hAnsi="宋体"/>
          <w:szCs w:val="21"/>
        </w:rPr>
      </w:pPr>
    </w:p>
    <w:p w14:paraId="7494EAD8">
      <w:pPr>
        <w:pStyle w:val="11"/>
        <w:sectPr>
          <w:pgSz w:w="11906" w:h="16838"/>
          <w:pgMar w:top="1247" w:right="1304" w:bottom="1020" w:left="1304" w:header="720" w:footer="720" w:gutter="0"/>
          <w:cols w:space="720" w:num="1"/>
          <w:docGrid w:type="lines" w:linePitch="312" w:charSpace="0"/>
        </w:sectPr>
      </w:pPr>
    </w:p>
    <w:p w14:paraId="0C859ED9">
      <w:pPr>
        <w:pStyle w:val="2"/>
        <w:ind w:firstLine="0" w:firstLineChars="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第六章 评标办法</w:t>
      </w:r>
      <w:bookmarkEnd w:id="111"/>
      <w:bookmarkEnd w:id="112"/>
    </w:p>
    <w:p w14:paraId="36B7AA1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本评标办法参照《政府采购货物和服务招标投标管理办法》（财政部令第8</w:t>
      </w:r>
      <w:r>
        <w:rPr>
          <w:rFonts w:cs="宋体" w:asciiTheme="minorEastAsia" w:hAnsiTheme="minorEastAsia" w:eastAsiaTheme="minorEastAsia"/>
          <w:szCs w:val="21"/>
        </w:rPr>
        <w:t>7</w:t>
      </w:r>
      <w:r>
        <w:rPr>
          <w:rFonts w:hint="eastAsia" w:cs="宋体" w:asciiTheme="minorEastAsia" w:hAnsiTheme="minorEastAsia" w:eastAsiaTheme="minorEastAsia"/>
          <w:szCs w:val="21"/>
        </w:rPr>
        <w:t>号）的有关规定，结合本项目的具体情况制定。</w:t>
      </w:r>
    </w:p>
    <w:p w14:paraId="796580F8">
      <w:pPr>
        <w:pStyle w:val="3"/>
        <w:rPr>
          <w:rFonts w:cs="宋体" w:asciiTheme="minorEastAsia" w:hAnsiTheme="minorEastAsia" w:eastAsiaTheme="minorEastAsia"/>
          <w:szCs w:val="21"/>
        </w:rPr>
      </w:pPr>
      <w:bookmarkStart w:id="113" w:name="_Toc15931"/>
      <w:bookmarkStart w:id="114" w:name="_Toc2078387"/>
      <w:r>
        <w:rPr>
          <w:rFonts w:hint="eastAsia" w:cs="宋体" w:asciiTheme="minorEastAsia" w:hAnsiTheme="minorEastAsia" w:eastAsiaTheme="minorEastAsia"/>
          <w:szCs w:val="21"/>
        </w:rPr>
        <w:t>1总则</w:t>
      </w:r>
      <w:bookmarkEnd w:id="113"/>
      <w:bookmarkEnd w:id="114"/>
    </w:p>
    <w:p w14:paraId="5AE552A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采购工作遵循公开、公正、公平、择优和诚实信用的原则，评审人员</w:t>
      </w:r>
      <w:r>
        <w:rPr>
          <w:rFonts w:asciiTheme="minorEastAsia" w:hAnsiTheme="minorEastAsia" w:eastAsiaTheme="minorEastAsia"/>
          <w:spacing w:val="6"/>
          <w:szCs w:val="21"/>
        </w:rPr>
        <w:t>依据采购文件规定的办法、标准和要求，客观</w:t>
      </w:r>
      <w:r>
        <w:rPr>
          <w:rFonts w:hint="eastAsia" w:asciiTheme="minorEastAsia" w:hAnsiTheme="minorEastAsia" w:eastAsiaTheme="minorEastAsia"/>
          <w:spacing w:val="6"/>
          <w:szCs w:val="21"/>
        </w:rPr>
        <w:t>、</w:t>
      </w:r>
      <w:r>
        <w:rPr>
          <w:rFonts w:asciiTheme="minorEastAsia" w:hAnsiTheme="minorEastAsia" w:eastAsiaTheme="minorEastAsia"/>
          <w:spacing w:val="6"/>
          <w:szCs w:val="21"/>
        </w:rPr>
        <w:t>独立</w:t>
      </w:r>
      <w:r>
        <w:rPr>
          <w:rFonts w:hint="eastAsia" w:asciiTheme="minorEastAsia" w:hAnsiTheme="minorEastAsia" w:eastAsiaTheme="minorEastAsia"/>
          <w:spacing w:val="6"/>
          <w:szCs w:val="21"/>
        </w:rPr>
        <w:t>、审慎</w:t>
      </w:r>
      <w:r>
        <w:rPr>
          <w:rFonts w:asciiTheme="minorEastAsia" w:hAnsiTheme="minorEastAsia" w:eastAsiaTheme="minorEastAsia"/>
          <w:spacing w:val="6"/>
          <w:szCs w:val="21"/>
        </w:rPr>
        <w:t>地开展评审工作</w:t>
      </w:r>
      <w:r>
        <w:rPr>
          <w:rFonts w:hint="eastAsia" w:cs="宋体" w:asciiTheme="minorEastAsia" w:hAnsiTheme="minorEastAsia" w:eastAsiaTheme="minorEastAsia"/>
          <w:szCs w:val="21"/>
        </w:rPr>
        <w:t>，择优推荐中标候选人。在评标期间，评标委员会及相关工作人员必须严格遵守保密规定，不得泄露评标的有关情况。</w:t>
      </w:r>
    </w:p>
    <w:p w14:paraId="20D9901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对落标人，评标委员会不作任何落标解释。</w:t>
      </w:r>
    </w:p>
    <w:p w14:paraId="79AAC63C">
      <w:pPr>
        <w:pStyle w:val="3"/>
        <w:rPr>
          <w:rFonts w:cs="宋体" w:asciiTheme="minorEastAsia" w:hAnsiTheme="minorEastAsia" w:eastAsiaTheme="minorEastAsia"/>
          <w:szCs w:val="21"/>
        </w:rPr>
      </w:pPr>
      <w:bookmarkStart w:id="115" w:name="_Toc1495"/>
      <w:bookmarkStart w:id="116" w:name="_Toc2078388"/>
      <w:r>
        <w:rPr>
          <w:rFonts w:hint="eastAsia" w:cs="宋体" w:asciiTheme="minorEastAsia" w:hAnsiTheme="minorEastAsia" w:eastAsiaTheme="minorEastAsia"/>
          <w:szCs w:val="21"/>
        </w:rPr>
        <w:t>2评标组织</w:t>
      </w:r>
      <w:bookmarkEnd w:id="115"/>
      <w:bookmarkEnd w:id="116"/>
    </w:p>
    <w:p w14:paraId="1DB00F7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评标工作由采购人或采购代理机构依法组建的评标委员会负责。评标委员会负责审标、询标、评标等工作，并向采购人提出评标意见和评标报告。</w:t>
      </w:r>
    </w:p>
    <w:p w14:paraId="72BEA2B5">
      <w:pPr>
        <w:pStyle w:val="3"/>
        <w:rPr>
          <w:rFonts w:cs="宋体" w:asciiTheme="minorEastAsia" w:hAnsiTheme="minorEastAsia" w:eastAsiaTheme="minorEastAsia"/>
          <w:szCs w:val="21"/>
        </w:rPr>
      </w:pPr>
      <w:bookmarkStart w:id="117" w:name="_Toc2078389"/>
      <w:bookmarkStart w:id="118" w:name="_Toc31545"/>
      <w:r>
        <w:rPr>
          <w:rFonts w:hint="eastAsia" w:cs="宋体" w:asciiTheme="minorEastAsia" w:hAnsiTheme="minorEastAsia" w:eastAsiaTheme="minorEastAsia"/>
          <w:szCs w:val="21"/>
        </w:rPr>
        <w:t>3评标程序和内容</w:t>
      </w:r>
      <w:bookmarkEnd w:id="117"/>
      <w:bookmarkEnd w:id="118"/>
    </w:p>
    <w:p w14:paraId="11F9F80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评标的一般程序为：</w:t>
      </w:r>
    </w:p>
    <w:p w14:paraId="4B62EB5F">
      <w:pPr>
        <w:numPr>
          <w:ilvl w:val="0"/>
          <w:numId w:val="4"/>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投标文件的资格审查（先进行资格审查，通过之后进入符合性审查及后续程序）；</w:t>
      </w:r>
    </w:p>
    <w:p w14:paraId="7B32FA09">
      <w:pPr>
        <w:numPr>
          <w:ilvl w:val="0"/>
          <w:numId w:val="4"/>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熟悉招标文件和评标办法；</w:t>
      </w:r>
    </w:p>
    <w:p w14:paraId="4EC8F706">
      <w:pPr>
        <w:numPr>
          <w:ilvl w:val="0"/>
          <w:numId w:val="4"/>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投标文件的符合性审查；</w:t>
      </w:r>
    </w:p>
    <w:p w14:paraId="0A29AF41">
      <w:pPr>
        <w:numPr>
          <w:ilvl w:val="0"/>
          <w:numId w:val="4"/>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询标澄清投标文件的疑问；</w:t>
      </w:r>
    </w:p>
    <w:p w14:paraId="448CD347">
      <w:pPr>
        <w:numPr>
          <w:ilvl w:val="0"/>
          <w:numId w:val="4"/>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投标文件的商务技术文件评标；</w:t>
      </w:r>
    </w:p>
    <w:p w14:paraId="26F01A6A">
      <w:pPr>
        <w:numPr>
          <w:ilvl w:val="0"/>
          <w:numId w:val="4"/>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根据评标办法对商务技术文件进行评分；</w:t>
      </w:r>
    </w:p>
    <w:p w14:paraId="15CCDBBE">
      <w:pPr>
        <w:numPr>
          <w:ilvl w:val="0"/>
          <w:numId w:val="4"/>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报价文件评标及评分；</w:t>
      </w:r>
    </w:p>
    <w:p w14:paraId="64C5BF8A">
      <w:pPr>
        <w:numPr>
          <w:ilvl w:val="0"/>
          <w:numId w:val="4"/>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完成评标报告，推荐中标候选人。</w:t>
      </w:r>
    </w:p>
    <w:p w14:paraId="5A6829D2">
      <w:pPr>
        <w:pStyle w:val="3"/>
        <w:rPr>
          <w:rFonts w:cs="宋体" w:asciiTheme="minorEastAsia" w:hAnsiTheme="minorEastAsia" w:eastAsiaTheme="minorEastAsia"/>
          <w:szCs w:val="21"/>
        </w:rPr>
      </w:pPr>
      <w:bookmarkStart w:id="119" w:name="_Toc2078390"/>
      <w:bookmarkStart w:id="120" w:name="_Toc9056"/>
      <w:r>
        <w:rPr>
          <w:rFonts w:hint="eastAsia" w:cs="宋体" w:asciiTheme="minorEastAsia" w:hAnsiTheme="minorEastAsia" w:eastAsiaTheme="minorEastAsia"/>
          <w:szCs w:val="21"/>
        </w:rPr>
        <w:t>4投标文件的审查</w:t>
      </w:r>
      <w:bookmarkEnd w:id="119"/>
      <w:bookmarkEnd w:id="120"/>
    </w:p>
    <w:p w14:paraId="31165FA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4.1采购人或者采购代理机构应当依法对投标人的资格进行审查，以确定投标人是否具备投标资格。</w:t>
      </w:r>
    </w:p>
    <w:p w14:paraId="1542666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14:paraId="633D67F2">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无效投标</w:t>
      </w:r>
    </w:p>
    <w:p w14:paraId="0D179D1B">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.1投标文件属下列情况之一的，应当在资格性检查时按照无效投标处理：</w:t>
      </w:r>
    </w:p>
    <w:p w14:paraId="071F993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资格证明文件不全的，或者不符合招标文件标明的资格要求的。</w:t>
      </w:r>
    </w:p>
    <w:p w14:paraId="253DFEA8">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.2投标文件属下列情况之一的，应当在符合性检查时按照无效投标处理：</w:t>
      </w:r>
    </w:p>
    <w:p w14:paraId="10F5A80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（1）未按照招标文件规定要求签署、盖章的；</w:t>
      </w:r>
    </w:p>
    <w:p w14:paraId="038CAAD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（2）投标有效期短于投标人须知前附表规定期限的投标文件；</w:t>
      </w:r>
    </w:p>
    <w:p w14:paraId="060F52E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（3）不响应招标文件实质性要求（招标文件中带“▲”条款要求）；</w:t>
      </w:r>
    </w:p>
    <w:p w14:paraId="4F68FC16">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）投标人存在串通行为或虚假投标的；</w:t>
      </w:r>
    </w:p>
    <w:p w14:paraId="4A895C2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）投标文件含有采购人不能接受的附加条件的；</w:t>
      </w:r>
    </w:p>
    <w:p w14:paraId="103DC08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）法律、法规和招标文件规定的其他无效情形的。</w:t>
      </w:r>
    </w:p>
    <w:p w14:paraId="75D27700">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.3在报价评标时，如发现下列情形之一的，报价文件将被视为无效，不再进入报价评标环节：</w:t>
      </w:r>
    </w:p>
    <w:p w14:paraId="51DA803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（1）报价超出最高限价，或者超出采购预算金额，采购人不能支付的；</w:t>
      </w:r>
    </w:p>
    <w:p w14:paraId="15ED0C9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（2）投标报价具有选择性；</w:t>
      </w:r>
    </w:p>
    <w:p w14:paraId="3C17FAE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（3）不符合招标文件规定要求进行报价的（顺序和格式除外）；</w:t>
      </w:r>
    </w:p>
    <w:p w14:paraId="54E6A39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8C6E34">
      <w:pPr>
        <w:pStyle w:val="10"/>
        <w:spacing w:after="0" w:line="360" w:lineRule="auto"/>
        <w:ind w:firstLine="422" w:firstLineChars="200"/>
        <w:rPr>
          <w:rFonts w:cs="宋体" w:asciiTheme="minorEastAsia" w:hAnsiTheme="minorEastAsia" w:eastAsiaTheme="minorEastAsia"/>
          <w:b/>
          <w:bCs/>
          <w:szCs w:val="21"/>
        </w:rPr>
      </w:pPr>
      <w:bookmarkStart w:id="121" w:name="_Hlk8250502"/>
      <w:r>
        <w:rPr>
          <w:rFonts w:hint="eastAsia" w:cs="宋体" w:asciiTheme="minorEastAsia" w:hAnsiTheme="minorEastAsia" w:eastAsiaTheme="minorEastAsia"/>
          <w:b/>
          <w:bCs/>
          <w:szCs w:val="21"/>
        </w:rPr>
        <w:t>4.</w:t>
      </w:r>
      <w:r>
        <w:rPr>
          <w:rFonts w:cs="宋体" w:asciiTheme="minorEastAsia" w:hAnsiTheme="minorEastAsia" w:eastAsiaTheme="minorEastAsia"/>
          <w:b/>
          <w:bCs/>
          <w:szCs w:val="21"/>
        </w:rPr>
        <w:t>4</w:t>
      </w:r>
      <w:r>
        <w:rPr>
          <w:rFonts w:hint="eastAsia" w:cs="宋体" w:asciiTheme="minorEastAsia" w:hAnsiTheme="minorEastAsia" w:eastAsiaTheme="minorEastAsia"/>
          <w:b/>
          <w:bCs/>
          <w:szCs w:val="21"/>
        </w:rPr>
        <w:t>串通投标情形认定</w:t>
      </w:r>
    </w:p>
    <w:p w14:paraId="0E7D76AC">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4</w:t>
      </w:r>
      <w:r>
        <w:rPr>
          <w:rFonts w:hint="eastAsia" w:cs="宋体" w:asciiTheme="minorEastAsia" w:hAnsiTheme="minorEastAsia" w:eastAsiaTheme="minorEastAsia"/>
          <w:b/>
          <w:szCs w:val="21"/>
        </w:rPr>
        <w:t>.1投标人有下列情形之一的，视为投标人串通投标，其投标无效：</w:t>
      </w:r>
    </w:p>
    <w:p w14:paraId="5E128B3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（1）不同投标人的投标文件由同一单位或者个人编制；</w:t>
      </w:r>
    </w:p>
    <w:p w14:paraId="1198604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（2）不同投标人委托同一单位或者个人办理投标事宜；</w:t>
      </w:r>
    </w:p>
    <w:p w14:paraId="22CE0D8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（3）不同投标人的投标文件载明的项目管理成员或者联系人员为同一人；</w:t>
      </w:r>
    </w:p>
    <w:p w14:paraId="2AFDB34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（4）不同投标人的投标文件异常一致或者投标报价呈规律性差异；</w:t>
      </w:r>
    </w:p>
    <w:p w14:paraId="5449EF3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（5）不同投标人的投标文件相互混装；</w:t>
      </w:r>
    </w:p>
    <w:p w14:paraId="69DFE53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（6）不同投标人的投标保证金从同一单位或者个人的账户转出。</w:t>
      </w:r>
    </w:p>
    <w:p w14:paraId="10F1C481">
      <w:pPr>
        <w:ind w:firstLine="422"/>
        <w:rPr>
          <w:rFonts w:asciiTheme="minorEastAsia" w:hAnsiTheme="minorEastAsia" w:eastAsiaTheme="minorEastAsia"/>
          <w:b/>
        </w:rPr>
      </w:pPr>
      <w:r>
        <w:rPr>
          <w:rFonts w:hint="eastAsia" w:asciiTheme="minorEastAsia" w:hAnsiTheme="minorEastAsia" w:eastAsiaTheme="minorEastAsia"/>
          <w:b/>
        </w:rPr>
        <w:t>4.</w:t>
      </w:r>
      <w:r>
        <w:rPr>
          <w:rFonts w:asciiTheme="minorEastAsia" w:hAnsiTheme="minorEastAsia" w:eastAsiaTheme="minorEastAsia"/>
          <w:b/>
        </w:rPr>
        <w:t>4</w:t>
      </w:r>
      <w:r>
        <w:rPr>
          <w:rFonts w:hint="eastAsia" w:asciiTheme="minorEastAsia" w:hAnsiTheme="minorEastAsia" w:eastAsiaTheme="minorEastAsia"/>
          <w:b/>
        </w:rPr>
        <w:t>.2投标人有下列情形之一的，属于恶意串通，其投标无效：</w:t>
      </w:r>
    </w:p>
    <w:p w14:paraId="40DCC0D2">
      <w:pPr>
        <w:ind w:firstLine="420"/>
        <w:rPr>
          <w:rFonts w:asciiTheme="minorEastAsia" w:hAnsiTheme="minorEastAsia" w:eastAsiaTheme="minorEastAsia"/>
        </w:rPr>
      </w:pPr>
      <w:r>
        <w:rPr>
          <w:rFonts w:hint="eastAsia" w:asciiTheme="minorEastAsia" w:hAnsiTheme="minorEastAsia" w:eastAsiaTheme="minorEastAsia"/>
        </w:rPr>
        <w:t>（1）投标人直接或者间接从采购人或者采购代理机构处获得其他投标人的相关情况并修改其投标文件或者响应文件；</w:t>
      </w:r>
    </w:p>
    <w:p w14:paraId="1166AAA9">
      <w:pPr>
        <w:ind w:firstLine="420"/>
        <w:rPr>
          <w:rFonts w:asciiTheme="minorEastAsia" w:hAnsiTheme="minorEastAsia" w:eastAsiaTheme="minorEastAsia"/>
        </w:rPr>
      </w:pPr>
      <w:r>
        <w:rPr>
          <w:rFonts w:hint="eastAsia" w:asciiTheme="minorEastAsia" w:hAnsiTheme="minorEastAsia" w:eastAsiaTheme="minorEastAsia"/>
        </w:rPr>
        <w:t>（2）投标人按照采购人或者采购代理机构的授意撤换、修改投标文件或者响应文件；</w:t>
      </w:r>
    </w:p>
    <w:p w14:paraId="615F66C2">
      <w:pPr>
        <w:ind w:firstLine="420"/>
        <w:rPr>
          <w:rFonts w:asciiTheme="minorEastAsia" w:hAnsiTheme="minorEastAsia" w:eastAsiaTheme="minorEastAsia"/>
        </w:rPr>
      </w:pPr>
      <w:r>
        <w:rPr>
          <w:rFonts w:hint="eastAsia" w:asciiTheme="minorEastAsia" w:hAnsiTheme="minorEastAsia" w:eastAsiaTheme="minorEastAsia"/>
        </w:rPr>
        <w:t>（3）投标人之间协商报价、技术方案等投标文件或者响应文件的实质性内容；</w:t>
      </w:r>
    </w:p>
    <w:p w14:paraId="5A5E25EE">
      <w:pPr>
        <w:ind w:firstLine="420"/>
        <w:rPr>
          <w:rFonts w:asciiTheme="minorEastAsia" w:hAnsiTheme="minorEastAsia" w:eastAsiaTheme="minorEastAsia"/>
        </w:rPr>
      </w:pPr>
      <w:r>
        <w:rPr>
          <w:rFonts w:hint="eastAsia" w:asciiTheme="minorEastAsia" w:hAnsiTheme="minorEastAsia" w:eastAsiaTheme="minorEastAsia"/>
        </w:rPr>
        <w:t>（4）属于同一集团、协会、商会等组织成员的投标人按照该组织要求协同参加采购活动；</w:t>
      </w:r>
    </w:p>
    <w:p w14:paraId="53B2535A">
      <w:pPr>
        <w:ind w:firstLine="420"/>
        <w:rPr>
          <w:rFonts w:asciiTheme="minorEastAsia" w:hAnsiTheme="minorEastAsia" w:eastAsiaTheme="minorEastAsia"/>
        </w:rPr>
      </w:pPr>
      <w:r>
        <w:rPr>
          <w:rFonts w:hint="eastAsia" w:asciiTheme="minorEastAsia" w:hAnsiTheme="minorEastAsia" w:eastAsiaTheme="minorEastAsia"/>
        </w:rPr>
        <w:t>（5）投标人之间事先约定由某一特定投标人中标、成交；</w:t>
      </w:r>
    </w:p>
    <w:p w14:paraId="73EAB991">
      <w:pPr>
        <w:ind w:firstLine="420"/>
        <w:rPr>
          <w:rFonts w:asciiTheme="minorEastAsia" w:hAnsiTheme="minorEastAsia" w:eastAsiaTheme="minorEastAsia"/>
        </w:rPr>
      </w:pPr>
      <w:r>
        <w:rPr>
          <w:rFonts w:hint="eastAsia" w:asciiTheme="minorEastAsia" w:hAnsiTheme="minorEastAsia" w:eastAsiaTheme="minorEastAsia"/>
        </w:rPr>
        <w:t>（6）投标人之间商定部分投标人放弃参加采购活动或者放弃中标、成交；</w:t>
      </w:r>
    </w:p>
    <w:p w14:paraId="280DCD28">
      <w:pPr>
        <w:ind w:firstLine="420"/>
        <w:rPr>
          <w:rFonts w:asciiTheme="minorEastAsia" w:hAnsiTheme="minorEastAsia" w:eastAsiaTheme="minorEastAsia"/>
        </w:rPr>
      </w:pPr>
      <w:r>
        <w:rPr>
          <w:rFonts w:hint="eastAsia" w:asciiTheme="minorEastAsia" w:hAnsiTheme="minorEastAsia" w:eastAsiaTheme="minorEastAsia"/>
        </w:rPr>
        <w:t>（7）投标人与采购人或者采购代理机构之间、投标人相互之间，为谋求特定投标人中标、成交或者排斥其他投标人的其他串通行为。</w:t>
      </w:r>
    </w:p>
    <w:p w14:paraId="34B2B50D">
      <w:pPr>
        <w:ind w:firstLine="420"/>
        <w:rPr>
          <w:rFonts w:asciiTheme="minorEastAsia" w:hAnsiTheme="minorEastAsia" w:eastAsiaTheme="minorEastAsia"/>
        </w:rPr>
      </w:pPr>
      <w:r>
        <w:rPr>
          <w:rFonts w:hint="eastAsia" w:asciiTheme="minorEastAsia" w:hAnsiTheme="minorEastAsia" w:eastAsiaTheme="minorEastAsia"/>
        </w:rPr>
        <w:t>经查实有上述4</w:t>
      </w:r>
      <w:r>
        <w:rPr>
          <w:rFonts w:asciiTheme="minorEastAsia" w:hAnsiTheme="minorEastAsia" w:eastAsiaTheme="minorEastAsia"/>
        </w:rPr>
        <w:t>.4.1</w:t>
      </w:r>
      <w:r>
        <w:rPr>
          <w:rFonts w:hint="eastAsia" w:asciiTheme="minorEastAsia" w:hAnsiTheme="minorEastAsia" w:eastAsiaTheme="minorEastAsia"/>
        </w:rPr>
        <w:t>和4</w:t>
      </w:r>
      <w:r>
        <w:rPr>
          <w:rFonts w:asciiTheme="minorEastAsia" w:hAnsiTheme="minorEastAsia" w:eastAsiaTheme="minorEastAsia"/>
        </w:rPr>
        <w:t>.4.2</w:t>
      </w:r>
      <w:r>
        <w:rPr>
          <w:rFonts w:hint="eastAsia" w:asciiTheme="minorEastAsia" w:hAnsiTheme="minorEastAsia" w:eastAsiaTheme="minorEastAsia"/>
        </w:rPr>
        <w:t>行为的，采购人或采购代理机构将依法向采购监管部门报告，由监管部门依法处理。</w:t>
      </w:r>
    </w:p>
    <w:bookmarkEnd w:id="121"/>
    <w:p w14:paraId="6244716D">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5</w:t>
      </w:r>
      <w:r>
        <w:rPr>
          <w:rFonts w:hint="eastAsia" w:cs="宋体" w:asciiTheme="minorEastAsia" w:hAnsiTheme="minorEastAsia" w:eastAsiaTheme="minorEastAsia"/>
          <w:b/>
          <w:szCs w:val="21"/>
        </w:rPr>
        <w:t>废标</w:t>
      </w:r>
    </w:p>
    <w:p w14:paraId="3FC8D86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参照《中华人民共和国政府采购法》第三十六条之规定，在采购中，出现下列情况之一的，应予以废标：</w:t>
      </w:r>
    </w:p>
    <w:p w14:paraId="6DF0CFD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（1）符合专业条件的投标人或者对招标文件作实质响应的投标人不足3家的；</w:t>
      </w:r>
    </w:p>
    <w:p w14:paraId="235C2EF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（2）出现影响采购公正的违法、违规行为的；</w:t>
      </w:r>
    </w:p>
    <w:p w14:paraId="3AF40A6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（3）投标人的报价均超过了采购预算，采购人不能支付的；</w:t>
      </w:r>
    </w:p>
    <w:p w14:paraId="0BB3420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（4）因重大变故，采购任务取消的。</w:t>
      </w:r>
    </w:p>
    <w:p w14:paraId="447BF87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废标后，采购代理机构应当将废标理由通知所有投标人。</w:t>
      </w:r>
    </w:p>
    <w:p w14:paraId="4B3B45D1">
      <w:pPr>
        <w:pStyle w:val="3"/>
        <w:rPr>
          <w:rFonts w:cs="宋体" w:asciiTheme="minorEastAsia" w:hAnsiTheme="minorEastAsia" w:eastAsiaTheme="minorEastAsia"/>
          <w:szCs w:val="21"/>
        </w:rPr>
      </w:pPr>
      <w:bookmarkStart w:id="122" w:name="_Toc2868"/>
      <w:r>
        <w:rPr>
          <w:rFonts w:hint="eastAsia" w:cs="宋体" w:asciiTheme="minorEastAsia" w:hAnsiTheme="minorEastAsia" w:eastAsiaTheme="minorEastAsia"/>
          <w:szCs w:val="21"/>
        </w:rPr>
        <w:t>5评分细则</w:t>
      </w:r>
      <w:bookmarkEnd w:id="122"/>
    </w:p>
    <w:p w14:paraId="064DA34A">
      <w:pPr>
        <w:ind w:firstLine="415" w:firstLineChars="198"/>
        <w:rPr>
          <w:rFonts w:cs="宋体" w:asciiTheme="minorEastAsia" w:hAnsiTheme="minorEastAsia" w:eastAsiaTheme="minorEastAsia"/>
          <w:szCs w:val="21"/>
        </w:rPr>
      </w:pPr>
      <w:r>
        <w:rPr>
          <w:rFonts w:hint="eastAsia" w:cs="宋体" w:asciiTheme="minorEastAsia" w:hAnsiTheme="minorEastAsia" w:eastAsiaTheme="minorEastAsia"/>
          <w:szCs w:val="21"/>
        </w:rPr>
        <w:t>本次评标采用综合评分法，评标委员会</w:t>
      </w:r>
      <w:r>
        <w:rPr>
          <w:rFonts w:hint="eastAsia" w:asciiTheme="minorEastAsia" w:hAnsiTheme="minorEastAsia" w:eastAsiaTheme="minorEastAsia"/>
          <w:szCs w:val="21"/>
        </w:rPr>
        <w:t>按照招标文件及其评标办法规定的方法、评审因素、标准和程序，</w:t>
      </w:r>
      <w:r>
        <w:rPr>
          <w:rFonts w:hint="eastAsia" w:cs="宋体" w:asciiTheme="minorEastAsia" w:hAnsiTheme="minorEastAsia" w:eastAsiaTheme="minorEastAsia"/>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14:paraId="293F628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每个投标人最终得分=投标报价分+资信分+技术分</w:t>
      </w:r>
    </w:p>
    <w:p w14:paraId="3FF799DD">
      <w:pPr>
        <w:ind w:firstLine="420"/>
        <w:rPr>
          <w:rFonts w:asciiTheme="minorEastAsia" w:hAnsiTheme="minorEastAsia" w:eastAsiaTheme="minorEastAsia"/>
        </w:rPr>
      </w:pPr>
      <w:r>
        <w:rPr>
          <w:rFonts w:hint="eastAsia" w:asciiTheme="minorEastAsia" w:hAnsiTheme="minorEastAsia" w:eastAsiaTheme="minorEastAsia"/>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kern w:val="0"/>
          <w:szCs w:val="21"/>
        </w:rPr>
        <w:t>采取随机抽取方式确定</w:t>
      </w:r>
      <w:r>
        <w:rPr>
          <w:rFonts w:hint="eastAsia" w:asciiTheme="minorEastAsia" w:hAnsiTheme="minorEastAsia" w:eastAsiaTheme="minorEastAsia"/>
        </w:rPr>
        <w:t>。</w:t>
      </w:r>
    </w:p>
    <w:p w14:paraId="05154AD1">
      <w:pPr>
        <w:pStyle w:val="4"/>
      </w:pPr>
      <w:r>
        <w:rPr>
          <w:rFonts w:hint="eastAsia"/>
        </w:rPr>
        <w:t>5.1投标报价分0-10分</w:t>
      </w:r>
    </w:p>
    <w:p w14:paraId="60E1835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投标报价评分将在有效投标人范围内进行，小数点后保留2位小数。满足招标文件要求且投标价格最低的投标报价为评标基准价，其投标报价分为满分10分。其他投标人的报价分按照下列公式计算：</w:t>
      </w:r>
    </w:p>
    <w:p w14:paraId="78274FA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投标报价分=(评标基准价／投标报价)×10</w:t>
      </w:r>
    </w:p>
    <w:p w14:paraId="1581521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此项由评标委员会集体核实后统一打分。</w:t>
      </w:r>
    </w:p>
    <w:p w14:paraId="172F9A4F">
      <w:pPr>
        <w:pStyle w:val="4"/>
      </w:pPr>
      <w:r>
        <w:rPr>
          <w:rFonts w:hint="eastAsia"/>
        </w:rPr>
        <w:t>5.2资信评分4分</w:t>
      </w:r>
    </w:p>
    <w:p w14:paraId="64D90A80">
      <w:pPr>
        <w:ind w:firstLine="420"/>
        <w:rPr>
          <w:rFonts w:hAnsi="宋体"/>
        </w:rPr>
      </w:pPr>
      <w:bookmarkStart w:id="123" w:name="_Hlk8686002"/>
      <w:r>
        <w:rPr>
          <w:rFonts w:hint="eastAsia" w:hAnsi="宋体"/>
        </w:rPr>
        <w:t>5.2.1投标人自</w:t>
      </w:r>
      <w:r>
        <w:rPr>
          <w:rFonts w:hAnsi="宋体"/>
        </w:rPr>
        <w:t>20</w:t>
      </w:r>
      <w:r>
        <w:rPr>
          <w:rFonts w:hint="eastAsia" w:hAnsi="宋体"/>
        </w:rPr>
        <w:t>2</w:t>
      </w:r>
      <w:r>
        <w:rPr>
          <w:rFonts w:hint="eastAsia" w:hAnsi="宋体"/>
          <w:lang w:val="en-US" w:eastAsia="zh-CN"/>
        </w:rPr>
        <w:t>2</w:t>
      </w:r>
      <w:r>
        <w:rPr>
          <w:rFonts w:hint="eastAsia" w:hAnsi="宋体"/>
        </w:rPr>
        <w:t>年1月以来独立承担过的同类项目，每个得0.5分，最高1分。（业绩必须提供相应的证明文件（合同复印件），时间以合同签订时间为准。）（</w:t>
      </w:r>
      <w:r>
        <w:rPr>
          <w:rFonts w:hAnsi="宋体"/>
        </w:rPr>
        <w:t>0-</w:t>
      </w:r>
      <w:r>
        <w:rPr>
          <w:rFonts w:hint="eastAsia" w:hAnsi="宋体"/>
        </w:rPr>
        <w:t>1分）</w:t>
      </w:r>
    </w:p>
    <w:p w14:paraId="5B144975">
      <w:pPr>
        <w:ind w:firstLine="420"/>
        <w:rPr>
          <w:rFonts w:ascii="宋体" w:hAnsi="宋体"/>
        </w:rPr>
      </w:pPr>
      <w:r>
        <w:rPr>
          <w:rFonts w:hint="eastAsia" w:hAnsi="宋体"/>
        </w:rPr>
        <w:t>5.2.2投标人具有有效的质量管理体系认证证书、环境管理体系认证证书、职业健康安全管理体系认证书的，提供相关证明文件，每提供一个得1分，最高得3分，没有的不得分（0-3分）</w:t>
      </w:r>
    </w:p>
    <w:p w14:paraId="44EACAD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原则上以投标文件中的复印件为准，此项由评标委员会集体核实后统一打分。</w:t>
      </w:r>
      <w:bookmarkEnd w:id="123"/>
    </w:p>
    <w:p w14:paraId="73390155">
      <w:pPr>
        <w:pStyle w:val="4"/>
      </w:pPr>
      <w:r>
        <w:rPr>
          <w:rFonts w:hint="eastAsia"/>
        </w:rPr>
        <w:t>5.3技术评分86分</w:t>
      </w:r>
    </w:p>
    <w:p w14:paraId="1D410DF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该评分分值由评标委员会根据评标情况在分值范围内独立打分（具体分值设定详见下表），小数点后保留2位小数。每个投标人的最终技术得分为每位评标委员会成员打分的算术平均值。</w:t>
      </w:r>
    </w:p>
    <w:bookmarkEnd w:id="44"/>
    <w:bookmarkEnd w:id="45"/>
    <w:bookmarkEnd w:id="46"/>
    <w:bookmarkEnd w:id="47"/>
    <w:bookmarkEnd w:id="48"/>
    <w:bookmarkEnd w:id="49"/>
    <w:bookmarkEnd w:id="50"/>
    <w:bookmarkEnd w:id="51"/>
    <w:tbl>
      <w:tblPr>
        <w:tblStyle w:val="25"/>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6203"/>
        <w:gridCol w:w="1392"/>
        <w:gridCol w:w="1102"/>
      </w:tblGrid>
      <w:tr w14:paraId="63F4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52" w:type="pct"/>
          </w:tcPr>
          <w:p w14:paraId="169AD17D">
            <w:pPr>
              <w:ind w:firstLine="0" w:firstLineChars="0"/>
              <w:jc w:val="center"/>
              <w:rPr>
                <w:rFonts w:cs="宋体" w:asciiTheme="minorEastAsia" w:hAnsiTheme="minorEastAsia" w:eastAsiaTheme="minorEastAsia"/>
                <w:b w:val="0"/>
                <w:bCs w:val="0"/>
                <w:szCs w:val="21"/>
              </w:rPr>
            </w:pPr>
            <w:bookmarkStart w:id="124" w:name="_Toc1865"/>
            <w:bookmarkStart w:id="125" w:name="_Hlk8251304"/>
            <w:r>
              <w:rPr>
                <w:rFonts w:hint="eastAsia" w:cs="宋体" w:asciiTheme="minorEastAsia" w:hAnsiTheme="minorEastAsia" w:eastAsiaTheme="minorEastAsia"/>
                <w:b w:val="0"/>
                <w:bCs w:val="0"/>
                <w:szCs w:val="21"/>
              </w:rPr>
              <w:t>序号</w:t>
            </w:r>
          </w:p>
        </w:tc>
        <w:tc>
          <w:tcPr>
            <w:tcW w:w="3242" w:type="pct"/>
          </w:tcPr>
          <w:p w14:paraId="6AD3A420">
            <w:pPr>
              <w:ind w:firstLine="0" w:firstLineChars="0"/>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评分项目</w:t>
            </w:r>
          </w:p>
        </w:tc>
        <w:tc>
          <w:tcPr>
            <w:tcW w:w="728" w:type="pct"/>
          </w:tcPr>
          <w:p w14:paraId="4EB09870">
            <w:pPr>
              <w:ind w:firstLine="0" w:firstLineChars="0"/>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分值范围</w:t>
            </w:r>
          </w:p>
        </w:tc>
        <w:tc>
          <w:tcPr>
            <w:tcW w:w="576" w:type="pct"/>
          </w:tcPr>
          <w:p w14:paraId="47264C5A">
            <w:pPr>
              <w:ind w:firstLine="0" w:firstLineChars="0"/>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评分类型</w:t>
            </w:r>
          </w:p>
        </w:tc>
      </w:tr>
      <w:tr w14:paraId="15CE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52" w:type="pct"/>
            <w:vAlign w:val="center"/>
          </w:tcPr>
          <w:p w14:paraId="4FAFEF5D">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1</w:t>
            </w:r>
          </w:p>
        </w:tc>
        <w:tc>
          <w:tcPr>
            <w:tcW w:w="3242" w:type="pct"/>
            <w:vAlign w:val="center"/>
          </w:tcPr>
          <w:p w14:paraId="28039574">
            <w:pPr>
              <w:ind w:firstLine="420"/>
              <w:jc w:val="left"/>
              <w:rPr>
                <w:rFonts w:ascii="宋体" w:hAnsi="宋体" w:cs="宋体"/>
                <w:b w:val="0"/>
                <w:bCs w:val="0"/>
                <w:kern w:val="0"/>
                <w:szCs w:val="21"/>
              </w:rPr>
            </w:pPr>
            <w:r>
              <w:rPr>
                <w:rFonts w:hint="eastAsia"/>
                <w:b w:val="0"/>
                <w:bCs w:val="0"/>
                <w:szCs w:val="21"/>
              </w:rPr>
              <w:t>针对本地下水监测项目需求的理解程度</w:t>
            </w:r>
            <w:r>
              <w:rPr>
                <w:rFonts w:hint="eastAsia"/>
                <w:b w:val="0"/>
                <w:bCs w:val="0"/>
                <w:szCs w:val="21"/>
                <w:lang w:val="en-US" w:eastAsia="zh-CN"/>
              </w:rPr>
              <w:t>0-5分（评分范围：5，4，3，2，1，0）</w:t>
            </w:r>
          </w:p>
        </w:tc>
        <w:tc>
          <w:tcPr>
            <w:tcW w:w="728" w:type="pct"/>
            <w:vAlign w:val="center"/>
          </w:tcPr>
          <w:p w14:paraId="06ECFD3F">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576" w:type="pct"/>
            <w:vAlign w:val="center"/>
          </w:tcPr>
          <w:p w14:paraId="0028F597">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15F1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52" w:type="pct"/>
            <w:vAlign w:val="center"/>
          </w:tcPr>
          <w:p w14:paraId="1324190B">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2</w:t>
            </w:r>
          </w:p>
        </w:tc>
        <w:tc>
          <w:tcPr>
            <w:tcW w:w="3242" w:type="pct"/>
            <w:vAlign w:val="center"/>
          </w:tcPr>
          <w:p w14:paraId="16568849">
            <w:pPr>
              <w:ind w:firstLine="420"/>
              <w:jc w:val="left"/>
              <w:rPr>
                <w:rFonts w:ascii="宋体" w:hAnsi="宋体" w:cs="宋体"/>
                <w:b w:val="0"/>
                <w:bCs w:val="0"/>
                <w:kern w:val="0"/>
                <w:szCs w:val="21"/>
              </w:rPr>
            </w:pPr>
            <w:r>
              <w:rPr>
                <w:rFonts w:hint="eastAsia"/>
                <w:b w:val="0"/>
                <w:bCs w:val="0"/>
                <w:szCs w:val="21"/>
              </w:rPr>
              <w:t>地下水站点作业现场实际情况的了解和调研分析</w:t>
            </w:r>
            <w:r>
              <w:rPr>
                <w:rFonts w:hint="eastAsia"/>
                <w:b w:val="0"/>
                <w:bCs w:val="0"/>
                <w:szCs w:val="21"/>
                <w:lang w:val="en-US" w:eastAsia="zh-CN"/>
              </w:rPr>
              <w:t>0-5分（评分范围：5，4，3，2，1，0）</w:t>
            </w:r>
          </w:p>
        </w:tc>
        <w:tc>
          <w:tcPr>
            <w:tcW w:w="728" w:type="pct"/>
            <w:vAlign w:val="center"/>
          </w:tcPr>
          <w:p w14:paraId="560F3885">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576" w:type="pct"/>
            <w:vAlign w:val="center"/>
          </w:tcPr>
          <w:p w14:paraId="26C33783">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6B51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52" w:type="pct"/>
            <w:vAlign w:val="center"/>
          </w:tcPr>
          <w:p w14:paraId="33C74ADE">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3</w:t>
            </w:r>
          </w:p>
        </w:tc>
        <w:tc>
          <w:tcPr>
            <w:tcW w:w="3242" w:type="pct"/>
            <w:vAlign w:val="center"/>
          </w:tcPr>
          <w:p w14:paraId="75E7A241">
            <w:pPr>
              <w:ind w:firstLine="420"/>
              <w:jc w:val="left"/>
              <w:rPr>
                <w:rFonts w:ascii="宋体" w:hAnsi="宋体" w:cs="宋体"/>
                <w:b w:val="0"/>
                <w:bCs w:val="0"/>
                <w:kern w:val="0"/>
                <w:szCs w:val="21"/>
              </w:rPr>
            </w:pPr>
            <w:r>
              <w:rPr>
                <w:rFonts w:hint="eastAsia"/>
                <w:b w:val="0"/>
                <w:bCs w:val="0"/>
                <w:szCs w:val="21"/>
              </w:rPr>
              <w:t>针对本次水质监测的关键点和难点提出的合理化建议和相应的解决措施</w:t>
            </w:r>
            <w:r>
              <w:rPr>
                <w:rFonts w:hint="eastAsia"/>
                <w:b w:val="0"/>
                <w:bCs w:val="0"/>
                <w:szCs w:val="21"/>
                <w:lang w:val="en-US" w:eastAsia="zh-CN"/>
              </w:rPr>
              <w:t>0-5分（评分范围：5，4，3，2，1，0）</w:t>
            </w:r>
          </w:p>
        </w:tc>
        <w:tc>
          <w:tcPr>
            <w:tcW w:w="728" w:type="pct"/>
            <w:vAlign w:val="center"/>
          </w:tcPr>
          <w:p w14:paraId="46A0B379">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576" w:type="pct"/>
            <w:vAlign w:val="center"/>
          </w:tcPr>
          <w:p w14:paraId="6F179B56">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02E6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pct"/>
            <w:vAlign w:val="center"/>
          </w:tcPr>
          <w:p w14:paraId="3C8A3EC6">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4</w:t>
            </w:r>
          </w:p>
        </w:tc>
        <w:tc>
          <w:tcPr>
            <w:tcW w:w="3242" w:type="pct"/>
            <w:vAlign w:val="center"/>
          </w:tcPr>
          <w:p w14:paraId="1833988D">
            <w:pPr>
              <w:ind w:firstLine="420"/>
              <w:jc w:val="left"/>
              <w:rPr>
                <w:rFonts w:ascii="宋体" w:hAnsi="宋体" w:cs="宋体"/>
                <w:b w:val="0"/>
                <w:bCs w:val="0"/>
                <w:kern w:val="0"/>
                <w:szCs w:val="21"/>
              </w:rPr>
            </w:pPr>
            <w:r>
              <w:rPr>
                <w:rFonts w:hint="eastAsia"/>
                <w:b w:val="0"/>
                <w:bCs w:val="0"/>
                <w:szCs w:val="21"/>
              </w:rPr>
              <w:t>本项目整体服务方案：</w:t>
            </w:r>
            <w:r>
              <w:rPr>
                <w:rFonts w:hint="eastAsia"/>
                <w:b w:val="0"/>
                <w:bCs w:val="0"/>
                <w:szCs w:val="21"/>
                <w:lang w:val="en-US" w:eastAsia="zh-CN"/>
              </w:rPr>
              <w:t>0-5分（评分范围：5，4，3，2，1，0）</w:t>
            </w:r>
          </w:p>
        </w:tc>
        <w:tc>
          <w:tcPr>
            <w:tcW w:w="728" w:type="pct"/>
            <w:vAlign w:val="center"/>
          </w:tcPr>
          <w:p w14:paraId="287AA4E2">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576" w:type="pct"/>
            <w:vAlign w:val="center"/>
          </w:tcPr>
          <w:p w14:paraId="6AA2C467">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7D54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2" w:type="pct"/>
            <w:vAlign w:val="center"/>
          </w:tcPr>
          <w:p w14:paraId="793F8335">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5</w:t>
            </w:r>
          </w:p>
        </w:tc>
        <w:tc>
          <w:tcPr>
            <w:tcW w:w="3242" w:type="pct"/>
            <w:vAlign w:val="center"/>
          </w:tcPr>
          <w:p w14:paraId="73222D25">
            <w:pPr>
              <w:ind w:firstLine="420"/>
              <w:jc w:val="left"/>
              <w:rPr>
                <w:b w:val="0"/>
                <w:bCs w:val="0"/>
                <w:szCs w:val="21"/>
              </w:rPr>
            </w:pPr>
            <w:r>
              <w:rPr>
                <w:rFonts w:hint="eastAsia"/>
                <w:b w:val="0"/>
                <w:bCs w:val="0"/>
                <w:szCs w:val="21"/>
              </w:rPr>
              <w:t>针对不同站位的分析方案（包括监测流程、监测方法等内容）</w:t>
            </w:r>
            <w:r>
              <w:rPr>
                <w:rFonts w:hint="eastAsia"/>
                <w:b w:val="0"/>
                <w:bCs w:val="0"/>
                <w:szCs w:val="21"/>
                <w:lang w:val="en-US" w:eastAsia="zh-CN"/>
              </w:rPr>
              <w:t>0-5分（评分范围：5，4，3，2，1，0）</w:t>
            </w:r>
          </w:p>
        </w:tc>
        <w:tc>
          <w:tcPr>
            <w:tcW w:w="728" w:type="pct"/>
            <w:vAlign w:val="center"/>
          </w:tcPr>
          <w:p w14:paraId="1D9A14DC">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576" w:type="pct"/>
            <w:vAlign w:val="center"/>
          </w:tcPr>
          <w:p w14:paraId="246C3220">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424F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52" w:type="pct"/>
            <w:vAlign w:val="center"/>
          </w:tcPr>
          <w:p w14:paraId="2259AF19">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6</w:t>
            </w:r>
          </w:p>
        </w:tc>
        <w:tc>
          <w:tcPr>
            <w:tcW w:w="3242" w:type="pct"/>
            <w:vAlign w:val="center"/>
          </w:tcPr>
          <w:p w14:paraId="3D3CF1F6">
            <w:pPr>
              <w:adjustRightInd w:val="0"/>
              <w:snapToGrid w:val="0"/>
              <w:ind w:firstLine="0" w:firstLineChars="0"/>
              <w:rPr>
                <w:b w:val="0"/>
                <w:bCs w:val="0"/>
                <w:szCs w:val="21"/>
              </w:rPr>
            </w:pPr>
            <w:r>
              <w:rPr>
                <w:rFonts w:hint="eastAsia"/>
                <w:b w:val="0"/>
                <w:bCs w:val="0"/>
                <w:szCs w:val="21"/>
              </w:rPr>
              <w:t>根据拟投入本项目的监测设备、材料配置的完整性、先进性和可靠性进行评比，酌情打分，未提供配置情况说明的不得分。</w:t>
            </w:r>
          </w:p>
          <w:p w14:paraId="270A5C6D">
            <w:pPr>
              <w:adjustRightInd w:val="0"/>
              <w:snapToGrid w:val="0"/>
              <w:ind w:firstLine="420"/>
              <w:rPr>
                <w:b w:val="0"/>
                <w:bCs w:val="0"/>
                <w:szCs w:val="21"/>
              </w:rPr>
            </w:pPr>
            <w:r>
              <w:rPr>
                <w:rFonts w:hint="eastAsia"/>
                <w:b w:val="0"/>
                <w:bCs w:val="0"/>
                <w:szCs w:val="21"/>
              </w:rPr>
              <w:t>1、现场采样监测设备配套情况（每套至少应包括pH计、电导率仪、低速蠕动泵、溶解氧仪、浊度计、温度计、重金属抽滤装置、水位仪、高程测试仪）。投标人须提供相关设备检定/校准证书（重金属抽滤装置、水位仪、低速蠕动泵除外）</w:t>
            </w:r>
            <w:r>
              <w:rPr>
                <w:rFonts w:hint="eastAsia"/>
                <w:b w:val="0"/>
                <w:bCs w:val="0"/>
                <w:szCs w:val="21"/>
                <w:lang w:eastAsia="zh-CN"/>
              </w:rPr>
              <w:t>，</w:t>
            </w:r>
            <w:r>
              <w:rPr>
                <w:rFonts w:hint="eastAsia"/>
                <w:b w:val="0"/>
                <w:bCs w:val="0"/>
                <w:szCs w:val="21"/>
              </w:rPr>
              <w:t>订单合同或发票复印件（合同或发票中未体现设备名称、数量的，须额外提供相关证明材料），未提供任何证明材料不得分。0-3分（评分范围：3，2，1，0）</w:t>
            </w:r>
          </w:p>
          <w:p w14:paraId="256728D0">
            <w:pPr>
              <w:adjustRightInd w:val="0"/>
              <w:snapToGrid w:val="0"/>
              <w:ind w:firstLine="420"/>
              <w:rPr>
                <w:b w:val="0"/>
                <w:bCs w:val="0"/>
                <w:szCs w:val="21"/>
              </w:rPr>
            </w:pPr>
            <w:r>
              <w:rPr>
                <w:rFonts w:hint="eastAsia"/>
                <w:b w:val="0"/>
                <w:bCs w:val="0"/>
                <w:szCs w:val="21"/>
              </w:rPr>
              <w:t>2、样品瓶规格和数量配套情况：投标人须提供相关样品瓶订单合同或发票复印件（合同或发票中未体现样品瓶规格、数量的，须额外提供相关证明材料），未提供任何证明材料不得分。0-3分（评分范围：3，2，1，0）</w:t>
            </w:r>
          </w:p>
          <w:p w14:paraId="3BA7B3BF">
            <w:pPr>
              <w:adjustRightInd w:val="0"/>
              <w:snapToGrid w:val="0"/>
              <w:ind w:firstLine="420"/>
              <w:rPr>
                <w:b w:val="0"/>
                <w:bCs w:val="0"/>
                <w:szCs w:val="21"/>
              </w:rPr>
            </w:pPr>
            <w:r>
              <w:rPr>
                <w:rFonts w:hint="eastAsia"/>
                <w:b w:val="0"/>
                <w:bCs w:val="0"/>
                <w:szCs w:val="21"/>
              </w:rPr>
              <w:t>3、冷藏避震箱配套情况：投标人须提供相关冷藏箱订单合同或发票复印件（合同或发票中未体现冷藏箱规格、数量的，须额外提供相关证明材料），未提供任何证明材料不得分。0-3分（评分范围：3，2，1，0）</w:t>
            </w:r>
          </w:p>
          <w:p w14:paraId="6D5F921D">
            <w:pPr>
              <w:adjustRightInd w:val="0"/>
              <w:snapToGrid w:val="0"/>
              <w:ind w:firstLine="420"/>
              <w:rPr>
                <w:b w:val="0"/>
                <w:bCs w:val="0"/>
                <w:szCs w:val="21"/>
              </w:rPr>
            </w:pPr>
            <w:r>
              <w:rPr>
                <w:rFonts w:hint="eastAsia"/>
                <w:b w:val="0"/>
                <w:bCs w:val="0"/>
                <w:szCs w:val="21"/>
              </w:rPr>
              <w:t>4、采样送样车辆配备情况：自有车辆提供</w:t>
            </w:r>
            <w:r>
              <w:rPr>
                <w:rFonts w:hint="eastAsia"/>
                <w:b w:val="0"/>
                <w:bCs w:val="0"/>
                <w:szCs w:val="21"/>
                <w:lang w:val="en-US" w:eastAsia="zh-CN"/>
              </w:rPr>
              <w:t>有效的</w:t>
            </w:r>
            <w:r>
              <w:rPr>
                <w:rFonts w:hint="eastAsia"/>
                <w:b w:val="0"/>
                <w:bCs w:val="0"/>
                <w:szCs w:val="21"/>
              </w:rPr>
              <w:t>行驶证、车头车尾照片；租赁车辆提供</w:t>
            </w:r>
            <w:r>
              <w:rPr>
                <w:rFonts w:hint="eastAsia"/>
                <w:b w:val="0"/>
                <w:bCs w:val="0"/>
                <w:szCs w:val="21"/>
                <w:lang w:val="en-US" w:eastAsia="zh-CN"/>
              </w:rPr>
              <w:t>有效的</w:t>
            </w:r>
            <w:r>
              <w:rPr>
                <w:rFonts w:hint="eastAsia"/>
                <w:b w:val="0"/>
                <w:bCs w:val="0"/>
                <w:szCs w:val="21"/>
              </w:rPr>
              <w:t>行驶证、车头车尾照片、租赁合同，未提供任何证明材料不得分。0-3分（评分范围：3，2，1，0）</w:t>
            </w:r>
          </w:p>
          <w:p w14:paraId="1F7B07FD">
            <w:pPr>
              <w:adjustRightInd w:val="0"/>
              <w:snapToGrid w:val="0"/>
              <w:ind w:firstLine="420"/>
              <w:rPr>
                <w:b w:val="0"/>
                <w:bCs w:val="0"/>
              </w:rPr>
            </w:pPr>
            <w:r>
              <w:rPr>
                <w:rFonts w:hint="eastAsia"/>
                <w:b w:val="0"/>
                <w:bCs w:val="0"/>
                <w:szCs w:val="21"/>
              </w:rPr>
              <w:t>5、其他设备物资配套情况：提供相关物资清单、发票扫描件或复印件，未提供任何证明材料不得分。0-3分（评分范围：3，2，1，0）</w:t>
            </w:r>
          </w:p>
        </w:tc>
        <w:tc>
          <w:tcPr>
            <w:tcW w:w="728" w:type="pct"/>
            <w:vAlign w:val="center"/>
          </w:tcPr>
          <w:p w14:paraId="43FB8BD6">
            <w:pPr>
              <w:ind w:firstLine="0" w:firstLineChars="0"/>
              <w:jc w:val="center"/>
              <w:rPr>
                <w:rFonts w:ascii="宋体" w:hAnsi="宋体" w:cs="宋体"/>
                <w:b w:val="0"/>
                <w:bCs w:val="0"/>
                <w:kern w:val="0"/>
                <w:szCs w:val="21"/>
              </w:rPr>
            </w:pPr>
            <w:r>
              <w:rPr>
                <w:rFonts w:hint="eastAsia" w:ascii="宋体" w:hAnsi="宋体" w:cs="宋体"/>
                <w:b w:val="0"/>
                <w:bCs w:val="0"/>
                <w:kern w:val="0"/>
                <w:szCs w:val="21"/>
              </w:rPr>
              <w:t>0-15</w:t>
            </w:r>
          </w:p>
        </w:tc>
        <w:tc>
          <w:tcPr>
            <w:tcW w:w="576" w:type="pct"/>
            <w:vAlign w:val="center"/>
          </w:tcPr>
          <w:p w14:paraId="74C08375">
            <w:pPr>
              <w:ind w:firstLine="0" w:firstLineChars="0"/>
              <w:jc w:val="center"/>
              <w:rPr>
                <w:b w:val="0"/>
                <w:bCs w:val="0"/>
              </w:rPr>
            </w:pPr>
            <w:r>
              <w:rPr>
                <w:rFonts w:hint="eastAsia" w:ascii="宋体" w:hAnsi="宋体" w:cs="宋体"/>
                <w:b w:val="0"/>
                <w:bCs w:val="0"/>
                <w:kern w:val="0"/>
                <w:szCs w:val="21"/>
              </w:rPr>
              <w:t>主观分</w:t>
            </w:r>
          </w:p>
        </w:tc>
      </w:tr>
      <w:tr w14:paraId="0E41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2" w:type="pct"/>
            <w:vAlign w:val="center"/>
          </w:tcPr>
          <w:p w14:paraId="7E4709B8">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7</w:t>
            </w:r>
          </w:p>
        </w:tc>
        <w:tc>
          <w:tcPr>
            <w:tcW w:w="3242" w:type="pct"/>
            <w:vAlign w:val="center"/>
          </w:tcPr>
          <w:p w14:paraId="3F3A31D2">
            <w:pPr>
              <w:adjustRightInd w:val="0"/>
              <w:snapToGrid w:val="0"/>
              <w:ind w:firstLine="420"/>
              <w:rPr>
                <w:b w:val="0"/>
                <w:bCs w:val="0"/>
              </w:rPr>
            </w:pPr>
            <w:r>
              <w:rPr>
                <w:rFonts w:hint="eastAsia"/>
                <w:b w:val="0"/>
                <w:bCs w:val="0"/>
                <w:szCs w:val="21"/>
              </w:rPr>
              <w:t>根据投标人提供的实验室内部管理制度、项目管理制度等制度建立情况</w:t>
            </w:r>
            <w:r>
              <w:rPr>
                <w:rFonts w:hint="eastAsia"/>
                <w:b w:val="0"/>
                <w:bCs w:val="0"/>
                <w:szCs w:val="21"/>
                <w:lang w:val="en-US" w:eastAsia="zh-CN"/>
              </w:rPr>
              <w:t>0-5分（评分范围：5，4，3，2，1，0）</w:t>
            </w:r>
          </w:p>
        </w:tc>
        <w:tc>
          <w:tcPr>
            <w:tcW w:w="728" w:type="pct"/>
            <w:vAlign w:val="center"/>
          </w:tcPr>
          <w:p w14:paraId="11C07CBD">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576" w:type="pct"/>
            <w:vAlign w:val="center"/>
          </w:tcPr>
          <w:p w14:paraId="6BB598D8">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227A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2" w:type="pct"/>
            <w:vAlign w:val="center"/>
          </w:tcPr>
          <w:p w14:paraId="2F8318B4">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8</w:t>
            </w:r>
          </w:p>
        </w:tc>
        <w:tc>
          <w:tcPr>
            <w:tcW w:w="3242" w:type="pct"/>
            <w:vAlign w:val="center"/>
          </w:tcPr>
          <w:p w14:paraId="75F17A5C">
            <w:pPr>
              <w:adjustRightInd w:val="0"/>
              <w:snapToGrid w:val="0"/>
              <w:ind w:firstLine="420"/>
              <w:rPr>
                <w:b w:val="0"/>
                <w:bCs w:val="0"/>
                <w:szCs w:val="21"/>
              </w:rPr>
            </w:pPr>
            <w:r>
              <w:rPr>
                <w:rFonts w:hint="eastAsia"/>
                <w:b w:val="0"/>
                <w:bCs w:val="0"/>
                <w:szCs w:val="21"/>
              </w:rPr>
              <w:t>样品采集保存、流转和交接方案</w:t>
            </w:r>
            <w:r>
              <w:rPr>
                <w:rFonts w:hint="eastAsia"/>
                <w:b w:val="0"/>
                <w:bCs w:val="0"/>
                <w:szCs w:val="21"/>
                <w:lang w:val="en-US" w:eastAsia="zh-CN"/>
              </w:rPr>
              <w:t>0-5分（评分范围：5，4，3，2，1，0）</w:t>
            </w:r>
          </w:p>
        </w:tc>
        <w:tc>
          <w:tcPr>
            <w:tcW w:w="728" w:type="pct"/>
            <w:vAlign w:val="center"/>
          </w:tcPr>
          <w:p w14:paraId="6ECC2361">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576" w:type="pct"/>
            <w:vAlign w:val="center"/>
          </w:tcPr>
          <w:p w14:paraId="3E84848C">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5613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pct"/>
            <w:vAlign w:val="center"/>
          </w:tcPr>
          <w:p w14:paraId="54DFC9B0">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9</w:t>
            </w:r>
          </w:p>
        </w:tc>
        <w:tc>
          <w:tcPr>
            <w:tcW w:w="3242" w:type="pct"/>
            <w:vAlign w:val="center"/>
          </w:tcPr>
          <w:p w14:paraId="4F43DBD2">
            <w:pPr>
              <w:ind w:firstLine="420"/>
              <w:jc w:val="left"/>
              <w:rPr>
                <w:rFonts w:ascii="宋体" w:hAnsi="宋体" w:cs="宋体"/>
                <w:b w:val="0"/>
                <w:bCs w:val="0"/>
                <w:kern w:val="0"/>
                <w:szCs w:val="21"/>
              </w:rPr>
            </w:pPr>
            <w:r>
              <w:rPr>
                <w:rFonts w:hint="eastAsia" w:ascii="宋体" w:hAnsi="宋体" w:cs="宋体"/>
                <w:b w:val="0"/>
                <w:bCs w:val="0"/>
                <w:kern w:val="0"/>
                <w:szCs w:val="21"/>
              </w:rPr>
              <w:t>质量控制措施方案</w:t>
            </w:r>
            <w:r>
              <w:rPr>
                <w:rFonts w:hint="eastAsia"/>
                <w:b w:val="0"/>
                <w:bCs w:val="0"/>
                <w:szCs w:val="21"/>
                <w:lang w:val="en-US" w:eastAsia="zh-CN"/>
              </w:rPr>
              <w:t>0-5分（评分范围：5，4，3，2，1，0）</w:t>
            </w:r>
          </w:p>
        </w:tc>
        <w:tc>
          <w:tcPr>
            <w:tcW w:w="728" w:type="pct"/>
            <w:vAlign w:val="center"/>
          </w:tcPr>
          <w:p w14:paraId="289AE2C4">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576" w:type="pct"/>
            <w:vAlign w:val="center"/>
          </w:tcPr>
          <w:p w14:paraId="039A53B5">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7033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52" w:type="pct"/>
            <w:vAlign w:val="center"/>
          </w:tcPr>
          <w:p w14:paraId="402BCB26">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10</w:t>
            </w:r>
          </w:p>
        </w:tc>
        <w:tc>
          <w:tcPr>
            <w:tcW w:w="3242" w:type="pct"/>
            <w:vAlign w:val="center"/>
          </w:tcPr>
          <w:p w14:paraId="418D1D3B">
            <w:pPr>
              <w:ind w:firstLine="420"/>
              <w:jc w:val="left"/>
              <w:rPr>
                <w:rFonts w:ascii="宋体" w:hAnsi="宋体" w:cs="宋体"/>
                <w:b w:val="0"/>
                <w:bCs w:val="0"/>
                <w:kern w:val="0"/>
                <w:szCs w:val="21"/>
              </w:rPr>
            </w:pPr>
            <w:r>
              <w:rPr>
                <w:rFonts w:hint="eastAsia" w:ascii="宋体" w:hAnsi="宋体" w:cs="宋体"/>
                <w:b w:val="0"/>
                <w:bCs w:val="0"/>
                <w:kern w:val="0"/>
                <w:szCs w:val="21"/>
              </w:rPr>
              <w:t>针对本项目的实施进度计划及进度保障措施</w:t>
            </w:r>
            <w:r>
              <w:rPr>
                <w:rFonts w:hint="eastAsia"/>
                <w:b w:val="0"/>
                <w:bCs w:val="0"/>
                <w:szCs w:val="21"/>
                <w:lang w:val="en-US" w:eastAsia="zh-CN"/>
              </w:rPr>
              <w:t>0-5分（评分范围：5，4，3，2，1，0）</w:t>
            </w:r>
          </w:p>
        </w:tc>
        <w:tc>
          <w:tcPr>
            <w:tcW w:w="728" w:type="pct"/>
            <w:vAlign w:val="center"/>
          </w:tcPr>
          <w:p w14:paraId="60A5234E">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576" w:type="pct"/>
            <w:vAlign w:val="center"/>
          </w:tcPr>
          <w:p w14:paraId="6FEE9C22">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03CA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pct"/>
            <w:vAlign w:val="center"/>
          </w:tcPr>
          <w:p w14:paraId="484AD755">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11</w:t>
            </w:r>
          </w:p>
        </w:tc>
        <w:tc>
          <w:tcPr>
            <w:tcW w:w="3242" w:type="pct"/>
            <w:vAlign w:val="center"/>
          </w:tcPr>
          <w:p w14:paraId="149177C9">
            <w:pPr>
              <w:ind w:firstLine="420" w:firstLineChars="200"/>
              <w:jc w:val="left"/>
              <w:rPr>
                <w:rFonts w:ascii="宋体" w:hAnsi="宋体" w:cs="宋体"/>
                <w:b w:val="0"/>
                <w:bCs w:val="0"/>
                <w:kern w:val="0"/>
                <w:szCs w:val="21"/>
              </w:rPr>
            </w:pPr>
            <w:r>
              <w:rPr>
                <w:rFonts w:hint="eastAsia"/>
                <w:b w:val="0"/>
                <w:bCs w:val="0"/>
                <w:szCs w:val="21"/>
              </w:rPr>
              <w:t>保密方案</w:t>
            </w:r>
            <w:r>
              <w:rPr>
                <w:rFonts w:hint="eastAsia"/>
                <w:b w:val="0"/>
                <w:bCs w:val="0"/>
                <w:szCs w:val="21"/>
                <w:lang w:val="en-US" w:eastAsia="zh-CN"/>
              </w:rPr>
              <w:t>0-3分（评分范围：3，2，1，0）</w:t>
            </w:r>
          </w:p>
        </w:tc>
        <w:tc>
          <w:tcPr>
            <w:tcW w:w="728" w:type="pct"/>
            <w:vAlign w:val="center"/>
          </w:tcPr>
          <w:p w14:paraId="5ACC40A4">
            <w:pPr>
              <w:ind w:firstLine="0" w:firstLineChars="0"/>
              <w:jc w:val="center"/>
              <w:rPr>
                <w:rFonts w:ascii="宋体" w:hAnsi="宋体" w:cs="宋体"/>
                <w:b w:val="0"/>
                <w:bCs w:val="0"/>
                <w:kern w:val="0"/>
                <w:szCs w:val="21"/>
              </w:rPr>
            </w:pPr>
            <w:r>
              <w:rPr>
                <w:rFonts w:hint="eastAsia" w:ascii="宋体" w:hAnsi="宋体" w:cs="宋体"/>
                <w:b w:val="0"/>
                <w:bCs w:val="0"/>
                <w:kern w:val="0"/>
                <w:szCs w:val="21"/>
              </w:rPr>
              <w:t>0-3</w:t>
            </w:r>
          </w:p>
        </w:tc>
        <w:tc>
          <w:tcPr>
            <w:tcW w:w="576" w:type="pct"/>
            <w:vAlign w:val="center"/>
          </w:tcPr>
          <w:p w14:paraId="49ACEB03">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01D6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52" w:type="pct"/>
            <w:vAlign w:val="center"/>
          </w:tcPr>
          <w:p w14:paraId="409D8A95">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12</w:t>
            </w:r>
          </w:p>
        </w:tc>
        <w:tc>
          <w:tcPr>
            <w:tcW w:w="3242" w:type="pct"/>
            <w:vAlign w:val="center"/>
          </w:tcPr>
          <w:p w14:paraId="6182F96A">
            <w:pPr>
              <w:ind w:firstLine="420"/>
              <w:jc w:val="left"/>
              <w:rPr>
                <w:rFonts w:ascii="宋体" w:hAnsi="宋体" w:cs="宋体"/>
                <w:b w:val="0"/>
                <w:bCs w:val="0"/>
                <w:kern w:val="0"/>
                <w:szCs w:val="21"/>
              </w:rPr>
            </w:pPr>
            <w:r>
              <w:rPr>
                <w:rFonts w:hint="eastAsia"/>
                <w:b w:val="0"/>
                <w:bCs w:val="0"/>
                <w:szCs w:val="21"/>
              </w:rPr>
              <w:t>对本项目的应急措施方案</w:t>
            </w:r>
            <w:r>
              <w:rPr>
                <w:rFonts w:hint="eastAsia"/>
                <w:b w:val="0"/>
                <w:bCs w:val="0"/>
                <w:szCs w:val="21"/>
                <w:lang w:val="en-US" w:eastAsia="zh-CN"/>
              </w:rPr>
              <w:t>0-5分（评分范围：5，4，3，2，1，0）</w:t>
            </w:r>
          </w:p>
        </w:tc>
        <w:tc>
          <w:tcPr>
            <w:tcW w:w="728" w:type="pct"/>
            <w:vAlign w:val="center"/>
          </w:tcPr>
          <w:p w14:paraId="288A2A75">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576" w:type="pct"/>
            <w:vAlign w:val="center"/>
          </w:tcPr>
          <w:p w14:paraId="0D7837DB">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6AEE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pct"/>
            <w:vAlign w:val="center"/>
          </w:tcPr>
          <w:p w14:paraId="0892E9BA">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13</w:t>
            </w:r>
          </w:p>
        </w:tc>
        <w:tc>
          <w:tcPr>
            <w:tcW w:w="3242" w:type="pct"/>
            <w:vAlign w:val="center"/>
          </w:tcPr>
          <w:p w14:paraId="14D0B148">
            <w:pPr>
              <w:ind w:firstLine="420" w:firstLineChars="200"/>
              <w:jc w:val="left"/>
              <w:rPr>
                <w:rFonts w:ascii="宋体" w:hAnsi="宋体" w:cs="宋体"/>
                <w:b w:val="0"/>
                <w:bCs w:val="0"/>
                <w:kern w:val="0"/>
                <w:szCs w:val="21"/>
              </w:rPr>
            </w:pPr>
            <w:r>
              <w:rPr>
                <w:rFonts w:hint="eastAsia"/>
                <w:b w:val="0"/>
                <w:bCs w:val="0"/>
                <w:szCs w:val="21"/>
              </w:rPr>
              <w:t>安全运行保障措施方案</w:t>
            </w:r>
            <w:r>
              <w:rPr>
                <w:rFonts w:hint="eastAsia"/>
                <w:b w:val="0"/>
                <w:bCs w:val="0"/>
                <w:szCs w:val="21"/>
                <w:lang w:val="en-US" w:eastAsia="zh-CN"/>
              </w:rPr>
              <w:t>0-3分（评分范围：3，2，1，0）</w:t>
            </w:r>
          </w:p>
        </w:tc>
        <w:tc>
          <w:tcPr>
            <w:tcW w:w="728" w:type="pct"/>
            <w:vAlign w:val="center"/>
          </w:tcPr>
          <w:p w14:paraId="09DC9C0B">
            <w:pPr>
              <w:ind w:firstLine="0" w:firstLineChars="0"/>
              <w:jc w:val="center"/>
              <w:rPr>
                <w:rFonts w:ascii="宋体" w:hAnsi="宋体" w:cs="宋体"/>
                <w:b w:val="0"/>
                <w:bCs w:val="0"/>
                <w:kern w:val="0"/>
                <w:szCs w:val="21"/>
              </w:rPr>
            </w:pPr>
            <w:r>
              <w:rPr>
                <w:rFonts w:hint="eastAsia" w:ascii="宋体" w:hAnsi="宋体" w:cs="宋体"/>
                <w:b w:val="0"/>
                <w:bCs w:val="0"/>
                <w:kern w:val="0"/>
                <w:szCs w:val="21"/>
              </w:rPr>
              <w:t>0-3</w:t>
            </w:r>
          </w:p>
        </w:tc>
        <w:tc>
          <w:tcPr>
            <w:tcW w:w="576" w:type="pct"/>
            <w:vAlign w:val="center"/>
          </w:tcPr>
          <w:p w14:paraId="1864C00F">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3036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pct"/>
            <w:vAlign w:val="center"/>
          </w:tcPr>
          <w:p w14:paraId="5761AB0C">
            <w:pPr>
              <w:ind w:firstLine="0" w:firstLineChars="0"/>
              <w:jc w:val="center"/>
              <w:rPr>
                <w:rFonts w:cs="宋体" w:asciiTheme="minorEastAsia" w:hAnsiTheme="minorEastAsia" w:eastAsiaTheme="minorEastAsia"/>
                <w:b w:val="0"/>
                <w:bCs w:val="0"/>
                <w:szCs w:val="21"/>
              </w:rPr>
            </w:pPr>
            <w:r>
              <w:rPr>
                <w:rFonts w:hint="eastAsia" w:cs="宋体" w:asciiTheme="minorEastAsia" w:hAnsiTheme="minorEastAsia" w:eastAsiaTheme="minorEastAsia"/>
                <w:b w:val="0"/>
                <w:bCs w:val="0"/>
                <w:szCs w:val="21"/>
              </w:rPr>
              <w:t>14</w:t>
            </w:r>
          </w:p>
        </w:tc>
        <w:tc>
          <w:tcPr>
            <w:tcW w:w="3242" w:type="pct"/>
            <w:vAlign w:val="center"/>
          </w:tcPr>
          <w:p w14:paraId="41A849A8">
            <w:pPr>
              <w:ind w:firstLine="0" w:firstLineChars="0"/>
              <w:rPr>
                <w:b w:val="0"/>
                <w:bCs w:val="0"/>
                <w:szCs w:val="21"/>
              </w:rPr>
            </w:pPr>
            <w:r>
              <w:rPr>
                <w:rFonts w:hint="eastAsia"/>
                <w:b w:val="0"/>
                <w:bCs w:val="0"/>
                <w:szCs w:val="21"/>
              </w:rPr>
              <w:t>1、拟派项目负责人情况（提供项目负责人最近不少于3个月的社保证明（退休返聘人员提供返聘证明），否则不得分）</w:t>
            </w:r>
          </w:p>
          <w:p w14:paraId="62D41A45">
            <w:pPr>
              <w:ind w:firstLine="420"/>
              <w:rPr>
                <w:b w:val="0"/>
                <w:bCs w:val="0"/>
                <w:szCs w:val="21"/>
              </w:rPr>
            </w:pPr>
            <w:r>
              <w:rPr>
                <w:rFonts w:hint="eastAsia"/>
                <w:b w:val="0"/>
                <w:bCs w:val="0"/>
                <w:szCs w:val="21"/>
              </w:rPr>
              <w:t>1.1具有环保中级职称的得1分，环保高级工程师职称证书的得3分</w:t>
            </w:r>
            <w:r>
              <w:rPr>
                <w:rFonts w:hint="eastAsia"/>
                <w:b w:val="0"/>
                <w:bCs w:val="0"/>
                <w:szCs w:val="21"/>
                <w:lang w:eastAsia="zh-CN"/>
              </w:rPr>
              <w:t>，</w:t>
            </w:r>
            <w:r>
              <w:rPr>
                <w:rFonts w:hint="eastAsia"/>
                <w:b w:val="0"/>
                <w:bCs w:val="0"/>
                <w:szCs w:val="21"/>
                <w:lang w:val="en-US" w:eastAsia="zh-CN"/>
              </w:rPr>
              <w:t>提供证明材料，不提供不得分</w:t>
            </w:r>
            <w:r>
              <w:rPr>
                <w:rFonts w:hint="eastAsia"/>
                <w:b w:val="0"/>
                <w:bCs w:val="0"/>
                <w:szCs w:val="21"/>
              </w:rPr>
              <w:t>。（0-3分）</w:t>
            </w:r>
          </w:p>
          <w:p w14:paraId="4FA8FE75">
            <w:pPr>
              <w:adjustRightInd w:val="0"/>
              <w:snapToGrid w:val="0"/>
              <w:ind w:firstLine="420"/>
              <w:rPr>
                <w:b w:val="0"/>
                <w:bCs w:val="0"/>
                <w:szCs w:val="21"/>
              </w:rPr>
            </w:pPr>
            <w:r>
              <w:rPr>
                <w:rFonts w:hint="eastAsia"/>
                <w:b w:val="0"/>
                <w:bCs w:val="0"/>
                <w:szCs w:val="21"/>
              </w:rPr>
              <w:t>1.2项目负责人</w:t>
            </w:r>
            <w:r>
              <w:rPr>
                <w:rFonts w:hint="eastAsia"/>
                <w:b w:val="0"/>
                <w:bCs w:val="0"/>
                <w:szCs w:val="21"/>
                <w:lang w:val="en-US" w:eastAsia="zh-CN"/>
              </w:rPr>
              <w:t>工作经验、技术能力等0-3分（评分范围：3，2，1，0）</w:t>
            </w:r>
          </w:p>
          <w:p w14:paraId="115C0DFA">
            <w:pPr>
              <w:ind w:firstLine="0" w:firstLineChars="0"/>
              <w:rPr>
                <w:b w:val="0"/>
                <w:bCs w:val="0"/>
                <w:szCs w:val="21"/>
              </w:rPr>
            </w:pPr>
            <w:r>
              <w:rPr>
                <w:rFonts w:hint="eastAsia"/>
                <w:b w:val="0"/>
                <w:bCs w:val="0"/>
                <w:szCs w:val="21"/>
              </w:rPr>
              <w:t>2、拟派项目组人员（不含项目负责人）情况（提供人员最近不少于3个月的社保证明（退休返聘人员提供返聘证明），否则不得分）</w:t>
            </w:r>
          </w:p>
          <w:p w14:paraId="266C10F2">
            <w:pPr>
              <w:ind w:firstLine="420"/>
              <w:rPr>
                <w:b w:val="0"/>
                <w:bCs w:val="0"/>
                <w:szCs w:val="21"/>
              </w:rPr>
            </w:pPr>
            <w:r>
              <w:rPr>
                <w:rFonts w:hint="eastAsia"/>
                <w:b w:val="0"/>
                <w:bCs w:val="0"/>
                <w:szCs w:val="21"/>
              </w:rPr>
              <w:t>2.1具有中级及以上环保相关职称的，每1人得1分，本项最高4分，</w:t>
            </w:r>
            <w:r>
              <w:rPr>
                <w:rFonts w:hint="eastAsia"/>
                <w:b w:val="0"/>
                <w:bCs w:val="0"/>
                <w:szCs w:val="21"/>
                <w:lang w:val="en-US" w:eastAsia="zh-CN"/>
              </w:rPr>
              <w:t>提供证明材料，不提供不得分</w:t>
            </w:r>
            <w:r>
              <w:rPr>
                <w:rFonts w:hint="eastAsia"/>
                <w:b w:val="0"/>
                <w:bCs w:val="0"/>
                <w:szCs w:val="21"/>
              </w:rPr>
              <w:t>。（0-4分）</w:t>
            </w:r>
          </w:p>
          <w:p w14:paraId="2F777419">
            <w:pPr>
              <w:adjustRightInd w:val="0"/>
              <w:snapToGrid w:val="0"/>
              <w:ind w:firstLine="420"/>
              <w:rPr>
                <w:rFonts w:ascii="宋体" w:hAnsi="宋体" w:cs="宋体"/>
                <w:b w:val="0"/>
                <w:bCs w:val="0"/>
                <w:kern w:val="0"/>
                <w:szCs w:val="21"/>
              </w:rPr>
            </w:pPr>
            <w:r>
              <w:rPr>
                <w:rFonts w:hint="eastAsia"/>
                <w:b w:val="0"/>
                <w:bCs w:val="0"/>
                <w:szCs w:val="21"/>
              </w:rPr>
              <w:t>2.2投入本项目的技术人员组织架构完善、职责明确、数量充足、采样服务经验丰富等进行评审。</w:t>
            </w:r>
            <w:r>
              <w:rPr>
                <w:rFonts w:hint="eastAsia"/>
                <w:b w:val="0"/>
                <w:bCs w:val="0"/>
                <w:szCs w:val="21"/>
                <w:lang w:val="en-US" w:eastAsia="zh-CN"/>
              </w:rPr>
              <w:t>0-5分（评分范围：5，4，3，2，1，0）</w:t>
            </w:r>
          </w:p>
        </w:tc>
        <w:tc>
          <w:tcPr>
            <w:tcW w:w="728" w:type="pct"/>
            <w:vAlign w:val="center"/>
          </w:tcPr>
          <w:p w14:paraId="46068720">
            <w:pPr>
              <w:ind w:firstLine="0" w:firstLineChars="0"/>
              <w:jc w:val="center"/>
              <w:rPr>
                <w:rFonts w:ascii="宋体" w:hAnsi="宋体" w:cs="宋体"/>
                <w:b w:val="0"/>
                <w:bCs w:val="0"/>
                <w:kern w:val="0"/>
                <w:szCs w:val="21"/>
              </w:rPr>
            </w:pPr>
            <w:r>
              <w:rPr>
                <w:rFonts w:hint="eastAsia" w:ascii="宋体" w:hAnsi="宋体" w:cs="宋体"/>
                <w:b w:val="0"/>
                <w:bCs w:val="0"/>
                <w:kern w:val="0"/>
                <w:szCs w:val="21"/>
              </w:rPr>
              <w:t>0-15</w:t>
            </w:r>
          </w:p>
        </w:tc>
        <w:tc>
          <w:tcPr>
            <w:tcW w:w="576" w:type="pct"/>
            <w:vAlign w:val="center"/>
          </w:tcPr>
          <w:p w14:paraId="79301EF3">
            <w:pPr>
              <w:ind w:firstLine="0" w:firstLineChars="0"/>
              <w:jc w:val="center"/>
              <w:rPr>
                <w:rFonts w:ascii="宋体" w:hAnsi="宋体" w:cs="宋体"/>
                <w:b w:val="0"/>
                <w:bCs w:val="0"/>
                <w:kern w:val="0"/>
                <w:szCs w:val="21"/>
              </w:rPr>
            </w:pPr>
            <w:r>
              <w:rPr>
                <w:rFonts w:hint="eastAsia" w:ascii="宋体" w:hAnsi="宋体" w:cs="宋体"/>
                <w:b w:val="0"/>
                <w:bCs w:val="0"/>
                <w:kern w:val="0"/>
                <w:szCs w:val="21"/>
              </w:rPr>
              <w:t>1.1、2.1客观分，1.2、2.2主观分</w:t>
            </w:r>
          </w:p>
        </w:tc>
      </w:tr>
    </w:tbl>
    <w:p w14:paraId="716F510A">
      <w:pPr>
        <w:pStyle w:val="3"/>
        <w:rPr>
          <w:rFonts w:cs="宋体" w:asciiTheme="minorEastAsia" w:hAnsiTheme="minorEastAsia" w:eastAsiaTheme="minorEastAsia"/>
          <w:szCs w:val="21"/>
        </w:rPr>
      </w:pPr>
      <w:r>
        <w:rPr>
          <w:rFonts w:hint="eastAsia" w:cs="宋体" w:asciiTheme="minorEastAsia" w:hAnsiTheme="minorEastAsia" w:eastAsiaTheme="minorEastAsia"/>
          <w:szCs w:val="21"/>
        </w:rPr>
        <w:t>6.评标报告</w:t>
      </w:r>
      <w:bookmarkEnd w:id="124"/>
    </w:p>
    <w:p w14:paraId="5536BAA2">
      <w:pPr>
        <w:ind w:firstLine="420"/>
        <w:rPr>
          <w:rFonts w:cs="宋体" w:asciiTheme="minorEastAsia" w:hAnsiTheme="minorEastAsia" w:eastAsiaTheme="minorEastAsia"/>
          <w:szCs w:val="21"/>
        </w:rPr>
      </w:pPr>
      <w:bookmarkStart w:id="126" w:name="_Hlk8573416"/>
      <w:r>
        <w:rPr>
          <w:rFonts w:hint="eastAsia" w:cs="宋体" w:asciiTheme="minorEastAsia" w:hAnsiTheme="minorEastAsia" w:eastAsiaTheme="minorEastAsia"/>
          <w:szCs w:val="21"/>
        </w:rPr>
        <w:t>6.</w:t>
      </w:r>
      <w:r>
        <w:rPr>
          <w:rFonts w:cs="宋体" w:asciiTheme="minorEastAsia" w:hAnsiTheme="minorEastAsia" w:eastAsiaTheme="minorEastAsia"/>
          <w:szCs w:val="21"/>
        </w:rPr>
        <w:t>1</w:t>
      </w:r>
      <w:r>
        <w:rPr>
          <w:rFonts w:hint="eastAsia" w:cs="宋体" w:asciiTheme="minorEastAsia" w:hAnsiTheme="minorEastAsia" w:eastAsiaTheme="minorEastAsia"/>
          <w:szCs w:val="21"/>
        </w:rPr>
        <w:t>评标委员会成员应当独立、客观、公正、审慎地提出评审意见，不得带有倾向性，不得影响其他人员评审，评标委员会成员对需要共同认定的事项存在争议的，应当按照少数服从多数的原则作出结论。</w:t>
      </w:r>
    </w:p>
    <w:p w14:paraId="6023CD8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2</w:t>
      </w:r>
      <w:r>
        <w:rPr>
          <w:rFonts w:hint="eastAsia" w:cs="宋体" w:asciiTheme="minorEastAsia" w:hAnsiTheme="minorEastAsia" w:eastAsiaTheme="minorEastAsia"/>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14:paraId="36697AE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3</w:t>
      </w:r>
      <w:r>
        <w:rPr>
          <w:rFonts w:hint="eastAsia" w:cs="宋体" w:asciiTheme="minorEastAsia" w:hAnsiTheme="minorEastAsia" w:eastAsiaTheme="minorEastAsia"/>
          <w:szCs w:val="21"/>
        </w:rPr>
        <w:t>评标委员会向采购人提交采购项目评标报告，评标报告是采购人确定中标人的合法依据。</w:t>
      </w:r>
    </w:p>
    <w:bookmarkEnd w:id="125"/>
    <w:bookmarkEnd w:id="126"/>
    <w:p w14:paraId="1F9640CA">
      <w:pPr>
        <w:ind w:firstLine="420"/>
        <w:rPr>
          <w:rFonts w:cs="宋体" w:asciiTheme="minorEastAsia" w:hAnsiTheme="minorEastAsia" w:eastAsiaTheme="minorEastAsia"/>
          <w:strike/>
          <w:szCs w:val="21"/>
        </w:rPr>
      </w:pPr>
    </w:p>
    <w:sectPr>
      <w:pgSz w:w="11906" w:h="16838"/>
      <w:pgMar w:top="1247" w:right="1304" w:bottom="1020" w:left="1304"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0DCB">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885B">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BF7C">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14:paraId="2B8144A7">
        <w:pPr>
          <w:pStyle w:val="16"/>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14:paraId="21FFEA0E">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ED7EA">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BC2B">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C89C">
    <w:pPr>
      <w:pStyle w:val="1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438785"/>
              <wp:effectExtent l="0" t="0" r="11430" b="12065"/>
              <wp:wrapNone/>
              <wp:docPr id="1" name="文本框 4"/>
              <wp:cNvGraphicFramePr/>
              <a:graphic xmlns:a="http://schemas.openxmlformats.org/drawingml/2006/main">
                <a:graphicData uri="http://schemas.microsoft.com/office/word/2010/wordprocessingShape">
                  <wps:wsp>
                    <wps:cNvSpPr txBox="1"/>
                    <wps:spPr>
                      <a:xfrm>
                        <a:off x="0" y="0"/>
                        <a:ext cx="287020" cy="438785"/>
                      </a:xfrm>
                      <a:prstGeom prst="rect">
                        <a:avLst/>
                      </a:prstGeom>
                      <a:noFill/>
                      <a:ln w="6350">
                        <a:noFill/>
                      </a:ln>
                    </wps:spPr>
                    <wps:txbx>
                      <w:txbxContent>
                        <w:sdt>
                          <w:sdtPr>
                            <w:id w:val="2141995024"/>
                          </w:sdtPr>
                          <w:sdtContent>
                            <w:p w14:paraId="1325675D">
                              <w:pPr>
                                <w:pStyle w:val="16"/>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5F2F3C99">
                          <w:pPr>
                            <w:pStyle w:val="10"/>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34.55pt;width:22.6pt;mso-position-horizontal:center;mso-position-horizontal-relative:margin;mso-wrap-style:none;z-index:251659264;mso-width-relative:page;mso-height-relative:page;" filled="f" stroked="f" coordsize="21600,21600" o:gfxdata="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5JyI/SAAAAAwEAAA8AAAAAAAAAAQAgAAAAIgAAAGRycy9kb3ducmV2LnhtbFBLAQIUABQA&#10;AAAIAIdO4kCwzXy+LwIAAFMEAAAOAAAAAAAAAAEAIAAAACEBAABkcnMvZTJvRG9jLnhtbFBLBQYA&#10;AAAABgAGAFkBAADCBQAAAAA=&#10;">
              <v:fill on="f" focussize="0,0"/>
              <v:stroke on="f" weight="0.5pt"/>
              <v:imagedata o:title=""/>
              <o:lock v:ext="edit" aspectratio="f"/>
              <v:textbox inset="0mm,0mm,0mm,0mm" style="mso-fit-shape-to-text:t;">
                <w:txbxContent>
                  <w:sdt>
                    <w:sdtPr>
                      <w:id w:val="2141995024"/>
                    </w:sdtPr>
                    <w:sdtContent>
                      <w:p w14:paraId="1325675D">
                        <w:pPr>
                          <w:pStyle w:val="16"/>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5F2F3C99">
                    <w:pPr>
                      <w:pStyle w:val="10"/>
                      <w:ind w:firstLine="210"/>
                    </w:pPr>
                  </w:p>
                </w:txbxContent>
              </v:textbox>
            </v:shape>
          </w:pict>
        </mc:Fallback>
      </mc:AlternateContent>
    </w:r>
  </w:p>
  <w:p w14:paraId="768B3DDB">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E771">
    <w:pPr>
      <w:pStyle w:val="16"/>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4805" cy="438785"/>
              <wp:effectExtent l="0" t="0" r="10795" b="12065"/>
              <wp:wrapNone/>
              <wp:docPr id="7" name="文本框 7"/>
              <wp:cNvGraphicFramePr/>
              <a:graphic xmlns:a="http://schemas.openxmlformats.org/drawingml/2006/main">
                <a:graphicData uri="http://schemas.microsoft.com/office/word/2010/wordprocessingShape">
                  <wps:wsp>
                    <wps:cNvSpPr txBox="1"/>
                    <wps:spPr>
                      <a:xfrm>
                        <a:off x="0" y="0"/>
                        <a:ext cx="344805" cy="438785"/>
                      </a:xfrm>
                      <a:prstGeom prst="rect">
                        <a:avLst/>
                      </a:prstGeom>
                      <a:noFill/>
                      <a:ln w="6350">
                        <a:noFill/>
                      </a:ln>
                    </wps:spPr>
                    <wps:txbx>
                      <w:txbxContent>
                        <w:sdt>
                          <w:sdtPr>
                            <w:id w:val="-1913300481"/>
                          </w:sdtPr>
                          <w:sdtContent>
                            <w:p w14:paraId="0619FDB4">
                              <w:pPr>
                                <w:pStyle w:val="16"/>
                                <w:ind w:firstLine="360"/>
                                <w:jc w:val="center"/>
                              </w:pPr>
                              <w:r>
                                <w:fldChar w:fldCharType="begin"/>
                              </w:r>
                              <w:r>
                                <w:instrText xml:space="preserve">PAGE   \* MERGEFORMAT</w:instrText>
                              </w:r>
                              <w:r>
                                <w:fldChar w:fldCharType="separate"/>
                              </w:r>
                              <w:r>
                                <w:rPr>
                                  <w:lang w:val="zh-CN"/>
                                </w:rPr>
                                <w:t>19</w:t>
                              </w:r>
                              <w:r>
                                <w:rPr>
                                  <w:lang w:val="zh-CN"/>
                                </w:rPr>
                                <w:fldChar w:fldCharType="end"/>
                              </w:r>
                            </w:p>
                          </w:sdtContent>
                        </w:sdt>
                        <w:p w14:paraId="539EEDAB">
                          <w:pPr>
                            <w:pStyle w:val="10"/>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4.55pt;width:27.15pt;mso-position-horizontal:center;mso-position-horizontal-relative:margin;mso-wrap-style:none;z-index:251663360;mso-width-relative:page;mso-height-relative:page;" filled="f" stroked="f" coordsize="21600,21600" o:gfxdata="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nb2g9IAAAADAQAADwAAAAAAAAABACAAAAAiAAAAZHJzL2Rvd25yZXYueG1sUEsBAhQA&#10;FAAAAAgAh07iQF2K/YIxAgAAUwQAAA4AAAAAAAAAAQAgAAAAIQEAAGRycy9lMm9Eb2MueG1sUEsF&#10;BgAAAAAGAAYAWQEAAMQFAAAAAA==&#10;">
              <v:fill on="f" focussize="0,0"/>
              <v:stroke on="f" weight="0.5pt"/>
              <v:imagedata o:title=""/>
              <o:lock v:ext="edit" aspectratio="f"/>
              <v:textbox inset="0mm,0mm,0mm,0mm" style="mso-fit-shape-to-text:t;">
                <w:txbxContent>
                  <w:sdt>
                    <w:sdtPr>
                      <w:id w:val="-1913300481"/>
                    </w:sdtPr>
                    <w:sdtContent>
                      <w:p w14:paraId="0619FDB4">
                        <w:pPr>
                          <w:pStyle w:val="16"/>
                          <w:ind w:firstLine="360"/>
                          <w:jc w:val="center"/>
                        </w:pPr>
                        <w:r>
                          <w:fldChar w:fldCharType="begin"/>
                        </w:r>
                        <w:r>
                          <w:instrText xml:space="preserve">PAGE   \* MERGEFORMAT</w:instrText>
                        </w:r>
                        <w:r>
                          <w:fldChar w:fldCharType="separate"/>
                        </w:r>
                        <w:r>
                          <w:rPr>
                            <w:lang w:val="zh-CN"/>
                          </w:rPr>
                          <w:t>19</w:t>
                        </w:r>
                        <w:r>
                          <w:rPr>
                            <w:lang w:val="zh-CN"/>
                          </w:rPr>
                          <w:fldChar w:fldCharType="end"/>
                        </w:r>
                      </w:p>
                    </w:sdtContent>
                  </w:sdt>
                  <w:p w14:paraId="539EEDAB">
                    <w:pPr>
                      <w:pStyle w:val="10"/>
                      <w:ind w:firstLine="210"/>
                    </w:pPr>
                  </w:p>
                </w:txbxContent>
              </v:textbox>
            </v:shape>
          </w:pict>
        </mc:Fallback>
      </mc:AlternateContent>
    </w:r>
  </w:p>
  <w:p w14:paraId="37D1219A">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4F59">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F713">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C1AE4">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356F">
    <w:pPr>
      <w:pStyle w:val="17"/>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1335A">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4F47D">
    <w:pPr>
      <w:pStyle w:val="17"/>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E2ABD"/>
    <w:multiLevelType w:val="singleLevel"/>
    <w:tmpl w:val="E82E2ABD"/>
    <w:lvl w:ilvl="0" w:tentative="0">
      <w:start w:val="2"/>
      <w:numFmt w:val="decimal"/>
      <w:suff w:val="nothing"/>
      <w:lvlText w:val="（%1）"/>
      <w:lvlJc w:val="left"/>
    </w:lvl>
  </w:abstractNum>
  <w:abstractNum w:abstractNumId="1">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5A3CADB6"/>
    <w:multiLevelType w:val="singleLevel"/>
    <w:tmpl w:val="5A3CADB6"/>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s>
  <w:rsids>
    <w:rsidRoot w:val="7FEC49D6"/>
    <w:rsid w:val="0000398F"/>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C03A1"/>
    <w:rsid w:val="000D147A"/>
    <w:rsid w:val="000D5B81"/>
    <w:rsid w:val="000E41C1"/>
    <w:rsid w:val="000F2DC7"/>
    <w:rsid w:val="000F516D"/>
    <w:rsid w:val="000F5AED"/>
    <w:rsid w:val="00107193"/>
    <w:rsid w:val="00107394"/>
    <w:rsid w:val="001169C6"/>
    <w:rsid w:val="00121E2B"/>
    <w:rsid w:val="001235C0"/>
    <w:rsid w:val="0013377D"/>
    <w:rsid w:val="001349B6"/>
    <w:rsid w:val="00134C1D"/>
    <w:rsid w:val="00136745"/>
    <w:rsid w:val="001407A8"/>
    <w:rsid w:val="00146199"/>
    <w:rsid w:val="0017082D"/>
    <w:rsid w:val="001743F0"/>
    <w:rsid w:val="00182264"/>
    <w:rsid w:val="0018259C"/>
    <w:rsid w:val="00191032"/>
    <w:rsid w:val="0019415C"/>
    <w:rsid w:val="001A3EDD"/>
    <w:rsid w:val="001A4262"/>
    <w:rsid w:val="001B767D"/>
    <w:rsid w:val="001C530A"/>
    <w:rsid w:val="001C7186"/>
    <w:rsid w:val="001D7931"/>
    <w:rsid w:val="001F247B"/>
    <w:rsid w:val="001F69D3"/>
    <w:rsid w:val="002027C5"/>
    <w:rsid w:val="002069E6"/>
    <w:rsid w:val="00226432"/>
    <w:rsid w:val="00227502"/>
    <w:rsid w:val="00240F49"/>
    <w:rsid w:val="00242DFB"/>
    <w:rsid w:val="00250981"/>
    <w:rsid w:val="00255A35"/>
    <w:rsid w:val="00257160"/>
    <w:rsid w:val="00263858"/>
    <w:rsid w:val="00263899"/>
    <w:rsid w:val="00264F02"/>
    <w:rsid w:val="00271941"/>
    <w:rsid w:val="00285866"/>
    <w:rsid w:val="002929CF"/>
    <w:rsid w:val="00297C3C"/>
    <w:rsid w:val="002A3FB5"/>
    <w:rsid w:val="002A57DC"/>
    <w:rsid w:val="002B517F"/>
    <w:rsid w:val="002B58C5"/>
    <w:rsid w:val="002C6E4E"/>
    <w:rsid w:val="002D42FB"/>
    <w:rsid w:val="002D7FC8"/>
    <w:rsid w:val="002E4A4E"/>
    <w:rsid w:val="002E5AE4"/>
    <w:rsid w:val="002F5736"/>
    <w:rsid w:val="002F5D35"/>
    <w:rsid w:val="00301609"/>
    <w:rsid w:val="003016F7"/>
    <w:rsid w:val="00304BCE"/>
    <w:rsid w:val="00321309"/>
    <w:rsid w:val="00323663"/>
    <w:rsid w:val="00323FC6"/>
    <w:rsid w:val="00324BF0"/>
    <w:rsid w:val="003257DA"/>
    <w:rsid w:val="00335018"/>
    <w:rsid w:val="003408B7"/>
    <w:rsid w:val="0035270A"/>
    <w:rsid w:val="00382B1E"/>
    <w:rsid w:val="00385AD4"/>
    <w:rsid w:val="003A6A1F"/>
    <w:rsid w:val="003B0734"/>
    <w:rsid w:val="003B3EB6"/>
    <w:rsid w:val="003B6BB1"/>
    <w:rsid w:val="003B7301"/>
    <w:rsid w:val="003C0B95"/>
    <w:rsid w:val="003D05FE"/>
    <w:rsid w:val="003D5739"/>
    <w:rsid w:val="003D7031"/>
    <w:rsid w:val="003E7D3D"/>
    <w:rsid w:val="003F23EE"/>
    <w:rsid w:val="003F4AC7"/>
    <w:rsid w:val="00400B4D"/>
    <w:rsid w:val="00412E0C"/>
    <w:rsid w:val="00416893"/>
    <w:rsid w:val="00421A07"/>
    <w:rsid w:val="00435E1D"/>
    <w:rsid w:val="00457A98"/>
    <w:rsid w:val="004605F4"/>
    <w:rsid w:val="004731D2"/>
    <w:rsid w:val="004733DF"/>
    <w:rsid w:val="00475C95"/>
    <w:rsid w:val="00484996"/>
    <w:rsid w:val="00490162"/>
    <w:rsid w:val="004910A4"/>
    <w:rsid w:val="004916C1"/>
    <w:rsid w:val="004A3362"/>
    <w:rsid w:val="004B5063"/>
    <w:rsid w:val="004B52EE"/>
    <w:rsid w:val="004B564C"/>
    <w:rsid w:val="004C6FC3"/>
    <w:rsid w:val="004D2D84"/>
    <w:rsid w:val="004F79C2"/>
    <w:rsid w:val="00502F68"/>
    <w:rsid w:val="00505ED4"/>
    <w:rsid w:val="00505FB5"/>
    <w:rsid w:val="00513DB4"/>
    <w:rsid w:val="0051628E"/>
    <w:rsid w:val="00524353"/>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D45BF"/>
    <w:rsid w:val="005E4235"/>
    <w:rsid w:val="005E5167"/>
    <w:rsid w:val="005F101C"/>
    <w:rsid w:val="005F23A6"/>
    <w:rsid w:val="005F2EB3"/>
    <w:rsid w:val="0060036A"/>
    <w:rsid w:val="00600F79"/>
    <w:rsid w:val="006126FF"/>
    <w:rsid w:val="00614BBF"/>
    <w:rsid w:val="00630F27"/>
    <w:rsid w:val="00637112"/>
    <w:rsid w:val="006407DD"/>
    <w:rsid w:val="00641E7F"/>
    <w:rsid w:val="006504C6"/>
    <w:rsid w:val="00651A7A"/>
    <w:rsid w:val="00656482"/>
    <w:rsid w:val="00660294"/>
    <w:rsid w:val="00670171"/>
    <w:rsid w:val="00670E95"/>
    <w:rsid w:val="00671D5E"/>
    <w:rsid w:val="006779A0"/>
    <w:rsid w:val="00684E9B"/>
    <w:rsid w:val="00687F93"/>
    <w:rsid w:val="006907CF"/>
    <w:rsid w:val="00694E19"/>
    <w:rsid w:val="006B474F"/>
    <w:rsid w:val="006E259D"/>
    <w:rsid w:val="006F480D"/>
    <w:rsid w:val="006F597E"/>
    <w:rsid w:val="00701270"/>
    <w:rsid w:val="007026E7"/>
    <w:rsid w:val="00711E70"/>
    <w:rsid w:val="0071427F"/>
    <w:rsid w:val="00736C48"/>
    <w:rsid w:val="00736F55"/>
    <w:rsid w:val="00752B09"/>
    <w:rsid w:val="007539CF"/>
    <w:rsid w:val="00754878"/>
    <w:rsid w:val="00754B2F"/>
    <w:rsid w:val="00757C58"/>
    <w:rsid w:val="00762E4B"/>
    <w:rsid w:val="00773776"/>
    <w:rsid w:val="00774170"/>
    <w:rsid w:val="00784534"/>
    <w:rsid w:val="007B23E1"/>
    <w:rsid w:val="007B2CF6"/>
    <w:rsid w:val="007B4269"/>
    <w:rsid w:val="007B533A"/>
    <w:rsid w:val="007C1E77"/>
    <w:rsid w:val="007C56D4"/>
    <w:rsid w:val="007D0A77"/>
    <w:rsid w:val="00805519"/>
    <w:rsid w:val="00810E41"/>
    <w:rsid w:val="00811387"/>
    <w:rsid w:val="008326E3"/>
    <w:rsid w:val="00834B43"/>
    <w:rsid w:val="008411B5"/>
    <w:rsid w:val="008530D6"/>
    <w:rsid w:val="00854E2D"/>
    <w:rsid w:val="00861340"/>
    <w:rsid w:val="00866752"/>
    <w:rsid w:val="00867413"/>
    <w:rsid w:val="008823C7"/>
    <w:rsid w:val="00892CD9"/>
    <w:rsid w:val="008A0412"/>
    <w:rsid w:val="008B1BDC"/>
    <w:rsid w:val="008B7AA5"/>
    <w:rsid w:val="008C7DE0"/>
    <w:rsid w:val="008E66CE"/>
    <w:rsid w:val="008F4F0A"/>
    <w:rsid w:val="00933266"/>
    <w:rsid w:val="00933E3E"/>
    <w:rsid w:val="00934E39"/>
    <w:rsid w:val="009352E5"/>
    <w:rsid w:val="009376D7"/>
    <w:rsid w:val="00937B8C"/>
    <w:rsid w:val="00953940"/>
    <w:rsid w:val="00962EBD"/>
    <w:rsid w:val="00967F72"/>
    <w:rsid w:val="009725F3"/>
    <w:rsid w:val="00972C2E"/>
    <w:rsid w:val="009809DE"/>
    <w:rsid w:val="00986EEA"/>
    <w:rsid w:val="009A61C0"/>
    <w:rsid w:val="009B085C"/>
    <w:rsid w:val="009C1FE9"/>
    <w:rsid w:val="009C29F0"/>
    <w:rsid w:val="009C3518"/>
    <w:rsid w:val="009C470D"/>
    <w:rsid w:val="009D0C3E"/>
    <w:rsid w:val="009D4623"/>
    <w:rsid w:val="009E308C"/>
    <w:rsid w:val="009E3AA1"/>
    <w:rsid w:val="009F0D94"/>
    <w:rsid w:val="009F14D0"/>
    <w:rsid w:val="009F3495"/>
    <w:rsid w:val="00A0176D"/>
    <w:rsid w:val="00A02354"/>
    <w:rsid w:val="00A05222"/>
    <w:rsid w:val="00A06198"/>
    <w:rsid w:val="00A10B91"/>
    <w:rsid w:val="00A158F2"/>
    <w:rsid w:val="00A22B8A"/>
    <w:rsid w:val="00A23B88"/>
    <w:rsid w:val="00A3455A"/>
    <w:rsid w:val="00A51925"/>
    <w:rsid w:val="00A53BEC"/>
    <w:rsid w:val="00A5607B"/>
    <w:rsid w:val="00A570A3"/>
    <w:rsid w:val="00A6672C"/>
    <w:rsid w:val="00A70419"/>
    <w:rsid w:val="00A71B2D"/>
    <w:rsid w:val="00A84421"/>
    <w:rsid w:val="00A9311F"/>
    <w:rsid w:val="00AA1D1F"/>
    <w:rsid w:val="00AA1DDB"/>
    <w:rsid w:val="00AA57F4"/>
    <w:rsid w:val="00AC47B0"/>
    <w:rsid w:val="00AD7780"/>
    <w:rsid w:val="00AE2D74"/>
    <w:rsid w:val="00AE3875"/>
    <w:rsid w:val="00AE4DE9"/>
    <w:rsid w:val="00AE554D"/>
    <w:rsid w:val="00AF10F3"/>
    <w:rsid w:val="00AF5C32"/>
    <w:rsid w:val="00B01A19"/>
    <w:rsid w:val="00B01D3D"/>
    <w:rsid w:val="00B12F11"/>
    <w:rsid w:val="00B17260"/>
    <w:rsid w:val="00B24C08"/>
    <w:rsid w:val="00B3278F"/>
    <w:rsid w:val="00B40151"/>
    <w:rsid w:val="00B40909"/>
    <w:rsid w:val="00B532D8"/>
    <w:rsid w:val="00B544C1"/>
    <w:rsid w:val="00B66C03"/>
    <w:rsid w:val="00B94BCD"/>
    <w:rsid w:val="00B9537B"/>
    <w:rsid w:val="00B972E6"/>
    <w:rsid w:val="00BA002D"/>
    <w:rsid w:val="00BB1F16"/>
    <w:rsid w:val="00BB4D20"/>
    <w:rsid w:val="00BC1D01"/>
    <w:rsid w:val="00BC2BD1"/>
    <w:rsid w:val="00BC425C"/>
    <w:rsid w:val="00BC713A"/>
    <w:rsid w:val="00BC7819"/>
    <w:rsid w:val="00BD184A"/>
    <w:rsid w:val="00BE7ADE"/>
    <w:rsid w:val="00C00D95"/>
    <w:rsid w:val="00C11EC8"/>
    <w:rsid w:val="00C16F4E"/>
    <w:rsid w:val="00C1774C"/>
    <w:rsid w:val="00C27CD4"/>
    <w:rsid w:val="00C305A7"/>
    <w:rsid w:val="00C30E55"/>
    <w:rsid w:val="00C34CF0"/>
    <w:rsid w:val="00C40810"/>
    <w:rsid w:val="00C440F9"/>
    <w:rsid w:val="00C57A66"/>
    <w:rsid w:val="00C60363"/>
    <w:rsid w:val="00C63B35"/>
    <w:rsid w:val="00C65BF3"/>
    <w:rsid w:val="00C676F1"/>
    <w:rsid w:val="00C71910"/>
    <w:rsid w:val="00C719FA"/>
    <w:rsid w:val="00C7245B"/>
    <w:rsid w:val="00C804AB"/>
    <w:rsid w:val="00C8256D"/>
    <w:rsid w:val="00C92FD5"/>
    <w:rsid w:val="00C93D7D"/>
    <w:rsid w:val="00C93FD7"/>
    <w:rsid w:val="00C9449C"/>
    <w:rsid w:val="00C94BAF"/>
    <w:rsid w:val="00C97C32"/>
    <w:rsid w:val="00CA2B18"/>
    <w:rsid w:val="00CA4554"/>
    <w:rsid w:val="00CA50BF"/>
    <w:rsid w:val="00CA555A"/>
    <w:rsid w:val="00CB1E16"/>
    <w:rsid w:val="00CB2F4D"/>
    <w:rsid w:val="00CD45A6"/>
    <w:rsid w:val="00CE069E"/>
    <w:rsid w:val="00CE2486"/>
    <w:rsid w:val="00CE252F"/>
    <w:rsid w:val="00CE5CED"/>
    <w:rsid w:val="00CF5DEC"/>
    <w:rsid w:val="00D02095"/>
    <w:rsid w:val="00D235E1"/>
    <w:rsid w:val="00D319B1"/>
    <w:rsid w:val="00D50768"/>
    <w:rsid w:val="00D60328"/>
    <w:rsid w:val="00D62ABB"/>
    <w:rsid w:val="00D707A6"/>
    <w:rsid w:val="00D724F3"/>
    <w:rsid w:val="00D7333B"/>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4146B"/>
    <w:rsid w:val="00E432EB"/>
    <w:rsid w:val="00E52889"/>
    <w:rsid w:val="00E55903"/>
    <w:rsid w:val="00E56CF8"/>
    <w:rsid w:val="00E7403E"/>
    <w:rsid w:val="00E77293"/>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95AD7"/>
    <w:rsid w:val="00FA65AE"/>
    <w:rsid w:val="00FB3B73"/>
    <w:rsid w:val="00FB562A"/>
    <w:rsid w:val="00FC3495"/>
    <w:rsid w:val="00FD2DC3"/>
    <w:rsid w:val="00FE5D54"/>
    <w:rsid w:val="00FF11B0"/>
    <w:rsid w:val="00FF33D7"/>
    <w:rsid w:val="00FF3FFB"/>
    <w:rsid w:val="00FF4388"/>
    <w:rsid w:val="01671547"/>
    <w:rsid w:val="016A0BF4"/>
    <w:rsid w:val="016D0976"/>
    <w:rsid w:val="01A0144C"/>
    <w:rsid w:val="01C026FC"/>
    <w:rsid w:val="022B1123"/>
    <w:rsid w:val="02612328"/>
    <w:rsid w:val="02635D4D"/>
    <w:rsid w:val="026A7D29"/>
    <w:rsid w:val="027746B0"/>
    <w:rsid w:val="029B3E2E"/>
    <w:rsid w:val="02AC3ED6"/>
    <w:rsid w:val="02F83C81"/>
    <w:rsid w:val="033974B7"/>
    <w:rsid w:val="034E3126"/>
    <w:rsid w:val="036C7375"/>
    <w:rsid w:val="037660AE"/>
    <w:rsid w:val="037D00DC"/>
    <w:rsid w:val="038E0800"/>
    <w:rsid w:val="03A4781D"/>
    <w:rsid w:val="03C64A26"/>
    <w:rsid w:val="03E16289"/>
    <w:rsid w:val="03F374EB"/>
    <w:rsid w:val="04050B3E"/>
    <w:rsid w:val="04290938"/>
    <w:rsid w:val="045B29C7"/>
    <w:rsid w:val="04732731"/>
    <w:rsid w:val="048B4508"/>
    <w:rsid w:val="04985FCF"/>
    <w:rsid w:val="04A813D8"/>
    <w:rsid w:val="04BF5828"/>
    <w:rsid w:val="04CE5BE8"/>
    <w:rsid w:val="05253AA9"/>
    <w:rsid w:val="0596038E"/>
    <w:rsid w:val="05DA6D36"/>
    <w:rsid w:val="05F64A3D"/>
    <w:rsid w:val="065A41DD"/>
    <w:rsid w:val="0661605C"/>
    <w:rsid w:val="06870112"/>
    <w:rsid w:val="06A2227F"/>
    <w:rsid w:val="06CF25AA"/>
    <w:rsid w:val="06EB5ED4"/>
    <w:rsid w:val="075C6EC4"/>
    <w:rsid w:val="076E7571"/>
    <w:rsid w:val="078A5D0D"/>
    <w:rsid w:val="07E52584"/>
    <w:rsid w:val="08192C9B"/>
    <w:rsid w:val="082F44EF"/>
    <w:rsid w:val="08445421"/>
    <w:rsid w:val="0846125C"/>
    <w:rsid w:val="084A5D61"/>
    <w:rsid w:val="0860207F"/>
    <w:rsid w:val="08972793"/>
    <w:rsid w:val="09025D8B"/>
    <w:rsid w:val="092F3252"/>
    <w:rsid w:val="094F3E52"/>
    <w:rsid w:val="099548E3"/>
    <w:rsid w:val="09A9476A"/>
    <w:rsid w:val="09AE4010"/>
    <w:rsid w:val="09E7087E"/>
    <w:rsid w:val="09F65EE5"/>
    <w:rsid w:val="0A0E4274"/>
    <w:rsid w:val="0A192F18"/>
    <w:rsid w:val="0A1B6A4B"/>
    <w:rsid w:val="0A2A4F7F"/>
    <w:rsid w:val="0A2C37C3"/>
    <w:rsid w:val="0A4C500A"/>
    <w:rsid w:val="0A5C1E18"/>
    <w:rsid w:val="0A6B66D5"/>
    <w:rsid w:val="0ACE0701"/>
    <w:rsid w:val="0AEF0648"/>
    <w:rsid w:val="0AF81C0E"/>
    <w:rsid w:val="0AFF4EB4"/>
    <w:rsid w:val="0B1A04CC"/>
    <w:rsid w:val="0B371410"/>
    <w:rsid w:val="0B3F4A93"/>
    <w:rsid w:val="0B544093"/>
    <w:rsid w:val="0B5B34C7"/>
    <w:rsid w:val="0B665948"/>
    <w:rsid w:val="0B692D94"/>
    <w:rsid w:val="0BE867DD"/>
    <w:rsid w:val="0BF25526"/>
    <w:rsid w:val="0BF812D2"/>
    <w:rsid w:val="0C05099B"/>
    <w:rsid w:val="0C1146C2"/>
    <w:rsid w:val="0C131044"/>
    <w:rsid w:val="0C1D770C"/>
    <w:rsid w:val="0C360B24"/>
    <w:rsid w:val="0C5844B9"/>
    <w:rsid w:val="0C5F443A"/>
    <w:rsid w:val="0C7747CF"/>
    <w:rsid w:val="0C834CDD"/>
    <w:rsid w:val="0CA9007C"/>
    <w:rsid w:val="0CF8542C"/>
    <w:rsid w:val="0D047BF7"/>
    <w:rsid w:val="0D082A62"/>
    <w:rsid w:val="0D2776CF"/>
    <w:rsid w:val="0D4E4AFB"/>
    <w:rsid w:val="0D760386"/>
    <w:rsid w:val="0D934995"/>
    <w:rsid w:val="0DAE10C1"/>
    <w:rsid w:val="0DB862F6"/>
    <w:rsid w:val="0DE86F0C"/>
    <w:rsid w:val="0DEE1402"/>
    <w:rsid w:val="0DF61D18"/>
    <w:rsid w:val="0E1331EF"/>
    <w:rsid w:val="0E4324F6"/>
    <w:rsid w:val="0E4D68EE"/>
    <w:rsid w:val="0E6B4501"/>
    <w:rsid w:val="0EC216A8"/>
    <w:rsid w:val="0EC4530F"/>
    <w:rsid w:val="0EE27EEA"/>
    <w:rsid w:val="0EFC6224"/>
    <w:rsid w:val="0F1D4F48"/>
    <w:rsid w:val="0F1F33CA"/>
    <w:rsid w:val="0F206154"/>
    <w:rsid w:val="0F216ADF"/>
    <w:rsid w:val="0F5D09A9"/>
    <w:rsid w:val="0F6358F1"/>
    <w:rsid w:val="0FCC2BFD"/>
    <w:rsid w:val="0FDC5AAB"/>
    <w:rsid w:val="0FED5356"/>
    <w:rsid w:val="0FFF14AC"/>
    <w:rsid w:val="100516FD"/>
    <w:rsid w:val="1015684F"/>
    <w:rsid w:val="10282EF8"/>
    <w:rsid w:val="10A268D6"/>
    <w:rsid w:val="10A81FFF"/>
    <w:rsid w:val="10BC14A3"/>
    <w:rsid w:val="10CF2DFA"/>
    <w:rsid w:val="10DA2015"/>
    <w:rsid w:val="11190F3E"/>
    <w:rsid w:val="111B5AA1"/>
    <w:rsid w:val="11537D89"/>
    <w:rsid w:val="11756811"/>
    <w:rsid w:val="118B5C15"/>
    <w:rsid w:val="119B66ED"/>
    <w:rsid w:val="11C10CD7"/>
    <w:rsid w:val="122F5A3C"/>
    <w:rsid w:val="127B1310"/>
    <w:rsid w:val="127D1E1D"/>
    <w:rsid w:val="12A04654"/>
    <w:rsid w:val="12AB418A"/>
    <w:rsid w:val="12B07B12"/>
    <w:rsid w:val="12CE4799"/>
    <w:rsid w:val="12EF70F8"/>
    <w:rsid w:val="1332055C"/>
    <w:rsid w:val="134A1B4D"/>
    <w:rsid w:val="136A493D"/>
    <w:rsid w:val="13833F4A"/>
    <w:rsid w:val="140237C5"/>
    <w:rsid w:val="1416337C"/>
    <w:rsid w:val="142963CE"/>
    <w:rsid w:val="142C41D0"/>
    <w:rsid w:val="14495F6C"/>
    <w:rsid w:val="146156A5"/>
    <w:rsid w:val="14772067"/>
    <w:rsid w:val="14812702"/>
    <w:rsid w:val="148E62E6"/>
    <w:rsid w:val="14E16760"/>
    <w:rsid w:val="14FC68B3"/>
    <w:rsid w:val="15092B92"/>
    <w:rsid w:val="151B162C"/>
    <w:rsid w:val="152555A2"/>
    <w:rsid w:val="15556EA7"/>
    <w:rsid w:val="15736B2E"/>
    <w:rsid w:val="15775CA6"/>
    <w:rsid w:val="15976681"/>
    <w:rsid w:val="15AF6BF0"/>
    <w:rsid w:val="15BF0601"/>
    <w:rsid w:val="15F43F9E"/>
    <w:rsid w:val="160773E3"/>
    <w:rsid w:val="1627097F"/>
    <w:rsid w:val="162B2F6C"/>
    <w:rsid w:val="165803B1"/>
    <w:rsid w:val="165A334C"/>
    <w:rsid w:val="16606DC9"/>
    <w:rsid w:val="16795962"/>
    <w:rsid w:val="1695469B"/>
    <w:rsid w:val="17173725"/>
    <w:rsid w:val="17392CFF"/>
    <w:rsid w:val="17B415C2"/>
    <w:rsid w:val="17CE030D"/>
    <w:rsid w:val="180434E6"/>
    <w:rsid w:val="18071216"/>
    <w:rsid w:val="180C4F36"/>
    <w:rsid w:val="181128B4"/>
    <w:rsid w:val="18545C29"/>
    <w:rsid w:val="185A4FA0"/>
    <w:rsid w:val="185D6797"/>
    <w:rsid w:val="188426C3"/>
    <w:rsid w:val="188C52AB"/>
    <w:rsid w:val="189D1289"/>
    <w:rsid w:val="189E304F"/>
    <w:rsid w:val="18A749FB"/>
    <w:rsid w:val="18AE0CA2"/>
    <w:rsid w:val="18FA0117"/>
    <w:rsid w:val="192A720F"/>
    <w:rsid w:val="198E7190"/>
    <w:rsid w:val="19F85DCA"/>
    <w:rsid w:val="19FF1083"/>
    <w:rsid w:val="1A2C1913"/>
    <w:rsid w:val="1A394CFA"/>
    <w:rsid w:val="1A6431DD"/>
    <w:rsid w:val="1A6F0BAA"/>
    <w:rsid w:val="1AAE7777"/>
    <w:rsid w:val="1AB97371"/>
    <w:rsid w:val="1ABD1182"/>
    <w:rsid w:val="1AFB4965"/>
    <w:rsid w:val="1B264FBE"/>
    <w:rsid w:val="1B502AE4"/>
    <w:rsid w:val="1B87165B"/>
    <w:rsid w:val="1BC60200"/>
    <w:rsid w:val="1C3F4BC8"/>
    <w:rsid w:val="1C565A95"/>
    <w:rsid w:val="1C651B80"/>
    <w:rsid w:val="1C656979"/>
    <w:rsid w:val="1C67629E"/>
    <w:rsid w:val="1C6A364A"/>
    <w:rsid w:val="1C844706"/>
    <w:rsid w:val="1CA24372"/>
    <w:rsid w:val="1CBD3B5C"/>
    <w:rsid w:val="1CE14C16"/>
    <w:rsid w:val="1CEE5E33"/>
    <w:rsid w:val="1D056DF8"/>
    <w:rsid w:val="1D205708"/>
    <w:rsid w:val="1D3A47A0"/>
    <w:rsid w:val="1D595AAF"/>
    <w:rsid w:val="1D6D1015"/>
    <w:rsid w:val="1D705753"/>
    <w:rsid w:val="1D7576AF"/>
    <w:rsid w:val="1D9E2625"/>
    <w:rsid w:val="1DB047DC"/>
    <w:rsid w:val="1DC0624D"/>
    <w:rsid w:val="1DC60F08"/>
    <w:rsid w:val="1DDD3F28"/>
    <w:rsid w:val="1DF134F8"/>
    <w:rsid w:val="1E1119E1"/>
    <w:rsid w:val="1E197733"/>
    <w:rsid w:val="1E384378"/>
    <w:rsid w:val="1E5F2E75"/>
    <w:rsid w:val="1E932A58"/>
    <w:rsid w:val="1EB6519E"/>
    <w:rsid w:val="1F056934"/>
    <w:rsid w:val="1F3A3754"/>
    <w:rsid w:val="1F4D172F"/>
    <w:rsid w:val="1F7F7816"/>
    <w:rsid w:val="1FA02D24"/>
    <w:rsid w:val="1FB03300"/>
    <w:rsid w:val="1FCE2972"/>
    <w:rsid w:val="200074E1"/>
    <w:rsid w:val="206F342B"/>
    <w:rsid w:val="20740F17"/>
    <w:rsid w:val="20830953"/>
    <w:rsid w:val="20A20E0E"/>
    <w:rsid w:val="20C35C55"/>
    <w:rsid w:val="20DE71EB"/>
    <w:rsid w:val="20F14C3A"/>
    <w:rsid w:val="21000427"/>
    <w:rsid w:val="21062CCD"/>
    <w:rsid w:val="212479C2"/>
    <w:rsid w:val="212F35B1"/>
    <w:rsid w:val="21472412"/>
    <w:rsid w:val="215A7C75"/>
    <w:rsid w:val="21675746"/>
    <w:rsid w:val="217B4596"/>
    <w:rsid w:val="218505A7"/>
    <w:rsid w:val="220531BD"/>
    <w:rsid w:val="22172C98"/>
    <w:rsid w:val="221D781B"/>
    <w:rsid w:val="22273B80"/>
    <w:rsid w:val="22670189"/>
    <w:rsid w:val="228D294F"/>
    <w:rsid w:val="22B671BE"/>
    <w:rsid w:val="22DE7274"/>
    <w:rsid w:val="22FE47FF"/>
    <w:rsid w:val="230E401F"/>
    <w:rsid w:val="23207B4E"/>
    <w:rsid w:val="23492F4B"/>
    <w:rsid w:val="23636D42"/>
    <w:rsid w:val="23661CBB"/>
    <w:rsid w:val="236858EC"/>
    <w:rsid w:val="236A55CE"/>
    <w:rsid w:val="237743F6"/>
    <w:rsid w:val="238B3623"/>
    <w:rsid w:val="23A757CE"/>
    <w:rsid w:val="23E7194E"/>
    <w:rsid w:val="240430DE"/>
    <w:rsid w:val="24315B04"/>
    <w:rsid w:val="2450074D"/>
    <w:rsid w:val="248A78EA"/>
    <w:rsid w:val="248F7D37"/>
    <w:rsid w:val="24B158C0"/>
    <w:rsid w:val="24B96CA9"/>
    <w:rsid w:val="24F13058"/>
    <w:rsid w:val="2524272B"/>
    <w:rsid w:val="25901334"/>
    <w:rsid w:val="25AF09F4"/>
    <w:rsid w:val="25B015DB"/>
    <w:rsid w:val="25B032A3"/>
    <w:rsid w:val="25E32B34"/>
    <w:rsid w:val="25EA0948"/>
    <w:rsid w:val="2605295A"/>
    <w:rsid w:val="262F33A9"/>
    <w:rsid w:val="265A4DB1"/>
    <w:rsid w:val="265A6C4D"/>
    <w:rsid w:val="267620D2"/>
    <w:rsid w:val="269D5D37"/>
    <w:rsid w:val="26A40E01"/>
    <w:rsid w:val="26FD2BAB"/>
    <w:rsid w:val="27266130"/>
    <w:rsid w:val="272D683D"/>
    <w:rsid w:val="27376BD1"/>
    <w:rsid w:val="2743379A"/>
    <w:rsid w:val="2749195C"/>
    <w:rsid w:val="276F2CDC"/>
    <w:rsid w:val="27840360"/>
    <w:rsid w:val="27846701"/>
    <w:rsid w:val="27A77BB6"/>
    <w:rsid w:val="27AB1903"/>
    <w:rsid w:val="27CA5392"/>
    <w:rsid w:val="281F32BE"/>
    <w:rsid w:val="283055F5"/>
    <w:rsid w:val="28421CD5"/>
    <w:rsid w:val="284B48C7"/>
    <w:rsid w:val="28AA089C"/>
    <w:rsid w:val="28B86BD1"/>
    <w:rsid w:val="28CB6130"/>
    <w:rsid w:val="290B2A89"/>
    <w:rsid w:val="294B4497"/>
    <w:rsid w:val="297705F2"/>
    <w:rsid w:val="29F63BF9"/>
    <w:rsid w:val="29FE3027"/>
    <w:rsid w:val="2A2426F6"/>
    <w:rsid w:val="2A2711F3"/>
    <w:rsid w:val="2A3A4138"/>
    <w:rsid w:val="2A4165F2"/>
    <w:rsid w:val="2A4758C5"/>
    <w:rsid w:val="2A7E2F13"/>
    <w:rsid w:val="2A8351F5"/>
    <w:rsid w:val="2A933B0B"/>
    <w:rsid w:val="2AB270DF"/>
    <w:rsid w:val="2ACF5B90"/>
    <w:rsid w:val="2ADB5A95"/>
    <w:rsid w:val="2AE31D47"/>
    <w:rsid w:val="2B235E37"/>
    <w:rsid w:val="2B330FB7"/>
    <w:rsid w:val="2B636BA0"/>
    <w:rsid w:val="2B7A7449"/>
    <w:rsid w:val="2B9565F7"/>
    <w:rsid w:val="2BC25A46"/>
    <w:rsid w:val="2BD22343"/>
    <w:rsid w:val="2C0F1A01"/>
    <w:rsid w:val="2C1A267C"/>
    <w:rsid w:val="2C277CAF"/>
    <w:rsid w:val="2C5D2CAD"/>
    <w:rsid w:val="2C647F29"/>
    <w:rsid w:val="2C7646C0"/>
    <w:rsid w:val="2C790FA8"/>
    <w:rsid w:val="2C8836FB"/>
    <w:rsid w:val="2CA41797"/>
    <w:rsid w:val="2CA46E06"/>
    <w:rsid w:val="2CB84AFB"/>
    <w:rsid w:val="2CE336A1"/>
    <w:rsid w:val="2D0527DE"/>
    <w:rsid w:val="2D083A00"/>
    <w:rsid w:val="2D16168F"/>
    <w:rsid w:val="2D257478"/>
    <w:rsid w:val="2D3C262E"/>
    <w:rsid w:val="2D4E6CF7"/>
    <w:rsid w:val="2DB363E4"/>
    <w:rsid w:val="2DD513AE"/>
    <w:rsid w:val="2DE40514"/>
    <w:rsid w:val="2DE90352"/>
    <w:rsid w:val="2E0656AB"/>
    <w:rsid w:val="2E0E7C25"/>
    <w:rsid w:val="2E1909AC"/>
    <w:rsid w:val="2E2345A9"/>
    <w:rsid w:val="2E415F0B"/>
    <w:rsid w:val="2E6C1AEA"/>
    <w:rsid w:val="2E6E184B"/>
    <w:rsid w:val="2E8A298D"/>
    <w:rsid w:val="2E972329"/>
    <w:rsid w:val="2EA15724"/>
    <w:rsid w:val="2EAB000B"/>
    <w:rsid w:val="2EC92BE4"/>
    <w:rsid w:val="2ECF2438"/>
    <w:rsid w:val="2ECF2F32"/>
    <w:rsid w:val="2ED22573"/>
    <w:rsid w:val="2EF22F19"/>
    <w:rsid w:val="2F967EB8"/>
    <w:rsid w:val="2FC025DE"/>
    <w:rsid w:val="2FE524E7"/>
    <w:rsid w:val="2FE85F07"/>
    <w:rsid w:val="2FF26CCB"/>
    <w:rsid w:val="2FF7126C"/>
    <w:rsid w:val="30066DC3"/>
    <w:rsid w:val="303B65B8"/>
    <w:rsid w:val="309341EE"/>
    <w:rsid w:val="309A0075"/>
    <w:rsid w:val="309A4AE9"/>
    <w:rsid w:val="309B13D5"/>
    <w:rsid w:val="30AE16B5"/>
    <w:rsid w:val="30C544CB"/>
    <w:rsid w:val="30DC37DC"/>
    <w:rsid w:val="30F8729D"/>
    <w:rsid w:val="31165DFB"/>
    <w:rsid w:val="313E0337"/>
    <w:rsid w:val="31725120"/>
    <w:rsid w:val="319665BD"/>
    <w:rsid w:val="319A2085"/>
    <w:rsid w:val="319D4620"/>
    <w:rsid w:val="31B63F22"/>
    <w:rsid w:val="31E34F31"/>
    <w:rsid w:val="32247DA4"/>
    <w:rsid w:val="322C582E"/>
    <w:rsid w:val="32474658"/>
    <w:rsid w:val="325F163F"/>
    <w:rsid w:val="32650125"/>
    <w:rsid w:val="32694D46"/>
    <w:rsid w:val="327274BB"/>
    <w:rsid w:val="32977A8D"/>
    <w:rsid w:val="32D84E04"/>
    <w:rsid w:val="32DC75AF"/>
    <w:rsid w:val="33145300"/>
    <w:rsid w:val="333661D7"/>
    <w:rsid w:val="335B41A5"/>
    <w:rsid w:val="335D51F0"/>
    <w:rsid w:val="33656B7D"/>
    <w:rsid w:val="336D003C"/>
    <w:rsid w:val="33867603"/>
    <w:rsid w:val="33CF6325"/>
    <w:rsid w:val="33D64FD4"/>
    <w:rsid w:val="33EA5551"/>
    <w:rsid w:val="340D36CE"/>
    <w:rsid w:val="342D014D"/>
    <w:rsid w:val="34314294"/>
    <w:rsid w:val="3442614F"/>
    <w:rsid w:val="345B6F1A"/>
    <w:rsid w:val="345F6F3B"/>
    <w:rsid w:val="34671C37"/>
    <w:rsid w:val="34690C69"/>
    <w:rsid w:val="34860E65"/>
    <w:rsid w:val="34A3714E"/>
    <w:rsid w:val="34CB308B"/>
    <w:rsid w:val="34D26A4C"/>
    <w:rsid w:val="352A0474"/>
    <w:rsid w:val="35372AA8"/>
    <w:rsid w:val="353B5B63"/>
    <w:rsid w:val="356A337B"/>
    <w:rsid w:val="356F142B"/>
    <w:rsid w:val="35706124"/>
    <w:rsid w:val="3574003F"/>
    <w:rsid w:val="359128F3"/>
    <w:rsid w:val="359F4813"/>
    <w:rsid w:val="35A00913"/>
    <w:rsid w:val="35E04EBD"/>
    <w:rsid w:val="36136364"/>
    <w:rsid w:val="362A6075"/>
    <w:rsid w:val="36595658"/>
    <w:rsid w:val="365E3909"/>
    <w:rsid w:val="3667387F"/>
    <w:rsid w:val="3699269A"/>
    <w:rsid w:val="36A025E8"/>
    <w:rsid w:val="36AC5134"/>
    <w:rsid w:val="36D54867"/>
    <w:rsid w:val="36D550B2"/>
    <w:rsid w:val="36DE3CA3"/>
    <w:rsid w:val="36F73B9A"/>
    <w:rsid w:val="37316729"/>
    <w:rsid w:val="373830F8"/>
    <w:rsid w:val="376D05BA"/>
    <w:rsid w:val="377123BE"/>
    <w:rsid w:val="37D76FA0"/>
    <w:rsid w:val="381025F2"/>
    <w:rsid w:val="38244B1A"/>
    <w:rsid w:val="384369FE"/>
    <w:rsid w:val="384848DC"/>
    <w:rsid w:val="38AA1DD4"/>
    <w:rsid w:val="38B63080"/>
    <w:rsid w:val="38FD5169"/>
    <w:rsid w:val="391E30AE"/>
    <w:rsid w:val="3924286C"/>
    <w:rsid w:val="39315290"/>
    <w:rsid w:val="39360A4B"/>
    <w:rsid w:val="39385A34"/>
    <w:rsid w:val="3942578B"/>
    <w:rsid w:val="39734B33"/>
    <w:rsid w:val="39853B75"/>
    <w:rsid w:val="39A82AB5"/>
    <w:rsid w:val="39AB0DA3"/>
    <w:rsid w:val="39AB36CF"/>
    <w:rsid w:val="39D11C9B"/>
    <w:rsid w:val="39E139A0"/>
    <w:rsid w:val="3A030E7A"/>
    <w:rsid w:val="3A053F2B"/>
    <w:rsid w:val="3A2730AB"/>
    <w:rsid w:val="3A6B07E7"/>
    <w:rsid w:val="3A741E10"/>
    <w:rsid w:val="3AA21491"/>
    <w:rsid w:val="3AAD4B07"/>
    <w:rsid w:val="3AB00E1B"/>
    <w:rsid w:val="3ACE62F6"/>
    <w:rsid w:val="3AD0179A"/>
    <w:rsid w:val="3AF36669"/>
    <w:rsid w:val="3AFB7AD8"/>
    <w:rsid w:val="3B0F3693"/>
    <w:rsid w:val="3B334893"/>
    <w:rsid w:val="3B3379E0"/>
    <w:rsid w:val="3B4D0703"/>
    <w:rsid w:val="3B5E106D"/>
    <w:rsid w:val="3B61373B"/>
    <w:rsid w:val="3B636F25"/>
    <w:rsid w:val="3B793576"/>
    <w:rsid w:val="3BD2436A"/>
    <w:rsid w:val="3BF616CA"/>
    <w:rsid w:val="3BF619BF"/>
    <w:rsid w:val="3BF959A5"/>
    <w:rsid w:val="3C1C1B0B"/>
    <w:rsid w:val="3C3018D0"/>
    <w:rsid w:val="3C4D0069"/>
    <w:rsid w:val="3C5A4EEA"/>
    <w:rsid w:val="3C6E58CE"/>
    <w:rsid w:val="3C8C230D"/>
    <w:rsid w:val="3CA547DD"/>
    <w:rsid w:val="3CA933EF"/>
    <w:rsid w:val="3CAC09E0"/>
    <w:rsid w:val="3CE20580"/>
    <w:rsid w:val="3CF33D95"/>
    <w:rsid w:val="3D6C5F7C"/>
    <w:rsid w:val="3D81321B"/>
    <w:rsid w:val="3DB41DDE"/>
    <w:rsid w:val="3DC554B0"/>
    <w:rsid w:val="3DD133B8"/>
    <w:rsid w:val="3E1243CD"/>
    <w:rsid w:val="3ED745FD"/>
    <w:rsid w:val="3EE52DB2"/>
    <w:rsid w:val="3F056BB2"/>
    <w:rsid w:val="3F5537B8"/>
    <w:rsid w:val="3F5C37B3"/>
    <w:rsid w:val="3F7D6F3B"/>
    <w:rsid w:val="3F867F68"/>
    <w:rsid w:val="3F8C6CC0"/>
    <w:rsid w:val="3F8D7B91"/>
    <w:rsid w:val="3FCA1BC5"/>
    <w:rsid w:val="3FD27913"/>
    <w:rsid w:val="3FF4199B"/>
    <w:rsid w:val="400643C5"/>
    <w:rsid w:val="40064A71"/>
    <w:rsid w:val="404461A3"/>
    <w:rsid w:val="404573BC"/>
    <w:rsid w:val="40463876"/>
    <w:rsid w:val="40785DD6"/>
    <w:rsid w:val="40813B5B"/>
    <w:rsid w:val="40BD5A81"/>
    <w:rsid w:val="40ED030A"/>
    <w:rsid w:val="40F51154"/>
    <w:rsid w:val="40F8294C"/>
    <w:rsid w:val="411A1E6D"/>
    <w:rsid w:val="41244C5D"/>
    <w:rsid w:val="418514D9"/>
    <w:rsid w:val="41960938"/>
    <w:rsid w:val="41A37B33"/>
    <w:rsid w:val="41C64ED9"/>
    <w:rsid w:val="41D45142"/>
    <w:rsid w:val="41DE1228"/>
    <w:rsid w:val="422F3D53"/>
    <w:rsid w:val="42325D56"/>
    <w:rsid w:val="423B61C1"/>
    <w:rsid w:val="42470035"/>
    <w:rsid w:val="42473BEF"/>
    <w:rsid w:val="424B5E20"/>
    <w:rsid w:val="42520E96"/>
    <w:rsid w:val="42717381"/>
    <w:rsid w:val="427E1D94"/>
    <w:rsid w:val="42964FF8"/>
    <w:rsid w:val="42A740BE"/>
    <w:rsid w:val="42B97687"/>
    <w:rsid w:val="42D32EFF"/>
    <w:rsid w:val="42DA27FA"/>
    <w:rsid w:val="42DC527F"/>
    <w:rsid w:val="42DF268C"/>
    <w:rsid w:val="42F07B1C"/>
    <w:rsid w:val="42F95E7F"/>
    <w:rsid w:val="431636DA"/>
    <w:rsid w:val="431C6203"/>
    <w:rsid w:val="431F77D4"/>
    <w:rsid w:val="437265BF"/>
    <w:rsid w:val="43A6660D"/>
    <w:rsid w:val="43B66C17"/>
    <w:rsid w:val="43C83E21"/>
    <w:rsid w:val="43E53A59"/>
    <w:rsid w:val="448E07C9"/>
    <w:rsid w:val="44971DA1"/>
    <w:rsid w:val="44A16353"/>
    <w:rsid w:val="44EC01B8"/>
    <w:rsid w:val="450523FA"/>
    <w:rsid w:val="456B0A8D"/>
    <w:rsid w:val="45766A63"/>
    <w:rsid w:val="45CE4551"/>
    <w:rsid w:val="45D02213"/>
    <w:rsid w:val="45E93CDE"/>
    <w:rsid w:val="45E93F38"/>
    <w:rsid w:val="45EF5E53"/>
    <w:rsid w:val="463043F1"/>
    <w:rsid w:val="46430050"/>
    <w:rsid w:val="465B6D71"/>
    <w:rsid w:val="468D18BD"/>
    <w:rsid w:val="46953DA7"/>
    <w:rsid w:val="46B16E79"/>
    <w:rsid w:val="46CC6CB5"/>
    <w:rsid w:val="46F73288"/>
    <w:rsid w:val="470C1350"/>
    <w:rsid w:val="472C0021"/>
    <w:rsid w:val="47323CE2"/>
    <w:rsid w:val="47431938"/>
    <w:rsid w:val="47743044"/>
    <w:rsid w:val="477862AB"/>
    <w:rsid w:val="477C4311"/>
    <w:rsid w:val="479640C9"/>
    <w:rsid w:val="47986F5F"/>
    <w:rsid w:val="47990F3F"/>
    <w:rsid w:val="47BF4307"/>
    <w:rsid w:val="47F44CFD"/>
    <w:rsid w:val="47FE17F4"/>
    <w:rsid w:val="48047CF8"/>
    <w:rsid w:val="482E095F"/>
    <w:rsid w:val="48354527"/>
    <w:rsid w:val="48533D30"/>
    <w:rsid w:val="485357A3"/>
    <w:rsid w:val="48662FD7"/>
    <w:rsid w:val="48694E87"/>
    <w:rsid w:val="48887236"/>
    <w:rsid w:val="48903FA8"/>
    <w:rsid w:val="48997897"/>
    <w:rsid w:val="48AB34FC"/>
    <w:rsid w:val="48B33318"/>
    <w:rsid w:val="48E259F0"/>
    <w:rsid w:val="48E810AD"/>
    <w:rsid w:val="48EF3AFE"/>
    <w:rsid w:val="49016C43"/>
    <w:rsid w:val="49074695"/>
    <w:rsid w:val="49093AF5"/>
    <w:rsid w:val="494A28B8"/>
    <w:rsid w:val="494E0CF3"/>
    <w:rsid w:val="496F4A9A"/>
    <w:rsid w:val="49D62635"/>
    <w:rsid w:val="49E302B2"/>
    <w:rsid w:val="49F555CC"/>
    <w:rsid w:val="4A371379"/>
    <w:rsid w:val="4A5D7082"/>
    <w:rsid w:val="4A802C31"/>
    <w:rsid w:val="4A852E26"/>
    <w:rsid w:val="4AB618EA"/>
    <w:rsid w:val="4B1B0A89"/>
    <w:rsid w:val="4B5052C0"/>
    <w:rsid w:val="4B590ADB"/>
    <w:rsid w:val="4B5B37EE"/>
    <w:rsid w:val="4B614574"/>
    <w:rsid w:val="4B6F4749"/>
    <w:rsid w:val="4B9A7D7B"/>
    <w:rsid w:val="4BC839EE"/>
    <w:rsid w:val="4BCE5607"/>
    <w:rsid w:val="4BE32C7A"/>
    <w:rsid w:val="4BF54AB5"/>
    <w:rsid w:val="4C140176"/>
    <w:rsid w:val="4C251A00"/>
    <w:rsid w:val="4C5D47AA"/>
    <w:rsid w:val="4C96414F"/>
    <w:rsid w:val="4C974CB8"/>
    <w:rsid w:val="4CA342DE"/>
    <w:rsid w:val="4CFD155C"/>
    <w:rsid w:val="4D027822"/>
    <w:rsid w:val="4D3118C0"/>
    <w:rsid w:val="4D72489A"/>
    <w:rsid w:val="4D8713CE"/>
    <w:rsid w:val="4D90360B"/>
    <w:rsid w:val="4D95643E"/>
    <w:rsid w:val="4D9B04F2"/>
    <w:rsid w:val="4DA557FC"/>
    <w:rsid w:val="4DAA2741"/>
    <w:rsid w:val="4DD67C46"/>
    <w:rsid w:val="4DE35234"/>
    <w:rsid w:val="4DE678C1"/>
    <w:rsid w:val="4E0F59E6"/>
    <w:rsid w:val="4E2426C7"/>
    <w:rsid w:val="4E354396"/>
    <w:rsid w:val="4E3D2149"/>
    <w:rsid w:val="4E4B6A64"/>
    <w:rsid w:val="4E6B7454"/>
    <w:rsid w:val="4E8238FA"/>
    <w:rsid w:val="4EB93D2F"/>
    <w:rsid w:val="4EC13229"/>
    <w:rsid w:val="4EDA7155"/>
    <w:rsid w:val="4EDE6EFE"/>
    <w:rsid w:val="4EE46199"/>
    <w:rsid w:val="4EF23D28"/>
    <w:rsid w:val="4F1D0D32"/>
    <w:rsid w:val="4F205756"/>
    <w:rsid w:val="4F403E6D"/>
    <w:rsid w:val="4F513035"/>
    <w:rsid w:val="4F6E0FE5"/>
    <w:rsid w:val="4F9363F8"/>
    <w:rsid w:val="4FAB6DF8"/>
    <w:rsid w:val="4FE721CD"/>
    <w:rsid w:val="4FFE6123"/>
    <w:rsid w:val="501172E5"/>
    <w:rsid w:val="503239EC"/>
    <w:rsid w:val="507614CB"/>
    <w:rsid w:val="507B56A0"/>
    <w:rsid w:val="508321AE"/>
    <w:rsid w:val="508A0696"/>
    <w:rsid w:val="50956590"/>
    <w:rsid w:val="50A75500"/>
    <w:rsid w:val="50AF4E94"/>
    <w:rsid w:val="50C93B54"/>
    <w:rsid w:val="50E024C9"/>
    <w:rsid w:val="50F02329"/>
    <w:rsid w:val="514D2EA3"/>
    <w:rsid w:val="517C0A1F"/>
    <w:rsid w:val="51A54447"/>
    <w:rsid w:val="51A82F68"/>
    <w:rsid w:val="51BA53E6"/>
    <w:rsid w:val="51CB2893"/>
    <w:rsid w:val="52331B01"/>
    <w:rsid w:val="52333DCB"/>
    <w:rsid w:val="52391021"/>
    <w:rsid w:val="524F639C"/>
    <w:rsid w:val="52534234"/>
    <w:rsid w:val="525B505F"/>
    <w:rsid w:val="5267620E"/>
    <w:rsid w:val="5286051D"/>
    <w:rsid w:val="528D1AAE"/>
    <w:rsid w:val="52B37557"/>
    <w:rsid w:val="52BD0422"/>
    <w:rsid w:val="52E43991"/>
    <w:rsid w:val="52F92C62"/>
    <w:rsid w:val="532929B0"/>
    <w:rsid w:val="53976EE0"/>
    <w:rsid w:val="53CF244D"/>
    <w:rsid w:val="53F94A5F"/>
    <w:rsid w:val="540A5590"/>
    <w:rsid w:val="540C32DA"/>
    <w:rsid w:val="542169E3"/>
    <w:rsid w:val="54332365"/>
    <w:rsid w:val="54485B35"/>
    <w:rsid w:val="5479646E"/>
    <w:rsid w:val="54824E2D"/>
    <w:rsid w:val="54A17391"/>
    <w:rsid w:val="54A26A01"/>
    <w:rsid w:val="54BA2082"/>
    <w:rsid w:val="54CB7529"/>
    <w:rsid w:val="54CC7D8C"/>
    <w:rsid w:val="54DF4140"/>
    <w:rsid w:val="54F56FAA"/>
    <w:rsid w:val="55FD42D6"/>
    <w:rsid w:val="560478C9"/>
    <w:rsid w:val="56415254"/>
    <w:rsid w:val="566960A1"/>
    <w:rsid w:val="567A2966"/>
    <w:rsid w:val="56895231"/>
    <w:rsid w:val="56F022BF"/>
    <w:rsid w:val="56FB56CE"/>
    <w:rsid w:val="57054C16"/>
    <w:rsid w:val="5749230E"/>
    <w:rsid w:val="57566F57"/>
    <w:rsid w:val="579E1963"/>
    <w:rsid w:val="57AC6F38"/>
    <w:rsid w:val="57D0553D"/>
    <w:rsid w:val="57DA388B"/>
    <w:rsid w:val="57DF4F15"/>
    <w:rsid w:val="57E84847"/>
    <w:rsid w:val="57EA039A"/>
    <w:rsid w:val="582E0E2B"/>
    <w:rsid w:val="584C43C9"/>
    <w:rsid w:val="58606914"/>
    <w:rsid w:val="58674C03"/>
    <w:rsid w:val="586D01DF"/>
    <w:rsid w:val="58725FDE"/>
    <w:rsid w:val="58AA1E9F"/>
    <w:rsid w:val="58C92FC5"/>
    <w:rsid w:val="58D14B9D"/>
    <w:rsid w:val="59343D61"/>
    <w:rsid w:val="593B0FAE"/>
    <w:rsid w:val="59633DAE"/>
    <w:rsid w:val="596D7A74"/>
    <w:rsid w:val="59826A1F"/>
    <w:rsid w:val="59C44EE4"/>
    <w:rsid w:val="5A3E2CEC"/>
    <w:rsid w:val="5A426D37"/>
    <w:rsid w:val="5A5653EE"/>
    <w:rsid w:val="5A726410"/>
    <w:rsid w:val="5A7F70E1"/>
    <w:rsid w:val="5A8624E8"/>
    <w:rsid w:val="5AAC49ED"/>
    <w:rsid w:val="5AB73A36"/>
    <w:rsid w:val="5AF155F7"/>
    <w:rsid w:val="5AF1D18E"/>
    <w:rsid w:val="5B0703AB"/>
    <w:rsid w:val="5B153712"/>
    <w:rsid w:val="5B24515C"/>
    <w:rsid w:val="5B4104C3"/>
    <w:rsid w:val="5B6B673F"/>
    <w:rsid w:val="5B6D086E"/>
    <w:rsid w:val="5B933E44"/>
    <w:rsid w:val="5B984D51"/>
    <w:rsid w:val="5BA84DA7"/>
    <w:rsid w:val="5BAA6DC2"/>
    <w:rsid w:val="5BBA161B"/>
    <w:rsid w:val="5BDA1AFE"/>
    <w:rsid w:val="5BE84FBC"/>
    <w:rsid w:val="5C034600"/>
    <w:rsid w:val="5C237CF4"/>
    <w:rsid w:val="5C557DE9"/>
    <w:rsid w:val="5C58551F"/>
    <w:rsid w:val="5C652DEB"/>
    <w:rsid w:val="5C761CB7"/>
    <w:rsid w:val="5C9F005F"/>
    <w:rsid w:val="5CA51C53"/>
    <w:rsid w:val="5CFD323D"/>
    <w:rsid w:val="5D0B5652"/>
    <w:rsid w:val="5D780900"/>
    <w:rsid w:val="5D7E599A"/>
    <w:rsid w:val="5D822CC9"/>
    <w:rsid w:val="5D873D6B"/>
    <w:rsid w:val="5D95609F"/>
    <w:rsid w:val="5DAF665D"/>
    <w:rsid w:val="5DC22170"/>
    <w:rsid w:val="5DDB2B3F"/>
    <w:rsid w:val="5DF36929"/>
    <w:rsid w:val="5E490F1F"/>
    <w:rsid w:val="5E5C2D70"/>
    <w:rsid w:val="5E77294D"/>
    <w:rsid w:val="5EA07620"/>
    <w:rsid w:val="5EF21EA7"/>
    <w:rsid w:val="5EF332A1"/>
    <w:rsid w:val="5EFC4052"/>
    <w:rsid w:val="5F214527"/>
    <w:rsid w:val="5F293EA8"/>
    <w:rsid w:val="5F294C8E"/>
    <w:rsid w:val="5F381A7B"/>
    <w:rsid w:val="5F4014B7"/>
    <w:rsid w:val="5F42657D"/>
    <w:rsid w:val="5F4A22DC"/>
    <w:rsid w:val="5F5F53BC"/>
    <w:rsid w:val="5F8B7C74"/>
    <w:rsid w:val="5F9179F4"/>
    <w:rsid w:val="5FB05CAE"/>
    <w:rsid w:val="5FC17B57"/>
    <w:rsid w:val="5FE568DD"/>
    <w:rsid w:val="5FF5085D"/>
    <w:rsid w:val="60060393"/>
    <w:rsid w:val="60256E18"/>
    <w:rsid w:val="602B2C56"/>
    <w:rsid w:val="60557C1B"/>
    <w:rsid w:val="60730A9B"/>
    <w:rsid w:val="607A1279"/>
    <w:rsid w:val="608751CA"/>
    <w:rsid w:val="60894155"/>
    <w:rsid w:val="60A800CB"/>
    <w:rsid w:val="60AD04D9"/>
    <w:rsid w:val="60AE0874"/>
    <w:rsid w:val="60CB61B4"/>
    <w:rsid w:val="60D33CFA"/>
    <w:rsid w:val="60E90580"/>
    <w:rsid w:val="60E977C5"/>
    <w:rsid w:val="60ED327E"/>
    <w:rsid w:val="6102168E"/>
    <w:rsid w:val="61071104"/>
    <w:rsid w:val="611966EA"/>
    <w:rsid w:val="614228AE"/>
    <w:rsid w:val="61533A4A"/>
    <w:rsid w:val="61727E55"/>
    <w:rsid w:val="619E07AB"/>
    <w:rsid w:val="619F593E"/>
    <w:rsid w:val="61BE13B4"/>
    <w:rsid w:val="61CB49EC"/>
    <w:rsid w:val="621959E5"/>
    <w:rsid w:val="624E43A3"/>
    <w:rsid w:val="62687AED"/>
    <w:rsid w:val="62774A91"/>
    <w:rsid w:val="62935443"/>
    <w:rsid w:val="62AF7E63"/>
    <w:rsid w:val="62B665B6"/>
    <w:rsid w:val="62C7055D"/>
    <w:rsid w:val="62CF416E"/>
    <w:rsid w:val="62D673CD"/>
    <w:rsid w:val="62EE3CBD"/>
    <w:rsid w:val="62F44961"/>
    <w:rsid w:val="630866E8"/>
    <w:rsid w:val="63267403"/>
    <w:rsid w:val="632A6696"/>
    <w:rsid w:val="63394082"/>
    <w:rsid w:val="636130D9"/>
    <w:rsid w:val="63A36B7F"/>
    <w:rsid w:val="63A431CB"/>
    <w:rsid w:val="63AA64B5"/>
    <w:rsid w:val="63D76001"/>
    <w:rsid w:val="63E51964"/>
    <w:rsid w:val="64154087"/>
    <w:rsid w:val="644154F0"/>
    <w:rsid w:val="649C5BEF"/>
    <w:rsid w:val="64E74A0A"/>
    <w:rsid w:val="65353008"/>
    <w:rsid w:val="653D665D"/>
    <w:rsid w:val="654503F2"/>
    <w:rsid w:val="65C818FB"/>
    <w:rsid w:val="65E968E4"/>
    <w:rsid w:val="65ED7AD6"/>
    <w:rsid w:val="65FC2F32"/>
    <w:rsid w:val="660329A3"/>
    <w:rsid w:val="661506A5"/>
    <w:rsid w:val="661A13AC"/>
    <w:rsid w:val="661B0A65"/>
    <w:rsid w:val="66273583"/>
    <w:rsid w:val="662E4254"/>
    <w:rsid w:val="662F46C2"/>
    <w:rsid w:val="665804EC"/>
    <w:rsid w:val="668C1B4C"/>
    <w:rsid w:val="668E5B1C"/>
    <w:rsid w:val="66994753"/>
    <w:rsid w:val="66A64938"/>
    <w:rsid w:val="66F56065"/>
    <w:rsid w:val="66F93EDA"/>
    <w:rsid w:val="67007B9E"/>
    <w:rsid w:val="670A7175"/>
    <w:rsid w:val="670F1D2E"/>
    <w:rsid w:val="671728AF"/>
    <w:rsid w:val="672064E8"/>
    <w:rsid w:val="6725653D"/>
    <w:rsid w:val="672946C1"/>
    <w:rsid w:val="67297732"/>
    <w:rsid w:val="67317A94"/>
    <w:rsid w:val="67567553"/>
    <w:rsid w:val="676D4B89"/>
    <w:rsid w:val="67B53481"/>
    <w:rsid w:val="67CE5422"/>
    <w:rsid w:val="67DE642F"/>
    <w:rsid w:val="67E70FF3"/>
    <w:rsid w:val="67E86DD7"/>
    <w:rsid w:val="67F35DF6"/>
    <w:rsid w:val="68166484"/>
    <w:rsid w:val="68171DEC"/>
    <w:rsid w:val="682F39B9"/>
    <w:rsid w:val="68806BA4"/>
    <w:rsid w:val="689562D6"/>
    <w:rsid w:val="689A28D5"/>
    <w:rsid w:val="68D2260E"/>
    <w:rsid w:val="68D76BEB"/>
    <w:rsid w:val="68DC1570"/>
    <w:rsid w:val="68E80216"/>
    <w:rsid w:val="690879D4"/>
    <w:rsid w:val="69156453"/>
    <w:rsid w:val="694003CB"/>
    <w:rsid w:val="69443748"/>
    <w:rsid w:val="694E2B48"/>
    <w:rsid w:val="695438EC"/>
    <w:rsid w:val="69683DCF"/>
    <w:rsid w:val="69787200"/>
    <w:rsid w:val="699D1E24"/>
    <w:rsid w:val="69A9667C"/>
    <w:rsid w:val="69B665A4"/>
    <w:rsid w:val="69B8252C"/>
    <w:rsid w:val="69CF2CFC"/>
    <w:rsid w:val="69D67AEA"/>
    <w:rsid w:val="69DA0B81"/>
    <w:rsid w:val="69EB2C2E"/>
    <w:rsid w:val="69EC58D4"/>
    <w:rsid w:val="6A2F33AA"/>
    <w:rsid w:val="6A362E3E"/>
    <w:rsid w:val="6A6430C8"/>
    <w:rsid w:val="6A664E33"/>
    <w:rsid w:val="6AD124DD"/>
    <w:rsid w:val="6ADA17A9"/>
    <w:rsid w:val="6AEB7F0A"/>
    <w:rsid w:val="6B122757"/>
    <w:rsid w:val="6B1612E9"/>
    <w:rsid w:val="6B2018E6"/>
    <w:rsid w:val="6B4B2221"/>
    <w:rsid w:val="6B5D046D"/>
    <w:rsid w:val="6BC75935"/>
    <w:rsid w:val="6BD63113"/>
    <w:rsid w:val="6BEB6EAD"/>
    <w:rsid w:val="6BF97200"/>
    <w:rsid w:val="6BFB4C62"/>
    <w:rsid w:val="6C102A2A"/>
    <w:rsid w:val="6C25454E"/>
    <w:rsid w:val="6C6355FB"/>
    <w:rsid w:val="6C853518"/>
    <w:rsid w:val="6CF65D1C"/>
    <w:rsid w:val="6CFF5B8B"/>
    <w:rsid w:val="6D38056F"/>
    <w:rsid w:val="6D863A6B"/>
    <w:rsid w:val="6D8F7C98"/>
    <w:rsid w:val="6DF07945"/>
    <w:rsid w:val="6DF26780"/>
    <w:rsid w:val="6DF568E4"/>
    <w:rsid w:val="6DFD0952"/>
    <w:rsid w:val="6E372795"/>
    <w:rsid w:val="6E590A35"/>
    <w:rsid w:val="6E5F5AD2"/>
    <w:rsid w:val="6E6005BE"/>
    <w:rsid w:val="6E720135"/>
    <w:rsid w:val="6E8B7486"/>
    <w:rsid w:val="6EA1011B"/>
    <w:rsid w:val="6EA90946"/>
    <w:rsid w:val="6EB5739F"/>
    <w:rsid w:val="6EB61EBC"/>
    <w:rsid w:val="6ED13323"/>
    <w:rsid w:val="6EDB3AC5"/>
    <w:rsid w:val="6EE8633A"/>
    <w:rsid w:val="6F031A36"/>
    <w:rsid w:val="6F307579"/>
    <w:rsid w:val="6F595A35"/>
    <w:rsid w:val="6FC46A94"/>
    <w:rsid w:val="7016556C"/>
    <w:rsid w:val="702622E9"/>
    <w:rsid w:val="702A082E"/>
    <w:rsid w:val="702A1568"/>
    <w:rsid w:val="70473407"/>
    <w:rsid w:val="705D1CD9"/>
    <w:rsid w:val="70603970"/>
    <w:rsid w:val="707502DA"/>
    <w:rsid w:val="70775ACF"/>
    <w:rsid w:val="70961508"/>
    <w:rsid w:val="709A5041"/>
    <w:rsid w:val="70A12A80"/>
    <w:rsid w:val="70C20042"/>
    <w:rsid w:val="70CA2B75"/>
    <w:rsid w:val="70E05820"/>
    <w:rsid w:val="7103324E"/>
    <w:rsid w:val="71043C71"/>
    <w:rsid w:val="711916EA"/>
    <w:rsid w:val="71223ED3"/>
    <w:rsid w:val="71370820"/>
    <w:rsid w:val="71521B04"/>
    <w:rsid w:val="71587B0A"/>
    <w:rsid w:val="716B4996"/>
    <w:rsid w:val="718B38BE"/>
    <w:rsid w:val="71A23F7E"/>
    <w:rsid w:val="71B21D4D"/>
    <w:rsid w:val="71C51F33"/>
    <w:rsid w:val="71D81758"/>
    <w:rsid w:val="71F55430"/>
    <w:rsid w:val="71F749DD"/>
    <w:rsid w:val="72002163"/>
    <w:rsid w:val="721D6421"/>
    <w:rsid w:val="722803D2"/>
    <w:rsid w:val="72311C0F"/>
    <w:rsid w:val="724A3590"/>
    <w:rsid w:val="72665FD9"/>
    <w:rsid w:val="727D5491"/>
    <w:rsid w:val="7280721A"/>
    <w:rsid w:val="72B558BE"/>
    <w:rsid w:val="72C66920"/>
    <w:rsid w:val="73394C74"/>
    <w:rsid w:val="73506444"/>
    <w:rsid w:val="735D0C96"/>
    <w:rsid w:val="73755939"/>
    <w:rsid w:val="73777363"/>
    <w:rsid w:val="73A13F8B"/>
    <w:rsid w:val="73E45ED9"/>
    <w:rsid w:val="73EE158A"/>
    <w:rsid w:val="74222135"/>
    <w:rsid w:val="742A6D81"/>
    <w:rsid w:val="743D591A"/>
    <w:rsid w:val="744050C4"/>
    <w:rsid w:val="74846F92"/>
    <w:rsid w:val="74AB5D69"/>
    <w:rsid w:val="74B13D77"/>
    <w:rsid w:val="74CE1490"/>
    <w:rsid w:val="74DB448B"/>
    <w:rsid w:val="74E225F0"/>
    <w:rsid w:val="75116BE2"/>
    <w:rsid w:val="753A77D4"/>
    <w:rsid w:val="756110C1"/>
    <w:rsid w:val="75727E0D"/>
    <w:rsid w:val="75C54492"/>
    <w:rsid w:val="75DD2BA2"/>
    <w:rsid w:val="75E81C02"/>
    <w:rsid w:val="75FF463E"/>
    <w:rsid w:val="762264C9"/>
    <w:rsid w:val="763C100C"/>
    <w:rsid w:val="76606386"/>
    <w:rsid w:val="76751F92"/>
    <w:rsid w:val="767A6971"/>
    <w:rsid w:val="76BB3ACA"/>
    <w:rsid w:val="76DD5F84"/>
    <w:rsid w:val="76E964E4"/>
    <w:rsid w:val="76EE388A"/>
    <w:rsid w:val="76F96202"/>
    <w:rsid w:val="775A1179"/>
    <w:rsid w:val="77D53C83"/>
    <w:rsid w:val="78077AA1"/>
    <w:rsid w:val="780A05BF"/>
    <w:rsid w:val="781B1E31"/>
    <w:rsid w:val="783D18BC"/>
    <w:rsid w:val="78435669"/>
    <w:rsid w:val="78763A28"/>
    <w:rsid w:val="78A12986"/>
    <w:rsid w:val="790F642F"/>
    <w:rsid w:val="790F7A12"/>
    <w:rsid w:val="79197096"/>
    <w:rsid w:val="791C43FD"/>
    <w:rsid w:val="793D582A"/>
    <w:rsid w:val="798B6004"/>
    <w:rsid w:val="79B10036"/>
    <w:rsid w:val="79D675A2"/>
    <w:rsid w:val="79D9626B"/>
    <w:rsid w:val="79DE652D"/>
    <w:rsid w:val="79F71156"/>
    <w:rsid w:val="7A4F2CB8"/>
    <w:rsid w:val="7A5228CC"/>
    <w:rsid w:val="7A526FA4"/>
    <w:rsid w:val="7A686E4B"/>
    <w:rsid w:val="7A864A76"/>
    <w:rsid w:val="7A8E5B94"/>
    <w:rsid w:val="7A912DF3"/>
    <w:rsid w:val="7A977733"/>
    <w:rsid w:val="7A9B43B9"/>
    <w:rsid w:val="7ABF429C"/>
    <w:rsid w:val="7AE930E8"/>
    <w:rsid w:val="7B871813"/>
    <w:rsid w:val="7BC1099D"/>
    <w:rsid w:val="7BFC6C3D"/>
    <w:rsid w:val="7C0F0C5A"/>
    <w:rsid w:val="7C0F7323"/>
    <w:rsid w:val="7C211E5E"/>
    <w:rsid w:val="7C2D21FC"/>
    <w:rsid w:val="7C5B51EA"/>
    <w:rsid w:val="7C5C4F5D"/>
    <w:rsid w:val="7CFE2893"/>
    <w:rsid w:val="7D0F00BC"/>
    <w:rsid w:val="7D341A79"/>
    <w:rsid w:val="7D451E22"/>
    <w:rsid w:val="7D5E10AF"/>
    <w:rsid w:val="7D7C5BAB"/>
    <w:rsid w:val="7D8F1CF9"/>
    <w:rsid w:val="7D9615AC"/>
    <w:rsid w:val="7DD6705F"/>
    <w:rsid w:val="7E1F2D3B"/>
    <w:rsid w:val="7E306020"/>
    <w:rsid w:val="7E6C56F0"/>
    <w:rsid w:val="7E811E93"/>
    <w:rsid w:val="7EAD56F7"/>
    <w:rsid w:val="7EDD3210"/>
    <w:rsid w:val="7F227548"/>
    <w:rsid w:val="7F4126BF"/>
    <w:rsid w:val="7F440964"/>
    <w:rsid w:val="7F452A5B"/>
    <w:rsid w:val="7F702B0F"/>
    <w:rsid w:val="7F9109A0"/>
    <w:rsid w:val="7F92699B"/>
    <w:rsid w:val="7F98785D"/>
    <w:rsid w:val="7FEA765B"/>
    <w:rsid w:val="7FEC49D6"/>
    <w:rsid w:val="7FED0EF1"/>
    <w:rsid w:val="7FFB178A"/>
    <w:rsid w:val="EEF7F80C"/>
    <w:rsid w:val="FF793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qFormat="1" w:uiPriority="39" w:semiHidden="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jc w:val="center"/>
      <w:outlineLvl w:val="0"/>
    </w:pPr>
    <w:rPr>
      <w:rFonts w:ascii="Calibri" w:hAnsi="Calibri"/>
      <w:b/>
      <w:bCs/>
      <w:kern w:val="44"/>
      <w:sz w:val="24"/>
      <w:szCs w:val="44"/>
    </w:rPr>
  </w:style>
  <w:style w:type="paragraph" w:styleId="3">
    <w:name w:val="heading 2"/>
    <w:basedOn w:val="1"/>
    <w:next w:val="1"/>
    <w:link w:val="33"/>
    <w:autoRedefine/>
    <w:qFormat/>
    <w:uiPriority w:val="0"/>
    <w:pPr>
      <w:keepNext/>
      <w:keepLines/>
      <w:ind w:firstLine="0" w:firstLineChars="0"/>
      <w:outlineLvl w:val="1"/>
    </w:pPr>
    <w:rPr>
      <w:rFonts w:ascii="Cambria" w:hAnsi="Cambria"/>
      <w:b/>
      <w:bCs/>
      <w:szCs w:val="32"/>
    </w:rPr>
  </w:style>
  <w:style w:type="paragraph" w:styleId="4">
    <w:name w:val="heading 3"/>
    <w:basedOn w:val="1"/>
    <w:next w:val="1"/>
    <w:link w:val="34"/>
    <w:autoRedefine/>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5">
    <w:name w:val="heading 4"/>
    <w:basedOn w:val="1"/>
    <w:next w:val="1"/>
    <w:link w:val="35"/>
    <w:autoRedefine/>
    <w:qFormat/>
    <w:uiPriority w:val="99"/>
    <w:pPr>
      <w:keepNext/>
      <w:keepLines/>
      <w:outlineLvl w:val="3"/>
    </w:pPr>
    <w:rPr>
      <w:rFonts w:ascii="Cambria" w:hAnsi="Cambria"/>
      <w:b/>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locked/>
    <w:uiPriority w:val="0"/>
    <w:pPr>
      <w:ind w:firstLine="420"/>
    </w:pPr>
    <w:rPr>
      <w:sz w:val="30"/>
      <w:szCs w:val="30"/>
    </w:rPr>
  </w:style>
  <w:style w:type="paragraph" w:styleId="7">
    <w:name w:val="Document Map"/>
    <w:basedOn w:val="1"/>
    <w:link w:val="44"/>
    <w:autoRedefine/>
    <w:semiHidden/>
    <w:qFormat/>
    <w:uiPriority w:val="99"/>
    <w:pPr>
      <w:shd w:val="clear" w:color="auto" w:fill="000080"/>
    </w:pPr>
  </w:style>
  <w:style w:type="paragraph" w:styleId="8">
    <w:name w:val="annotation text"/>
    <w:basedOn w:val="1"/>
    <w:link w:val="36"/>
    <w:autoRedefine/>
    <w:qFormat/>
    <w:uiPriority w:val="0"/>
    <w:pPr>
      <w:spacing w:line="240" w:lineRule="auto"/>
      <w:ind w:firstLine="0" w:firstLineChars="0"/>
      <w:jc w:val="left"/>
    </w:pPr>
  </w:style>
  <w:style w:type="paragraph" w:styleId="9">
    <w:name w:val="Body Text"/>
    <w:basedOn w:val="1"/>
    <w:next w:val="10"/>
    <w:autoRedefine/>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10">
    <w:name w:val="Body Text First Indent"/>
    <w:basedOn w:val="9"/>
    <w:next w:val="11"/>
    <w:link w:val="60"/>
    <w:autoRedefine/>
    <w:unhideWhenUsed/>
    <w:qFormat/>
    <w:locked/>
    <w:uiPriority w:val="0"/>
    <w:pPr>
      <w:adjustRightInd/>
      <w:spacing w:after="120" w:line="240" w:lineRule="auto"/>
      <w:ind w:firstLine="420" w:firstLineChars="100"/>
      <w:jc w:val="both"/>
    </w:pPr>
    <w:rPr>
      <w:rFonts w:ascii="Times New Roman"/>
      <w:kern w:val="2"/>
      <w:sz w:val="21"/>
      <w:szCs w:val="24"/>
    </w:rPr>
  </w:style>
  <w:style w:type="paragraph" w:styleId="11">
    <w:name w:val="toc 6"/>
    <w:basedOn w:val="1"/>
    <w:next w:val="1"/>
    <w:autoRedefine/>
    <w:unhideWhenUsed/>
    <w:qFormat/>
    <w:locked/>
    <w:uiPriority w:val="39"/>
    <w:pPr>
      <w:spacing w:line="240" w:lineRule="auto"/>
      <w:ind w:left="1050" w:firstLine="0" w:firstLineChars="0"/>
      <w:jc w:val="left"/>
    </w:pPr>
    <w:rPr>
      <w:szCs w:val="21"/>
    </w:rPr>
  </w:style>
  <w:style w:type="paragraph" w:styleId="12">
    <w:name w:val="Body Text Indent"/>
    <w:basedOn w:val="1"/>
    <w:next w:val="1"/>
    <w:link w:val="46"/>
    <w:autoRedefine/>
    <w:unhideWhenUsed/>
    <w:qFormat/>
    <w:locked/>
    <w:uiPriority w:val="0"/>
    <w:pPr>
      <w:spacing w:after="120"/>
      <w:ind w:left="420" w:leftChars="200"/>
    </w:pPr>
  </w:style>
  <w:style w:type="paragraph" w:styleId="13">
    <w:name w:val="Block Text"/>
    <w:basedOn w:val="1"/>
    <w:autoRedefine/>
    <w:unhideWhenUsed/>
    <w:qFormat/>
    <w:locked/>
    <w:uiPriority w:val="99"/>
    <w:pPr>
      <w:spacing w:after="120"/>
      <w:ind w:left="1440" w:leftChars="700" w:right="1440" w:rightChars="700"/>
    </w:pPr>
  </w:style>
  <w:style w:type="paragraph" w:styleId="14">
    <w:name w:val="Plain Text"/>
    <w:basedOn w:val="1"/>
    <w:link w:val="37"/>
    <w:autoRedefine/>
    <w:qFormat/>
    <w:uiPriority w:val="0"/>
    <w:pPr>
      <w:spacing w:line="240" w:lineRule="auto"/>
      <w:ind w:firstLine="0" w:firstLineChars="0"/>
    </w:pPr>
    <w:rPr>
      <w:rFonts w:ascii="宋体" w:hAnsi="Courier New"/>
      <w:szCs w:val="20"/>
    </w:rPr>
  </w:style>
  <w:style w:type="paragraph" w:styleId="15">
    <w:name w:val="Balloon Text"/>
    <w:basedOn w:val="1"/>
    <w:link w:val="43"/>
    <w:autoRedefine/>
    <w:qFormat/>
    <w:uiPriority w:val="0"/>
    <w:rPr>
      <w:sz w:val="18"/>
      <w:szCs w:val="18"/>
    </w:rPr>
  </w:style>
  <w:style w:type="paragraph" w:styleId="16">
    <w:name w:val="footer"/>
    <w:basedOn w:val="1"/>
    <w:link w:val="38"/>
    <w:autoRedefine/>
    <w:qFormat/>
    <w:uiPriority w:val="99"/>
    <w:pPr>
      <w:tabs>
        <w:tab w:val="center" w:pos="4153"/>
        <w:tab w:val="right" w:pos="8306"/>
      </w:tabs>
      <w:snapToGrid w:val="0"/>
      <w:jc w:val="left"/>
    </w:pPr>
    <w:rPr>
      <w:rFonts w:ascii="Calibri" w:hAnsi="Calibri"/>
      <w:kern w:val="0"/>
      <w:sz w:val="18"/>
      <w:szCs w:val="18"/>
    </w:rPr>
  </w:style>
  <w:style w:type="paragraph" w:styleId="17">
    <w:name w:val="header"/>
    <w:basedOn w:val="1"/>
    <w:link w:val="39"/>
    <w:autoRedefine/>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pPr>
      <w:tabs>
        <w:tab w:val="right" w:leader="dot" w:pos="8296"/>
      </w:tabs>
      <w:ind w:firstLine="0" w:firstLineChars="0"/>
    </w:pPr>
  </w:style>
  <w:style w:type="paragraph" w:styleId="19">
    <w:name w:val="Subtitle"/>
    <w:basedOn w:val="1"/>
    <w:next w:val="1"/>
    <w:link w:val="48"/>
    <w:autoRedefine/>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20">
    <w:name w:val="toc 2"/>
    <w:basedOn w:val="1"/>
    <w:next w:val="1"/>
    <w:autoRedefine/>
    <w:qFormat/>
    <w:uiPriority w:val="39"/>
    <w:pPr>
      <w:tabs>
        <w:tab w:val="right" w:leader="dot" w:pos="8296"/>
      </w:tabs>
      <w:ind w:left="420" w:leftChars="200" w:firstLine="0" w:firstLineChars="0"/>
    </w:pPr>
  </w:style>
  <w:style w:type="paragraph" w:styleId="21">
    <w:name w:val="HTML Preformatted"/>
    <w:basedOn w:val="1"/>
    <w:link w:val="50"/>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paragraph" w:styleId="22">
    <w:name w:val="Normal (Web)"/>
    <w:basedOn w:val="1"/>
    <w:autoRedefine/>
    <w:unhideWhenUsed/>
    <w:qFormat/>
    <w:locked/>
    <w:uiPriority w:val="0"/>
    <w:pPr>
      <w:widowControl/>
      <w:spacing w:before="100" w:beforeAutospacing="1" w:after="100" w:afterAutospacing="1" w:line="240" w:lineRule="auto"/>
      <w:ind w:firstLine="0" w:firstLineChars="0"/>
      <w:jc w:val="left"/>
    </w:pPr>
    <w:rPr>
      <w:rFonts w:ascii="宋体" w:hAnsi="宋体"/>
      <w:kern w:val="0"/>
      <w:sz w:val="24"/>
    </w:rPr>
  </w:style>
  <w:style w:type="paragraph" w:styleId="23">
    <w:name w:val="annotation subject"/>
    <w:basedOn w:val="8"/>
    <w:next w:val="8"/>
    <w:link w:val="49"/>
    <w:autoRedefine/>
    <w:qFormat/>
    <w:locked/>
    <w:uiPriority w:val="0"/>
    <w:rPr>
      <w:rFonts w:asciiTheme="minorHAnsi" w:hAnsiTheme="minorHAnsi" w:eastAsiaTheme="minorEastAsia" w:cstheme="minorBidi"/>
      <w:b/>
      <w:bCs/>
    </w:rPr>
  </w:style>
  <w:style w:type="paragraph" w:styleId="24">
    <w:name w:val="Body Text First Indent 2"/>
    <w:basedOn w:val="12"/>
    <w:next w:val="10"/>
    <w:autoRedefine/>
    <w:qFormat/>
    <w:locked/>
    <w:uiPriority w:val="0"/>
    <w:pPr>
      <w:spacing w:line="240" w:lineRule="auto"/>
      <w:ind w:firstLine="210"/>
    </w:pPr>
  </w:style>
  <w:style w:type="table" w:styleId="26">
    <w:name w:val="Table Grid"/>
    <w:basedOn w:val="25"/>
    <w:autoRedefine/>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99"/>
    <w:rPr>
      <w:rFonts w:cs="Times New Roman"/>
      <w:b/>
    </w:rPr>
  </w:style>
  <w:style w:type="character" w:styleId="29">
    <w:name w:val="page number"/>
    <w:autoRedefine/>
    <w:qFormat/>
    <w:locked/>
    <w:uiPriority w:val="0"/>
  </w:style>
  <w:style w:type="character" w:styleId="30">
    <w:name w:val="Hyperlink"/>
    <w:basedOn w:val="27"/>
    <w:autoRedefine/>
    <w:qFormat/>
    <w:uiPriority w:val="99"/>
    <w:rPr>
      <w:rFonts w:cs="Times New Roman"/>
      <w:color w:val="0000FF"/>
      <w:u w:val="single"/>
    </w:rPr>
  </w:style>
  <w:style w:type="character" w:styleId="31">
    <w:name w:val="annotation reference"/>
    <w:basedOn w:val="27"/>
    <w:autoRedefine/>
    <w:qFormat/>
    <w:uiPriority w:val="0"/>
    <w:rPr>
      <w:rFonts w:cs="Times New Roman"/>
      <w:sz w:val="21"/>
    </w:rPr>
  </w:style>
  <w:style w:type="character" w:customStyle="1" w:styleId="32">
    <w:name w:val="标题 1 字符"/>
    <w:basedOn w:val="27"/>
    <w:link w:val="2"/>
    <w:autoRedefine/>
    <w:qFormat/>
    <w:locked/>
    <w:uiPriority w:val="0"/>
    <w:rPr>
      <w:rFonts w:cs="Times New Roman"/>
      <w:b/>
      <w:kern w:val="44"/>
      <w:sz w:val="44"/>
    </w:rPr>
  </w:style>
  <w:style w:type="character" w:customStyle="1" w:styleId="33">
    <w:name w:val="标题 2 字符"/>
    <w:basedOn w:val="27"/>
    <w:link w:val="3"/>
    <w:autoRedefine/>
    <w:qFormat/>
    <w:locked/>
    <w:uiPriority w:val="0"/>
    <w:rPr>
      <w:rFonts w:ascii="Cambria" w:hAnsi="Cambria" w:eastAsia="宋体" w:cs="Times New Roman"/>
      <w:b/>
      <w:bCs/>
      <w:sz w:val="32"/>
      <w:szCs w:val="32"/>
    </w:rPr>
  </w:style>
  <w:style w:type="character" w:customStyle="1" w:styleId="34">
    <w:name w:val="标题 3 字符"/>
    <w:basedOn w:val="27"/>
    <w:link w:val="4"/>
    <w:autoRedefine/>
    <w:qFormat/>
    <w:locked/>
    <w:uiPriority w:val="0"/>
    <w:rPr>
      <w:rFonts w:cs="宋体" w:asciiTheme="minorEastAsia" w:hAnsiTheme="minorEastAsia" w:eastAsiaTheme="minorEastAsia"/>
      <w:b/>
      <w:sz w:val="21"/>
      <w:szCs w:val="32"/>
    </w:rPr>
  </w:style>
  <w:style w:type="character" w:customStyle="1" w:styleId="35">
    <w:name w:val="标题 4 字符"/>
    <w:basedOn w:val="27"/>
    <w:link w:val="5"/>
    <w:autoRedefine/>
    <w:semiHidden/>
    <w:qFormat/>
    <w:locked/>
    <w:uiPriority w:val="99"/>
    <w:rPr>
      <w:rFonts w:ascii="Cambria" w:hAnsi="Cambria" w:eastAsia="宋体" w:cs="Times New Roman"/>
      <w:b/>
      <w:bCs/>
      <w:sz w:val="28"/>
      <w:szCs w:val="28"/>
    </w:rPr>
  </w:style>
  <w:style w:type="character" w:customStyle="1" w:styleId="36">
    <w:name w:val="批注文字 字符"/>
    <w:basedOn w:val="27"/>
    <w:link w:val="8"/>
    <w:autoRedefine/>
    <w:qFormat/>
    <w:locked/>
    <w:uiPriority w:val="0"/>
    <w:rPr>
      <w:rFonts w:ascii="Times New Roman" w:hAnsi="Times New Roman" w:cs="Times New Roman"/>
      <w:sz w:val="24"/>
      <w:szCs w:val="24"/>
    </w:rPr>
  </w:style>
  <w:style w:type="character" w:customStyle="1" w:styleId="37">
    <w:name w:val="纯文本 字符"/>
    <w:basedOn w:val="27"/>
    <w:link w:val="14"/>
    <w:autoRedefine/>
    <w:qFormat/>
    <w:locked/>
    <w:uiPriority w:val="0"/>
    <w:rPr>
      <w:rFonts w:ascii="宋体" w:hAnsi="Courier New" w:cs="Courier New"/>
      <w:sz w:val="21"/>
      <w:szCs w:val="21"/>
    </w:rPr>
  </w:style>
  <w:style w:type="character" w:customStyle="1" w:styleId="38">
    <w:name w:val="页脚 字符"/>
    <w:basedOn w:val="27"/>
    <w:link w:val="16"/>
    <w:autoRedefine/>
    <w:qFormat/>
    <w:locked/>
    <w:uiPriority w:val="99"/>
    <w:rPr>
      <w:rFonts w:ascii="Times New Roman" w:hAnsi="Times New Roman" w:cs="Times New Roman"/>
      <w:sz w:val="18"/>
      <w:szCs w:val="18"/>
    </w:rPr>
  </w:style>
  <w:style w:type="character" w:customStyle="1" w:styleId="39">
    <w:name w:val="页眉 字符"/>
    <w:basedOn w:val="27"/>
    <w:link w:val="17"/>
    <w:autoRedefine/>
    <w:qFormat/>
    <w:locked/>
    <w:uiPriority w:val="99"/>
    <w:rPr>
      <w:rFonts w:ascii="Times New Roman" w:hAnsi="Times New Roman" w:cs="Times New Roman"/>
      <w:sz w:val="18"/>
      <w:szCs w:val="18"/>
    </w:rPr>
  </w:style>
  <w:style w:type="paragraph" w:customStyle="1" w:styleId="40">
    <w:name w:val="TOC 标题1"/>
    <w:basedOn w:val="3"/>
    <w:next w:val="1"/>
    <w:autoRedefine/>
    <w:qFormat/>
    <w:uiPriority w:val="99"/>
    <w:pPr>
      <w:widowControl/>
      <w:spacing w:line="240" w:lineRule="auto"/>
      <w:jc w:val="left"/>
      <w:outlineLvl w:val="9"/>
    </w:pPr>
    <w:rPr>
      <w:kern w:val="0"/>
      <w:szCs w:val="28"/>
    </w:rPr>
  </w:style>
  <w:style w:type="paragraph" w:styleId="41">
    <w:name w:val="No Spacing"/>
    <w:link w:val="61"/>
    <w:autoRedefine/>
    <w:qFormat/>
    <w:uiPriority w:val="1"/>
    <w:pPr>
      <w:widowControl w:val="0"/>
      <w:jc w:val="both"/>
    </w:pPr>
    <w:rPr>
      <w:rFonts w:ascii="Calibri" w:hAnsi="Calibri" w:eastAsia="宋体" w:cs="Calibri"/>
      <w:kern w:val="2"/>
      <w:sz w:val="21"/>
      <w:szCs w:val="22"/>
      <w:lang w:val="en-US" w:eastAsia="zh-CN" w:bidi="ar-SA"/>
    </w:rPr>
  </w:style>
  <w:style w:type="paragraph" w:customStyle="1" w:styleId="42">
    <w:name w:val="Char"/>
    <w:basedOn w:val="1"/>
    <w:autoRedefine/>
    <w:qFormat/>
    <w:uiPriority w:val="99"/>
    <w:pPr>
      <w:spacing w:line="240" w:lineRule="auto"/>
      <w:ind w:firstLine="0" w:firstLineChars="0"/>
    </w:pPr>
    <w:rPr>
      <w:rFonts w:ascii="仿宋_GB2312" w:eastAsia="仿宋_GB2312"/>
      <w:b/>
      <w:sz w:val="32"/>
      <w:szCs w:val="32"/>
    </w:rPr>
  </w:style>
  <w:style w:type="character" w:customStyle="1" w:styleId="43">
    <w:name w:val="批注框文本 字符"/>
    <w:basedOn w:val="27"/>
    <w:link w:val="15"/>
    <w:autoRedefine/>
    <w:qFormat/>
    <w:locked/>
    <w:uiPriority w:val="0"/>
    <w:rPr>
      <w:rFonts w:ascii="Times New Roman" w:hAnsi="Times New Roman" w:cs="Times New Roman"/>
      <w:sz w:val="2"/>
    </w:rPr>
  </w:style>
  <w:style w:type="character" w:customStyle="1" w:styleId="44">
    <w:name w:val="文档结构图 字符"/>
    <w:basedOn w:val="27"/>
    <w:link w:val="7"/>
    <w:autoRedefine/>
    <w:semiHidden/>
    <w:qFormat/>
    <w:locked/>
    <w:uiPriority w:val="99"/>
    <w:rPr>
      <w:rFonts w:ascii="Times New Roman" w:hAnsi="Times New Roman" w:cs="Times New Roman"/>
      <w:sz w:val="2"/>
    </w:rPr>
  </w:style>
  <w:style w:type="paragraph" w:customStyle="1" w:styleId="45">
    <w:name w:val="标题3"/>
    <w:basedOn w:val="4"/>
    <w:autoRedefine/>
    <w:qFormat/>
    <w:uiPriority w:val="0"/>
  </w:style>
  <w:style w:type="character" w:customStyle="1" w:styleId="46">
    <w:name w:val="正文文本缩进 字符"/>
    <w:basedOn w:val="27"/>
    <w:link w:val="12"/>
    <w:autoRedefine/>
    <w:qFormat/>
    <w:uiPriority w:val="0"/>
    <w:rPr>
      <w:rFonts w:ascii="Times New Roman" w:hAnsi="Times New Roman" w:eastAsia="宋体" w:cs="Times New Roman"/>
      <w:kern w:val="2"/>
      <w:sz w:val="21"/>
      <w:szCs w:val="24"/>
    </w:rPr>
  </w:style>
  <w:style w:type="paragraph" w:customStyle="1" w:styleId="47">
    <w:name w:val="TOC 标题2"/>
    <w:basedOn w:val="2"/>
    <w:next w:val="1"/>
    <w:autoRedefine/>
    <w:unhideWhenUsed/>
    <w:qFormat/>
    <w:uiPriority w:val="39"/>
    <w:pPr>
      <w:spacing w:before="340" w:after="330" w:line="578" w:lineRule="auto"/>
      <w:jc w:val="both"/>
      <w:outlineLvl w:val="9"/>
    </w:pPr>
    <w:rPr>
      <w:rFonts w:ascii="Times New Roman" w:hAnsi="Times New Roman"/>
      <w:sz w:val="44"/>
    </w:rPr>
  </w:style>
  <w:style w:type="character" w:customStyle="1" w:styleId="48">
    <w:name w:val="副标题 字符"/>
    <w:link w:val="19"/>
    <w:autoRedefine/>
    <w:qFormat/>
    <w:uiPriority w:val="0"/>
    <w:rPr>
      <w:rFonts w:ascii="等线 Light" w:hAnsi="等线 Light" w:cs="Times New Roman"/>
      <w:b/>
      <w:bCs/>
      <w:kern w:val="28"/>
      <w:sz w:val="32"/>
      <w:szCs w:val="32"/>
    </w:rPr>
  </w:style>
  <w:style w:type="character" w:customStyle="1" w:styleId="49">
    <w:name w:val="批注主题 字符"/>
    <w:link w:val="23"/>
    <w:autoRedefine/>
    <w:qFormat/>
    <w:uiPriority w:val="0"/>
    <w:rPr>
      <w:b/>
      <w:bCs/>
      <w:kern w:val="2"/>
      <w:sz w:val="21"/>
      <w:szCs w:val="24"/>
    </w:rPr>
  </w:style>
  <w:style w:type="character" w:customStyle="1" w:styleId="50">
    <w:name w:val="HTML 预设格式 字符"/>
    <w:link w:val="21"/>
    <w:autoRedefine/>
    <w:qFormat/>
    <w:uiPriority w:val="0"/>
    <w:rPr>
      <w:rFonts w:ascii="宋体" w:hAnsi="宋体" w:cs="宋体"/>
      <w:sz w:val="24"/>
      <w:szCs w:val="24"/>
    </w:rPr>
  </w:style>
  <w:style w:type="character" w:customStyle="1" w:styleId="51">
    <w:name w:val="批注主题 字符1"/>
    <w:basedOn w:val="36"/>
    <w:autoRedefine/>
    <w:semiHidden/>
    <w:qFormat/>
    <w:uiPriority w:val="99"/>
    <w:rPr>
      <w:rFonts w:ascii="Times New Roman" w:hAnsi="Times New Roman" w:eastAsia="宋体" w:cs="Times New Roman"/>
      <w:b/>
      <w:bCs/>
      <w:kern w:val="2"/>
      <w:sz w:val="21"/>
      <w:szCs w:val="24"/>
    </w:rPr>
  </w:style>
  <w:style w:type="character" w:customStyle="1" w:styleId="52">
    <w:name w:val="副标题 字符1"/>
    <w:basedOn w:val="27"/>
    <w:autoRedefine/>
    <w:qFormat/>
    <w:uiPriority w:val="11"/>
    <w:rPr>
      <w:b/>
      <w:bCs/>
      <w:kern w:val="28"/>
      <w:sz w:val="32"/>
      <w:szCs w:val="32"/>
    </w:rPr>
  </w:style>
  <w:style w:type="character" w:customStyle="1" w:styleId="53">
    <w:name w:val="HTML 预设格式 字符1"/>
    <w:basedOn w:val="27"/>
    <w:autoRedefine/>
    <w:semiHidden/>
    <w:qFormat/>
    <w:uiPriority w:val="99"/>
    <w:rPr>
      <w:rFonts w:ascii="Courier New" w:hAnsi="Courier New" w:eastAsia="宋体" w:cs="Courier New"/>
      <w:kern w:val="2"/>
    </w:rPr>
  </w:style>
  <w:style w:type="paragraph" w:styleId="54">
    <w:name w:val="List Paragraph"/>
    <w:basedOn w:val="1"/>
    <w:autoRedefine/>
    <w:qFormat/>
    <w:uiPriority w:val="0"/>
    <w:pPr>
      <w:spacing w:line="240" w:lineRule="auto"/>
      <w:ind w:firstLine="420"/>
    </w:pPr>
  </w:style>
  <w:style w:type="paragraph" w:customStyle="1" w:styleId="55">
    <w:name w:val="Char2 Char Char"/>
    <w:basedOn w:val="1"/>
    <w:autoRedefine/>
    <w:qFormat/>
    <w:uiPriority w:val="0"/>
    <w:pPr>
      <w:spacing w:line="240" w:lineRule="auto"/>
      <w:ind w:firstLine="0" w:firstLineChars="0"/>
    </w:pPr>
    <w:rPr>
      <w:rFonts w:ascii="Tahoma" w:hAnsi="Tahoma"/>
      <w:sz w:val="24"/>
      <w:szCs w:val="20"/>
    </w:rPr>
  </w:style>
  <w:style w:type="paragraph" w:customStyle="1" w:styleId="56">
    <w:name w:val="正文2"/>
    <w:basedOn w:val="1"/>
    <w:autoRedefine/>
    <w:qFormat/>
    <w:uiPriority w:val="0"/>
    <w:pPr>
      <w:spacing w:before="156"/>
      <w:ind w:firstLine="510"/>
    </w:pPr>
    <w:rPr>
      <w:sz w:val="24"/>
      <w:szCs w:val="20"/>
    </w:rPr>
  </w:style>
  <w:style w:type="paragraph" w:customStyle="1" w:styleId="57">
    <w:name w:val="Char1"/>
    <w:basedOn w:val="1"/>
    <w:autoRedefine/>
    <w:qFormat/>
    <w:uiPriority w:val="0"/>
    <w:pPr>
      <w:spacing w:line="240" w:lineRule="auto"/>
      <w:ind w:firstLine="0" w:firstLineChars="0"/>
    </w:pPr>
    <w:rPr>
      <w:rFonts w:ascii="仿宋_GB2312" w:eastAsia="仿宋_GB2312"/>
      <w:b/>
      <w:sz w:val="32"/>
      <w:szCs w:val="32"/>
    </w:rPr>
  </w:style>
  <w:style w:type="paragraph" w:customStyle="1" w:styleId="5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DAS正文"/>
    <w:basedOn w:val="1"/>
    <w:autoRedefine/>
    <w:qFormat/>
    <w:uiPriority w:val="0"/>
    <w:pPr>
      <w:ind w:right="181" w:firstLine="480"/>
    </w:pPr>
    <w:rPr>
      <w:rFonts w:ascii="Verdana" w:hAnsi="Verdana"/>
      <w:sz w:val="24"/>
    </w:rPr>
  </w:style>
  <w:style w:type="character" w:customStyle="1" w:styleId="60">
    <w:name w:val="正文首行缩进 字符"/>
    <w:basedOn w:val="27"/>
    <w:link w:val="10"/>
    <w:autoRedefine/>
    <w:qFormat/>
    <w:uiPriority w:val="0"/>
    <w:rPr>
      <w:rFonts w:eastAsia="仿宋_GB2312"/>
      <w:kern w:val="2"/>
      <w:sz w:val="21"/>
      <w:szCs w:val="24"/>
    </w:rPr>
  </w:style>
  <w:style w:type="character" w:customStyle="1" w:styleId="61">
    <w:name w:val="无间隔 字符"/>
    <w:link w:val="41"/>
    <w:autoRedefine/>
    <w:qFormat/>
    <w:locked/>
    <w:uiPriority w:val="1"/>
    <w:rPr>
      <w:rFonts w:ascii="Calibri" w:hAnsi="Calibri" w:cs="Calibri"/>
      <w:kern w:val="2"/>
      <w:sz w:val="21"/>
      <w:szCs w:val="22"/>
    </w:rPr>
  </w:style>
  <w:style w:type="paragraph" w:customStyle="1" w:styleId="62">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3">
    <w:name w:val="bookmark-item"/>
    <w:basedOn w:val="27"/>
    <w:autoRedefine/>
    <w:qFormat/>
    <w:uiPriority w:val="0"/>
  </w:style>
  <w:style w:type="paragraph" w:customStyle="1" w:styleId="64">
    <w:name w:val="A_正文"/>
    <w:basedOn w:val="1"/>
    <w:autoRedefine/>
    <w:qFormat/>
    <w:uiPriority w:val="0"/>
    <w:pPr>
      <w:spacing w:before="163" w:beforeLines="50" w:after="163" w:afterLines="50"/>
      <w:ind w:firstLine="480"/>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46</Pages>
  <Words>12086</Words>
  <Characters>13081</Characters>
  <Lines>205</Lines>
  <Paragraphs>57</Paragraphs>
  <TotalTime>14</TotalTime>
  <ScaleCrop>false</ScaleCrop>
  <LinksUpToDate>false</LinksUpToDate>
  <CharactersWithSpaces>13241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2021-02-25T03:52:00Z</dcterms:created>
  <dc:creator>Administrator</dc:creator>
  <cp:lastModifiedBy>代理机构</cp:lastModifiedBy>
  <cp:lastPrinted>2024-12-30T04:25:00Z</cp:lastPrinted>
  <dcterms:modified xsi:type="dcterms:W3CDTF">2025-02-13T01:31:07Z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32E1707A1B7F42A7810CFB6657AAC9B3_13</vt:lpwstr>
  </property>
  <property fmtid="{D5CDD505-2E9C-101B-9397-08002B2CF9AE}" pid="4" name="KSOTemplateDocerSaveRecord">
    <vt:lpwstr>eyJoZGlkIjoiZjE1YzM4N2RkZjQ1MmQwYWQ5NDFiYmU3Y2M3Yjc0ZmQiLCJ1c2VySWQiOiIxMDg4MzA2NzgwIn0=</vt:lpwstr>
  </property>
</Properties>
</file>