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2A701">
      <w:pPr>
        <w:autoSpaceDE w:val="0"/>
        <w:autoSpaceDN w:val="0"/>
        <w:adjustRightInd w:val="0"/>
        <w:spacing w:line="360" w:lineRule="auto"/>
        <w:ind w:right="924"/>
        <w:rPr>
          <w:rFonts w:ascii="宋体" w:hAnsi="宋体"/>
          <w:b/>
          <w:bCs/>
          <w:color w:val="FF0000"/>
          <w:kern w:val="0"/>
          <w:sz w:val="52"/>
          <w:szCs w:val="52"/>
        </w:rPr>
      </w:pPr>
    </w:p>
    <w:p w14:paraId="05C51217">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b/>
          <w:bCs/>
          <w:color w:val="000000"/>
          <w:kern w:val="0"/>
          <w:sz w:val="44"/>
          <w:szCs w:val="44"/>
          <w:lang w:eastAsia="zh-CN"/>
        </w:rPr>
      </w:pPr>
      <w:r>
        <w:rPr>
          <w:rFonts w:hint="eastAsia" w:ascii="宋体" w:hAnsi="宋体"/>
          <w:b/>
          <w:bCs/>
          <w:color w:val="000000"/>
          <w:kern w:val="0"/>
          <w:sz w:val="44"/>
          <w:szCs w:val="44"/>
          <w:lang w:val="en-US" w:eastAsia="zh-CN"/>
        </w:rPr>
        <w:t xml:space="preserve">  </w:t>
      </w:r>
      <w:r>
        <w:rPr>
          <w:rFonts w:hint="eastAsia" w:ascii="宋体" w:hAnsi="宋体"/>
          <w:b/>
          <w:bCs/>
          <w:color w:val="000000"/>
          <w:kern w:val="0"/>
          <w:sz w:val="44"/>
          <w:szCs w:val="44"/>
          <w:lang w:eastAsia="zh-CN"/>
        </w:rPr>
        <w:t>神仙居仙侠演艺餐厅厨房设备采购</w:t>
      </w:r>
    </w:p>
    <w:p w14:paraId="63935CD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b/>
          <w:color w:val="000000" w:themeColor="text1"/>
          <w:kern w:val="0"/>
          <w:sz w:val="52"/>
          <w14:textFill>
            <w14:solidFill>
              <w14:schemeClr w14:val="tx1"/>
            </w14:solidFill>
          </w14:textFill>
        </w:rPr>
      </w:pPr>
      <w:r>
        <w:rPr>
          <w:rFonts w:hint="eastAsia" w:ascii="宋体" w:hAnsi="宋体"/>
          <w:b/>
          <w:bCs/>
          <w:color w:val="000000"/>
          <w:kern w:val="0"/>
          <w:sz w:val="44"/>
          <w:szCs w:val="44"/>
          <w:lang w:eastAsia="zh-CN"/>
        </w:rPr>
        <w:t>（非政府采购类）</w:t>
      </w:r>
    </w:p>
    <w:p w14:paraId="3A8E134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b/>
          <w:color w:val="000000" w:themeColor="text1"/>
          <w:kern w:val="0"/>
          <w:sz w:val="52"/>
          <w14:textFill>
            <w14:solidFill>
              <w14:schemeClr w14:val="tx1"/>
            </w14:solidFill>
          </w14:textFill>
        </w:rPr>
      </w:pPr>
      <w:r>
        <w:rPr>
          <w:rFonts w:hint="eastAsia" w:ascii="宋体"/>
          <w:b/>
          <w:color w:val="000000" w:themeColor="text1"/>
          <w:kern w:val="0"/>
          <w:sz w:val="52"/>
          <w14:textFill>
            <w14:solidFill>
              <w14:schemeClr w14:val="tx1"/>
            </w14:solidFill>
          </w14:textFill>
        </w:rPr>
        <w:t>　</w:t>
      </w:r>
    </w:p>
    <w:p w14:paraId="0BEC9B2E">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b/>
          <w:color w:val="000000" w:themeColor="text1"/>
          <w:kern w:val="0"/>
          <w:sz w:val="52"/>
          <w:szCs w:val="52"/>
          <w14:textFill>
            <w14:solidFill>
              <w14:schemeClr w14:val="tx1"/>
            </w14:solidFill>
          </w14:textFill>
        </w:rPr>
      </w:pPr>
      <w:r>
        <w:rPr>
          <w:rFonts w:hint="eastAsia" w:ascii="宋体"/>
          <w:b/>
          <w:color w:val="000000" w:themeColor="text1"/>
          <w:kern w:val="0"/>
          <w:sz w:val="52"/>
          <w:szCs w:val="52"/>
          <w14:textFill>
            <w14:solidFill>
              <w14:schemeClr w14:val="tx1"/>
            </w14:solidFill>
          </w14:textFill>
        </w:rPr>
        <w:t>竞争性谈判文件</w:t>
      </w:r>
    </w:p>
    <w:p w14:paraId="2F0E43E7">
      <w:pPr>
        <w:pStyle w:val="31"/>
      </w:pPr>
    </w:p>
    <w:p w14:paraId="1DDABC1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14:textFill>
            <w14:solidFill>
              <w14:schemeClr w14:val="tx1"/>
            </w14:solidFill>
          </w14:textFill>
        </w:rPr>
      </w:pPr>
      <w:r>
        <w:rPr>
          <w:rFonts w:hint="eastAsia" w:ascii="宋体" w:eastAsiaTheme="minorEastAsia"/>
          <w:color w:val="000000" w:themeColor="text1"/>
          <w:kern w:val="0"/>
          <w:sz w:val="24"/>
          <w:lang w:val="en-US" w:eastAsia="zh-CN"/>
          <w14:textFill>
            <w14:solidFill>
              <w14:schemeClr w14:val="tx1"/>
            </w14:solidFill>
          </w14:textFill>
        </w:rPr>
        <w:t xml:space="preserve"> </w:t>
      </w:r>
      <w:r>
        <w:rPr>
          <w:rFonts w:asciiTheme="minorEastAsia" w:hAnsiTheme="minorEastAsia" w:eastAsiaTheme="minorEastAsia"/>
          <w:b/>
          <w:bCs/>
          <w:kern w:val="0"/>
          <w:sz w:val="30"/>
          <w:szCs w:val="30"/>
        </w:rPr>
        <w:t>项目编号：</w:t>
      </w:r>
      <w:r>
        <w:rPr>
          <w:rFonts w:hint="eastAsia" w:asciiTheme="minorEastAsia" w:hAnsiTheme="minorEastAsia" w:eastAsiaTheme="minorEastAsia"/>
          <w:b/>
          <w:bCs/>
          <w:kern w:val="0"/>
          <w:sz w:val="30"/>
          <w:szCs w:val="30"/>
          <w:lang w:eastAsia="zh-CN"/>
        </w:rPr>
        <w:t>OBXJ(采购）-24070</w:t>
      </w:r>
    </w:p>
    <w:p w14:paraId="0CE9D35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14:textFill>
            <w14:solidFill>
              <w14:schemeClr w14:val="tx1"/>
            </w14:solidFill>
          </w14:textFill>
        </w:rPr>
      </w:pPr>
    </w:p>
    <w:p w14:paraId="0590E638">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14:paraId="1AF5FB98">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14:paraId="6E943A1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14:paraId="626EEC20">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14:textFill>
            <w14:solidFill>
              <w14:schemeClr w14:val="tx1"/>
            </w14:solidFill>
          </w14:textFill>
        </w:rPr>
      </w:pPr>
    </w:p>
    <w:p w14:paraId="03A36EEF">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firstLine="480"/>
        <w:rPr>
          <w:rFonts w:ascii="宋体"/>
          <w:color w:val="000000" w:themeColor="text1"/>
          <w:kern w:val="0"/>
          <w:sz w:val="28"/>
          <w14:textFill>
            <w14:solidFill>
              <w14:schemeClr w14:val="tx1"/>
            </w14:solidFill>
          </w14:textFill>
        </w:rPr>
      </w:pPr>
    </w:p>
    <w:p w14:paraId="1A4358F8">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14:textFill>
            <w14:solidFill>
              <w14:schemeClr w14:val="tx1"/>
            </w14:solidFill>
          </w14:textFill>
        </w:rPr>
      </w:pPr>
    </w:p>
    <w:p w14:paraId="00BE6118">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14:textFill>
            <w14:solidFill>
              <w14:schemeClr w14:val="tx1"/>
            </w14:solidFill>
          </w14:textFill>
        </w:rPr>
      </w:pPr>
    </w:p>
    <w:p w14:paraId="36BEBA1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14:textFill>
            <w14:solidFill>
              <w14:schemeClr w14:val="tx1"/>
            </w14:solidFill>
          </w14:textFill>
        </w:rPr>
      </w:pPr>
    </w:p>
    <w:p w14:paraId="0B103D0B">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14:textFill>
            <w14:solidFill>
              <w14:schemeClr w14:val="tx1"/>
            </w14:solidFill>
          </w14:textFill>
        </w:rPr>
      </w:pPr>
    </w:p>
    <w:p w14:paraId="1B7B8AD8">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both"/>
        <w:rPr>
          <w:rFonts w:ascii="宋体"/>
          <w:color w:val="000000" w:themeColor="text1"/>
          <w:kern w:val="0"/>
          <w:sz w:val="32"/>
          <w14:textFill>
            <w14:solidFill>
              <w14:schemeClr w14:val="tx1"/>
            </w14:solidFill>
          </w14:textFill>
        </w:rPr>
      </w:pPr>
    </w:p>
    <w:p w14:paraId="67BB144C">
      <w:pPr>
        <w:widowControl/>
        <w:spacing w:line="480" w:lineRule="auto"/>
        <w:jc w:val="center"/>
        <w:rPr>
          <w:rFonts w:hint="eastAsia"/>
          <w:b/>
          <w:bCs/>
          <w:kern w:val="0"/>
          <w:sz w:val="30"/>
          <w:szCs w:val="30"/>
          <w:lang w:eastAsia="zh-CN"/>
        </w:rPr>
      </w:pPr>
      <w:r>
        <w:rPr>
          <w:b/>
          <w:bCs/>
          <w:kern w:val="0"/>
          <w:sz w:val="30"/>
          <w:szCs w:val="30"/>
        </w:rPr>
        <w:t>采购人：</w:t>
      </w:r>
      <w:r>
        <w:rPr>
          <w:rFonts w:hint="eastAsia"/>
          <w:b/>
          <w:bCs/>
          <w:kern w:val="0"/>
          <w:sz w:val="30"/>
          <w:szCs w:val="30"/>
          <w:lang w:eastAsia="zh-CN"/>
        </w:rPr>
        <w:t>浙江神仙居体育发展有限公司</w:t>
      </w:r>
    </w:p>
    <w:p w14:paraId="2A9149C2">
      <w:pPr>
        <w:widowControl/>
        <w:spacing w:line="480" w:lineRule="auto"/>
        <w:jc w:val="center"/>
        <w:rPr>
          <w:rFonts w:hint="eastAsia"/>
          <w:b/>
          <w:bCs/>
          <w:kern w:val="0"/>
          <w:sz w:val="30"/>
          <w:szCs w:val="30"/>
          <w:lang w:eastAsia="zh-CN"/>
        </w:rPr>
      </w:pPr>
    </w:p>
    <w:p w14:paraId="2BF8773B">
      <w:pPr>
        <w:widowControl/>
        <w:spacing w:line="480" w:lineRule="auto"/>
        <w:ind w:firstLine="1343" w:firstLineChars="446"/>
        <w:rPr>
          <w:rFonts w:hint="eastAsia" w:eastAsia="宋体"/>
          <w:b/>
          <w:bCs/>
          <w:kern w:val="0"/>
          <w:sz w:val="30"/>
          <w:szCs w:val="30"/>
          <w:lang w:eastAsia="zh-CN"/>
        </w:rPr>
      </w:pPr>
      <w:r>
        <w:rPr>
          <w:rFonts w:hint="eastAsia"/>
          <w:b/>
          <w:bCs/>
          <w:kern w:val="0"/>
          <w:sz w:val="30"/>
          <w:szCs w:val="30"/>
        </w:rPr>
        <w:t>采购</w:t>
      </w:r>
      <w:r>
        <w:rPr>
          <w:b/>
          <w:bCs/>
          <w:kern w:val="0"/>
          <w:sz w:val="30"/>
          <w:szCs w:val="30"/>
        </w:rPr>
        <w:t>代理机构：</w:t>
      </w:r>
      <w:r>
        <w:rPr>
          <w:rFonts w:hint="eastAsia"/>
          <w:b/>
          <w:bCs/>
          <w:kern w:val="0"/>
          <w:sz w:val="30"/>
          <w:szCs w:val="30"/>
          <w:lang w:eastAsia="zh-CN"/>
        </w:rPr>
        <w:t>欧邦工程管理集团有限公司</w:t>
      </w:r>
    </w:p>
    <w:p w14:paraId="6124B26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2" w:firstLineChars="200"/>
        <w:jc w:val="center"/>
        <w:rPr>
          <w:rFonts w:ascii="宋体" w:hAnsi="宋体" w:cs="宋体"/>
          <w:color w:val="000000"/>
          <w:kern w:val="0"/>
          <w:sz w:val="28"/>
          <w:szCs w:val="28"/>
        </w:rPr>
      </w:pPr>
      <w:r>
        <w:rPr>
          <w:rFonts w:hint="eastAsia"/>
          <w:b/>
          <w:bCs/>
          <w:kern w:val="0"/>
          <w:sz w:val="30"/>
          <w:szCs w:val="30"/>
        </w:rPr>
        <w:t>二〇二</w:t>
      </w:r>
      <w:r>
        <w:rPr>
          <w:rFonts w:hint="eastAsia"/>
          <w:b/>
          <w:bCs/>
          <w:kern w:val="0"/>
          <w:sz w:val="30"/>
          <w:szCs w:val="30"/>
          <w:lang w:val="en-US" w:eastAsia="zh-CN"/>
        </w:rPr>
        <w:t>四</w:t>
      </w:r>
      <w:r>
        <w:rPr>
          <w:rFonts w:hint="eastAsia"/>
          <w:b/>
          <w:bCs/>
          <w:kern w:val="0"/>
          <w:sz w:val="30"/>
          <w:szCs w:val="30"/>
        </w:rPr>
        <w:t>年</w:t>
      </w:r>
      <w:r>
        <w:rPr>
          <w:rFonts w:hint="eastAsia"/>
          <w:b/>
          <w:bCs/>
          <w:kern w:val="0"/>
          <w:sz w:val="30"/>
          <w:szCs w:val="30"/>
          <w:lang w:val="en-US" w:eastAsia="zh-CN"/>
        </w:rPr>
        <w:t>十一</w:t>
      </w:r>
      <w:r>
        <w:rPr>
          <w:rFonts w:hint="eastAsia"/>
          <w:b/>
          <w:bCs/>
          <w:kern w:val="0"/>
          <w:sz w:val="30"/>
          <w:szCs w:val="30"/>
        </w:rPr>
        <w:t>月</w:t>
      </w:r>
    </w:p>
    <w:p w14:paraId="67647620">
      <w:pPr>
        <w:jc w:val="center"/>
        <w:rPr>
          <w:rFonts w:ascii="宋体" w:hAnsi="宋体" w:cs="Arial"/>
          <w:b/>
          <w:bCs/>
          <w:color w:val="000000" w:themeColor="text1"/>
          <w:sz w:val="36"/>
          <w:szCs w:val="36"/>
          <w14:textFill>
            <w14:solidFill>
              <w14:schemeClr w14:val="tx1"/>
            </w14:solidFill>
          </w14:textFill>
        </w:rPr>
      </w:pPr>
    </w:p>
    <w:p w14:paraId="36DA6070">
      <w:pPr>
        <w:pStyle w:val="31"/>
        <w:rPr>
          <w:rFonts w:ascii="宋体" w:hAnsi="宋体" w:cs="Arial"/>
          <w:b/>
          <w:bCs/>
          <w:color w:val="000000" w:themeColor="text1"/>
          <w:sz w:val="36"/>
          <w:szCs w:val="36"/>
          <w14:textFill>
            <w14:solidFill>
              <w14:schemeClr w14:val="tx1"/>
            </w14:solidFill>
          </w14:textFill>
        </w:rPr>
      </w:pPr>
    </w:p>
    <w:p w14:paraId="5521E05E">
      <w:pPr>
        <w:jc w:val="center"/>
        <w:rPr>
          <w:rFonts w:ascii="宋体" w:hAnsi="宋体" w:cs="Arial"/>
          <w:b/>
          <w:bCs/>
          <w:color w:val="000000" w:themeColor="text1"/>
          <w:sz w:val="36"/>
          <w:szCs w:val="36"/>
          <w14:textFill>
            <w14:solidFill>
              <w14:schemeClr w14:val="tx1"/>
            </w14:solidFill>
          </w14:textFill>
        </w:rPr>
      </w:pPr>
      <w:r>
        <w:rPr>
          <w:rFonts w:hint="eastAsia" w:ascii="宋体" w:hAnsi="宋体" w:cs="Arial"/>
          <w:b/>
          <w:bCs/>
          <w:color w:val="000000" w:themeColor="text1"/>
          <w:sz w:val="36"/>
          <w:szCs w:val="36"/>
          <w14:textFill>
            <w14:solidFill>
              <w14:schemeClr w14:val="tx1"/>
            </w14:solidFill>
          </w14:textFill>
        </w:rPr>
        <w:t>目    录</w:t>
      </w:r>
    </w:p>
    <w:p w14:paraId="68C9CDCD">
      <w:pPr>
        <w:spacing w:line="360" w:lineRule="auto"/>
        <w:ind w:firstLine="703" w:firstLineChars="250"/>
        <w:jc w:val="left"/>
        <w:rPr>
          <w:rFonts w:ascii="宋体" w:hAnsi="宋体"/>
          <w:b/>
          <w:color w:val="000000" w:themeColor="text1"/>
          <w:sz w:val="28"/>
          <w:szCs w:val="28"/>
          <w14:textFill>
            <w14:solidFill>
              <w14:schemeClr w14:val="tx1"/>
            </w14:solidFill>
          </w14:textFill>
        </w:rPr>
      </w:pPr>
    </w:p>
    <w:p w14:paraId="3751A935">
      <w:pPr>
        <w:spacing w:line="360" w:lineRule="auto"/>
        <w:ind w:firstLine="703" w:firstLineChars="250"/>
        <w:jc w:val="left"/>
        <w:rPr>
          <w:rFonts w:ascii="宋体" w:hAnsi="宋体"/>
          <w:b/>
          <w:color w:val="000000" w:themeColor="text1"/>
          <w:sz w:val="28"/>
          <w:szCs w:val="28"/>
          <w14:textFill>
            <w14:solidFill>
              <w14:schemeClr w14:val="tx1"/>
            </w14:solidFill>
          </w14:textFill>
        </w:rPr>
      </w:pPr>
    </w:p>
    <w:p w14:paraId="11B5F581">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第一章  竞争性谈判采购公告</w:t>
      </w:r>
    </w:p>
    <w:p w14:paraId="40FB48E9">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第二章　供应商须知</w:t>
      </w:r>
    </w:p>
    <w:p w14:paraId="65214B64">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第三章　采购需求</w:t>
      </w:r>
    </w:p>
    <w:p w14:paraId="2F2C25A0">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第四章  合同主要条款 </w:t>
      </w:r>
    </w:p>
    <w:p w14:paraId="5B71BC75">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第五章  响应文件格式附件</w:t>
      </w:r>
    </w:p>
    <w:p w14:paraId="759899A9">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14:paraId="192B6EB6">
      <w:pPr>
        <w:tabs>
          <w:tab w:val="left" w:pos="180"/>
          <w:tab w:val="left" w:pos="360"/>
          <w:tab w:val="left" w:pos="540"/>
          <w:tab w:val="left" w:pos="8280"/>
        </w:tabs>
        <w:autoSpaceDE w:val="0"/>
        <w:autoSpaceDN w:val="0"/>
        <w:adjustRightInd w:val="0"/>
        <w:spacing w:line="580" w:lineRule="exact"/>
        <w:ind w:right="23"/>
        <w:rPr>
          <w:rFonts w:ascii="宋体"/>
          <w:b/>
          <w:color w:val="000000" w:themeColor="text1"/>
          <w:kern w:val="0"/>
          <w:sz w:val="36"/>
          <w14:textFill>
            <w14:solidFill>
              <w14:schemeClr w14:val="tx1"/>
            </w14:solidFill>
          </w14:textFill>
        </w:rPr>
      </w:pPr>
    </w:p>
    <w:p w14:paraId="65498258">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14:paraId="15281178">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14:paraId="75F13AD4">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14:paraId="4BA11079">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14:paraId="40081F3F">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14:paraId="35F51D61">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14:paraId="0316A5AC">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14:paraId="73D9D8F7">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14:paraId="71B1CA87">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14:paraId="2479DA9A">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14:paraId="50EED399">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r>
        <w:rPr>
          <w:rFonts w:hint="eastAsia" w:ascii="宋体"/>
          <w:b/>
          <w:color w:val="000000" w:themeColor="text1"/>
          <w:kern w:val="0"/>
          <w:sz w:val="36"/>
          <w14:textFill>
            <w14:solidFill>
              <w14:schemeClr w14:val="tx1"/>
            </w14:solidFill>
          </w14:textFill>
        </w:rPr>
        <w:br w:type="page"/>
      </w:r>
    </w:p>
    <w:p w14:paraId="323B5BF5">
      <w:pPr>
        <w:tabs>
          <w:tab w:val="left" w:pos="180"/>
          <w:tab w:val="left" w:pos="360"/>
          <w:tab w:val="left" w:pos="540"/>
          <w:tab w:val="left" w:pos="8280"/>
        </w:tabs>
        <w:autoSpaceDE w:val="0"/>
        <w:autoSpaceDN w:val="0"/>
        <w:adjustRightInd w:val="0"/>
        <w:spacing w:line="360" w:lineRule="auto"/>
        <w:ind w:right="23"/>
        <w:jc w:val="center"/>
        <w:rPr>
          <w:rFonts w:ascii="宋体" w:hAnsi="宋体"/>
          <w:b/>
          <w:kern w:val="0"/>
          <w:sz w:val="36"/>
          <w:szCs w:val="36"/>
        </w:rPr>
      </w:pPr>
      <w:r>
        <w:rPr>
          <w:rFonts w:hint="eastAsia" w:ascii="宋体" w:hAnsi="宋体"/>
          <w:b/>
          <w:kern w:val="0"/>
          <w:sz w:val="36"/>
          <w:szCs w:val="36"/>
        </w:rPr>
        <w:t>第一章 竞争性谈判采购公告</w:t>
      </w:r>
    </w:p>
    <w:p w14:paraId="20EB9175">
      <w:pPr>
        <w:pStyle w:val="24"/>
        <w:widowControl w:val="0"/>
        <w:snapToGrid w:val="0"/>
        <w:spacing w:before="0" w:beforeAutospacing="0" w:after="0" w:afterAutospacing="0" w:line="312" w:lineRule="auto"/>
        <w:ind w:firstLine="413" w:firstLineChars="196"/>
        <w:jc w:val="both"/>
        <w:rPr>
          <w:rFonts w:hint="default" w:cs="宋体"/>
          <w:b/>
          <w:kern w:val="2"/>
          <w:sz w:val="21"/>
          <w:szCs w:val="21"/>
        </w:rPr>
      </w:pPr>
      <w:r>
        <w:rPr>
          <w:rFonts w:cs="宋体"/>
          <w:b/>
          <w:kern w:val="2"/>
          <w:sz w:val="21"/>
          <w:szCs w:val="21"/>
        </w:rPr>
        <w:t>一、项目基本情况</w:t>
      </w:r>
    </w:p>
    <w:p w14:paraId="60827FD8">
      <w:pPr>
        <w:snapToGrid w:val="0"/>
        <w:spacing w:line="312" w:lineRule="auto"/>
        <w:ind w:firstLine="420" w:firstLineChars="200"/>
        <w:rPr>
          <w:rFonts w:hint="eastAsia" w:ascii="宋体" w:hAnsi="宋体" w:cs="宋体"/>
          <w:kern w:val="0"/>
          <w:szCs w:val="21"/>
          <w:lang w:eastAsia="zh-CN"/>
        </w:rPr>
      </w:pPr>
      <w:r>
        <w:rPr>
          <w:rFonts w:hint="eastAsia" w:ascii="宋体" w:hAnsi="宋体" w:cs="宋体"/>
          <w:kern w:val="0"/>
          <w:szCs w:val="21"/>
        </w:rPr>
        <w:t>项目编号：</w:t>
      </w:r>
      <w:r>
        <w:rPr>
          <w:rFonts w:hint="eastAsia" w:ascii="宋体" w:hAnsi="宋体" w:cs="宋体"/>
          <w:kern w:val="0"/>
          <w:szCs w:val="21"/>
          <w:lang w:eastAsia="zh-CN"/>
        </w:rPr>
        <w:t>OBXJ(采购）-24070</w:t>
      </w:r>
    </w:p>
    <w:p w14:paraId="2C384217">
      <w:pPr>
        <w:snapToGrid w:val="0"/>
        <w:spacing w:line="312" w:lineRule="auto"/>
        <w:ind w:firstLine="420" w:firstLineChars="200"/>
        <w:rPr>
          <w:rFonts w:hint="eastAsia" w:ascii="宋体" w:hAnsi="宋体" w:cs="宋体"/>
          <w:kern w:val="0"/>
          <w:szCs w:val="21"/>
          <w:lang w:eastAsia="zh-CN"/>
        </w:rPr>
      </w:pPr>
      <w:r>
        <w:rPr>
          <w:rFonts w:hint="eastAsia" w:ascii="宋体" w:hAnsi="宋体" w:cs="宋体"/>
          <w:kern w:val="0"/>
          <w:szCs w:val="21"/>
        </w:rPr>
        <w:t>项目名称：</w:t>
      </w:r>
      <w:r>
        <w:rPr>
          <w:rFonts w:hint="eastAsia" w:ascii="宋体" w:hAnsi="宋体" w:cs="宋体"/>
          <w:kern w:val="0"/>
          <w:szCs w:val="21"/>
          <w:lang w:eastAsia="zh-CN"/>
        </w:rPr>
        <w:t>神仙居仙侠演艺餐厅厨房设备采购（非政府采购类）</w:t>
      </w:r>
    </w:p>
    <w:p w14:paraId="1FD8A5A8">
      <w:pPr>
        <w:snapToGrid w:val="0"/>
        <w:spacing w:line="312" w:lineRule="auto"/>
        <w:ind w:firstLine="420" w:firstLineChars="200"/>
        <w:rPr>
          <w:rFonts w:ascii="宋体" w:hAnsi="宋体" w:cs="宋体"/>
          <w:kern w:val="0"/>
          <w:szCs w:val="21"/>
        </w:rPr>
      </w:pPr>
      <w:r>
        <w:rPr>
          <w:rFonts w:hint="eastAsia" w:ascii="宋体" w:hAnsi="宋体" w:cs="宋体"/>
          <w:kern w:val="0"/>
          <w:szCs w:val="21"/>
        </w:rPr>
        <w:t>采购方式：竞争性谈判</w:t>
      </w:r>
    </w:p>
    <w:p w14:paraId="4F45EDFB">
      <w:pPr>
        <w:snapToGrid w:val="0"/>
        <w:spacing w:line="312" w:lineRule="auto"/>
        <w:ind w:firstLine="420" w:firstLineChars="200"/>
        <w:rPr>
          <w:rFonts w:hint="default" w:ascii="宋体" w:hAnsi="宋体" w:eastAsia="宋体" w:cs="宋体"/>
          <w:kern w:val="0"/>
          <w:szCs w:val="21"/>
          <w:lang w:val="en-US" w:eastAsia="zh-CN"/>
        </w:rPr>
      </w:pPr>
      <w:r>
        <w:rPr>
          <w:rFonts w:hint="eastAsia" w:ascii="宋体" w:hAnsi="宋体" w:cs="宋体"/>
          <w:kern w:val="0"/>
          <w:szCs w:val="21"/>
        </w:rPr>
        <w:t>预算金额（元）：</w:t>
      </w:r>
      <w:r>
        <w:rPr>
          <w:rFonts w:hint="eastAsia" w:ascii="宋体" w:hAnsi="宋体" w:cs="宋体"/>
          <w:kern w:val="0"/>
          <w:szCs w:val="21"/>
          <w:lang w:val="en-US" w:eastAsia="zh-CN"/>
        </w:rPr>
        <w:t>290000</w:t>
      </w:r>
    </w:p>
    <w:p w14:paraId="28AFD4CB">
      <w:pPr>
        <w:snapToGrid w:val="0"/>
        <w:spacing w:line="312" w:lineRule="auto"/>
        <w:ind w:firstLine="420" w:firstLineChars="200"/>
        <w:rPr>
          <w:rFonts w:hint="eastAsia" w:ascii="宋体" w:hAnsi="宋体" w:eastAsia="宋体" w:cs="宋体"/>
          <w:kern w:val="0"/>
          <w:szCs w:val="21"/>
          <w:lang w:eastAsia="zh-CN"/>
        </w:rPr>
      </w:pPr>
      <w:r>
        <w:rPr>
          <w:rFonts w:hint="eastAsia" w:ascii="宋体" w:hAnsi="宋体" w:cs="宋体"/>
          <w:kern w:val="0"/>
          <w:szCs w:val="21"/>
        </w:rPr>
        <w:t>最高限价（元）：</w:t>
      </w:r>
      <w:r>
        <w:rPr>
          <w:rFonts w:hint="eastAsia" w:ascii="宋体" w:hAnsi="宋体" w:cs="宋体"/>
          <w:kern w:val="0"/>
          <w:szCs w:val="21"/>
          <w:lang w:eastAsia="zh-CN"/>
        </w:rPr>
        <w:t>290000</w:t>
      </w:r>
    </w:p>
    <w:p w14:paraId="79CB9085">
      <w:pPr>
        <w:snapToGrid w:val="0"/>
        <w:spacing w:line="312" w:lineRule="auto"/>
        <w:ind w:firstLine="420" w:firstLineChars="200"/>
        <w:rPr>
          <w:rFonts w:ascii="宋体" w:hAnsi="宋体"/>
          <w:kern w:val="0"/>
          <w:szCs w:val="21"/>
        </w:rPr>
      </w:pPr>
      <w:r>
        <w:rPr>
          <w:rFonts w:hint="eastAsia" w:ascii="宋体" w:hAnsi="宋体"/>
          <w:kern w:val="0"/>
          <w:szCs w:val="21"/>
        </w:rPr>
        <w:t>采购需求：</w:t>
      </w:r>
    </w:p>
    <w:tbl>
      <w:tblPr>
        <w:tblStyle w:val="27"/>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5415"/>
        <w:gridCol w:w="735"/>
        <w:gridCol w:w="750"/>
        <w:gridCol w:w="1155"/>
        <w:gridCol w:w="777"/>
      </w:tblGrid>
      <w:tr w14:paraId="7B71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98" w:type="dxa"/>
            <w:vAlign w:val="center"/>
          </w:tcPr>
          <w:p w14:paraId="779AF507">
            <w:pPr>
              <w:tabs>
                <w:tab w:val="left" w:pos="8280"/>
              </w:tabs>
              <w:autoSpaceDE w:val="0"/>
              <w:autoSpaceDN w:val="0"/>
              <w:adjustRightInd w:val="0"/>
              <w:snapToGrid w:val="0"/>
              <w:spacing w:line="360" w:lineRule="auto"/>
              <w:ind w:right="23"/>
              <w:jc w:val="center"/>
              <w:rPr>
                <w:rFonts w:ascii="宋体" w:hAnsi="宋体"/>
                <w:szCs w:val="21"/>
              </w:rPr>
            </w:pPr>
            <w:r>
              <w:rPr>
                <w:rFonts w:hint="eastAsia" w:ascii="宋体" w:hAnsi="宋体"/>
                <w:szCs w:val="21"/>
              </w:rPr>
              <w:t>序号</w:t>
            </w:r>
          </w:p>
        </w:tc>
        <w:tc>
          <w:tcPr>
            <w:tcW w:w="5415" w:type="dxa"/>
            <w:vAlign w:val="center"/>
          </w:tcPr>
          <w:p w14:paraId="075C70F7">
            <w:pPr>
              <w:tabs>
                <w:tab w:val="left" w:pos="8280"/>
              </w:tabs>
              <w:autoSpaceDE w:val="0"/>
              <w:autoSpaceDN w:val="0"/>
              <w:adjustRightInd w:val="0"/>
              <w:snapToGrid w:val="0"/>
              <w:spacing w:line="360" w:lineRule="auto"/>
              <w:ind w:right="23"/>
              <w:jc w:val="center"/>
              <w:rPr>
                <w:rFonts w:ascii="宋体" w:hAnsi="宋体"/>
                <w:szCs w:val="21"/>
              </w:rPr>
            </w:pPr>
            <w:r>
              <w:rPr>
                <w:rFonts w:hint="eastAsia" w:ascii="宋体" w:hAnsi="宋体"/>
                <w:szCs w:val="21"/>
              </w:rPr>
              <w:t>项目名称</w:t>
            </w:r>
          </w:p>
        </w:tc>
        <w:tc>
          <w:tcPr>
            <w:tcW w:w="735" w:type="dxa"/>
            <w:vAlign w:val="center"/>
          </w:tcPr>
          <w:p w14:paraId="6ECE2278">
            <w:pPr>
              <w:tabs>
                <w:tab w:val="left" w:pos="8280"/>
              </w:tabs>
              <w:autoSpaceDE w:val="0"/>
              <w:autoSpaceDN w:val="0"/>
              <w:adjustRightInd w:val="0"/>
              <w:snapToGrid w:val="0"/>
              <w:spacing w:line="360" w:lineRule="auto"/>
              <w:ind w:right="23"/>
              <w:jc w:val="center"/>
              <w:rPr>
                <w:rFonts w:ascii="宋体" w:hAnsi="宋体"/>
                <w:szCs w:val="21"/>
              </w:rPr>
            </w:pPr>
            <w:r>
              <w:rPr>
                <w:rFonts w:hint="eastAsia" w:ascii="宋体" w:hAnsi="宋体"/>
                <w:szCs w:val="21"/>
              </w:rPr>
              <w:t>数量</w:t>
            </w:r>
          </w:p>
        </w:tc>
        <w:tc>
          <w:tcPr>
            <w:tcW w:w="750" w:type="dxa"/>
            <w:vAlign w:val="center"/>
          </w:tcPr>
          <w:p w14:paraId="665411D5">
            <w:pPr>
              <w:tabs>
                <w:tab w:val="left" w:pos="8280"/>
              </w:tabs>
              <w:autoSpaceDE w:val="0"/>
              <w:autoSpaceDN w:val="0"/>
              <w:adjustRightInd w:val="0"/>
              <w:snapToGrid w:val="0"/>
              <w:spacing w:line="360" w:lineRule="auto"/>
              <w:ind w:right="23"/>
              <w:jc w:val="center"/>
              <w:rPr>
                <w:rFonts w:ascii="宋体" w:hAnsi="宋体"/>
                <w:szCs w:val="21"/>
              </w:rPr>
            </w:pPr>
            <w:r>
              <w:rPr>
                <w:rFonts w:hint="eastAsia" w:ascii="宋体" w:hAnsi="宋体"/>
                <w:szCs w:val="21"/>
              </w:rPr>
              <w:t>单位</w:t>
            </w:r>
          </w:p>
        </w:tc>
        <w:tc>
          <w:tcPr>
            <w:tcW w:w="1155" w:type="dxa"/>
            <w:vAlign w:val="center"/>
          </w:tcPr>
          <w:p w14:paraId="6AFD60EE">
            <w:pPr>
              <w:tabs>
                <w:tab w:val="left" w:pos="8280"/>
              </w:tabs>
              <w:autoSpaceDE w:val="0"/>
              <w:autoSpaceDN w:val="0"/>
              <w:adjustRightInd w:val="0"/>
              <w:snapToGrid w:val="0"/>
              <w:spacing w:line="360" w:lineRule="auto"/>
              <w:ind w:right="23"/>
              <w:jc w:val="center"/>
              <w:rPr>
                <w:szCs w:val="21"/>
              </w:rPr>
            </w:pPr>
            <w:r>
              <w:rPr>
                <w:rFonts w:hint="eastAsia" w:ascii="宋体" w:hAnsi="宋体"/>
                <w:szCs w:val="21"/>
              </w:rPr>
              <w:t>预算(元）</w:t>
            </w:r>
          </w:p>
        </w:tc>
        <w:tc>
          <w:tcPr>
            <w:tcW w:w="777" w:type="dxa"/>
            <w:vAlign w:val="center"/>
          </w:tcPr>
          <w:p w14:paraId="4259585D">
            <w:pPr>
              <w:tabs>
                <w:tab w:val="left" w:pos="8280"/>
              </w:tabs>
              <w:autoSpaceDE w:val="0"/>
              <w:autoSpaceDN w:val="0"/>
              <w:adjustRightInd w:val="0"/>
              <w:snapToGrid w:val="0"/>
              <w:spacing w:line="360" w:lineRule="auto"/>
              <w:ind w:right="23"/>
              <w:jc w:val="center"/>
              <w:rPr>
                <w:rFonts w:ascii="宋体" w:hAnsi="宋体"/>
                <w:szCs w:val="21"/>
              </w:rPr>
            </w:pPr>
            <w:r>
              <w:rPr>
                <w:rFonts w:hint="eastAsia" w:ascii="宋体" w:hAnsi="宋体"/>
                <w:szCs w:val="21"/>
              </w:rPr>
              <w:t>备注</w:t>
            </w:r>
          </w:p>
        </w:tc>
      </w:tr>
      <w:tr w14:paraId="1BE5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98" w:type="dxa"/>
            <w:vAlign w:val="center"/>
          </w:tcPr>
          <w:p w14:paraId="629343E4">
            <w:pPr>
              <w:tabs>
                <w:tab w:val="left" w:pos="8280"/>
              </w:tabs>
              <w:autoSpaceDE w:val="0"/>
              <w:autoSpaceDN w:val="0"/>
              <w:adjustRightInd w:val="0"/>
              <w:snapToGrid w:val="0"/>
              <w:spacing w:line="360" w:lineRule="auto"/>
              <w:ind w:right="23"/>
              <w:jc w:val="center"/>
              <w:rPr>
                <w:rFonts w:ascii="宋体" w:hAnsi="宋体"/>
                <w:szCs w:val="21"/>
              </w:rPr>
            </w:pPr>
            <w:r>
              <w:rPr>
                <w:rFonts w:hint="eastAsia" w:ascii="宋体" w:hAnsi="宋体"/>
                <w:szCs w:val="21"/>
              </w:rPr>
              <w:t>一</w:t>
            </w:r>
          </w:p>
        </w:tc>
        <w:tc>
          <w:tcPr>
            <w:tcW w:w="5415" w:type="dxa"/>
            <w:vAlign w:val="center"/>
          </w:tcPr>
          <w:p w14:paraId="143F3AFC">
            <w:pPr>
              <w:tabs>
                <w:tab w:val="left" w:pos="8280"/>
              </w:tabs>
              <w:autoSpaceDE w:val="0"/>
              <w:autoSpaceDN w:val="0"/>
              <w:adjustRightInd w:val="0"/>
              <w:snapToGrid w:val="0"/>
              <w:spacing w:line="360" w:lineRule="auto"/>
              <w:ind w:right="23"/>
              <w:jc w:val="center"/>
              <w:rPr>
                <w:rFonts w:hint="eastAsia" w:ascii="宋体" w:hAnsi="宋体" w:eastAsia="宋体"/>
                <w:szCs w:val="21"/>
                <w:lang w:eastAsia="zh-CN"/>
              </w:rPr>
            </w:pPr>
            <w:r>
              <w:rPr>
                <w:rFonts w:hint="eastAsia" w:ascii="宋体" w:hAnsi="宋体" w:cs="宋体"/>
                <w:kern w:val="0"/>
                <w:szCs w:val="21"/>
                <w:lang w:eastAsia="zh-CN"/>
              </w:rPr>
              <w:t>神仙居仙侠演艺餐厅厨房设备采购（非政府采购类）</w:t>
            </w:r>
          </w:p>
        </w:tc>
        <w:tc>
          <w:tcPr>
            <w:tcW w:w="735" w:type="dxa"/>
            <w:vAlign w:val="center"/>
          </w:tcPr>
          <w:p w14:paraId="5BF6A4C9">
            <w:pPr>
              <w:tabs>
                <w:tab w:val="left" w:pos="8280"/>
              </w:tabs>
              <w:autoSpaceDE w:val="0"/>
              <w:autoSpaceDN w:val="0"/>
              <w:adjustRightInd w:val="0"/>
              <w:snapToGrid w:val="0"/>
              <w:spacing w:line="360" w:lineRule="auto"/>
              <w:ind w:right="23" w:firstLine="105" w:firstLineChars="50"/>
              <w:jc w:val="center"/>
              <w:rPr>
                <w:rFonts w:ascii="宋体" w:hAnsi="宋体"/>
                <w:szCs w:val="21"/>
              </w:rPr>
            </w:pPr>
            <w:r>
              <w:rPr>
                <w:rFonts w:hint="eastAsia" w:ascii="宋体" w:hAnsi="宋体"/>
                <w:szCs w:val="21"/>
              </w:rPr>
              <w:t>1</w:t>
            </w:r>
          </w:p>
        </w:tc>
        <w:tc>
          <w:tcPr>
            <w:tcW w:w="750" w:type="dxa"/>
            <w:vAlign w:val="center"/>
          </w:tcPr>
          <w:p w14:paraId="5C7006DE">
            <w:pPr>
              <w:tabs>
                <w:tab w:val="left" w:pos="8280"/>
              </w:tabs>
              <w:autoSpaceDE w:val="0"/>
              <w:autoSpaceDN w:val="0"/>
              <w:adjustRightInd w:val="0"/>
              <w:snapToGrid w:val="0"/>
              <w:spacing w:line="360" w:lineRule="auto"/>
              <w:ind w:right="23" w:firstLine="105" w:firstLineChars="50"/>
              <w:jc w:val="center"/>
              <w:rPr>
                <w:rFonts w:hint="eastAsia" w:ascii="宋体" w:hAnsi="宋体" w:eastAsia="宋体"/>
                <w:szCs w:val="21"/>
                <w:lang w:val="en-US" w:eastAsia="zh-CN"/>
              </w:rPr>
            </w:pPr>
            <w:r>
              <w:rPr>
                <w:rFonts w:hint="eastAsia" w:ascii="宋体" w:hAnsi="宋体"/>
                <w:szCs w:val="21"/>
                <w:lang w:val="en-US" w:eastAsia="zh-CN"/>
              </w:rPr>
              <w:t>项</w:t>
            </w:r>
          </w:p>
        </w:tc>
        <w:tc>
          <w:tcPr>
            <w:tcW w:w="1155" w:type="dxa"/>
            <w:vAlign w:val="center"/>
          </w:tcPr>
          <w:p w14:paraId="557540B0">
            <w:pPr>
              <w:tabs>
                <w:tab w:val="left" w:pos="8280"/>
              </w:tabs>
              <w:autoSpaceDE w:val="0"/>
              <w:autoSpaceDN w:val="0"/>
              <w:adjustRightInd w:val="0"/>
              <w:snapToGrid w:val="0"/>
              <w:spacing w:line="360" w:lineRule="auto"/>
              <w:ind w:right="23"/>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290000</w:t>
            </w:r>
          </w:p>
        </w:tc>
        <w:tc>
          <w:tcPr>
            <w:tcW w:w="777" w:type="dxa"/>
            <w:vAlign w:val="center"/>
          </w:tcPr>
          <w:p w14:paraId="1688B0A6">
            <w:pPr>
              <w:tabs>
                <w:tab w:val="left" w:pos="8280"/>
              </w:tabs>
              <w:autoSpaceDE w:val="0"/>
              <w:autoSpaceDN w:val="0"/>
              <w:adjustRightInd w:val="0"/>
              <w:snapToGrid w:val="0"/>
              <w:spacing w:line="360" w:lineRule="auto"/>
              <w:ind w:right="23"/>
              <w:jc w:val="center"/>
              <w:rPr>
                <w:rFonts w:ascii="宋体" w:hAnsi="宋体"/>
                <w:szCs w:val="21"/>
              </w:rPr>
            </w:pPr>
          </w:p>
        </w:tc>
      </w:tr>
    </w:tbl>
    <w:p w14:paraId="5B1D3217">
      <w:pPr>
        <w:snapToGrid w:val="0"/>
        <w:spacing w:line="312" w:lineRule="auto"/>
        <w:ind w:firstLine="420" w:firstLineChars="200"/>
        <w:rPr>
          <w:rFonts w:ascii="宋体" w:hAnsi="宋体"/>
          <w:kern w:val="0"/>
          <w:szCs w:val="21"/>
        </w:rPr>
      </w:pPr>
      <w:r>
        <w:rPr>
          <w:rFonts w:hint="eastAsia" w:ascii="宋体" w:hAnsi="宋体"/>
          <w:kern w:val="0"/>
          <w:szCs w:val="21"/>
        </w:rPr>
        <w:t xml:space="preserve"> 合同履行期限：见谈判文件。 </w:t>
      </w:r>
    </w:p>
    <w:p w14:paraId="36B3613C">
      <w:pPr>
        <w:snapToGrid w:val="0"/>
        <w:spacing w:line="312" w:lineRule="auto"/>
        <w:ind w:firstLine="525" w:firstLineChars="250"/>
        <w:rPr>
          <w:rFonts w:ascii="宋体" w:hAnsi="宋体" w:cs="宋体"/>
          <w:b/>
          <w:szCs w:val="21"/>
        </w:rPr>
      </w:pPr>
      <w:r>
        <w:rPr>
          <w:rFonts w:hint="eastAsia" w:ascii="宋体" w:hAnsi="宋体"/>
          <w:kern w:val="0"/>
          <w:szCs w:val="21"/>
        </w:rPr>
        <w:t>本项目（不）接受联合体。</w:t>
      </w:r>
    </w:p>
    <w:p w14:paraId="120B03E1">
      <w:pPr>
        <w:pStyle w:val="24"/>
        <w:widowControl w:val="0"/>
        <w:snapToGrid w:val="0"/>
        <w:spacing w:before="0" w:beforeAutospacing="0" w:after="0" w:afterAutospacing="0" w:line="312" w:lineRule="auto"/>
        <w:ind w:firstLine="413" w:firstLineChars="196"/>
        <w:jc w:val="both"/>
        <w:rPr>
          <w:rFonts w:hint="default" w:cs="宋体"/>
          <w:b/>
          <w:kern w:val="2"/>
          <w:sz w:val="21"/>
          <w:szCs w:val="21"/>
        </w:rPr>
      </w:pPr>
      <w:r>
        <w:rPr>
          <w:rFonts w:cs="宋体"/>
          <w:b/>
          <w:kern w:val="2"/>
          <w:sz w:val="21"/>
          <w:szCs w:val="21"/>
        </w:rPr>
        <w:t>二、申请人的资格要求：</w:t>
      </w:r>
    </w:p>
    <w:p w14:paraId="2A57A83E">
      <w:pPr>
        <w:snapToGrid w:val="0"/>
        <w:spacing w:line="312" w:lineRule="auto"/>
        <w:ind w:firstLine="420" w:firstLineChars="200"/>
        <w:rPr>
          <w:rFonts w:ascii="宋体" w:hAnsi="宋体" w:cs="宋体"/>
          <w:bCs/>
          <w:kern w:val="0"/>
          <w:szCs w:val="21"/>
        </w:rPr>
      </w:pPr>
      <w:r>
        <w:rPr>
          <w:rFonts w:hint="eastAsia" w:ascii="宋体" w:hAnsi="宋体" w:cs="宋体"/>
          <w:bCs/>
          <w:kern w:val="0"/>
          <w:szCs w:val="21"/>
        </w:rPr>
        <w:t>1.符合《中华人民共和国政府采购法》第二十二条谈判供应商应当具备的条件，浙财采监【2013】24号《关于规范政府采购谈判供应商资格设定及资格审查的通知》第六条规定，以及未被“信用中国”（www.creditchina.gov.cn）、中国政府采购网（www.ccgp.gov.cn）列入失信被执行人、重大税收违法案件当事人名单、政府采购严重违法失信行为记录名单；</w:t>
      </w:r>
    </w:p>
    <w:p w14:paraId="79F3C137">
      <w:pPr>
        <w:tabs>
          <w:tab w:val="left" w:pos="180"/>
          <w:tab w:val="left" w:pos="360"/>
          <w:tab w:val="left" w:pos="540"/>
          <w:tab w:val="left" w:pos="8280"/>
        </w:tabs>
        <w:autoSpaceDE w:val="0"/>
        <w:autoSpaceDN w:val="0"/>
        <w:adjustRightInd w:val="0"/>
        <w:snapToGrid w:val="0"/>
        <w:spacing w:line="312" w:lineRule="auto"/>
        <w:ind w:right="23" w:firstLine="420" w:firstLineChars="200"/>
        <w:jc w:val="left"/>
        <w:rPr>
          <w:rFonts w:hint="eastAsia" w:ascii="宋体" w:hAnsi="宋体" w:eastAsia="宋体"/>
          <w:szCs w:val="21"/>
          <w:highlight w:val="none"/>
          <w:lang w:eastAsia="zh-CN"/>
        </w:rPr>
      </w:pPr>
      <w:r>
        <w:rPr>
          <w:rFonts w:hint="eastAsia" w:ascii="宋体" w:hAnsi="宋体" w:cs="宋体"/>
          <w:bCs/>
          <w:kern w:val="0"/>
          <w:szCs w:val="21"/>
          <w:lang w:val="en-US" w:eastAsia="zh-CN"/>
        </w:rPr>
        <w:t>2</w:t>
      </w:r>
      <w:r>
        <w:rPr>
          <w:rFonts w:hint="eastAsia" w:ascii="宋体" w:hAnsi="宋体" w:cs="宋体"/>
          <w:bCs/>
          <w:kern w:val="0"/>
          <w:szCs w:val="21"/>
        </w:rPr>
        <w:t>.本项目的特定资格要求：</w:t>
      </w:r>
      <w:r>
        <w:rPr>
          <w:rFonts w:hint="eastAsia" w:ascii="宋体" w:hAnsi="宋体" w:cs="宋体"/>
          <w:bCs/>
          <w:kern w:val="0"/>
          <w:szCs w:val="21"/>
          <w:lang w:val="en-US" w:eastAsia="zh-CN"/>
        </w:rPr>
        <w:t>/</w:t>
      </w:r>
    </w:p>
    <w:p w14:paraId="63852A9F">
      <w:pPr>
        <w:snapToGrid w:val="0"/>
        <w:spacing w:line="312" w:lineRule="auto"/>
        <w:ind w:firstLine="422" w:firstLineChars="200"/>
        <w:rPr>
          <w:rFonts w:ascii="宋体" w:hAnsi="宋体"/>
          <w:b/>
          <w:kern w:val="0"/>
          <w:szCs w:val="21"/>
        </w:rPr>
      </w:pPr>
      <w:r>
        <w:rPr>
          <w:rFonts w:hint="eastAsia" w:ascii="宋体" w:hAnsi="宋体"/>
          <w:b/>
          <w:kern w:val="0"/>
          <w:szCs w:val="21"/>
        </w:rPr>
        <w:t>三、获取谈判响应文件 </w:t>
      </w:r>
    </w:p>
    <w:p w14:paraId="1254A735">
      <w:pPr>
        <w:snapToGrid w:val="0"/>
        <w:spacing w:line="312" w:lineRule="auto"/>
        <w:ind w:firstLine="420" w:firstLineChars="200"/>
        <w:rPr>
          <w:rFonts w:hint="eastAsia" w:ascii="宋体" w:hAnsi="宋体" w:eastAsia="宋体" w:cs="宋体"/>
          <w:i w:val="0"/>
          <w:iCs w:val="0"/>
          <w:caps w:val="0"/>
          <w:color w:val="000000"/>
          <w:spacing w:val="0"/>
          <w:sz w:val="21"/>
          <w:szCs w:val="21"/>
          <w:highlight w:val="none"/>
        </w:rPr>
      </w:pPr>
      <w:r>
        <w:rPr>
          <w:rFonts w:hint="eastAsia" w:ascii="宋体" w:hAnsi="宋体"/>
          <w:kern w:val="0"/>
          <w:szCs w:val="21"/>
          <w:highlight w:val="none"/>
        </w:rPr>
        <w:t>1.时间：</w:t>
      </w:r>
      <w:r>
        <w:rPr>
          <w:rFonts w:hint="eastAsia" w:ascii="宋体" w:hAnsi="宋体" w:eastAsia="宋体" w:cs="宋体"/>
          <w:i w:val="0"/>
          <w:iCs w:val="0"/>
          <w:caps w:val="0"/>
          <w:color w:val="000000"/>
          <w:spacing w:val="0"/>
          <w:sz w:val="21"/>
          <w:szCs w:val="21"/>
          <w:highlight w:val="none"/>
        </w:rPr>
        <w:t>公告发布时间至投标截止时间前(双休日及法定节假日除外)；</w:t>
      </w:r>
    </w:p>
    <w:p w14:paraId="74564F7A">
      <w:pPr>
        <w:snapToGrid w:val="0"/>
        <w:spacing w:line="312" w:lineRule="auto"/>
        <w:ind w:firstLine="420" w:firstLineChars="200"/>
        <w:rPr>
          <w:rFonts w:ascii="宋体" w:hAnsi="宋体"/>
          <w:kern w:val="0"/>
          <w:szCs w:val="21"/>
        </w:rPr>
      </w:pPr>
      <w:r>
        <w:rPr>
          <w:rFonts w:hint="eastAsia" w:ascii="宋体" w:hAnsi="宋体"/>
          <w:kern w:val="0"/>
          <w:szCs w:val="21"/>
        </w:rPr>
        <w:t>2.地点：</w:t>
      </w:r>
      <w:r>
        <w:rPr>
          <w:rFonts w:hint="eastAsia" w:ascii="宋体" w:hAnsi="宋体"/>
          <w:kern w:val="0"/>
          <w:szCs w:val="21"/>
          <w:lang w:eastAsia="zh-CN"/>
        </w:rPr>
        <w:t>仙居县环城北路炉兴村办公楼四楼</w:t>
      </w:r>
      <w:r>
        <w:rPr>
          <w:rFonts w:hint="eastAsia" w:ascii="宋体" w:hAnsi="宋体"/>
          <w:kern w:val="0"/>
          <w:szCs w:val="21"/>
        </w:rPr>
        <w:t> </w:t>
      </w:r>
    </w:p>
    <w:p w14:paraId="79621B20">
      <w:pPr>
        <w:snapToGrid w:val="0"/>
        <w:spacing w:line="312" w:lineRule="auto"/>
        <w:ind w:firstLine="420" w:firstLineChars="200"/>
        <w:rPr>
          <w:rFonts w:ascii="宋体" w:hAnsi="宋体"/>
          <w:kern w:val="0"/>
          <w:szCs w:val="21"/>
          <w:highlight w:val="yellow"/>
        </w:rPr>
      </w:pPr>
      <w:r>
        <w:rPr>
          <w:rFonts w:hint="eastAsia" w:ascii="宋体" w:hAnsi="宋体"/>
          <w:kern w:val="0"/>
          <w:szCs w:val="21"/>
          <w:highlight w:val="none"/>
        </w:rPr>
        <w:t>3.方式：</w:t>
      </w:r>
      <w:r>
        <w:rPr>
          <w:rFonts w:hint="eastAsia" w:ascii="宋体" w:hAnsi="宋体"/>
          <w:color w:val="000000"/>
          <w:szCs w:val="21"/>
          <w:highlight w:val="none"/>
        </w:rPr>
        <w:t>现场报名获取或者网</w:t>
      </w:r>
      <w:r>
        <w:rPr>
          <w:rFonts w:hint="eastAsia" w:ascii="宋体" w:hAnsi="宋体"/>
          <w:color w:val="000000"/>
          <w:szCs w:val="21"/>
          <w:highlight w:val="none"/>
          <w:lang w:val="en-US" w:eastAsia="zh-CN"/>
        </w:rPr>
        <w:t>上</w:t>
      </w:r>
      <w:r>
        <w:rPr>
          <w:rFonts w:hint="eastAsia" w:ascii="宋体" w:hAnsi="宋体"/>
          <w:color w:val="000000"/>
          <w:szCs w:val="21"/>
          <w:highlight w:val="none"/>
        </w:rPr>
        <w:t>自行下载（注：自行下载的也需要报名）。</w:t>
      </w:r>
    </w:p>
    <w:p w14:paraId="66D1EE74">
      <w:pPr>
        <w:snapToGrid w:val="0"/>
        <w:spacing w:line="312" w:lineRule="auto"/>
        <w:ind w:firstLine="420" w:firstLineChars="200"/>
        <w:rPr>
          <w:rFonts w:ascii="宋体" w:hAnsi="宋体"/>
          <w:kern w:val="0"/>
          <w:szCs w:val="21"/>
        </w:rPr>
      </w:pPr>
      <w:r>
        <w:rPr>
          <w:rFonts w:hint="eastAsia" w:ascii="宋体" w:hAnsi="宋体"/>
          <w:kern w:val="0"/>
          <w:szCs w:val="21"/>
          <w:lang w:val="en-US" w:eastAsia="zh-CN"/>
        </w:rPr>
        <w:t>4</w:t>
      </w:r>
      <w:r>
        <w:rPr>
          <w:rFonts w:hint="eastAsia" w:ascii="宋体" w:hAnsi="宋体"/>
          <w:kern w:val="0"/>
          <w:szCs w:val="21"/>
        </w:rPr>
        <w:t>.</w:t>
      </w:r>
      <w:r>
        <w:rPr>
          <w:rFonts w:ascii="宋体" w:hAnsi="宋体"/>
          <w:kern w:val="0"/>
          <w:szCs w:val="21"/>
        </w:rPr>
        <w:t>报名时需提供以下资料</w:t>
      </w:r>
      <w:r>
        <w:rPr>
          <w:rFonts w:hint="eastAsia" w:ascii="宋体" w:hAnsi="宋体"/>
          <w:kern w:val="0"/>
          <w:szCs w:val="21"/>
        </w:rPr>
        <w:t>（</w:t>
      </w:r>
      <w:r>
        <w:rPr>
          <w:rFonts w:hint="eastAsia" w:hAnsi="宋体" w:cs="宋体"/>
          <w:szCs w:val="21"/>
        </w:rPr>
        <w:t>确保在投标截止时间前报名，否则将失去谈判资格</w:t>
      </w:r>
      <w:r>
        <w:rPr>
          <w:rFonts w:hint="eastAsia" w:ascii="宋体" w:hAnsi="宋体"/>
          <w:kern w:val="0"/>
          <w:szCs w:val="21"/>
        </w:rPr>
        <w:t>）</w:t>
      </w:r>
      <w:r>
        <w:rPr>
          <w:rFonts w:ascii="宋体" w:hAnsi="宋体"/>
          <w:kern w:val="0"/>
          <w:szCs w:val="21"/>
        </w:rPr>
        <w:t>：</w:t>
      </w:r>
    </w:p>
    <w:p w14:paraId="5E135C7B">
      <w:pPr>
        <w:snapToGrid w:val="0"/>
        <w:spacing w:line="312" w:lineRule="auto"/>
        <w:ind w:firstLine="420" w:firstLineChars="200"/>
        <w:rPr>
          <w:rFonts w:ascii="宋体" w:hAnsi="宋体"/>
          <w:kern w:val="0"/>
          <w:szCs w:val="21"/>
        </w:rPr>
      </w:pPr>
      <w:r>
        <w:rPr>
          <w:rFonts w:ascii="宋体" w:hAnsi="宋体"/>
          <w:kern w:val="0"/>
          <w:szCs w:val="21"/>
        </w:rPr>
        <w:t>①有效的营业执照复印件并加盖单位公章（事业单位参加投标的，则提供有效的《事业单位法人证书》复印件并加盖单位公章）；</w:t>
      </w:r>
    </w:p>
    <w:p w14:paraId="2651E2BC">
      <w:pPr>
        <w:snapToGrid w:val="0"/>
        <w:spacing w:line="312" w:lineRule="auto"/>
        <w:ind w:firstLine="420" w:firstLineChars="200"/>
        <w:rPr>
          <w:rFonts w:ascii="宋体" w:hAnsi="宋体"/>
          <w:kern w:val="0"/>
          <w:szCs w:val="21"/>
        </w:rPr>
      </w:pPr>
      <w:r>
        <w:rPr>
          <w:rFonts w:ascii="宋体" w:hAnsi="宋体"/>
          <w:kern w:val="0"/>
          <w:szCs w:val="21"/>
        </w:rPr>
        <w:t>②</w:t>
      </w:r>
      <w:r>
        <w:rPr>
          <w:rFonts w:hint="eastAsia"/>
          <w:color w:val="000000"/>
          <w:highlight w:val="none"/>
        </w:rPr>
        <w:t>法定代表人</w:t>
      </w:r>
      <w:r>
        <w:rPr>
          <w:color w:val="000000"/>
          <w:highlight w:val="none"/>
        </w:rPr>
        <w:t>授权委托书原件</w:t>
      </w:r>
      <w:r>
        <w:rPr>
          <w:rFonts w:hint="eastAsia"/>
          <w:color w:val="000000"/>
          <w:highlight w:val="none"/>
        </w:rPr>
        <w:t>、授权代表的身份证复印件</w:t>
      </w:r>
      <w:r>
        <w:rPr>
          <w:rFonts w:ascii="宋体" w:hAnsi="宋体"/>
          <w:kern w:val="0"/>
          <w:szCs w:val="21"/>
        </w:rPr>
        <w:t>；</w:t>
      </w:r>
    </w:p>
    <w:p w14:paraId="028A9176">
      <w:pPr>
        <w:snapToGrid w:val="0"/>
        <w:spacing w:line="312" w:lineRule="auto"/>
        <w:ind w:firstLine="420" w:firstLineChars="200"/>
        <w:rPr>
          <w:rFonts w:ascii="宋体" w:hAnsi="宋体"/>
          <w:szCs w:val="21"/>
        </w:rPr>
      </w:pPr>
      <w:r>
        <w:rPr>
          <w:rFonts w:ascii="宋体" w:hAnsi="宋体"/>
          <w:kern w:val="0"/>
          <w:szCs w:val="21"/>
        </w:rPr>
        <w:t>③</w:t>
      </w:r>
      <w:r>
        <w:rPr>
          <w:rFonts w:hint="eastAsia" w:cs="宋体"/>
          <w:color w:val="000000"/>
          <w:kern w:val="0"/>
        </w:rPr>
        <w:t>投标单位报名登记表</w:t>
      </w:r>
      <w:r>
        <w:rPr>
          <w:rFonts w:hint="eastAsia" w:ascii="宋体" w:hAnsi="宋体" w:cs="宋体"/>
          <w:kern w:val="0"/>
          <w:szCs w:val="21"/>
        </w:rPr>
        <w:t>（格式见公告附件）</w:t>
      </w:r>
      <w:r>
        <w:rPr>
          <w:rFonts w:hint="eastAsia" w:ascii="宋体" w:hAnsi="宋体"/>
          <w:color w:val="000000"/>
          <w:szCs w:val="21"/>
        </w:rPr>
        <w:t>。</w:t>
      </w:r>
    </w:p>
    <w:p w14:paraId="26C80EE8">
      <w:pPr>
        <w:snapToGrid w:val="0"/>
        <w:spacing w:line="312" w:lineRule="auto"/>
        <w:ind w:firstLine="422" w:firstLineChars="200"/>
        <w:rPr>
          <w:rFonts w:ascii="宋体" w:hAnsi="宋体"/>
          <w:b/>
          <w:kern w:val="0"/>
          <w:szCs w:val="21"/>
        </w:rPr>
      </w:pPr>
      <w:r>
        <w:rPr>
          <w:rFonts w:ascii="宋体" w:hAnsi="宋体"/>
          <w:b/>
          <w:kern w:val="0"/>
          <w:szCs w:val="21"/>
        </w:rPr>
        <w:t>四、提交</w:t>
      </w:r>
      <w:r>
        <w:rPr>
          <w:rFonts w:hint="eastAsia" w:ascii="宋体" w:hAnsi="宋体"/>
          <w:b/>
          <w:kern w:val="0"/>
          <w:szCs w:val="21"/>
        </w:rPr>
        <w:t>谈判响应文件</w:t>
      </w:r>
      <w:r>
        <w:rPr>
          <w:rFonts w:ascii="宋体" w:hAnsi="宋体"/>
          <w:b/>
          <w:kern w:val="0"/>
          <w:szCs w:val="21"/>
        </w:rPr>
        <w:t>截止时间、开标时间和地点</w:t>
      </w:r>
    </w:p>
    <w:p w14:paraId="1893DD57">
      <w:pPr>
        <w:snapToGrid w:val="0"/>
        <w:spacing w:line="312" w:lineRule="auto"/>
        <w:ind w:firstLine="420" w:firstLineChars="200"/>
        <w:rPr>
          <w:rFonts w:ascii="宋体" w:hAnsi="宋体"/>
          <w:kern w:val="0"/>
          <w:szCs w:val="21"/>
        </w:rPr>
      </w:pPr>
      <w:r>
        <w:rPr>
          <w:rFonts w:hint="eastAsia" w:ascii="宋体" w:hAnsi="宋体"/>
          <w:kern w:val="0"/>
          <w:szCs w:val="21"/>
        </w:rPr>
        <w:t>1.截止时间： 202</w:t>
      </w:r>
      <w:r>
        <w:rPr>
          <w:rFonts w:hint="eastAsia" w:ascii="宋体" w:hAnsi="宋体"/>
          <w:kern w:val="0"/>
          <w:szCs w:val="21"/>
          <w:lang w:val="en-US" w:eastAsia="zh-CN"/>
        </w:rPr>
        <w:t>4</w:t>
      </w:r>
      <w:r>
        <w:rPr>
          <w:rFonts w:hint="eastAsia" w:ascii="宋体" w:hAnsi="宋体"/>
          <w:kern w:val="0"/>
          <w:szCs w:val="21"/>
        </w:rPr>
        <w:t xml:space="preserve"> 年</w:t>
      </w:r>
      <w:r>
        <w:rPr>
          <w:rFonts w:hint="eastAsia" w:ascii="宋体" w:hAnsi="宋体"/>
          <w:kern w:val="0"/>
          <w:szCs w:val="21"/>
          <w:lang w:val="en-US" w:eastAsia="zh-CN"/>
        </w:rPr>
        <w:t>11</w:t>
      </w:r>
      <w:r>
        <w:rPr>
          <w:rFonts w:hint="eastAsia" w:ascii="宋体" w:hAnsi="宋体"/>
          <w:kern w:val="0"/>
          <w:szCs w:val="21"/>
        </w:rPr>
        <w:t>月</w:t>
      </w:r>
      <w:r>
        <w:rPr>
          <w:rFonts w:hint="eastAsia" w:ascii="宋体" w:hAnsi="宋体"/>
          <w:kern w:val="0"/>
          <w:szCs w:val="21"/>
          <w:lang w:val="en-US" w:eastAsia="zh-CN"/>
        </w:rPr>
        <w:t>15</w:t>
      </w:r>
      <w:r>
        <w:rPr>
          <w:rFonts w:hint="eastAsia" w:ascii="宋体" w:hAnsi="宋体"/>
          <w:kern w:val="0"/>
          <w:szCs w:val="21"/>
        </w:rPr>
        <w:t>日</w:t>
      </w:r>
      <w:r>
        <w:rPr>
          <w:rFonts w:hint="eastAsia" w:ascii="宋体" w:hAnsi="宋体"/>
          <w:kern w:val="0"/>
          <w:szCs w:val="21"/>
          <w:lang w:val="en-US" w:eastAsia="zh-CN"/>
        </w:rPr>
        <w:t>09</w:t>
      </w:r>
      <w:r>
        <w:rPr>
          <w:rFonts w:hint="eastAsia" w:ascii="宋体" w:hAnsi="宋体"/>
          <w:kern w:val="0"/>
          <w:szCs w:val="21"/>
        </w:rPr>
        <w:t>:00 （北京时间）</w:t>
      </w:r>
    </w:p>
    <w:p w14:paraId="1EC327E9">
      <w:pPr>
        <w:snapToGrid w:val="0"/>
        <w:spacing w:line="312" w:lineRule="auto"/>
        <w:ind w:firstLine="420" w:firstLineChars="200"/>
        <w:rPr>
          <w:rFonts w:ascii="宋体" w:hAnsi="宋体"/>
          <w:kern w:val="0"/>
          <w:szCs w:val="21"/>
        </w:rPr>
      </w:pPr>
      <w:r>
        <w:rPr>
          <w:rFonts w:hint="eastAsia" w:ascii="宋体" w:hAnsi="宋体"/>
          <w:kern w:val="0"/>
          <w:szCs w:val="21"/>
        </w:rPr>
        <w:t>2.地点：</w:t>
      </w:r>
      <w:r>
        <w:rPr>
          <w:rFonts w:hint="eastAsia" w:ascii="宋体" w:hAnsi="宋体"/>
          <w:kern w:val="0"/>
          <w:szCs w:val="21"/>
          <w:lang w:eastAsia="zh-CN"/>
        </w:rPr>
        <w:t>欧邦工程管理集团有限公司</w:t>
      </w:r>
      <w:r>
        <w:rPr>
          <w:rFonts w:hint="eastAsia" w:ascii="宋体" w:hAnsi="宋体"/>
          <w:kern w:val="0"/>
          <w:szCs w:val="21"/>
        </w:rPr>
        <w:t>开标室（</w:t>
      </w:r>
      <w:r>
        <w:rPr>
          <w:rFonts w:hint="eastAsia" w:ascii="宋体" w:hAnsi="宋体"/>
          <w:kern w:val="0"/>
          <w:szCs w:val="21"/>
          <w:lang w:eastAsia="zh-CN"/>
        </w:rPr>
        <w:t>仙居县环城北路炉兴村办公楼四楼</w:t>
      </w:r>
      <w:r>
        <w:rPr>
          <w:rFonts w:hint="eastAsia" w:ascii="宋体" w:hAnsi="宋体"/>
          <w:kern w:val="0"/>
          <w:szCs w:val="21"/>
        </w:rPr>
        <w:t>） </w:t>
      </w:r>
    </w:p>
    <w:p w14:paraId="54E8C073">
      <w:pPr>
        <w:snapToGrid w:val="0"/>
        <w:spacing w:line="312" w:lineRule="auto"/>
        <w:ind w:firstLine="422" w:firstLineChars="200"/>
        <w:rPr>
          <w:rFonts w:ascii="宋体" w:hAnsi="宋体"/>
          <w:b/>
          <w:kern w:val="0"/>
          <w:szCs w:val="21"/>
        </w:rPr>
      </w:pPr>
      <w:r>
        <w:rPr>
          <w:rFonts w:hint="eastAsia" w:ascii="宋体" w:hAnsi="宋体"/>
          <w:b/>
          <w:kern w:val="0"/>
          <w:szCs w:val="21"/>
        </w:rPr>
        <w:t>五</w:t>
      </w:r>
      <w:r>
        <w:rPr>
          <w:rFonts w:ascii="宋体" w:hAnsi="宋体"/>
          <w:b/>
          <w:kern w:val="0"/>
          <w:szCs w:val="21"/>
        </w:rPr>
        <w:t>、公告期限</w:t>
      </w:r>
    </w:p>
    <w:p w14:paraId="40C55F77">
      <w:pPr>
        <w:snapToGrid w:val="0"/>
        <w:spacing w:line="312" w:lineRule="auto"/>
        <w:ind w:firstLine="420" w:firstLineChars="200"/>
        <w:rPr>
          <w:rFonts w:ascii="宋体" w:hAnsi="宋体" w:cs="Arial"/>
          <w:b/>
          <w:color w:val="000000" w:themeColor="text1"/>
          <w:szCs w:val="21"/>
          <w14:textFill>
            <w14:solidFill>
              <w14:schemeClr w14:val="tx1"/>
            </w14:solidFill>
          </w14:textFill>
        </w:rPr>
      </w:pPr>
      <w:r>
        <w:rPr>
          <w:rFonts w:hint="eastAsia" w:ascii="宋体" w:hAnsi="宋体"/>
          <w:kern w:val="0"/>
          <w:szCs w:val="21"/>
        </w:rPr>
        <w:t>自本公告发布之日起3个工作日。</w:t>
      </w:r>
    </w:p>
    <w:p w14:paraId="51928AD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12" w:lineRule="auto"/>
        <w:ind w:right="23" w:firstLine="539"/>
        <w:jc w:val="left"/>
        <w:rPr>
          <w:rFonts w:ascii="宋体"/>
          <w:kern w:val="0"/>
          <w:szCs w:val="21"/>
        </w:rPr>
      </w:pPr>
      <w:r>
        <w:rPr>
          <w:rFonts w:hint="eastAsia" w:ascii="宋体" w:hAnsi="宋体" w:cs="Arial"/>
          <w:b/>
          <w:bCs/>
          <w:color w:val="000000" w:themeColor="text1"/>
          <w:szCs w:val="21"/>
          <w14:textFill>
            <w14:solidFill>
              <w14:schemeClr w14:val="tx1"/>
            </w14:solidFill>
          </w14:textFill>
        </w:rPr>
        <w:t>六、谈判保证金</w:t>
      </w:r>
      <w:r>
        <w:rPr>
          <w:rFonts w:hint="eastAsia" w:ascii="宋体" w:hAnsi="宋体" w:cs="Arial"/>
          <w:b/>
          <w:color w:val="000000" w:themeColor="text1"/>
          <w:szCs w:val="21"/>
          <w14:textFill>
            <w14:solidFill>
              <w14:schemeClr w14:val="tx1"/>
            </w14:solidFill>
          </w14:textFill>
        </w:rPr>
        <w:t>：</w:t>
      </w:r>
    </w:p>
    <w:p w14:paraId="3D64C025">
      <w:pPr>
        <w:pStyle w:val="24"/>
        <w:snapToGrid w:val="0"/>
        <w:spacing w:before="0" w:beforeAutospacing="0" w:after="0" w:afterAutospacing="0" w:line="312" w:lineRule="auto"/>
        <w:ind w:firstLine="420" w:firstLineChars="200"/>
        <w:rPr>
          <w:rFonts w:hint="default" w:cs="宋体"/>
          <w:sz w:val="21"/>
          <w:szCs w:val="21"/>
        </w:rPr>
      </w:pPr>
      <w:r>
        <w:rPr>
          <w:rFonts w:cs="宋体"/>
          <w:sz w:val="21"/>
          <w:szCs w:val="21"/>
        </w:rPr>
        <w:t>谈判保证金：人民币</w:t>
      </w:r>
      <w:r>
        <w:rPr>
          <w:rFonts w:cs="宋体"/>
          <w:sz w:val="21"/>
          <w:szCs w:val="21"/>
          <w:u w:val="single"/>
        </w:rPr>
        <w:t xml:space="preserve"> </w:t>
      </w:r>
      <w:r>
        <w:rPr>
          <w:rFonts w:hint="eastAsia" w:cs="宋体"/>
          <w:sz w:val="21"/>
          <w:szCs w:val="21"/>
          <w:u w:val="single"/>
          <w:lang w:val="en-US" w:eastAsia="zh-CN"/>
        </w:rPr>
        <w:t xml:space="preserve"> 5000   </w:t>
      </w:r>
      <w:r>
        <w:rPr>
          <w:rFonts w:cs="宋体"/>
          <w:sz w:val="21"/>
          <w:szCs w:val="21"/>
        </w:rPr>
        <w:t>元。交付方式：转账、电汇、银行汇票。谈判保证金必须以投标单位名义从其账户汇入</w:t>
      </w:r>
      <w:r>
        <w:rPr>
          <w:rFonts w:hint="eastAsia" w:cs="宋体"/>
          <w:sz w:val="21"/>
          <w:szCs w:val="21"/>
          <w:lang w:eastAsia="zh-CN"/>
        </w:rPr>
        <w:t>欧邦工程管理集团有限公司</w:t>
      </w:r>
      <w:r>
        <w:rPr>
          <w:rFonts w:cs="宋体"/>
          <w:sz w:val="21"/>
          <w:szCs w:val="21"/>
        </w:rPr>
        <w:t>账户，并注明项目名称，确保在投标截止时间前到账，否则将失去谈判资格。</w:t>
      </w:r>
    </w:p>
    <w:p w14:paraId="4500B284">
      <w:pPr>
        <w:pStyle w:val="24"/>
        <w:snapToGrid w:val="0"/>
        <w:spacing w:before="0" w:beforeAutospacing="0" w:after="0" w:afterAutospacing="0" w:line="312" w:lineRule="auto"/>
        <w:ind w:firstLine="420" w:firstLineChars="200"/>
        <w:rPr>
          <w:rFonts w:hint="eastAsia" w:eastAsia="宋体" w:cs="宋体"/>
          <w:sz w:val="21"/>
          <w:szCs w:val="21"/>
          <w:lang w:eastAsia="zh-CN"/>
        </w:rPr>
      </w:pPr>
      <w:r>
        <w:rPr>
          <w:rFonts w:cs="宋体"/>
          <w:sz w:val="21"/>
          <w:szCs w:val="21"/>
        </w:rPr>
        <w:t xml:space="preserve">    开户名：</w:t>
      </w:r>
      <w:r>
        <w:rPr>
          <w:rFonts w:hint="eastAsia" w:cs="宋体"/>
          <w:sz w:val="21"/>
          <w:szCs w:val="21"/>
          <w:lang w:val="en-US" w:eastAsia="zh-CN"/>
        </w:rPr>
        <w:t>欧邦工程管理集团有限公司仙居分公司</w:t>
      </w:r>
    </w:p>
    <w:p w14:paraId="49E999FC">
      <w:pPr>
        <w:pStyle w:val="24"/>
        <w:snapToGrid w:val="0"/>
        <w:spacing w:before="0" w:beforeAutospacing="0" w:after="0" w:afterAutospacing="0" w:line="312" w:lineRule="auto"/>
        <w:ind w:firstLine="420" w:firstLineChars="200"/>
        <w:rPr>
          <w:rFonts w:hint="default" w:cs="宋体"/>
          <w:sz w:val="21"/>
          <w:szCs w:val="21"/>
        </w:rPr>
      </w:pPr>
      <w:r>
        <w:rPr>
          <w:rFonts w:cs="宋体"/>
          <w:sz w:val="21"/>
          <w:szCs w:val="21"/>
        </w:rPr>
        <w:t xml:space="preserve">    开户行：</w:t>
      </w:r>
      <w:r>
        <w:rPr>
          <w:rFonts w:hint="eastAsia" w:cs="宋体"/>
          <w:sz w:val="21"/>
          <w:szCs w:val="21"/>
          <w:lang w:val="en-US" w:eastAsia="zh-CN"/>
        </w:rPr>
        <w:t>台州银行股份有限公司仙居支行</w:t>
      </w:r>
    </w:p>
    <w:p w14:paraId="6E2D0E87">
      <w:pPr>
        <w:snapToGrid w:val="0"/>
        <w:spacing w:line="312" w:lineRule="auto"/>
        <w:ind w:firstLine="840" w:firstLineChars="400"/>
        <w:rPr>
          <w:rFonts w:ascii="宋体" w:hAnsi="宋体" w:cs="宋体"/>
          <w:color w:val="000000" w:themeColor="text1"/>
          <w:kern w:val="0"/>
          <w:szCs w:val="21"/>
          <w14:textFill>
            <w14:solidFill>
              <w14:schemeClr w14:val="tx1"/>
            </w14:solidFill>
          </w14:textFill>
        </w:rPr>
      </w:pPr>
      <w:r>
        <w:rPr>
          <w:rFonts w:cs="宋体"/>
          <w:szCs w:val="21"/>
        </w:rPr>
        <w:t>账  号：</w:t>
      </w:r>
      <w:r>
        <w:rPr>
          <w:rFonts w:hint="eastAsia" w:cs="宋体"/>
          <w:szCs w:val="21"/>
          <w:lang w:val="en-US" w:eastAsia="zh-CN"/>
        </w:rPr>
        <w:t>5302296229000015</w:t>
      </w:r>
      <w:r>
        <w:rPr>
          <w:rFonts w:cs="宋体"/>
          <w:szCs w:val="21"/>
        </w:rPr>
        <w:t>。</w:t>
      </w:r>
    </w:p>
    <w:p w14:paraId="3D12835B">
      <w:pPr>
        <w:snapToGrid w:val="0"/>
        <w:spacing w:line="312" w:lineRule="auto"/>
        <w:ind w:firstLine="422" w:firstLineChars="200"/>
        <w:rPr>
          <w:rFonts w:ascii="宋体" w:hAnsi="宋体"/>
          <w:b/>
          <w:kern w:val="0"/>
          <w:szCs w:val="21"/>
        </w:rPr>
      </w:pPr>
      <w:r>
        <w:rPr>
          <w:rFonts w:hint="eastAsia"/>
          <w:b/>
          <w:color w:val="000000"/>
          <w:kern w:val="0"/>
          <w:szCs w:val="21"/>
        </w:rPr>
        <w:t>七</w:t>
      </w:r>
      <w:r>
        <w:rPr>
          <w:rFonts w:ascii="宋体" w:hAnsi="宋体"/>
          <w:b/>
          <w:kern w:val="0"/>
          <w:szCs w:val="21"/>
        </w:rPr>
        <w:t>、其他补充事宜</w:t>
      </w:r>
    </w:p>
    <w:p w14:paraId="1D8EA57B">
      <w:pPr>
        <w:widowControl/>
        <w:snapToGrid w:val="0"/>
        <w:spacing w:line="312" w:lineRule="auto"/>
        <w:ind w:firstLine="420" w:firstLineChars="200"/>
        <w:jc w:val="left"/>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、供应商认为采购文件使自己的权益受到损害的，</w:t>
      </w:r>
      <w:r>
        <w:rPr>
          <w:rFonts w:hint="eastAsia" w:ascii="宋体" w:hAnsi="宋体"/>
          <w:kern w:val="0"/>
          <w:szCs w:val="21"/>
        </w:rPr>
        <w:t>可以自获取采购文件之日，</w:t>
      </w:r>
      <w:r>
        <w:rPr>
          <w:rFonts w:hint="eastAsia" w:ascii="宋体" w:hAnsi="宋体" w:cs="宋体"/>
          <w:color w:val="000000"/>
          <w:kern w:val="0"/>
          <w:szCs w:val="21"/>
        </w:rPr>
        <w:t>以书面形式向采购人和采购代理机构提出质疑。</w:t>
      </w:r>
    </w:p>
    <w:p w14:paraId="449E325B">
      <w:pPr>
        <w:pStyle w:val="24"/>
        <w:snapToGrid w:val="0"/>
        <w:spacing w:before="0" w:beforeAutospacing="0" w:after="0" w:afterAutospacing="0" w:line="312" w:lineRule="auto"/>
        <w:ind w:firstLine="420" w:firstLineChars="200"/>
        <w:rPr>
          <w:rFonts w:hint="default" w:cs="宋体"/>
          <w:color w:val="000000"/>
          <w:sz w:val="21"/>
          <w:szCs w:val="21"/>
        </w:rPr>
      </w:pPr>
      <w:r>
        <w:rPr>
          <w:rFonts w:cs="宋体"/>
          <w:color w:val="000000"/>
          <w:sz w:val="21"/>
          <w:szCs w:val="21"/>
        </w:rPr>
        <w:t>2、谈判文件发售截止日后至投标截止时间前，允许潜在供应商继续报名。供应商如在采购代理机构发布本项目更正、补充或澄清公告后报名的，请自行登陆相关网站查看更正、补充或澄清公告内容，采购代理机构不再就上述内容作出书面通知。</w:t>
      </w:r>
    </w:p>
    <w:p w14:paraId="69E13902">
      <w:pPr>
        <w:snapToGrid w:val="0"/>
        <w:spacing w:line="312" w:lineRule="auto"/>
        <w:ind w:firstLine="422" w:firstLineChars="200"/>
        <w:rPr>
          <w:rFonts w:ascii="宋体" w:hAnsi="宋体" w:cs="Arial"/>
          <w:color w:val="FF0000"/>
          <w:szCs w:val="21"/>
        </w:rPr>
      </w:pPr>
      <w:r>
        <w:rPr>
          <w:rFonts w:hint="eastAsia" w:ascii="宋体" w:hAnsi="宋体"/>
          <w:b/>
          <w:kern w:val="0"/>
          <w:szCs w:val="21"/>
        </w:rPr>
        <w:t>八</w:t>
      </w:r>
      <w:r>
        <w:rPr>
          <w:rFonts w:ascii="宋体" w:hAnsi="宋体"/>
          <w:b/>
          <w:kern w:val="0"/>
          <w:szCs w:val="21"/>
        </w:rPr>
        <w:t>、对本次采购提出询问、质疑、投诉，请按以下方式联系。</w:t>
      </w:r>
      <w:r>
        <w:rPr>
          <w:rFonts w:hint="eastAsia" w:ascii="宋体" w:hAnsi="宋体"/>
          <w:b/>
          <w:kern w:val="0"/>
          <w:szCs w:val="21"/>
        </w:rPr>
        <w:t>　</w:t>
      </w:r>
    </w:p>
    <w:p w14:paraId="64E000B3">
      <w:pPr>
        <w:snapToGrid w:val="0"/>
        <w:spacing w:line="336" w:lineRule="auto"/>
        <w:ind w:firstLine="420" w:firstLineChars="200"/>
        <w:rPr>
          <w:rFonts w:ascii="宋体" w:hAnsi="宋体" w:cs="宋体"/>
          <w:kern w:val="0"/>
        </w:rPr>
      </w:pPr>
      <w:r>
        <w:rPr>
          <w:rFonts w:hint="eastAsia" w:ascii="宋体" w:hAnsi="宋体" w:cs="宋体"/>
          <w:kern w:val="0"/>
        </w:rPr>
        <w:t>1.采购人信息</w:t>
      </w:r>
    </w:p>
    <w:p w14:paraId="68069617">
      <w:pPr>
        <w:snapToGrid w:val="0"/>
        <w:spacing w:line="336" w:lineRule="auto"/>
        <w:ind w:firstLine="420"/>
        <w:rPr>
          <w:rFonts w:cs="宋体"/>
        </w:rPr>
      </w:pPr>
      <w:r>
        <w:rPr>
          <w:rFonts w:hint="eastAsia" w:ascii="宋体" w:hAnsi="宋体" w:cs="宋体"/>
          <w:kern w:val="0"/>
        </w:rPr>
        <w:t>   </w:t>
      </w:r>
      <w:r>
        <w:rPr>
          <w:rFonts w:cs="宋体"/>
        </w:rPr>
        <w:t>名    称： </w:t>
      </w:r>
      <w:r>
        <w:rPr>
          <w:rFonts w:hint="eastAsia" w:cs="宋体"/>
          <w:lang w:eastAsia="zh-CN"/>
        </w:rPr>
        <w:t>浙江神仙居体育发展有限公司</w:t>
      </w:r>
      <w:r>
        <w:rPr>
          <w:rFonts w:cs="宋体"/>
        </w:rPr>
        <w:t> </w:t>
      </w:r>
    </w:p>
    <w:p w14:paraId="7DA307D5">
      <w:pPr>
        <w:snapToGrid w:val="0"/>
        <w:spacing w:line="336" w:lineRule="auto"/>
        <w:ind w:firstLine="420" w:firstLineChars="200"/>
        <w:rPr>
          <w:rFonts w:ascii="宋体" w:hAnsi="宋体" w:cs="宋体"/>
          <w:kern w:val="0"/>
        </w:rPr>
      </w:pPr>
      <w:r>
        <w:rPr>
          <w:rFonts w:ascii="宋体" w:hAnsi="宋体" w:cs="宋体"/>
          <w:kern w:val="0"/>
        </w:rPr>
        <w:t>    地    址：</w:t>
      </w:r>
      <w:r>
        <w:rPr>
          <w:rFonts w:cs="宋体"/>
        </w:rPr>
        <w:t> </w:t>
      </w:r>
      <w:r>
        <w:rPr>
          <w:rFonts w:hint="eastAsia" w:cs="宋体"/>
        </w:rPr>
        <w:t>仙居县</w:t>
      </w:r>
    </w:p>
    <w:p w14:paraId="39A9FAFA">
      <w:pPr>
        <w:snapToGrid w:val="0"/>
        <w:spacing w:line="336" w:lineRule="auto"/>
        <w:ind w:firstLine="420" w:firstLineChars="200"/>
        <w:rPr>
          <w:rFonts w:hint="eastAsia" w:ascii="宋体" w:hAnsi="宋体" w:eastAsia="宋体" w:cs="宋体"/>
          <w:kern w:val="0"/>
          <w:lang w:eastAsia="zh-CN"/>
        </w:rPr>
      </w:pPr>
      <w:r>
        <w:rPr>
          <w:rFonts w:ascii="宋体" w:hAnsi="宋体" w:cs="宋体"/>
          <w:kern w:val="0"/>
        </w:rPr>
        <w:t>    项目联系人（询问）：</w:t>
      </w:r>
      <w:r>
        <w:rPr>
          <w:rFonts w:hint="eastAsia" w:ascii="宋体" w:hAnsi="宋体" w:cs="宋体"/>
          <w:kern w:val="0"/>
        </w:rPr>
        <w:t>应杰</w:t>
      </w:r>
      <w:r>
        <w:rPr>
          <w:rFonts w:hint="eastAsia" w:ascii="宋体" w:hAnsi="宋体" w:cs="宋体"/>
          <w:kern w:val="0"/>
          <w:lang w:val="en-US" w:eastAsia="zh-CN"/>
        </w:rPr>
        <w:t xml:space="preserve"> </w:t>
      </w:r>
    </w:p>
    <w:p w14:paraId="7F581D3C">
      <w:pPr>
        <w:snapToGrid w:val="0"/>
        <w:spacing w:line="336" w:lineRule="auto"/>
        <w:ind w:firstLine="420" w:firstLineChars="200"/>
        <w:rPr>
          <w:rFonts w:hint="eastAsia" w:ascii="宋体" w:hAnsi="宋体" w:eastAsia="宋体" w:cs="宋体"/>
          <w:kern w:val="0"/>
          <w:highlight w:val="none"/>
          <w:lang w:eastAsia="zh-CN"/>
        </w:rPr>
      </w:pPr>
      <w:r>
        <w:rPr>
          <w:rFonts w:ascii="宋体" w:hAnsi="宋体" w:cs="宋体"/>
          <w:kern w:val="0"/>
        </w:rPr>
        <w:t> </w:t>
      </w:r>
      <w:r>
        <w:rPr>
          <w:rFonts w:ascii="宋体" w:hAnsi="宋体" w:cs="宋体"/>
          <w:kern w:val="0"/>
          <w:highlight w:val="none"/>
        </w:rPr>
        <w:t xml:space="preserve">  项目联系方式（询问）：</w:t>
      </w:r>
      <w:r>
        <w:rPr>
          <w:rFonts w:hint="eastAsia" w:ascii="宋体" w:hAnsi="宋体" w:cs="宋体"/>
          <w:kern w:val="0"/>
          <w:highlight w:val="none"/>
        </w:rPr>
        <w:t>13967617696</w:t>
      </w:r>
      <w:r>
        <w:rPr>
          <w:rFonts w:hint="eastAsia" w:ascii="宋体" w:hAnsi="宋体" w:cs="宋体"/>
          <w:kern w:val="0"/>
          <w:highlight w:val="none"/>
          <w:lang w:val="en-US" w:eastAsia="zh-CN"/>
        </w:rPr>
        <w:t xml:space="preserve"> </w:t>
      </w:r>
    </w:p>
    <w:p w14:paraId="7A850CF1">
      <w:pPr>
        <w:snapToGrid w:val="0"/>
        <w:spacing w:line="336" w:lineRule="auto"/>
        <w:ind w:firstLine="420" w:firstLineChars="200"/>
        <w:rPr>
          <w:rFonts w:hint="eastAsia" w:ascii="宋体" w:hAnsi="宋体" w:eastAsia="宋体" w:cs="宋体"/>
          <w:kern w:val="0"/>
          <w:highlight w:val="none"/>
          <w:lang w:eastAsia="zh-CN"/>
        </w:rPr>
      </w:pPr>
      <w:r>
        <w:rPr>
          <w:rFonts w:ascii="宋体" w:hAnsi="宋体" w:cs="宋体"/>
          <w:kern w:val="0"/>
          <w:highlight w:val="none"/>
        </w:rPr>
        <w:t>   质疑联系人：</w:t>
      </w:r>
      <w:r>
        <w:rPr>
          <w:rFonts w:hint="eastAsia" w:ascii="宋体" w:hAnsi="宋体" w:cs="宋体"/>
          <w:kern w:val="0"/>
          <w:highlight w:val="none"/>
        </w:rPr>
        <w:t>沈先生</w:t>
      </w:r>
      <w:r>
        <w:rPr>
          <w:rFonts w:ascii="宋体" w:hAnsi="宋体" w:cs="宋体"/>
          <w:kern w:val="0"/>
          <w:highlight w:val="none"/>
        </w:rPr>
        <w:t xml:space="preserve"> </w:t>
      </w:r>
      <w:r>
        <w:rPr>
          <w:rFonts w:hint="eastAsia" w:ascii="宋体" w:hAnsi="宋体" w:cs="宋体"/>
          <w:kern w:val="0"/>
          <w:highlight w:val="none"/>
          <w:lang w:val="en-US" w:eastAsia="zh-CN"/>
        </w:rPr>
        <w:t xml:space="preserve"> </w:t>
      </w:r>
    </w:p>
    <w:p w14:paraId="510258ED">
      <w:pPr>
        <w:snapToGrid w:val="0"/>
        <w:spacing w:line="336" w:lineRule="auto"/>
        <w:ind w:firstLine="420" w:firstLineChars="200"/>
        <w:rPr>
          <w:rFonts w:hint="eastAsia" w:ascii="宋体" w:hAnsi="宋体" w:cs="宋体"/>
          <w:kern w:val="0"/>
          <w:highlight w:val="none"/>
          <w:lang w:val="en-US" w:eastAsia="zh-CN"/>
        </w:rPr>
      </w:pPr>
      <w:r>
        <w:rPr>
          <w:rFonts w:ascii="宋体" w:hAnsi="宋体" w:cs="宋体"/>
          <w:kern w:val="0"/>
          <w:highlight w:val="none"/>
        </w:rPr>
        <w:t>   质疑联系方式：</w:t>
      </w:r>
      <w:r>
        <w:rPr>
          <w:rFonts w:hint="eastAsia" w:ascii="宋体" w:hAnsi="宋体" w:cs="宋体"/>
          <w:kern w:val="0"/>
          <w:highlight w:val="none"/>
        </w:rPr>
        <w:t>13606766949</w:t>
      </w:r>
      <w:r>
        <w:rPr>
          <w:rFonts w:hint="eastAsia" w:ascii="宋体" w:hAnsi="宋体" w:cs="宋体"/>
          <w:kern w:val="0"/>
          <w:highlight w:val="none"/>
          <w:lang w:val="en-US" w:eastAsia="zh-CN"/>
        </w:rPr>
        <w:t xml:space="preserve"> </w:t>
      </w:r>
    </w:p>
    <w:p w14:paraId="2EE064AA">
      <w:pPr>
        <w:snapToGrid w:val="0"/>
        <w:spacing w:line="336" w:lineRule="auto"/>
        <w:ind w:firstLine="420" w:firstLineChars="200"/>
        <w:rPr>
          <w:rFonts w:ascii="宋体" w:hAnsi="宋体" w:cs="宋体"/>
          <w:kern w:val="0"/>
        </w:rPr>
      </w:pPr>
      <w:r>
        <w:rPr>
          <w:rFonts w:hint="eastAsia" w:ascii="宋体" w:hAnsi="宋体" w:cs="宋体"/>
          <w:kern w:val="0"/>
        </w:rPr>
        <w:t xml:space="preserve"> 2.采购代理机构信息</w:t>
      </w:r>
    </w:p>
    <w:p w14:paraId="1F838102">
      <w:pPr>
        <w:snapToGrid w:val="0"/>
        <w:spacing w:line="336" w:lineRule="auto"/>
        <w:ind w:firstLine="420" w:firstLineChars="200"/>
        <w:rPr>
          <w:rFonts w:hint="eastAsia" w:ascii="宋体" w:hAnsi="宋体" w:eastAsia="宋体" w:cs="宋体"/>
          <w:kern w:val="0"/>
          <w:lang w:eastAsia="zh-CN"/>
        </w:rPr>
      </w:pPr>
      <w:r>
        <w:rPr>
          <w:rFonts w:hint="eastAsia" w:ascii="宋体" w:hAnsi="宋体" w:cs="宋体"/>
          <w:kern w:val="0"/>
        </w:rPr>
        <w:t>   名    称： </w:t>
      </w:r>
      <w:r>
        <w:rPr>
          <w:rFonts w:hint="eastAsia" w:ascii="宋体" w:hAnsi="宋体" w:cs="宋体"/>
          <w:kern w:val="0"/>
          <w:lang w:eastAsia="zh-CN"/>
        </w:rPr>
        <w:t>欧邦工程管理集团有限公司</w:t>
      </w:r>
    </w:p>
    <w:p w14:paraId="3740B3A4">
      <w:pPr>
        <w:snapToGrid w:val="0"/>
        <w:spacing w:line="336" w:lineRule="auto"/>
        <w:ind w:firstLine="420" w:firstLineChars="200"/>
        <w:rPr>
          <w:rFonts w:hint="eastAsia" w:ascii="宋体" w:hAnsi="宋体" w:eastAsia="宋体" w:cs="宋体"/>
          <w:kern w:val="0"/>
          <w:lang w:eastAsia="zh-CN"/>
        </w:rPr>
      </w:pPr>
      <w:r>
        <w:rPr>
          <w:rFonts w:hint="eastAsia" w:ascii="宋体" w:hAnsi="宋体" w:cs="宋体"/>
          <w:kern w:val="0"/>
        </w:rPr>
        <w:t>   地    址：</w:t>
      </w:r>
      <w:r>
        <w:rPr>
          <w:rFonts w:hint="eastAsia" w:ascii="宋体" w:hAnsi="宋体" w:cs="宋体"/>
          <w:kern w:val="0"/>
          <w:lang w:eastAsia="zh-CN"/>
        </w:rPr>
        <w:t>仙居县环城北路炉兴村办公楼四楼</w:t>
      </w:r>
    </w:p>
    <w:p w14:paraId="706F7281">
      <w:pPr>
        <w:snapToGrid w:val="0"/>
        <w:spacing w:line="336" w:lineRule="auto"/>
        <w:ind w:firstLine="420" w:firstLineChars="200"/>
        <w:rPr>
          <w:rFonts w:hint="eastAsia" w:ascii="宋体" w:hAnsi="宋体" w:eastAsia="宋体" w:cs="宋体"/>
          <w:kern w:val="0"/>
          <w:lang w:eastAsia="zh-CN"/>
        </w:rPr>
      </w:pPr>
      <w:r>
        <w:rPr>
          <w:rFonts w:hint="eastAsia" w:ascii="宋体" w:hAnsi="宋体" w:cs="宋体"/>
          <w:kern w:val="0"/>
        </w:rPr>
        <w:t>   传    真： </w:t>
      </w:r>
      <w:r>
        <w:rPr>
          <w:rFonts w:hint="eastAsia" w:ascii="宋体" w:hAnsi="宋体" w:cs="宋体"/>
          <w:kern w:val="0"/>
          <w:lang w:eastAsia="zh-CN"/>
        </w:rPr>
        <w:t>15888616517</w:t>
      </w:r>
    </w:p>
    <w:p w14:paraId="717DFFA2">
      <w:pPr>
        <w:snapToGrid w:val="0"/>
        <w:spacing w:line="336" w:lineRule="auto"/>
        <w:ind w:firstLine="420" w:firstLineChars="200"/>
        <w:rPr>
          <w:rFonts w:ascii="宋体" w:hAnsi="宋体" w:cs="宋体"/>
          <w:kern w:val="0"/>
        </w:rPr>
      </w:pPr>
      <w:r>
        <w:rPr>
          <w:rFonts w:hint="eastAsia" w:ascii="宋体" w:hAnsi="宋体" w:cs="宋体"/>
          <w:kern w:val="0"/>
        </w:rPr>
        <w:t>   项目联系人（询问）：</w:t>
      </w:r>
      <w:r>
        <w:rPr>
          <w:rFonts w:hint="eastAsia" w:ascii="宋体" w:hAnsi="宋体" w:cs="宋体"/>
          <w:kern w:val="0"/>
          <w:lang w:eastAsia="zh-CN"/>
        </w:rPr>
        <w:t>卢春甫</w:t>
      </w:r>
      <w:r>
        <w:rPr>
          <w:rFonts w:hint="eastAsia" w:ascii="宋体" w:hAnsi="宋体" w:cs="宋体"/>
          <w:kern w:val="0"/>
        </w:rPr>
        <w:t>　</w:t>
      </w:r>
    </w:p>
    <w:p w14:paraId="1A2A5475">
      <w:pPr>
        <w:snapToGrid w:val="0"/>
        <w:spacing w:line="336" w:lineRule="auto"/>
        <w:ind w:firstLine="420" w:firstLineChars="200"/>
        <w:rPr>
          <w:rFonts w:hint="eastAsia" w:ascii="宋体" w:hAnsi="宋体" w:eastAsia="宋体" w:cs="宋体"/>
          <w:kern w:val="0"/>
          <w:lang w:eastAsia="zh-CN"/>
        </w:rPr>
      </w:pPr>
      <w:r>
        <w:rPr>
          <w:rFonts w:hint="eastAsia" w:ascii="宋体" w:hAnsi="宋体" w:cs="宋体"/>
          <w:kern w:val="0"/>
        </w:rPr>
        <w:t>   项目联系方式（询问）：</w:t>
      </w:r>
      <w:r>
        <w:rPr>
          <w:rFonts w:hint="eastAsia" w:ascii="宋体" w:hAnsi="宋体" w:cs="宋体"/>
          <w:kern w:val="0"/>
          <w:lang w:eastAsia="zh-CN"/>
        </w:rPr>
        <w:t>15888616517</w:t>
      </w:r>
    </w:p>
    <w:p w14:paraId="7C427B0F">
      <w:pPr>
        <w:snapToGrid w:val="0"/>
        <w:spacing w:line="336" w:lineRule="auto"/>
        <w:ind w:firstLine="420" w:firstLineChars="200"/>
        <w:rPr>
          <w:rFonts w:ascii="宋体" w:hAnsi="宋体" w:cs="宋体"/>
          <w:kern w:val="0"/>
        </w:rPr>
      </w:pPr>
      <w:r>
        <w:rPr>
          <w:rFonts w:hint="eastAsia" w:ascii="宋体" w:hAnsi="宋体" w:cs="宋体"/>
          <w:kern w:val="0"/>
        </w:rPr>
        <w:t>   质疑联系人：</w:t>
      </w:r>
      <w:r>
        <w:rPr>
          <w:rFonts w:hint="eastAsia" w:ascii="宋体" w:hAnsi="宋体" w:cs="宋体"/>
          <w:kern w:val="0"/>
          <w:lang w:val="en-US" w:eastAsia="zh-CN"/>
        </w:rPr>
        <w:t>吴卫央</w:t>
      </w:r>
      <w:r>
        <w:rPr>
          <w:rFonts w:hint="eastAsia" w:ascii="宋体" w:hAnsi="宋体" w:cs="宋体"/>
          <w:kern w:val="0"/>
        </w:rPr>
        <w:t> </w:t>
      </w:r>
    </w:p>
    <w:p w14:paraId="6595B69B">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napToGrid w:val="0"/>
        <w:spacing w:line="312" w:lineRule="auto"/>
        <w:ind w:right="-94" w:firstLine="630" w:firstLineChars="300"/>
        <w:rPr>
          <w:rFonts w:hint="default" w:eastAsia="宋体" w:cs="Arial" w:asciiTheme="minorEastAsia" w:hAnsiTheme="minorEastAsia"/>
          <w:color w:val="000000"/>
          <w:sz w:val="24"/>
          <w:lang w:val="en-US" w:eastAsia="zh-CN"/>
        </w:rPr>
      </w:pPr>
      <w:r>
        <w:rPr>
          <w:rFonts w:hint="eastAsia" w:ascii="宋体" w:hAnsi="宋体" w:cs="宋体"/>
          <w:kern w:val="0"/>
        </w:rPr>
        <w:t>  质疑联系方式：0576-</w:t>
      </w:r>
      <w:r>
        <w:rPr>
          <w:rFonts w:hint="eastAsia" w:ascii="宋体" w:hAnsi="宋体" w:cs="宋体"/>
          <w:kern w:val="0"/>
          <w:lang w:val="en-US" w:eastAsia="zh-CN"/>
        </w:rPr>
        <w:t>87051666</w:t>
      </w:r>
    </w:p>
    <w:p w14:paraId="0314582E">
      <w:pPr>
        <w:snapToGrid w:val="0"/>
        <w:spacing w:line="312" w:lineRule="auto"/>
        <w:ind w:right="480" w:firstLine="600" w:firstLineChars="250"/>
        <w:jc w:val="center"/>
        <w:rPr>
          <w:rFonts w:ascii="宋体"/>
          <w:color w:val="000000"/>
          <w:kern w:val="0"/>
          <w:sz w:val="24"/>
        </w:rPr>
      </w:pPr>
    </w:p>
    <w:p w14:paraId="1DCEAF7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kern w:val="0"/>
          <w:szCs w:val="21"/>
        </w:rPr>
      </w:pPr>
      <w:r>
        <w:rPr>
          <w:rFonts w:hint="eastAsia" w:ascii="宋体" w:hAnsi="宋体"/>
          <w:szCs w:val="21"/>
        </w:rPr>
        <w:t xml:space="preserve">                                          202</w:t>
      </w:r>
      <w:r>
        <w:rPr>
          <w:rFonts w:hint="eastAsia" w:ascii="宋体" w:hAnsi="宋体"/>
          <w:szCs w:val="21"/>
          <w:lang w:val="en-US" w:eastAsia="zh-CN"/>
        </w:rPr>
        <w:t>4</w:t>
      </w:r>
      <w:r>
        <w:rPr>
          <w:rFonts w:hint="eastAsia" w:ascii="宋体"/>
          <w:kern w:val="0"/>
          <w:szCs w:val="21"/>
        </w:rPr>
        <w:t>年</w:t>
      </w:r>
      <w:r>
        <w:rPr>
          <w:rFonts w:hint="eastAsia" w:ascii="宋体" w:hAnsi="宋体"/>
          <w:szCs w:val="21"/>
          <w:lang w:val="en-US" w:eastAsia="zh-CN"/>
        </w:rPr>
        <w:t>11</w:t>
      </w:r>
      <w:r>
        <w:rPr>
          <w:rFonts w:hint="eastAsia" w:ascii="宋体"/>
          <w:kern w:val="0"/>
          <w:szCs w:val="21"/>
        </w:rPr>
        <w:t>月</w:t>
      </w:r>
      <w:r>
        <w:rPr>
          <w:rFonts w:hint="eastAsia" w:ascii="宋体"/>
          <w:kern w:val="0"/>
          <w:szCs w:val="21"/>
          <w:lang w:val="en-US" w:eastAsia="zh-CN"/>
        </w:rPr>
        <w:t>11</w:t>
      </w:r>
      <w:r>
        <w:rPr>
          <w:rFonts w:hint="eastAsia" w:ascii="宋体"/>
          <w:kern w:val="0"/>
          <w:szCs w:val="21"/>
        </w:rPr>
        <w:t>日</w:t>
      </w:r>
    </w:p>
    <w:p w14:paraId="7A8986F2">
      <w:pPr>
        <w:snapToGrid w:val="0"/>
        <w:spacing w:line="360" w:lineRule="auto"/>
        <w:jc w:val="center"/>
        <w:rPr>
          <w:rFonts w:asciiTheme="majorEastAsia" w:hAnsiTheme="majorEastAsia" w:eastAsiaTheme="majorEastAsia"/>
          <w:b/>
          <w:color w:val="000000" w:themeColor="text1"/>
          <w:sz w:val="36"/>
          <w:szCs w:val="36"/>
          <w14:textFill>
            <w14:solidFill>
              <w14:schemeClr w14:val="tx1"/>
            </w14:solidFill>
          </w14:textFill>
        </w:rPr>
      </w:pPr>
      <w:r>
        <w:rPr>
          <w:rFonts w:hint="eastAsia" w:asciiTheme="majorEastAsia" w:hAnsiTheme="majorEastAsia" w:eastAsiaTheme="majorEastAsia"/>
          <w:b/>
          <w:color w:val="000000" w:themeColor="text1"/>
          <w:sz w:val="36"/>
          <w:szCs w:val="36"/>
          <w14:textFill>
            <w14:solidFill>
              <w14:schemeClr w14:val="tx1"/>
            </w14:solidFill>
          </w14:textFill>
        </w:rPr>
        <w:br w:type="page"/>
      </w:r>
    </w:p>
    <w:p w14:paraId="2D7127B4">
      <w:pPr>
        <w:spacing w:line="360" w:lineRule="auto"/>
        <w:jc w:val="center"/>
        <w:rPr>
          <w:rFonts w:ascii="宋体" w:hAnsi="宋体"/>
          <w:b/>
          <w:sz w:val="36"/>
          <w:szCs w:val="36"/>
        </w:rPr>
      </w:pPr>
      <w:r>
        <w:rPr>
          <w:rFonts w:hint="eastAsia" w:ascii="宋体" w:hAnsi="宋体"/>
          <w:b/>
          <w:sz w:val="36"/>
          <w:szCs w:val="36"/>
        </w:rPr>
        <w:t>第二章　供应商须知</w:t>
      </w:r>
    </w:p>
    <w:p w14:paraId="1F6D3517">
      <w:pPr>
        <w:spacing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前附表</w:t>
      </w:r>
    </w:p>
    <w:p w14:paraId="20F42403">
      <w:pPr>
        <w:adjustRightInd w:val="0"/>
        <w:snapToGrid w:val="0"/>
        <w:spacing w:line="192" w:lineRule="auto"/>
        <w:jc w:val="center"/>
        <w:outlineLvl w:val="0"/>
        <w:rPr>
          <w:b/>
          <w:color w:val="000000"/>
          <w:sz w:val="30"/>
          <w:szCs w:val="30"/>
        </w:rPr>
      </w:pPr>
    </w:p>
    <w:tbl>
      <w:tblPr>
        <w:tblStyle w:val="27"/>
        <w:tblW w:w="10468" w:type="dxa"/>
        <w:tblInd w:w="-45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129"/>
        <w:gridCol w:w="7630"/>
      </w:tblGrid>
      <w:tr w14:paraId="12D4B5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09" w:type="dxa"/>
            <w:vAlign w:val="center"/>
          </w:tcPr>
          <w:p w14:paraId="6036101D">
            <w:pPr>
              <w:spacing w:line="300" w:lineRule="exact"/>
              <w:jc w:val="center"/>
              <w:rPr>
                <w:rFonts w:ascii="宋体" w:hAnsi="宋体"/>
                <w:color w:val="000000"/>
                <w:szCs w:val="21"/>
              </w:rPr>
            </w:pPr>
            <w:r>
              <w:rPr>
                <w:rFonts w:hint="eastAsia" w:ascii="宋体" w:hAnsi="宋体"/>
                <w:color w:val="000000"/>
                <w:szCs w:val="21"/>
              </w:rPr>
              <w:t>序号</w:t>
            </w:r>
          </w:p>
        </w:tc>
        <w:tc>
          <w:tcPr>
            <w:tcW w:w="2129" w:type="dxa"/>
            <w:vAlign w:val="center"/>
          </w:tcPr>
          <w:p w14:paraId="2AA01627">
            <w:pPr>
              <w:spacing w:line="300" w:lineRule="exact"/>
              <w:ind w:firstLine="210" w:firstLineChars="100"/>
              <w:jc w:val="center"/>
              <w:rPr>
                <w:rFonts w:ascii="宋体" w:hAnsi="宋体"/>
                <w:color w:val="000000"/>
                <w:szCs w:val="21"/>
              </w:rPr>
            </w:pPr>
            <w:r>
              <w:rPr>
                <w:rFonts w:hint="eastAsia" w:ascii="宋体" w:hAnsi="宋体"/>
                <w:color w:val="000000"/>
                <w:szCs w:val="21"/>
              </w:rPr>
              <w:t>项   目</w:t>
            </w:r>
          </w:p>
        </w:tc>
        <w:tc>
          <w:tcPr>
            <w:tcW w:w="7630" w:type="dxa"/>
            <w:vAlign w:val="center"/>
          </w:tcPr>
          <w:p w14:paraId="5B5A0072">
            <w:pPr>
              <w:spacing w:line="300" w:lineRule="exact"/>
              <w:jc w:val="center"/>
              <w:rPr>
                <w:rFonts w:ascii="宋体" w:hAnsi="宋体"/>
                <w:color w:val="000000"/>
                <w:szCs w:val="21"/>
              </w:rPr>
            </w:pPr>
            <w:r>
              <w:rPr>
                <w:rFonts w:hint="eastAsia" w:ascii="宋体" w:hAnsi="宋体"/>
                <w:color w:val="000000"/>
                <w:szCs w:val="21"/>
              </w:rPr>
              <w:t>内                容</w:t>
            </w:r>
          </w:p>
        </w:tc>
      </w:tr>
      <w:tr w14:paraId="071DFB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709" w:type="dxa"/>
            <w:vAlign w:val="center"/>
          </w:tcPr>
          <w:p w14:paraId="05062D46">
            <w:pPr>
              <w:spacing w:line="320" w:lineRule="exact"/>
              <w:jc w:val="center"/>
              <w:rPr>
                <w:rFonts w:ascii="宋体" w:hAnsi="宋体"/>
                <w:color w:val="000000"/>
                <w:szCs w:val="21"/>
              </w:rPr>
            </w:pPr>
            <w:r>
              <w:rPr>
                <w:rFonts w:hint="eastAsia" w:ascii="宋体" w:hAnsi="宋体"/>
                <w:color w:val="000000"/>
                <w:szCs w:val="21"/>
              </w:rPr>
              <w:t>1</w:t>
            </w:r>
          </w:p>
        </w:tc>
        <w:tc>
          <w:tcPr>
            <w:tcW w:w="2129" w:type="dxa"/>
            <w:vAlign w:val="center"/>
          </w:tcPr>
          <w:p w14:paraId="3D316300">
            <w:pPr>
              <w:spacing w:line="360" w:lineRule="exact"/>
              <w:jc w:val="center"/>
              <w:rPr>
                <w:rFonts w:ascii="宋体" w:hAnsi="宋体"/>
                <w:bCs/>
                <w:color w:val="000000"/>
                <w:szCs w:val="21"/>
              </w:rPr>
            </w:pPr>
            <w:r>
              <w:rPr>
                <w:rFonts w:hint="eastAsia" w:ascii="宋体" w:hAnsi="宋体"/>
                <w:bCs/>
                <w:color w:val="000000"/>
                <w:szCs w:val="21"/>
              </w:rPr>
              <w:t>项目名称</w:t>
            </w:r>
          </w:p>
        </w:tc>
        <w:tc>
          <w:tcPr>
            <w:tcW w:w="7630" w:type="dxa"/>
            <w:vAlign w:val="center"/>
          </w:tcPr>
          <w:p w14:paraId="7DA19980">
            <w:pPr>
              <w:spacing w:line="360" w:lineRule="exact"/>
              <w:ind w:left="-2" w:leftChars="-1" w:firstLine="2" w:firstLineChars="1"/>
              <w:rPr>
                <w:rFonts w:hint="eastAsia" w:ascii="宋体" w:hAnsi="宋体" w:eastAsia="宋体"/>
                <w:bCs/>
                <w:color w:val="000000"/>
                <w:szCs w:val="21"/>
                <w:lang w:eastAsia="zh-CN"/>
              </w:rPr>
            </w:pPr>
            <w:r>
              <w:rPr>
                <w:rFonts w:hint="eastAsia" w:ascii="宋体" w:hAnsi="宋体" w:cs="宋体"/>
                <w:kern w:val="0"/>
                <w:szCs w:val="21"/>
                <w:lang w:eastAsia="zh-CN"/>
              </w:rPr>
              <w:t>神仙居仙侠演艺餐厅厨房设备采购（非政府采购类）</w:t>
            </w:r>
          </w:p>
        </w:tc>
      </w:tr>
      <w:tr w14:paraId="642FDB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709" w:type="dxa"/>
            <w:vAlign w:val="center"/>
          </w:tcPr>
          <w:p w14:paraId="1F1745BB">
            <w:pPr>
              <w:spacing w:line="320" w:lineRule="exact"/>
              <w:jc w:val="center"/>
              <w:rPr>
                <w:rFonts w:ascii="宋体" w:hAnsi="宋体"/>
                <w:color w:val="000000"/>
                <w:szCs w:val="21"/>
              </w:rPr>
            </w:pPr>
            <w:r>
              <w:rPr>
                <w:rFonts w:hint="eastAsia" w:ascii="宋体" w:hAnsi="宋体"/>
                <w:color w:val="000000"/>
                <w:szCs w:val="21"/>
              </w:rPr>
              <w:t>2</w:t>
            </w:r>
          </w:p>
        </w:tc>
        <w:tc>
          <w:tcPr>
            <w:tcW w:w="2129" w:type="dxa"/>
            <w:vAlign w:val="center"/>
          </w:tcPr>
          <w:p w14:paraId="183B8D53">
            <w:pPr>
              <w:spacing w:line="360" w:lineRule="exact"/>
              <w:jc w:val="center"/>
              <w:rPr>
                <w:rFonts w:ascii="宋体" w:hAnsi="宋体"/>
                <w:bCs/>
                <w:color w:val="000000"/>
                <w:szCs w:val="21"/>
              </w:rPr>
            </w:pPr>
            <w:r>
              <w:rPr>
                <w:rFonts w:hint="eastAsia" w:ascii="宋体" w:hAnsi="宋体"/>
                <w:bCs/>
                <w:color w:val="000000"/>
                <w:szCs w:val="21"/>
              </w:rPr>
              <w:t>采购内容</w:t>
            </w:r>
          </w:p>
        </w:tc>
        <w:tc>
          <w:tcPr>
            <w:tcW w:w="7630" w:type="dxa"/>
            <w:vAlign w:val="center"/>
          </w:tcPr>
          <w:p w14:paraId="0BFA02B1">
            <w:pPr>
              <w:spacing w:line="360" w:lineRule="exact"/>
              <w:ind w:left="-2" w:leftChars="-1" w:firstLine="2" w:firstLineChars="1"/>
              <w:rPr>
                <w:rFonts w:ascii="宋体" w:hAnsi="宋体"/>
                <w:bCs/>
                <w:color w:val="000000"/>
                <w:szCs w:val="21"/>
              </w:rPr>
            </w:pPr>
            <w:r>
              <w:rPr>
                <w:rFonts w:hint="eastAsia" w:ascii="宋体" w:hAnsi="宋体"/>
                <w:bCs/>
                <w:color w:val="000000"/>
                <w:szCs w:val="21"/>
              </w:rPr>
              <w:t>详见本采购文件“第三章 采购需求”内容</w:t>
            </w:r>
          </w:p>
        </w:tc>
      </w:tr>
      <w:tr w14:paraId="18E22D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709" w:type="dxa"/>
            <w:vAlign w:val="center"/>
          </w:tcPr>
          <w:p w14:paraId="3C63604E">
            <w:pPr>
              <w:spacing w:line="320" w:lineRule="exact"/>
              <w:jc w:val="center"/>
              <w:rPr>
                <w:rFonts w:ascii="宋体" w:hAnsi="宋体"/>
                <w:color w:val="000000"/>
                <w:szCs w:val="21"/>
              </w:rPr>
            </w:pPr>
            <w:r>
              <w:rPr>
                <w:rFonts w:hint="eastAsia" w:ascii="宋体" w:hAnsi="宋体"/>
                <w:color w:val="000000"/>
                <w:szCs w:val="21"/>
              </w:rPr>
              <w:t>3</w:t>
            </w:r>
          </w:p>
        </w:tc>
        <w:tc>
          <w:tcPr>
            <w:tcW w:w="2129" w:type="dxa"/>
            <w:vAlign w:val="center"/>
          </w:tcPr>
          <w:p w14:paraId="65FFB3D3">
            <w:pPr>
              <w:spacing w:line="360" w:lineRule="exact"/>
              <w:jc w:val="center"/>
              <w:rPr>
                <w:rFonts w:ascii="宋体" w:hAnsi="宋体"/>
                <w:bCs/>
                <w:color w:val="000000"/>
                <w:szCs w:val="21"/>
              </w:rPr>
            </w:pPr>
            <w:r>
              <w:rPr>
                <w:rFonts w:hint="eastAsia" w:ascii="宋体" w:hAnsi="宋体"/>
                <w:bCs/>
                <w:color w:val="000000"/>
                <w:szCs w:val="21"/>
              </w:rPr>
              <w:t>采购方式</w:t>
            </w:r>
          </w:p>
        </w:tc>
        <w:tc>
          <w:tcPr>
            <w:tcW w:w="7630" w:type="dxa"/>
            <w:vAlign w:val="center"/>
          </w:tcPr>
          <w:p w14:paraId="448CAACD">
            <w:pPr>
              <w:rPr>
                <w:rFonts w:ascii="宋体" w:hAnsi="宋体"/>
                <w:bCs/>
                <w:color w:val="000000"/>
                <w:szCs w:val="21"/>
              </w:rPr>
            </w:pPr>
            <w:r>
              <w:rPr>
                <w:rFonts w:hint="eastAsia" w:ascii="宋体" w:hAnsi="宋体"/>
                <w:bCs/>
                <w:color w:val="000000"/>
                <w:szCs w:val="21"/>
              </w:rPr>
              <w:t>竞争性谈判</w:t>
            </w:r>
          </w:p>
        </w:tc>
      </w:tr>
      <w:tr w14:paraId="6EC80E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709" w:type="dxa"/>
            <w:vAlign w:val="center"/>
          </w:tcPr>
          <w:p w14:paraId="59B1F513">
            <w:pPr>
              <w:spacing w:line="320" w:lineRule="exact"/>
              <w:jc w:val="center"/>
              <w:rPr>
                <w:rFonts w:ascii="宋体" w:hAnsi="宋体"/>
                <w:szCs w:val="21"/>
              </w:rPr>
            </w:pPr>
            <w:r>
              <w:rPr>
                <w:rFonts w:hint="eastAsia" w:ascii="宋体" w:hAnsi="宋体"/>
                <w:szCs w:val="21"/>
              </w:rPr>
              <w:t>4</w:t>
            </w:r>
          </w:p>
        </w:tc>
        <w:tc>
          <w:tcPr>
            <w:tcW w:w="2129" w:type="dxa"/>
            <w:vAlign w:val="center"/>
          </w:tcPr>
          <w:p w14:paraId="09D04ABD">
            <w:pPr>
              <w:spacing w:line="360" w:lineRule="exact"/>
              <w:jc w:val="center"/>
              <w:rPr>
                <w:rFonts w:ascii="宋体" w:hAnsi="宋体"/>
                <w:bCs/>
                <w:color w:val="000000"/>
                <w:szCs w:val="21"/>
              </w:rPr>
            </w:pPr>
            <w:r>
              <w:rPr>
                <w:rFonts w:hint="eastAsia" w:ascii="宋体" w:hAnsi="宋体"/>
                <w:bCs/>
                <w:color w:val="000000"/>
                <w:szCs w:val="21"/>
              </w:rPr>
              <w:t>▲工期要求</w:t>
            </w:r>
          </w:p>
        </w:tc>
        <w:tc>
          <w:tcPr>
            <w:tcW w:w="7630" w:type="dxa"/>
            <w:vAlign w:val="center"/>
          </w:tcPr>
          <w:p w14:paraId="5386B535">
            <w:pPr>
              <w:spacing w:line="360" w:lineRule="exact"/>
              <w:ind w:left="-2" w:leftChars="-1" w:firstLine="2" w:firstLineChars="1"/>
              <w:rPr>
                <w:rFonts w:hint="eastAsia" w:ascii="宋体" w:hAnsi="宋体" w:eastAsia="宋体"/>
                <w:bCs/>
                <w:color w:val="000000"/>
                <w:szCs w:val="21"/>
                <w:lang w:eastAsia="zh-CN"/>
              </w:rPr>
            </w:pPr>
            <w:r>
              <w:rPr>
                <w:rFonts w:hint="eastAsia" w:hAnsi="宋体" w:cs="宋体"/>
                <w:bCs/>
                <w:szCs w:val="21"/>
              </w:rPr>
              <w:t>自合同签订之日起</w:t>
            </w:r>
            <w:r>
              <w:rPr>
                <w:rFonts w:hint="eastAsia" w:hAnsi="宋体" w:cs="宋体"/>
                <w:bCs/>
                <w:szCs w:val="21"/>
                <w:u w:val="single"/>
              </w:rPr>
              <w:t xml:space="preserve"> </w:t>
            </w:r>
            <w:r>
              <w:rPr>
                <w:rFonts w:hint="eastAsia" w:hAnsi="宋体" w:cs="宋体"/>
                <w:bCs/>
                <w:szCs w:val="21"/>
                <w:u w:val="single"/>
                <w:lang w:val="en-US" w:eastAsia="zh-CN"/>
              </w:rPr>
              <w:t>30</w:t>
            </w:r>
            <w:r>
              <w:rPr>
                <w:rFonts w:hint="eastAsia" w:hAnsi="宋体" w:cs="宋体"/>
                <w:bCs/>
                <w:szCs w:val="21"/>
                <w:u w:val="single"/>
              </w:rPr>
              <w:t xml:space="preserve"> </w:t>
            </w:r>
            <w:r>
              <w:rPr>
                <w:rFonts w:hint="eastAsia" w:hAnsi="宋体" w:cs="宋体"/>
                <w:bCs/>
                <w:szCs w:val="21"/>
              </w:rPr>
              <w:t>个日历天内按采购人要求完成所有产品供货、安装调试</w:t>
            </w:r>
            <w:r>
              <w:rPr>
                <w:rFonts w:hint="eastAsia" w:hAnsi="宋体" w:cs="宋体"/>
                <w:bCs/>
                <w:szCs w:val="21"/>
                <w:lang w:eastAsia="zh-CN"/>
              </w:rPr>
              <w:t>。</w:t>
            </w:r>
          </w:p>
        </w:tc>
      </w:tr>
      <w:tr w14:paraId="02114C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709" w:type="dxa"/>
            <w:vAlign w:val="center"/>
          </w:tcPr>
          <w:p w14:paraId="1CB1EFD1">
            <w:pPr>
              <w:spacing w:line="320" w:lineRule="exact"/>
              <w:jc w:val="center"/>
              <w:rPr>
                <w:rFonts w:ascii="宋体" w:hAnsi="宋体"/>
                <w:color w:val="000000"/>
                <w:szCs w:val="21"/>
              </w:rPr>
            </w:pPr>
            <w:r>
              <w:rPr>
                <w:rFonts w:hint="eastAsia" w:ascii="宋体" w:hAnsi="宋体"/>
                <w:color w:val="000000"/>
                <w:szCs w:val="21"/>
              </w:rPr>
              <w:t>5</w:t>
            </w:r>
          </w:p>
        </w:tc>
        <w:tc>
          <w:tcPr>
            <w:tcW w:w="2129" w:type="dxa"/>
            <w:vAlign w:val="center"/>
          </w:tcPr>
          <w:p w14:paraId="5A410C66">
            <w:pPr>
              <w:spacing w:line="360" w:lineRule="exact"/>
              <w:jc w:val="center"/>
              <w:rPr>
                <w:rFonts w:ascii="宋体" w:hAnsi="宋体"/>
                <w:bCs/>
                <w:color w:val="000000"/>
                <w:szCs w:val="21"/>
              </w:rPr>
            </w:pPr>
            <w:r>
              <w:rPr>
                <w:rFonts w:hint="eastAsia" w:ascii="宋体" w:hAnsi="宋体"/>
                <w:bCs/>
                <w:color w:val="000000"/>
                <w:szCs w:val="21"/>
              </w:rPr>
              <w:t>谈判响应文件有效期</w:t>
            </w:r>
          </w:p>
        </w:tc>
        <w:tc>
          <w:tcPr>
            <w:tcW w:w="7630" w:type="dxa"/>
            <w:vAlign w:val="center"/>
          </w:tcPr>
          <w:p w14:paraId="29D3E2FF">
            <w:pPr>
              <w:pStyle w:val="24"/>
              <w:snapToGrid w:val="0"/>
              <w:rPr>
                <w:rFonts w:hint="default"/>
                <w:bCs/>
                <w:color w:val="000000"/>
                <w:sz w:val="21"/>
                <w:szCs w:val="21"/>
              </w:rPr>
            </w:pPr>
            <w:r>
              <w:rPr>
                <w:color w:val="000000"/>
                <w:sz w:val="21"/>
                <w:szCs w:val="21"/>
              </w:rPr>
              <w:t>自谈判响应文件提交截止之日起90天内有效。</w:t>
            </w:r>
          </w:p>
        </w:tc>
      </w:tr>
      <w:tr w14:paraId="0FDBFD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709" w:type="dxa"/>
            <w:vAlign w:val="center"/>
          </w:tcPr>
          <w:p w14:paraId="2E8D2C2E">
            <w:pPr>
              <w:spacing w:line="320" w:lineRule="exact"/>
              <w:jc w:val="center"/>
              <w:rPr>
                <w:rFonts w:ascii="宋体" w:hAnsi="宋体"/>
                <w:color w:val="000000"/>
                <w:szCs w:val="21"/>
              </w:rPr>
            </w:pPr>
            <w:r>
              <w:rPr>
                <w:rFonts w:hint="eastAsia" w:ascii="宋体" w:hAnsi="宋体"/>
                <w:color w:val="000000"/>
                <w:szCs w:val="21"/>
              </w:rPr>
              <w:t>6</w:t>
            </w:r>
          </w:p>
        </w:tc>
        <w:tc>
          <w:tcPr>
            <w:tcW w:w="2129" w:type="dxa"/>
            <w:vAlign w:val="center"/>
          </w:tcPr>
          <w:p w14:paraId="2E549E76">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谈判保证金</w:t>
            </w:r>
          </w:p>
        </w:tc>
        <w:tc>
          <w:tcPr>
            <w:tcW w:w="7630" w:type="dxa"/>
            <w:vAlign w:val="center"/>
          </w:tcPr>
          <w:p w14:paraId="75920ADB">
            <w:pPr>
              <w:spacing w:line="360" w:lineRule="auto"/>
              <w:rPr>
                <w:rFonts w:ascii="宋体" w:hAnsi="宋体" w:cs="宋体"/>
                <w:szCs w:val="21"/>
              </w:rPr>
            </w:pPr>
            <w:r>
              <w:rPr>
                <w:rFonts w:hint="eastAsia" w:ascii="宋体" w:hAnsi="宋体" w:cs="宋体"/>
                <w:szCs w:val="21"/>
              </w:rPr>
              <w:t>详见采购公告。</w:t>
            </w:r>
          </w:p>
        </w:tc>
      </w:tr>
      <w:tr w14:paraId="74D57A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8" w:hRule="atLeast"/>
        </w:trPr>
        <w:tc>
          <w:tcPr>
            <w:tcW w:w="709" w:type="dxa"/>
            <w:vAlign w:val="center"/>
          </w:tcPr>
          <w:p w14:paraId="173B4C02">
            <w:pPr>
              <w:spacing w:line="320" w:lineRule="exact"/>
              <w:jc w:val="center"/>
              <w:rPr>
                <w:rFonts w:ascii="宋体" w:hAnsi="宋体"/>
                <w:color w:val="000000"/>
                <w:szCs w:val="21"/>
              </w:rPr>
            </w:pPr>
            <w:r>
              <w:rPr>
                <w:rFonts w:hint="eastAsia" w:ascii="宋体" w:hAnsi="宋体"/>
                <w:color w:val="000000"/>
                <w:szCs w:val="21"/>
              </w:rPr>
              <w:t>7</w:t>
            </w:r>
          </w:p>
        </w:tc>
        <w:tc>
          <w:tcPr>
            <w:tcW w:w="2129" w:type="dxa"/>
            <w:vAlign w:val="center"/>
          </w:tcPr>
          <w:p w14:paraId="2A5F0A78">
            <w:pPr>
              <w:spacing w:line="360" w:lineRule="exact"/>
              <w:jc w:val="center"/>
              <w:rPr>
                <w:rFonts w:ascii="宋体" w:hAnsi="宋体"/>
                <w:bCs/>
                <w:color w:val="000000"/>
                <w:szCs w:val="21"/>
              </w:rPr>
            </w:pPr>
            <w:r>
              <w:rPr>
                <w:rFonts w:hint="eastAsia" w:ascii="宋体" w:hAnsi="宋体"/>
                <w:bCs/>
                <w:color w:val="000000"/>
                <w:szCs w:val="21"/>
              </w:rPr>
              <w:t>履约保证金</w:t>
            </w:r>
          </w:p>
        </w:tc>
        <w:tc>
          <w:tcPr>
            <w:tcW w:w="7630" w:type="dxa"/>
            <w:vAlign w:val="center"/>
          </w:tcPr>
          <w:p w14:paraId="23F88F79">
            <w:pPr>
              <w:spacing w:line="360" w:lineRule="exact"/>
              <w:rPr>
                <w:rFonts w:ascii="宋体" w:hAnsi="宋体"/>
                <w:szCs w:val="21"/>
              </w:rPr>
            </w:pPr>
            <w:r>
              <w:rPr>
                <w:rFonts w:hint="eastAsia" w:ascii="宋体" w:hAnsi="宋体" w:cs="宋体"/>
                <w:szCs w:val="21"/>
              </w:rPr>
              <w:t>履约担保金额为中标总金额的</w:t>
            </w:r>
            <w:r>
              <w:rPr>
                <w:rFonts w:hint="eastAsia" w:ascii="宋体" w:hAnsi="宋体" w:cs="宋体"/>
                <w:szCs w:val="21"/>
                <w:lang w:val="en-US" w:eastAsia="zh-CN"/>
              </w:rPr>
              <w:t>5</w:t>
            </w:r>
            <w:r>
              <w:rPr>
                <w:rFonts w:hint="eastAsia" w:ascii="宋体" w:hAnsi="宋体" w:cs="宋体"/>
                <w:szCs w:val="21"/>
              </w:rPr>
              <w:t>%。供应商可以银行出具保函、现金形式提交履约保证金。</w:t>
            </w:r>
          </w:p>
        </w:tc>
      </w:tr>
      <w:tr w14:paraId="6C1805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709" w:type="dxa"/>
            <w:vAlign w:val="center"/>
          </w:tcPr>
          <w:p w14:paraId="6C855479">
            <w:pPr>
              <w:spacing w:line="320" w:lineRule="exact"/>
              <w:jc w:val="center"/>
              <w:rPr>
                <w:rFonts w:ascii="宋体" w:hAnsi="宋体"/>
                <w:color w:val="000000"/>
                <w:szCs w:val="21"/>
              </w:rPr>
            </w:pPr>
            <w:r>
              <w:rPr>
                <w:rFonts w:hint="eastAsia" w:ascii="宋体" w:hAnsi="宋体"/>
                <w:color w:val="000000"/>
                <w:szCs w:val="21"/>
              </w:rPr>
              <w:t>8</w:t>
            </w:r>
          </w:p>
        </w:tc>
        <w:tc>
          <w:tcPr>
            <w:tcW w:w="2129" w:type="dxa"/>
            <w:vAlign w:val="center"/>
          </w:tcPr>
          <w:p w14:paraId="003B1959">
            <w:pPr>
              <w:spacing w:line="360" w:lineRule="exact"/>
              <w:jc w:val="center"/>
              <w:rPr>
                <w:rFonts w:ascii="宋体" w:hAnsi="宋体"/>
                <w:bCs/>
                <w:color w:val="000000"/>
                <w:szCs w:val="21"/>
              </w:rPr>
            </w:pPr>
            <w:r>
              <w:rPr>
                <w:rFonts w:hint="eastAsia" w:ascii="宋体" w:hAnsi="宋体"/>
                <w:bCs/>
                <w:color w:val="000000"/>
                <w:szCs w:val="21"/>
              </w:rPr>
              <w:t>谈判响应文件份数</w:t>
            </w:r>
          </w:p>
        </w:tc>
        <w:tc>
          <w:tcPr>
            <w:tcW w:w="7630" w:type="dxa"/>
            <w:vAlign w:val="center"/>
          </w:tcPr>
          <w:p w14:paraId="7B2FC58D">
            <w:pPr>
              <w:pStyle w:val="24"/>
              <w:snapToGrid w:val="0"/>
              <w:spacing w:before="0" w:beforeAutospacing="0" w:after="0" w:afterAutospacing="0"/>
              <w:rPr>
                <w:rFonts w:hint="default"/>
                <w:sz w:val="21"/>
                <w:szCs w:val="21"/>
              </w:rPr>
            </w:pPr>
            <w:r>
              <w:rPr>
                <w:rFonts w:asciiTheme="majorEastAsia" w:hAnsiTheme="majorEastAsia" w:eastAsiaTheme="majorEastAsia" w:cstheme="majorEastAsia"/>
                <w:sz w:val="21"/>
                <w:szCs w:val="21"/>
              </w:rPr>
              <w:t>正本</w:t>
            </w:r>
            <w:r>
              <w:rPr>
                <w:rFonts w:cs="Arial" w:asciiTheme="minorEastAsia" w:hAnsiTheme="minorEastAsia" w:eastAsiaTheme="minorEastAsia"/>
                <w:sz w:val="21"/>
                <w:szCs w:val="21"/>
              </w:rPr>
              <w:t>一</w:t>
            </w:r>
            <w:r>
              <w:rPr>
                <w:rFonts w:asciiTheme="majorEastAsia" w:hAnsiTheme="majorEastAsia" w:eastAsiaTheme="majorEastAsia" w:cstheme="majorEastAsia"/>
                <w:sz w:val="21"/>
                <w:szCs w:val="21"/>
              </w:rPr>
              <w:t>份、副本</w:t>
            </w:r>
            <w:r>
              <w:rPr>
                <w:rFonts w:cs="Arial" w:asciiTheme="minorEastAsia" w:hAnsiTheme="minorEastAsia" w:eastAsiaTheme="minorEastAsia"/>
                <w:sz w:val="21"/>
                <w:szCs w:val="21"/>
              </w:rPr>
              <w:t>二</w:t>
            </w:r>
            <w:r>
              <w:rPr>
                <w:rFonts w:asciiTheme="majorEastAsia" w:hAnsiTheme="majorEastAsia" w:eastAsiaTheme="majorEastAsia" w:cstheme="majorEastAsia"/>
                <w:sz w:val="21"/>
                <w:szCs w:val="21"/>
              </w:rPr>
              <w:t>份，正副本分开各自密封包装。</w:t>
            </w:r>
          </w:p>
        </w:tc>
      </w:tr>
      <w:tr w14:paraId="038BEB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4" w:hRule="atLeast"/>
        </w:trPr>
        <w:tc>
          <w:tcPr>
            <w:tcW w:w="709" w:type="dxa"/>
            <w:vAlign w:val="center"/>
          </w:tcPr>
          <w:p w14:paraId="5936EFB4">
            <w:pPr>
              <w:spacing w:line="320" w:lineRule="exact"/>
              <w:jc w:val="center"/>
              <w:rPr>
                <w:rFonts w:ascii="宋体" w:hAnsi="宋体"/>
                <w:color w:val="000000"/>
                <w:szCs w:val="21"/>
              </w:rPr>
            </w:pPr>
            <w:r>
              <w:rPr>
                <w:rFonts w:hint="eastAsia" w:ascii="宋体" w:hAnsi="宋体"/>
                <w:color w:val="000000"/>
                <w:szCs w:val="21"/>
              </w:rPr>
              <w:t>9</w:t>
            </w:r>
          </w:p>
        </w:tc>
        <w:tc>
          <w:tcPr>
            <w:tcW w:w="2129" w:type="dxa"/>
            <w:vAlign w:val="center"/>
          </w:tcPr>
          <w:p w14:paraId="5F4F33FE">
            <w:pPr>
              <w:spacing w:line="360" w:lineRule="exact"/>
              <w:jc w:val="center"/>
              <w:rPr>
                <w:rFonts w:ascii="宋体" w:hAnsi="宋体"/>
                <w:bCs/>
                <w:color w:val="000000"/>
                <w:szCs w:val="21"/>
              </w:rPr>
            </w:pPr>
            <w:r>
              <w:rPr>
                <w:rFonts w:hint="eastAsia" w:ascii="宋体" w:hAnsi="宋体"/>
                <w:bCs/>
                <w:color w:val="000000"/>
                <w:szCs w:val="21"/>
              </w:rPr>
              <w:t>谈判响应文件提交截止时间及地点</w:t>
            </w:r>
          </w:p>
        </w:tc>
        <w:tc>
          <w:tcPr>
            <w:tcW w:w="7630" w:type="dxa"/>
            <w:vAlign w:val="center"/>
          </w:tcPr>
          <w:p w14:paraId="7F6900A7">
            <w:pPr>
              <w:pStyle w:val="24"/>
              <w:snapToGrid w:val="0"/>
              <w:spacing w:before="0" w:beforeAutospacing="0" w:after="0" w:afterAutospacing="0" w:line="360" w:lineRule="exact"/>
              <w:rPr>
                <w:rFonts w:hint="default"/>
                <w:sz w:val="21"/>
                <w:szCs w:val="21"/>
              </w:rPr>
            </w:pPr>
            <w:r>
              <w:rPr>
                <w:sz w:val="21"/>
                <w:szCs w:val="21"/>
              </w:rPr>
              <w:t>时间：202</w:t>
            </w:r>
            <w:r>
              <w:rPr>
                <w:rFonts w:hint="eastAsia"/>
                <w:sz w:val="21"/>
                <w:szCs w:val="21"/>
                <w:lang w:val="en-US" w:eastAsia="zh-CN"/>
              </w:rPr>
              <w:t>4</w:t>
            </w:r>
            <w:r>
              <w:rPr>
                <w:sz w:val="21"/>
                <w:szCs w:val="21"/>
              </w:rPr>
              <w:t>年</w:t>
            </w:r>
            <w:r>
              <w:rPr>
                <w:rFonts w:hint="eastAsia"/>
                <w:sz w:val="21"/>
                <w:szCs w:val="21"/>
                <w:lang w:val="en-US" w:eastAsia="zh-CN"/>
              </w:rPr>
              <w:t>11</w:t>
            </w:r>
            <w:r>
              <w:rPr>
                <w:sz w:val="21"/>
                <w:szCs w:val="21"/>
              </w:rPr>
              <w:t>月</w:t>
            </w:r>
            <w:r>
              <w:rPr>
                <w:rFonts w:hint="eastAsia"/>
                <w:sz w:val="21"/>
                <w:szCs w:val="21"/>
                <w:lang w:val="en-US" w:eastAsia="zh-CN"/>
              </w:rPr>
              <w:t>15</w:t>
            </w:r>
            <w:r>
              <w:rPr>
                <w:sz w:val="21"/>
                <w:szCs w:val="21"/>
              </w:rPr>
              <w:t>日</w:t>
            </w:r>
            <w:r>
              <w:rPr>
                <w:rFonts w:hint="eastAsia"/>
                <w:sz w:val="21"/>
                <w:szCs w:val="21"/>
                <w:lang w:val="en-US" w:eastAsia="zh-CN"/>
              </w:rPr>
              <w:t>09</w:t>
            </w:r>
            <w:r>
              <w:rPr>
                <w:sz w:val="21"/>
                <w:szCs w:val="21"/>
              </w:rPr>
              <w:t>：00（北京时间）</w:t>
            </w:r>
          </w:p>
          <w:p w14:paraId="5EE978BE">
            <w:pPr>
              <w:pStyle w:val="24"/>
              <w:snapToGrid w:val="0"/>
              <w:spacing w:before="0" w:beforeAutospacing="0" w:after="0" w:afterAutospacing="0" w:line="360" w:lineRule="exact"/>
              <w:rPr>
                <w:rFonts w:hint="default"/>
                <w:sz w:val="21"/>
                <w:szCs w:val="21"/>
              </w:rPr>
            </w:pPr>
            <w:r>
              <w:rPr>
                <w:sz w:val="21"/>
                <w:szCs w:val="21"/>
              </w:rPr>
              <w:t>地点：</w:t>
            </w:r>
            <w:r>
              <w:rPr>
                <w:rFonts w:hint="eastAsia"/>
                <w:sz w:val="21"/>
                <w:szCs w:val="21"/>
                <w:lang w:eastAsia="zh-CN"/>
              </w:rPr>
              <w:t>欧邦工程管理集团有限公司</w:t>
            </w:r>
            <w:r>
              <w:rPr>
                <w:sz w:val="21"/>
                <w:szCs w:val="21"/>
              </w:rPr>
              <w:t>开标室（</w:t>
            </w:r>
            <w:r>
              <w:rPr>
                <w:rFonts w:hint="eastAsia"/>
                <w:color w:val="000000"/>
                <w:sz w:val="21"/>
                <w:szCs w:val="21"/>
                <w:lang w:eastAsia="zh-CN"/>
              </w:rPr>
              <w:t>仙居县环城北路炉兴村办公楼四楼</w:t>
            </w:r>
            <w:r>
              <w:rPr>
                <w:sz w:val="21"/>
                <w:szCs w:val="21"/>
              </w:rPr>
              <w:t>）。</w:t>
            </w:r>
          </w:p>
        </w:tc>
      </w:tr>
      <w:tr w14:paraId="6826B0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709" w:type="dxa"/>
            <w:vAlign w:val="center"/>
          </w:tcPr>
          <w:p w14:paraId="40D889B4">
            <w:pPr>
              <w:spacing w:line="320" w:lineRule="exact"/>
              <w:jc w:val="center"/>
              <w:rPr>
                <w:rFonts w:ascii="宋体" w:hAnsi="宋体"/>
                <w:color w:val="000000"/>
                <w:szCs w:val="21"/>
              </w:rPr>
            </w:pPr>
            <w:r>
              <w:rPr>
                <w:rFonts w:hint="eastAsia" w:ascii="宋体" w:hAnsi="宋体"/>
                <w:color w:val="000000"/>
                <w:szCs w:val="21"/>
              </w:rPr>
              <w:t>10</w:t>
            </w:r>
          </w:p>
        </w:tc>
        <w:tc>
          <w:tcPr>
            <w:tcW w:w="2129" w:type="dxa"/>
            <w:vAlign w:val="center"/>
          </w:tcPr>
          <w:p w14:paraId="67AD8DB6">
            <w:pPr>
              <w:snapToGrid w:val="0"/>
              <w:spacing w:line="360" w:lineRule="exact"/>
              <w:jc w:val="center"/>
              <w:rPr>
                <w:rFonts w:ascii="宋体" w:hAnsi="宋体"/>
                <w:bCs/>
                <w:color w:val="000000"/>
                <w:szCs w:val="21"/>
              </w:rPr>
            </w:pPr>
            <w:r>
              <w:rPr>
                <w:rFonts w:hint="eastAsia" w:ascii="宋体" w:hAnsi="宋体"/>
                <w:bCs/>
                <w:color w:val="000000"/>
                <w:szCs w:val="21"/>
              </w:rPr>
              <w:t>开标时间及地点</w:t>
            </w:r>
          </w:p>
        </w:tc>
        <w:tc>
          <w:tcPr>
            <w:tcW w:w="7630" w:type="dxa"/>
            <w:vAlign w:val="center"/>
          </w:tcPr>
          <w:p w14:paraId="69915E97">
            <w:pPr>
              <w:spacing w:line="340" w:lineRule="exact"/>
              <w:rPr>
                <w:rFonts w:ascii="宋体" w:hAnsi="宋体"/>
                <w:szCs w:val="21"/>
              </w:rPr>
            </w:pPr>
            <w:r>
              <w:rPr>
                <w:rFonts w:ascii="宋体" w:hAnsi="宋体"/>
                <w:kern w:val="0"/>
                <w:szCs w:val="21"/>
              </w:rPr>
              <w:t>时间：</w:t>
            </w:r>
            <w:r>
              <w:rPr>
                <w:rFonts w:ascii="宋体" w:hAnsi="宋体"/>
                <w:szCs w:val="21"/>
              </w:rPr>
              <w:t>20</w:t>
            </w:r>
            <w:r>
              <w:rPr>
                <w:rFonts w:hint="eastAsia" w:ascii="宋体" w:hAnsi="宋体"/>
                <w:szCs w:val="21"/>
              </w:rPr>
              <w:t>2</w:t>
            </w:r>
            <w:r>
              <w:rPr>
                <w:rFonts w:hint="eastAsia" w:ascii="宋体" w:hAnsi="宋体"/>
                <w:szCs w:val="21"/>
                <w:lang w:val="en-US" w:eastAsia="zh-CN"/>
              </w:rPr>
              <w:t>4</w:t>
            </w:r>
            <w:r>
              <w:rPr>
                <w:rFonts w:ascii="宋体" w:hAnsi="宋体"/>
                <w:szCs w:val="21"/>
              </w:rPr>
              <w:t>年</w:t>
            </w:r>
            <w:r>
              <w:rPr>
                <w:rFonts w:hint="eastAsia" w:ascii="宋体" w:hAnsi="宋体"/>
                <w:szCs w:val="21"/>
                <w:lang w:val="en-US" w:eastAsia="zh-CN"/>
              </w:rPr>
              <w:t>11</w:t>
            </w:r>
            <w:r>
              <w:rPr>
                <w:rFonts w:ascii="宋体" w:hAnsi="宋体"/>
                <w:szCs w:val="21"/>
              </w:rPr>
              <w:t>月</w:t>
            </w:r>
            <w:r>
              <w:rPr>
                <w:rFonts w:hint="eastAsia" w:ascii="宋体" w:hAnsi="宋体"/>
                <w:szCs w:val="21"/>
                <w:lang w:val="en-US" w:eastAsia="zh-CN"/>
              </w:rPr>
              <w:t>15</w:t>
            </w:r>
            <w:r>
              <w:rPr>
                <w:rFonts w:ascii="宋体" w:hAnsi="宋体"/>
                <w:szCs w:val="21"/>
              </w:rPr>
              <w:t xml:space="preserve">日 </w:t>
            </w:r>
            <w:r>
              <w:rPr>
                <w:rFonts w:hint="eastAsia" w:ascii="宋体" w:hAnsi="宋体"/>
                <w:szCs w:val="21"/>
                <w:lang w:val="en-US" w:eastAsia="zh-CN"/>
              </w:rPr>
              <w:t>09</w:t>
            </w:r>
            <w:r>
              <w:rPr>
                <w:rFonts w:ascii="宋体" w:hAnsi="宋体"/>
                <w:szCs w:val="21"/>
              </w:rPr>
              <w:t>：00（北京时间）</w:t>
            </w:r>
            <w:r>
              <w:rPr>
                <w:rFonts w:hint="eastAsia" w:ascii="宋体" w:hAnsi="宋体"/>
                <w:kern w:val="0"/>
                <w:szCs w:val="21"/>
              </w:rPr>
              <w:t>，</w:t>
            </w:r>
            <w:r>
              <w:rPr>
                <w:rFonts w:ascii="宋体" w:hAnsi="宋体"/>
                <w:kern w:val="0"/>
                <w:szCs w:val="21"/>
              </w:rPr>
              <w:t>地点：</w:t>
            </w:r>
            <w:r>
              <w:rPr>
                <w:rFonts w:hint="eastAsia" w:ascii="宋体" w:hAnsi="宋体"/>
                <w:szCs w:val="21"/>
                <w:lang w:eastAsia="zh-CN"/>
              </w:rPr>
              <w:t>欧邦工程管理集团有限公司</w:t>
            </w:r>
            <w:r>
              <w:rPr>
                <w:rFonts w:hint="eastAsia" w:ascii="宋体" w:hAnsi="宋体"/>
                <w:szCs w:val="21"/>
              </w:rPr>
              <w:t>开标室（</w:t>
            </w:r>
            <w:r>
              <w:rPr>
                <w:rFonts w:hint="eastAsia" w:ascii="宋体" w:hAnsi="宋体"/>
                <w:color w:val="000000"/>
                <w:szCs w:val="21"/>
                <w:lang w:eastAsia="zh-CN"/>
              </w:rPr>
              <w:t>仙居县环城北路炉兴村办公楼四楼</w:t>
            </w:r>
            <w:r>
              <w:rPr>
                <w:rFonts w:hint="eastAsia" w:ascii="宋体" w:hAnsi="宋体"/>
                <w:szCs w:val="21"/>
              </w:rPr>
              <w:t>）。</w:t>
            </w:r>
          </w:p>
        </w:tc>
      </w:tr>
      <w:tr w14:paraId="275DA1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8" w:hRule="atLeast"/>
        </w:trPr>
        <w:tc>
          <w:tcPr>
            <w:tcW w:w="709" w:type="dxa"/>
            <w:vAlign w:val="center"/>
          </w:tcPr>
          <w:p w14:paraId="34A36784">
            <w:pPr>
              <w:spacing w:line="320" w:lineRule="exact"/>
              <w:jc w:val="center"/>
              <w:rPr>
                <w:rFonts w:ascii="宋体" w:hAnsi="宋体"/>
                <w:color w:val="000000"/>
                <w:szCs w:val="21"/>
              </w:rPr>
            </w:pPr>
            <w:r>
              <w:rPr>
                <w:rFonts w:hint="eastAsia" w:ascii="宋体" w:hAnsi="宋体"/>
                <w:color w:val="000000"/>
                <w:szCs w:val="21"/>
              </w:rPr>
              <w:t>11</w:t>
            </w:r>
          </w:p>
        </w:tc>
        <w:tc>
          <w:tcPr>
            <w:tcW w:w="2129" w:type="dxa"/>
            <w:vAlign w:val="center"/>
          </w:tcPr>
          <w:p w14:paraId="42F9D086">
            <w:pPr>
              <w:autoSpaceDE w:val="0"/>
              <w:autoSpaceDN w:val="0"/>
              <w:adjustRightInd w:val="0"/>
              <w:spacing w:line="360" w:lineRule="exact"/>
              <w:jc w:val="center"/>
              <w:rPr>
                <w:rFonts w:ascii="宋体" w:hAnsi="宋体"/>
                <w:color w:val="000000"/>
                <w:szCs w:val="21"/>
                <w:lang w:val="zh-CN"/>
              </w:rPr>
            </w:pPr>
            <w:r>
              <w:rPr>
                <w:rFonts w:hint="eastAsia" w:ascii="宋体" w:hAnsi="宋体"/>
                <w:bCs/>
                <w:color w:val="000000"/>
                <w:szCs w:val="21"/>
              </w:rPr>
              <w:t>答疑与澄清</w:t>
            </w:r>
          </w:p>
        </w:tc>
        <w:tc>
          <w:tcPr>
            <w:tcW w:w="7630" w:type="dxa"/>
            <w:vAlign w:val="center"/>
          </w:tcPr>
          <w:p w14:paraId="4548A675">
            <w:pPr>
              <w:autoSpaceDE w:val="0"/>
              <w:autoSpaceDN w:val="0"/>
              <w:adjustRightInd w:val="0"/>
              <w:spacing w:line="340" w:lineRule="exact"/>
              <w:rPr>
                <w:rFonts w:ascii="宋体" w:hAnsi="宋体"/>
                <w:color w:val="000000"/>
                <w:kern w:val="0"/>
                <w:szCs w:val="21"/>
                <w:lang w:val="zh-CN"/>
              </w:rPr>
            </w:pPr>
            <w:r>
              <w:rPr>
                <w:rFonts w:hint="eastAsia" w:ascii="宋体" w:hAnsi="宋体" w:cs="宋体"/>
                <w:color w:val="000000"/>
                <w:kern w:val="0"/>
                <w:szCs w:val="21"/>
              </w:rPr>
              <w:t>本项目公告期限为3个工作日，供应商认为采购文件使自己的权益受到损害的，</w:t>
            </w:r>
            <w:r>
              <w:rPr>
                <w:rFonts w:hint="eastAsia" w:ascii="宋体" w:hAnsi="宋体"/>
                <w:kern w:val="0"/>
                <w:szCs w:val="21"/>
              </w:rPr>
              <w:t>可以自获取采购文件之日，</w:t>
            </w:r>
            <w:r>
              <w:rPr>
                <w:rFonts w:hint="eastAsia" w:ascii="宋体" w:hAnsi="宋体" w:cs="宋体"/>
                <w:color w:val="000000"/>
                <w:kern w:val="0"/>
                <w:szCs w:val="21"/>
              </w:rPr>
              <w:t>以书面形式向采购人和采购代理机构提出质疑。</w:t>
            </w:r>
          </w:p>
        </w:tc>
      </w:tr>
      <w:tr w14:paraId="388A0A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709" w:type="dxa"/>
            <w:tcBorders>
              <w:bottom w:val="single" w:color="auto" w:sz="4" w:space="0"/>
            </w:tcBorders>
            <w:vAlign w:val="center"/>
          </w:tcPr>
          <w:p w14:paraId="5CF6C728">
            <w:pPr>
              <w:spacing w:line="320" w:lineRule="exact"/>
              <w:jc w:val="center"/>
              <w:rPr>
                <w:rFonts w:ascii="宋体" w:hAnsi="宋体"/>
                <w:color w:val="000000"/>
                <w:szCs w:val="21"/>
              </w:rPr>
            </w:pPr>
            <w:r>
              <w:rPr>
                <w:rFonts w:hint="eastAsia" w:ascii="宋体" w:hAnsi="宋体"/>
                <w:color w:val="000000"/>
                <w:szCs w:val="21"/>
              </w:rPr>
              <w:t>12</w:t>
            </w:r>
          </w:p>
        </w:tc>
        <w:tc>
          <w:tcPr>
            <w:tcW w:w="2129" w:type="dxa"/>
            <w:tcBorders>
              <w:bottom w:val="single" w:color="auto" w:sz="4" w:space="0"/>
            </w:tcBorders>
            <w:vAlign w:val="center"/>
          </w:tcPr>
          <w:p w14:paraId="4EF8ED29">
            <w:pPr>
              <w:autoSpaceDE w:val="0"/>
              <w:autoSpaceDN w:val="0"/>
              <w:adjustRightInd w:val="0"/>
              <w:spacing w:line="360" w:lineRule="exact"/>
              <w:jc w:val="center"/>
              <w:rPr>
                <w:rFonts w:ascii="宋体" w:hAnsi="宋体"/>
                <w:color w:val="000000"/>
                <w:szCs w:val="21"/>
                <w:lang w:val="zh-CN"/>
              </w:rPr>
            </w:pPr>
            <w:r>
              <w:rPr>
                <w:rFonts w:hint="eastAsia" w:ascii="宋体" w:hAnsi="宋体"/>
                <w:color w:val="000000"/>
                <w:szCs w:val="21"/>
                <w:lang w:val="zh-CN"/>
              </w:rPr>
              <w:t>实质性条款</w:t>
            </w:r>
          </w:p>
        </w:tc>
        <w:tc>
          <w:tcPr>
            <w:tcW w:w="7630" w:type="dxa"/>
            <w:tcBorders>
              <w:bottom w:val="single" w:color="auto" w:sz="4" w:space="0"/>
            </w:tcBorders>
            <w:vAlign w:val="center"/>
          </w:tcPr>
          <w:p w14:paraId="295C1D04">
            <w:pPr>
              <w:autoSpaceDE w:val="0"/>
              <w:autoSpaceDN w:val="0"/>
              <w:adjustRightInd w:val="0"/>
              <w:spacing w:line="360" w:lineRule="exact"/>
              <w:ind w:left="1050" w:hanging="1050"/>
              <w:rPr>
                <w:rFonts w:ascii="宋体" w:hAnsi="宋体"/>
                <w:color w:val="000000"/>
                <w:kern w:val="0"/>
                <w:szCs w:val="21"/>
                <w:lang w:val="zh-CN"/>
              </w:rPr>
            </w:pPr>
            <w:r>
              <w:rPr>
                <w:rFonts w:hint="eastAsia" w:ascii="宋体" w:hAnsi="宋体"/>
                <w:color w:val="000000"/>
                <w:kern w:val="0"/>
                <w:szCs w:val="21"/>
                <w:lang w:val="zh-CN"/>
              </w:rPr>
              <w:t>带</w:t>
            </w:r>
            <w:r>
              <w:rPr>
                <w:rFonts w:hint="eastAsia" w:ascii="宋体" w:hAnsi="宋体"/>
                <w:bCs/>
                <w:color w:val="000000"/>
                <w:szCs w:val="21"/>
              </w:rPr>
              <w:t>▲是实质性条款，谈判响应文件须作出实质性响应，否则作无效标处理。</w:t>
            </w:r>
          </w:p>
        </w:tc>
      </w:tr>
      <w:tr w14:paraId="5A55A9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709" w:type="dxa"/>
            <w:tcBorders>
              <w:bottom w:val="single" w:color="auto" w:sz="4" w:space="0"/>
            </w:tcBorders>
            <w:vAlign w:val="center"/>
          </w:tcPr>
          <w:p w14:paraId="5FD9CD15">
            <w:pPr>
              <w:spacing w:line="320" w:lineRule="exact"/>
              <w:jc w:val="center"/>
              <w:rPr>
                <w:rFonts w:ascii="宋体" w:hAnsi="宋体"/>
                <w:color w:val="000000"/>
                <w:szCs w:val="21"/>
              </w:rPr>
            </w:pPr>
            <w:r>
              <w:rPr>
                <w:rFonts w:hint="eastAsia" w:ascii="宋体" w:hAnsi="宋体"/>
                <w:color w:val="000000"/>
                <w:szCs w:val="21"/>
              </w:rPr>
              <w:t>13</w:t>
            </w:r>
          </w:p>
        </w:tc>
        <w:tc>
          <w:tcPr>
            <w:tcW w:w="2129" w:type="dxa"/>
            <w:tcBorders>
              <w:bottom w:val="single" w:color="auto" w:sz="4" w:space="0"/>
            </w:tcBorders>
            <w:vAlign w:val="center"/>
          </w:tcPr>
          <w:p w14:paraId="6453ED72">
            <w:pPr>
              <w:autoSpaceDE w:val="0"/>
              <w:autoSpaceDN w:val="0"/>
              <w:adjustRightInd w:val="0"/>
              <w:spacing w:line="360" w:lineRule="exact"/>
              <w:jc w:val="center"/>
              <w:rPr>
                <w:rFonts w:ascii="宋体" w:hAnsi="宋体"/>
                <w:bCs/>
                <w:color w:val="000000"/>
                <w:szCs w:val="21"/>
              </w:rPr>
            </w:pPr>
            <w:r>
              <w:rPr>
                <w:rFonts w:hint="eastAsia" w:ascii="宋体" w:hAnsi="宋体"/>
                <w:bCs/>
                <w:color w:val="000000"/>
                <w:szCs w:val="21"/>
              </w:rPr>
              <w:t>▲项目最高投标限价</w:t>
            </w:r>
          </w:p>
        </w:tc>
        <w:tc>
          <w:tcPr>
            <w:tcW w:w="7630" w:type="dxa"/>
            <w:tcBorders>
              <w:bottom w:val="single" w:color="auto" w:sz="4" w:space="0"/>
            </w:tcBorders>
            <w:vAlign w:val="center"/>
          </w:tcPr>
          <w:p w14:paraId="511C9C34">
            <w:pPr>
              <w:autoSpaceDE w:val="0"/>
              <w:autoSpaceDN w:val="0"/>
              <w:adjustRightInd w:val="0"/>
              <w:spacing w:line="360" w:lineRule="exact"/>
              <w:rPr>
                <w:rFonts w:ascii="宋体" w:hAnsi="宋体"/>
                <w:bCs/>
                <w:color w:val="000000"/>
                <w:szCs w:val="21"/>
              </w:rPr>
            </w:pPr>
            <w:r>
              <w:rPr>
                <w:rFonts w:hint="eastAsia" w:ascii="宋体" w:hAnsi="宋体"/>
                <w:b/>
                <w:bCs w:val="0"/>
                <w:color w:val="000000"/>
                <w:szCs w:val="21"/>
              </w:rPr>
              <w:t>最高投标限价：</w:t>
            </w:r>
            <w:r>
              <w:rPr>
                <w:rFonts w:hint="eastAsia" w:asciiTheme="minorEastAsia" w:hAnsiTheme="minorEastAsia" w:eastAsiaTheme="minorEastAsia"/>
                <w:b/>
                <w:bCs w:val="0"/>
                <w:szCs w:val="21"/>
                <w:u w:val="single"/>
                <w:lang w:eastAsia="zh-CN"/>
              </w:rPr>
              <w:t>290000</w:t>
            </w:r>
            <w:r>
              <w:rPr>
                <w:rFonts w:hint="eastAsia" w:ascii="宋体" w:hAnsi="宋体"/>
                <w:b/>
                <w:bCs w:val="0"/>
                <w:color w:val="000000"/>
                <w:szCs w:val="21"/>
              </w:rPr>
              <w:t>元</w:t>
            </w:r>
            <w:r>
              <w:rPr>
                <w:rFonts w:hint="eastAsia" w:ascii="宋体" w:hAnsi="宋体"/>
                <w:bCs/>
                <w:color w:val="000000"/>
                <w:szCs w:val="21"/>
              </w:rPr>
              <w:t>；投标总报价超过最高投标限价的，按无效标处理。</w:t>
            </w:r>
          </w:p>
        </w:tc>
      </w:tr>
      <w:tr w14:paraId="3FB90C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709" w:type="dxa"/>
            <w:tcBorders>
              <w:bottom w:val="single" w:color="auto" w:sz="4" w:space="0"/>
            </w:tcBorders>
            <w:vAlign w:val="center"/>
          </w:tcPr>
          <w:p w14:paraId="6F654539">
            <w:pPr>
              <w:spacing w:line="320" w:lineRule="exact"/>
              <w:jc w:val="center"/>
              <w:rPr>
                <w:rFonts w:ascii="宋体" w:hAnsi="宋体"/>
                <w:color w:val="000000"/>
                <w:szCs w:val="21"/>
              </w:rPr>
            </w:pPr>
            <w:r>
              <w:rPr>
                <w:rFonts w:hint="eastAsia" w:ascii="宋体" w:hAnsi="宋体"/>
                <w:color w:val="000000"/>
                <w:szCs w:val="21"/>
              </w:rPr>
              <w:t>14</w:t>
            </w:r>
          </w:p>
        </w:tc>
        <w:tc>
          <w:tcPr>
            <w:tcW w:w="2129" w:type="dxa"/>
            <w:tcBorders>
              <w:bottom w:val="single" w:color="auto" w:sz="4" w:space="0"/>
            </w:tcBorders>
            <w:vAlign w:val="center"/>
          </w:tcPr>
          <w:p w14:paraId="57AEB52D">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答疑会或</w:t>
            </w:r>
            <w:r>
              <w:rPr>
                <w:rFonts w:hint="eastAsia" w:asciiTheme="majorEastAsia" w:hAnsiTheme="majorEastAsia" w:eastAsiaTheme="majorEastAsia" w:cstheme="majorEastAsia"/>
                <w:color w:val="000000"/>
                <w:szCs w:val="21"/>
              </w:rPr>
              <w:t>现场踏勘</w:t>
            </w:r>
          </w:p>
        </w:tc>
        <w:tc>
          <w:tcPr>
            <w:tcW w:w="7630" w:type="dxa"/>
            <w:tcBorders>
              <w:bottom w:val="single" w:color="auto" w:sz="4" w:space="0"/>
            </w:tcBorders>
            <w:vAlign w:val="center"/>
          </w:tcPr>
          <w:p w14:paraId="6CACB5A0">
            <w:pPr>
              <w:pStyle w:val="9"/>
              <w:spacing w:line="360" w:lineRule="auto"/>
              <w:rPr>
                <w:rFonts w:ascii="宋体" w:hAnsi="宋体" w:cs="宋体"/>
                <w:color w:val="000000"/>
                <w:szCs w:val="21"/>
              </w:rPr>
            </w:pPr>
            <w:r>
              <w:rPr>
                <w:rFonts w:hint="eastAsia" w:ascii="宋体" w:hAnsi="宋体" w:cs="宋体"/>
                <w:bCs/>
                <w:szCs w:val="21"/>
              </w:rPr>
              <w:t>本项目不统一组织现场踏勘，供应商如需现场踏勘请与采购人代表联系。</w:t>
            </w:r>
          </w:p>
        </w:tc>
      </w:tr>
      <w:tr w14:paraId="36BDC5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709" w:type="dxa"/>
            <w:tcBorders>
              <w:bottom w:val="single" w:color="auto" w:sz="4" w:space="0"/>
            </w:tcBorders>
            <w:vAlign w:val="center"/>
          </w:tcPr>
          <w:p w14:paraId="1DF01C97">
            <w:pPr>
              <w:spacing w:line="32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15</w:t>
            </w:r>
          </w:p>
        </w:tc>
        <w:tc>
          <w:tcPr>
            <w:tcW w:w="2129" w:type="dxa"/>
            <w:tcBorders>
              <w:bottom w:val="single" w:color="auto" w:sz="4" w:space="0"/>
            </w:tcBorders>
            <w:vAlign w:val="center"/>
          </w:tcPr>
          <w:p w14:paraId="47CAB76E">
            <w:pPr>
              <w:spacing w:line="360" w:lineRule="auto"/>
              <w:jc w:val="both"/>
              <w:rPr>
                <w:rFonts w:hint="default" w:asciiTheme="majorEastAsia" w:hAnsiTheme="majorEastAsia" w:eastAsiaTheme="majorEastAsia" w:cstheme="majorEastAsia"/>
                <w:color w:val="000000"/>
                <w:kern w:val="0"/>
                <w:szCs w:val="21"/>
                <w:lang w:val="en-US" w:eastAsia="zh-CN"/>
              </w:rPr>
            </w:pPr>
            <w:r>
              <w:rPr>
                <w:rFonts w:hint="eastAsia" w:asciiTheme="majorEastAsia" w:hAnsiTheme="majorEastAsia" w:eastAsiaTheme="majorEastAsia" w:cstheme="majorEastAsia"/>
                <w:color w:val="000000"/>
                <w:kern w:val="0"/>
                <w:szCs w:val="21"/>
                <w:lang w:val="en-US" w:eastAsia="zh-CN"/>
              </w:rPr>
              <w:t xml:space="preserve">     </w:t>
            </w:r>
            <w:r>
              <w:rPr>
                <w:rFonts w:hint="eastAsia" w:asciiTheme="majorEastAsia" w:hAnsiTheme="majorEastAsia" w:eastAsiaTheme="majorEastAsia" w:cstheme="majorEastAsia"/>
                <w:b/>
                <w:bCs/>
                <w:color w:val="000000"/>
                <w:kern w:val="0"/>
                <w:szCs w:val="21"/>
                <w:lang w:val="en-US" w:eastAsia="zh-CN"/>
              </w:rPr>
              <w:t>设计费</w:t>
            </w:r>
          </w:p>
        </w:tc>
        <w:tc>
          <w:tcPr>
            <w:tcW w:w="7630" w:type="dxa"/>
            <w:tcBorders>
              <w:bottom w:val="single" w:color="auto" w:sz="4" w:space="0"/>
            </w:tcBorders>
            <w:vAlign w:val="center"/>
          </w:tcPr>
          <w:p w14:paraId="3C26DEDA">
            <w:pPr>
              <w:pStyle w:val="9"/>
              <w:spacing w:line="360" w:lineRule="auto"/>
              <w:rPr>
                <w:rFonts w:hint="eastAsia" w:ascii="宋体" w:hAnsi="宋体" w:cs="宋体"/>
                <w:bCs/>
                <w:szCs w:val="21"/>
              </w:rPr>
            </w:pPr>
            <w:r>
              <w:rPr>
                <w:rFonts w:hint="eastAsia" w:ascii="宋体" w:hAnsi="宋体" w:cs="宋体"/>
                <w:b/>
                <w:bCs w:val="0"/>
                <w:szCs w:val="21"/>
                <w:lang w:val="en-US" w:eastAsia="zh-CN"/>
              </w:rPr>
              <w:t>本项目餐厅厨房设备二次深化设计费8000元须由中标单位承担。</w:t>
            </w:r>
          </w:p>
        </w:tc>
      </w:tr>
      <w:tr w14:paraId="38B674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709" w:type="dxa"/>
            <w:tcBorders>
              <w:bottom w:val="single" w:color="auto" w:sz="4" w:space="0"/>
            </w:tcBorders>
            <w:vAlign w:val="center"/>
          </w:tcPr>
          <w:p w14:paraId="0F426335">
            <w:pPr>
              <w:spacing w:line="320" w:lineRule="exact"/>
              <w:jc w:val="center"/>
              <w:rPr>
                <w:rFonts w:hint="default" w:ascii="宋体" w:hAnsi="宋体"/>
                <w:color w:val="000000"/>
                <w:szCs w:val="21"/>
                <w:lang w:val="en-US" w:eastAsia="zh-CN"/>
              </w:rPr>
            </w:pPr>
            <w:r>
              <w:rPr>
                <w:rFonts w:hint="eastAsia" w:ascii="宋体" w:hAnsi="宋体"/>
                <w:color w:val="000000"/>
                <w:szCs w:val="21"/>
                <w:lang w:val="en-US" w:eastAsia="zh-CN"/>
              </w:rPr>
              <w:t>16</w:t>
            </w:r>
          </w:p>
        </w:tc>
        <w:tc>
          <w:tcPr>
            <w:tcW w:w="2129" w:type="dxa"/>
            <w:tcBorders>
              <w:bottom w:val="single" w:color="auto" w:sz="4" w:space="0"/>
            </w:tcBorders>
            <w:vAlign w:val="center"/>
          </w:tcPr>
          <w:p w14:paraId="0309308D">
            <w:pPr>
              <w:spacing w:line="360" w:lineRule="auto"/>
              <w:jc w:val="both"/>
              <w:rPr>
                <w:rFonts w:hint="default" w:asciiTheme="majorEastAsia" w:hAnsiTheme="majorEastAsia" w:eastAsiaTheme="majorEastAsia" w:cstheme="majorEastAsia"/>
                <w:color w:val="000000"/>
                <w:kern w:val="0"/>
                <w:szCs w:val="21"/>
                <w:lang w:val="en-US" w:eastAsia="zh-CN"/>
              </w:rPr>
            </w:pPr>
            <w:r>
              <w:rPr>
                <w:rFonts w:hint="eastAsia" w:asciiTheme="majorEastAsia" w:hAnsiTheme="majorEastAsia" w:eastAsiaTheme="majorEastAsia" w:cstheme="majorEastAsia"/>
                <w:color w:val="000000"/>
                <w:kern w:val="0"/>
                <w:szCs w:val="21"/>
                <w:lang w:val="en-US" w:eastAsia="zh-CN"/>
              </w:rPr>
              <w:t xml:space="preserve">     </w:t>
            </w:r>
            <w:r>
              <w:rPr>
                <w:rFonts w:hint="eastAsia" w:asciiTheme="majorEastAsia" w:hAnsiTheme="majorEastAsia" w:eastAsiaTheme="majorEastAsia" w:cstheme="majorEastAsia"/>
                <w:b/>
                <w:bCs/>
                <w:color w:val="000000"/>
                <w:kern w:val="0"/>
                <w:szCs w:val="21"/>
                <w:lang w:val="en-US" w:eastAsia="zh-CN"/>
              </w:rPr>
              <w:t>代理费</w:t>
            </w:r>
          </w:p>
        </w:tc>
        <w:tc>
          <w:tcPr>
            <w:tcW w:w="7630" w:type="dxa"/>
            <w:tcBorders>
              <w:bottom w:val="single" w:color="auto" w:sz="4" w:space="0"/>
            </w:tcBorders>
            <w:vAlign w:val="center"/>
          </w:tcPr>
          <w:p w14:paraId="52A9579E">
            <w:pPr>
              <w:snapToGrid w:val="0"/>
              <w:spacing w:line="360" w:lineRule="auto"/>
              <w:jc w:val="left"/>
              <w:rPr>
                <w:rFonts w:hint="eastAsia" w:ascii="宋体" w:hAnsi="宋体" w:cs="宋体"/>
                <w:b/>
                <w:bCs w:val="0"/>
                <w:szCs w:val="21"/>
                <w:lang w:val="en-US" w:eastAsia="zh-CN"/>
              </w:rPr>
            </w:pPr>
            <w:r>
              <w:rPr>
                <w:rFonts w:hint="eastAsia" w:ascii="宋体"/>
                <w:b/>
                <w:bCs/>
                <w:szCs w:val="21"/>
                <w:highlight w:val="none"/>
                <w:lang w:val="zh-CN" w:eastAsia="zh-CN"/>
              </w:rPr>
              <w:t>本项目</w:t>
            </w:r>
            <w:r>
              <w:rPr>
                <w:rFonts w:hint="eastAsia" w:ascii="宋体"/>
                <w:b/>
                <w:bCs/>
                <w:szCs w:val="21"/>
                <w:highlight w:val="none"/>
                <w:lang w:val="en-US" w:eastAsia="zh-CN"/>
              </w:rPr>
              <w:t>代理</w:t>
            </w:r>
            <w:r>
              <w:rPr>
                <w:rFonts w:hint="eastAsia" w:ascii="宋体"/>
                <w:b/>
                <w:bCs/>
                <w:szCs w:val="21"/>
                <w:highlight w:val="none"/>
                <w:lang w:val="zh-CN" w:eastAsia="zh-CN"/>
              </w:rPr>
              <w:t>服务费4000元，由中标单位承担，</w:t>
            </w:r>
            <w:r>
              <w:rPr>
                <w:rFonts w:hint="eastAsia" w:ascii="宋体" w:hAnsi="宋体" w:cs="宋体"/>
                <w:b/>
                <w:bCs/>
                <w:color w:val="000000"/>
                <w:szCs w:val="21"/>
                <w:highlight w:val="none"/>
              </w:rPr>
              <w:t>在领取中标（成交）通知书的同时一次性向代理机构缴清。</w:t>
            </w:r>
          </w:p>
        </w:tc>
      </w:tr>
      <w:tr w14:paraId="135AA0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3" w:hRule="atLeast"/>
        </w:trPr>
        <w:tc>
          <w:tcPr>
            <w:tcW w:w="709" w:type="dxa"/>
            <w:tcBorders>
              <w:top w:val="single" w:color="auto" w:sz="4" w:space="0"/>
              <w:bottom w:val="single" w:color="auto" w:sz="4" w:space="0"/>
            </w:tcBorders>
            <w:vAlign w:val="center"/>
          </w:tcPr>
          <w:p w14:paraId="74F82029">
            <w:pPr>
              <w:spacing w:line="320" w:lineRule="exact"/>
              <w:jc w:val="center"/>
              <w:rPr>
                <w:rFonts w:hint="eastAsia" w:ascii="宋体" w:hAnsi="宋体" w:eastAsia="宋体"/>
                <w:color w:val="000000"/>
                <w:szCs w:val="21"/>
                <w:lang w:eastAsia="zh-CN"/>
              </w:rPr>
            </w:pPr>
            <w:r>
              <w:rPr>
                <w:rFonts w:hint="eastAsia" w:ascii="宋体" w:hAnsi="宋体"/>
                <w:color w:val="000000"/>
                <w:szCs w:val="21"/>
              </w:rPr>
              <w:t>1</w:t>
            </w:r>
            <w:r>
              <w:rPr>
                <w:rFonts w:hint="eastAsia" w:ascii="宋体" w:hAnsi="宋体"/>
                <w:color w:val="000000"/>
                <w:szCs w:val="21"/>
                <w:lang w:val="en-US" w:eastAsia="zh-CN"/>
              </w:rPr>
              <w:t>7</w:t>
            </w:r>
          </w:p>
        </w:tc>
        <w:tc>
          <w:tcPr>
            <w:tcW w:w="2129" w:type="dxa"/>
            <w:tcBorders>
              <w:top w:val="single" w:color="auto" w:sz="4" w:space="0"/>
              <w:bottom w:val="single" w:color="auto" w:sz="4" w:space="0"/>
            </w:tcBorders>
            <w:vAlign w:val="center"/>
          </w:tcPr>
          <w:p w14:paraId="1591F9FB">
            <w:pPr>
              <w:autoSpaceDE w:val="0"/>
              <w:autoSpaceDN w:val="0"/>
              <w:adjustRightInd w:val="0"/>
              <w:spacing w:line="360" w:lineRule="exact"/>
              <w:jc w:val="center"/>
              <w:rPr>
                <w:rFonts w:ascii="宋体" w:hAnsi="宋体"/>
                <w:szCs w:val="21"/>
              </w:rPr>
            </w:pPr>
            <w:r>
              <w:rPr>
                <w:rFonts w:hint="eastAsia" w:ascii="宋体" w:hAnsi="宋体"/>
                <w:szCs w:val="21"/>
              </w:rPr>
              <w:t>解释权</w:t>
            </w:r>
          </w:p>
        </w:tc>
        <w:tc>
          <w:tcPr>
            <w:tcW w:w="7630" w:type="dxa"/>
            <w:tcBorders>
              <w:top w:val="single" w:color="auto" w:sz="4" w:space="0"/>
              <w:bottom w:val="single" w:color="auto" w:sz="4" w:space="0"/>
            </w:tcBorders>
            <w:vAlign w:val="center"/>
          </w:tcPr>
          <w:p w14:paraId="3DFC0343">
            <w:pPr>
              <w:autoSpaceDE w:val="0"/>
              <w:autoSpaceDN w:val="0"/>
              <w:adjustRightInd w:val="0"/>
              <w:spacing w:line="360" w:lineRule="exact"/>
              <w:rPr>
                <w:rFonts w:ascii="宋体" w:hAnsi="宋体"/>
                <w:szCs w:val="21"/>
              </w:rPr>
            </w:pPr>
            <w:r>
              <w:rPr>
                <w:rFonts w:hint="eastAsia" w:ascii="宋体" w:hAnsi="宋体"/>
                <w:szCs w:val="21"/>
              </w:rPr>
              <w:t>本采购文件解释权属于采购采购单位（采购人和采购代理机构）</w:t>
            </w:r>
          </w:p>
        </w:tc>
      </w:tr>
      <w:tr w14:paraId="01F262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709" w:type="dxa"/>
            <w:tcBorders>
              <w:top w:val="single" w:color="auto" w:sz="4" w:space="0"/>
              <w:bottom w:val="single" w:color="auto" w:sz="4" w:space="0"/>
            </w:tcBorders>
            <w:vAlign w:val="center"/>
          </w:tcPr>
          <w:p w14:paraId="142A028B">
            <w:pPr>
              <w:spacing w:line="32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18</w:t>
            </w:r>
          </w:p>
        </w:tc>
        <w:tc>
          <w:tcPr>
            <w:tcW w:w="2129" w:type="dxa"/>
            <w:tcBorders>
              <w:top w:val="single" w:color="auto" w:sz="4" w:space="0"/>
              <w:bottom w:val="single" w:color="auto" w:sz="4" w:space="0"/>
            </w:tcBorders>
            <w:vAlign w:val="center"/>
          </w:tcPr>
          <w:p w14:paraId="44BD07B0">
            <w:pPr>
              <w:autoSpaceDE w:val="0"/>
              <w:autoSpaceDN w:val="0"/>
              <w:adjustRightInd w:val="0"/>
              <w:spacing w:line="360" w:lineRule="exact"/>
              <w:jc w:val="center"/>
              <w:rPr>
                <w:rFonts w:hint="eastAsia" w:ascii="宋体" w:hAnsi="宋体" w:eastAsia="宋体"/>
                <w:szCs w:val="21"/>
                <w:lang w:val="en-US" w:eastAsia="zh-CN"/>
              </w:rPr>
            </w:pPr>
            <w:r>
              <w:rPr>
                <w:rFonts w:hint="eastAsia" w:ascii="宋体" w:hAnsi="宋体"/>
                <w:szCs w:val="21"/>
                <w:lang w:val="en-US" w:eastAsia="zh-CN"/>
              </w:rPr>
              <w:t>钉钉直播</w:t>
            </w:r>
          </w:p>
        </w:tc>
        <w:tc>
          <w:tcPr>
            <w:tcW w:w="7630" w:type="dxa"/>
            <w:tcBorders>
              <w:top w:val="single" w:color="auto" w:sz="4" w:space="0"/>
              <w:bottom w:val="single" w:color="auto" w:sz="4" w:space="0"/>
            </w:tcBorders>
            <w:vAlign w:val="center"/>
          </w:tcPr>
          <w:p w14:paraId="0E86EC88">
            <w:pPr>
              <w:autoSpaceDE w:val="0"/>
              <w:autoSpaceDN w:val="0"/>
              <w:adjustRightInd w:val="0"/>
              <w:spacing w:line="360" w:lineRule="exact"/>
              <w:rPr>
                <w:rFonts w:hint="eastAsia" w:ascii="宋体" w:hAnsi="宋体" w:eastAsia="宋体"/>
                <w:szCs w:val="21"/>
                <w:lang w:eastAsia="zh-CN"/>
              </w:rPr>
            </w:pPr>
            <w:r>
              <w:rPr>
                <w:rFonts w:hint="eastAsia" w:ascii="宋体" w:hAnsi="宋体"/>
                <w:szCs w:val="21"/>
                <w:lang w:eastAsia="zh-CN"/>
              </w:rPr>
              <w:t>钉钉群群号:111695000862，二维码详见最后一页。</w:t>
            </w:r>
          </w:p>
        </w:tc>
      </w:tr>
    </w:tbl>
    <w:p w14:paraId="0608A4DC">
      <w:pPr>
        <w:spacing w:line="360" w:lineRule="auto"/>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 、总  则</w:t>
      </w:r>
    </w:p>
    <w:p w14:paraId="1A6D6B02">
      <w:pPr>
        <w:numPr>
          <w:ilvl w:val="0"/>
          <w:numId w:val="2"/>
        </w:numPr>
        <w:snapToGrid w:val="0"/>
        <w:spacing w:line="360" w:lineRule="auto"/>
        <w:ind w:firstLine="413" w:firstLineChars="196"/>
        <w:jc w:val="left"/>
        <w:outlineLvl w:val="1"/>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适用范围</w:t>
      </w:r>
    </w:p>
    <w:p w14:paraId="3CD0D4C9">
      <w:pPr>
        <w:snapToGrid w:val="0"/>
        <w:spacing w:line="360" w:lineRule="auto"/>
        <w:ind w:firstLine="420" w:firstLineChars="200"/>
        <w:jc w:val="left"/>
        <w:outlineLvl w:val="1"/>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本谈判文件适用于</w:t>
      </w:r>
      <w:r>
        <w:rPr>
          <w:rFonts w:hint="eastAsia" w:asciiTheme="minorEastAsia" w:hAnsiTheme="minorEastAsia" w:eastAsiaTheme="minorEastAsia"/>
          <w:bCs/>
          <w:color w:val="000000"/>
          <w:szCs w:val="21"/>
        </w:rPr>
        <w:t>本次</w:t>
      </w:r>
      <w:r>
        <w:rPr>
          <w:rFonts w:hint="eastAsia" w:asciiTheme="minorEastAsia" w:hAnsiTheme="minorEastAsia" w:eastAsiaTheme="minorEastAsia"/>
          <w:color w:val="000000"/>
          <w:szCs w:val="21"/>
        </w:rPr>
        <w:t>项目的</w:t>
      </w:r>
      <w:r>
        <w:rPr>
          <w:rFonts w:hint="eastAsia" w:asciiTheme="minorEastAsia" w:hAnsiTheme="minorEastAsia" w:eastAsiaTheme="minorEastAsia"/>
          <w:bCs/>
          <w:color w:val="000000"/>
          <w:szCs w:val="21"/>
        </w:rPr>
        <w:t>谈判、评审、确定成交供应商</w:t>
      </w:r>
      <w:r>
        <w:rPr>
          <w:rFonts w:hint="eastAsia" w:asciiTheme="minorEastAsia" w:hAnsiTheme="minorEastAsia" w:eastAsiaTheme="minorEastAsia"/>
          <w:color w:val="000000"/>
          <w:szCs w:val="21"/>
        </w:rPr>
        <w:t>、验收、合同履约、付款等行为（法律、法规另有规定的，从其规定）。</w:t>
      </w:r>
    </w:p>
    <w:p w14:paraId="37F7F877">
      <w:pPr>
        <w:snapToGrid w:val="0"/>
        <w:spacing w:line="360" w:lineRule="auto"/>
        <w:ind w:firstLine="310" w:firstLineChars="147"/>
        <w:jc w:val="left"/>
        <w:outlineLvl w:val="1"/>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（二）定义</w:t>
      </w:r>
    </w:p>
    <w:p w14:paraId="12DE0E55">
      <w:pPr>
        <w:pStyle w:val="4"/>
        <w:keepNext w:val="0"/>
        <w:keepLines w:val="0"/>
        <w:tabs>
          <w:tab w:val="left" w:pos="0"/>
          <w:tab w:val="left" w:pos="851"/>
        </w:tabs>
        <w:autoSpaceDE w:val="0"/>
        <w:autoSpaceDN w:val="0"/>
        <w:adjustRightInd w:val="0"/>
        <w:snapToGrid w:val="0"/>
        <w:spacing w:before="0" w:after="0" w:line="360" w:lineRule="auto"/>
        <w:ind w:firstLine="525" w:firstLineChars="250"/>
        <w:jc w:val="left"/>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color w:val="000000"/>
          <w:sz w:val="21"/>
          <w:szCs w:val="21"/>
        </w:rPr>
        <w:t>1、</w:t>
      </w:r>
      <w:r>
        <w:rPr>
          <w:rFonts w:hint="eastAsia" w:ascii="宋体" w:hAnsi="宋体"/>
          <w:b w:val="0"/>
          <w:bCs w:val="0"/>
          <w:sz w:val="21"/>
          <w:szCs w:val="21"/>
          <w:lang w:val="zh-CN"/>
        </w:rPr>
        <w:t>采购组织机构：是指采购人委托组织谈判的采购代</w:t>
      </w:r>
      <w:r>
        <w:rPr>
          <w:rFonts w:hint="eastAsia" w:ascii="宋体" w:hAnsi="宋体"/>
          <w:b w:val="0"/>
          <w:bCs w:val="0"/>
          <w:color w:val="000000"/>
          <w:sz w:val="21"/>
          <w:szCs w:val="21"/>
          <w:lang w:val="zh-CN"/>
        </w:rPr>
        <w:t>理机构。</w:t>
      </w:r>
    </w:p>
    <w:p w14:paraId="205424D0">
      <w:pPr>
        <w:snapToGrid w:val="0"/>
        <w:spacing w:line="360" w:lineRule="auto"/>
        <w:ind w:firstLine="525" w:firstLineChars="2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2、采购人：是指委托采购代理机构采购本次项目的单位。</w:t>
      </w:r>
    </w:p>
    <w:p w14:paraId="18D463D8">
      <w:pPr>
        <w:snapToGrid w:val="0"/>
        <w:spacing w:line="360" w:lineRule="auto"/>
        <w:ind w:firstLine="525" w:firstLineChars="2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3、谈判</w:t>
      </w:r>
      <w:r>
        <w:rPr>
          <w:rFonts w:hint="eastAsia" w:ascii="宋体"/>
          <w:color w:val="000000"/>
          <w:kern w:val="0"/>
          <w:szCs w:val="21"/>
        </w:rPr>
        <w:t>供应商</w:t>
      </w:r>
      <w:r>
        <w:rPr>
          <w:rFonts w:hint="eastAsia" w:asciiTheme="minorEastAsia" w:hAnsiTheme="minorEastAsia" w:eastAsiaTheme="minorEastAsia"/>
          <w:color w:val="000000"/>
          <w:szCs w:val="21"/>
        </w:rPr>
        <w:t>：是</w:t>
      </w:r>
      <w:r>
        <w:rPr>
          <w:rFonts w:asciiTheme="minorEastAsia" w:hAnsiTheme="minorEastAsia" w:eastAsiaTheme="minorEastAsia"/>
          <w:color w:val="000000"/>
          <w:szCs w:val="21"/>
        </w:rPr>
        <w:t>指向</w:t>
      </w:r>
      <w:r>
        <w:rPr>
          <w:rFonts w:hint="eastAsia" w:asciiTheme="minorEastAsia" w:hAnsiTheme="minorEastAsia" w:eastAsiaTheme="minorEastAsia"/>
          <w:color w:val="000000"/>
          <w:szCs w:val="21"/>
        </w:rPr>
        <w:t>采购</w:t>
      </w:r>
      <w:r>
        <w:rPr>
          <w:rFonts w:hint="eastAsia" w:ascii="宋体" w:hAnsi="宋体"/>
          <w:szCs w:val="21"/>
          <w:lang w:val="zh-CN"/>
        </w:rPr>
        <w:t>组织</w:t>
      </w:r>
      <w:r>
        <w:rPr>
          <w:rFonts w:hint="eastAsia" w:asciiTheme="minorEastAsia" w:hAnsiTheme="minorEastAsia" w:eastAsiaTheme="minorEastAsia"/>
          <w:color w:val="000000"/>
          <w:szCs w:val="21"/>
        </w:rPr>
        <w:t>机构</w:t>
      </w:r>
      <w:r>
        <w:rPr>
          <w:rFonts w:asciiTheme="minorEastAsia" w:hAnsiTheme="minorEastAsia" w:eastAsiaTheme="minorEastAsia"/>
          <w:color w:val="000000"/>
          <w:szCs w:val="21"/>
        </w:rPr>
        <w:t>提交</w:t>
      </w:r>
      <w:r>
        <w:rPr>
          <w:rFonts w:hint="eastAsia" w:asciiTheme="minorEastAsia" w:hAnsiTheme="minorEastAsia" w:eastAsiaTheme="minorEastAsia"/>
          <w:color w:val="000000"/>
          <w:szCs w:val="21"/>
        </w:rPr>
        <w:t>谈判响应</w:t>
      </w:r>
      <w:r>
        <w:rPr>
          <w:rFonts w:asciiTheme="minorEastAsia" w:hAnsiTheme="minorEastAsia" w:eastAsiaTheme="minorEastAsia"/>
          <w:color w:val="000000"/>
          <w:szCs w:val="21"/>
        </w:rPr>
        <w:t>文件的单位或个人。</w:t>
      </w:r>
    </w:p>
    <w:p w14:paraId="520D3025">
      <w:pPr>
        <w:snapToGrid w:val="0"/>
        <w:spacing w:line="360" w:lineRule="auto"/>
        <w:ind w:firstLine="525" w:firstLineChars="2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r>
        <w:rPr>
          <w:rFonts w:asciiTheme="minorEastAsia" w:hAnsiTheme="minorEastAsia" w:eastAsiaTheme="minorEastAsia"/>
          <w:color w:val="000000"/>
          <w:szCs w:val="21"/>
        </w:rPr>
        <w:t>货物</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是指各种形态和种类的物品，包括原材料、燃料、设备、产品等。</w:t>
      </w:r>
    </w:p>
    <w:p w14:paraId="3B44EA8B">
      <w:pPr>
        <w:snapToGrid w:val="0"/>
        <w:spacing w:line="360" w:lineRule="auto"/>
        <w:ind w:firstLine="495" w:firstLineChars="236"/>
        <w:jc w:val="left"/>
        <w:rPr>
          <w:rFonts w:asciiTheme="minorEastAsia" w:hAnsiTheme="minorEastAsia" w:eastAsiaTheme="minorEastAsia"/>
          <w:b/>
          <w:szCs w:val="21"/>
        </w:rPr>
      </w:pPr>
      <w:r>
        <w:rPr>
          <w:rFonts w:hint="eastAsia" w:asciiTheme="minorEastAsia" w:hAnsiTheme="minorEastAsia" w:eastAsiaTheme="minorEastAsia"/>
          <w:color w:val="000000"/>
          <w:szCs w:val="21"/>
        </w:rPr>
        <w:t>5、</w:t>
      </w:r>
      <w:r>
        <w:rPr>
          <w:rFonts w:asciiTheme="minorEastAsia" w:hAnsiTheme="minorEastAsia" w:eastAsiaTheme="minorEastAsia"/>
          <w:szCs w:val="21"/>
        </w:rPr>
        <w:t>服务</w:t>
      </w:r>
      <w:r>
        <w:rPr>
          <w:rFonts w:hint="eastAsia" w:asciiTheme="minorEastAsia" w:hAnsiTheme="minorEastAsia" w:eastAsiaTheme="minorEastAsia"/>
          <w:szCs w:val="21"/>
        </w:rPr>
        <w:t>：</w:t>
      </w:r>
      <w:r>
        <w:rPr>
          <w:rFonts w:asciiTheme="minorEastAsia" w:hAnsiTheme="minorEastAsia" w:eastAsiaTheme="minorEastAsia"/>
          <w:szCs w:val="21"/>
        </w:rPr>
        <w:t>是指除货物和工程以外的政府采购对象，包括各类专业服务、信息网络开发服务、金融保险服务、运输服务，以及维修与维护服务等。</w:t>
      </w:r>
    </w:p>
    <w:p w14:paraId="16C24081">
      <w:pPr>
        <w:snapToGrid w:val="0"/>
        <w:spacing w:line="360" w:lineRule="auto"/>
        <w:ind w:firstLine="495" w:firstLineChars="236"/>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w:t>
      </w:r>
      <w:r>
        <w:rPr>
          <w:rFonts w:asciiTheme="minorEastAsia" w:hAnsiTheme="minorEastAsia" w:eastAsiaTheme="minorEastAsia"/>
          <w:color w:val="000000"/>
          <w:szCs w:val="21"/>
        </w:rPr>
        <w:t>“书面形式”包括信函、传真等。</w:t>
      </w:r>
    </w:p>
    <w:p w14:paraId="3966E370">
      <w:pPr>
        <w:snapToGrid w:val="0"/>
        <w:spacing w:line="360" w:lineRule="auto"/>
        <w:ind w:firstLine="495" w:firstLineChars="236"/>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w:t>
      </w:r>
      <w:r>
        <w:rPr>
          <w:rFonts w:asciiTheme="minorEastAsia" w:hAnsiTheme="minorEastAsia" w:eastAsiaTheme="minorEastAsia"/>
          <w:color w:val="000000"/>
          <w:szCs w:val="21"/>
        </w:rPr>
        <w:t>“▲”系指实质性要求条款。</w:t>
      </w:r>
    </w:p>
    <w:p w14:paraId="5AD21F43">
      <w:pPr>
        <w:snapToGrid w:val="0"/>
        <w:spacing w:line="360" w:lineRule="auto"/>
        <w:jc w:val="left"/>
        <w:outlineLvl w:val="1"/>
        <w:rPr>
          <w:rFonts w:ascii="宋体" w:hAnsi="宋体" w:cs="宋体"/>
          <w:b/>
          <w:color w:val="000000"/>
          <w:szCs w:val="21"/>
        </w:rPr>
      </w:pPr>
      <w:r>
        <w:rPr>
          <w:rFonts w:hint="eastAsia" w:ascii="宋体" w:hAnsi="宋体" w:cs="宋体"/>
          <w:b/>
          <w:color w:val="000000"/>
          <w:szCs w:val="21"/>
        </w:rPr>
        <w:t>（三）谈判费用</w:t>
      </w:r>
    </w:p>
    <w:p w14:paraId="00614C59">
      <w:pPr>
        <w:snapToGrid w:val="0"/>
        <w:spacing w:line="360" w:lineRule="auto"/>
        <w:ind w:firstLine="420" w:firstLineChars="200"/>
        <w:jc w:val="left"/>
        <w:rPr>
          <w:rFonts w:ascii="宋体" w:hAnsi="宋体" w:cs="宋体"/>
          <w:szCs w:val="21"/>
        </w:rPr>
      </w:pPr>
      <w:r>
        <w:rPr>
          <w:rFonts w:hint="eastAsia" w:ascii="宋体" w:hAnsi="宋体" w:cs="宋体"/>
          <w:szCs w:val="21"/>
        </w:rPr>
        <w:t>1.不论谈判结果如何，</w:t>
      </w:r>
      <w:r>
        <w:rPr>
          <w:rFonts w:hint="eastAsia" w:ascii="宋体" w:hAnsi="宋体" w:cs="宋体"/>
          <w:color w:val="000000"/>
          <w:szCs w:val="21"/>
        </w:rPr>
        <w:t>供应商</w:t>
      </w:r>
      <w:r>
        <w:rPr>
          <w:rFonts w:hint="eastAsia" w:ascii="宋体" w:hAnsi="宋体" w:cs="宋体"/>
          <w:szCs w:val="21"/>
        </w:rPr>
        <w:t>均应自行承担所有与谈判有关的全部费用（谈判文件有相关规定除外）。</w:t>
      </w:r>
    </w:p>
    <w:p w14:paraId="30A44D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510" w:firstLineChars="243"/>
        <w:rPr>
          <w:rFonts w:ascii="宋体"/>
          <w:b/>
          <w:bCs/>
          <w:szCs w:val="21"/>
          <w:lang w:val="zh-CN"/>
        </w:rPr>
      </w:pPr>
      <w:r>
        <w:rPr>
          <w:rFonts w:hint="eastAsia" w:ascii="宋体"/>
          <w:szCs w:val="21"/>
          <w:lang w:val="zh-CN"/>
        </w:rPr>
        <w:t>2</w:t>
      </w:r>
      <w:r>
        <w:rPr>
          <w:rFonts w:ascii="宋体"/>
          <w:szCs w:val="21"/>
          <w:lang w:val="zh-CN"/>
        </w:rPr>
        <w:t xml:space="preserve">. </w:t>
      </w:r>
      <w:r>
        <w:rPr>
          <w:rFonts w:hint="eastAsia" w:ascii="宋体"/>
          <w:b/>
          <w:bCs/>
          <w:szCs w:val="21"/>
          <w:lang w:val="zh-CN" w:eastAsia="zh-CN"/>
        </w:rPr>
        <w:t>本项目</w:t>
      </w:r>
      <w:r>
        <w:rPr>
          <w:rFonts w:hint="eastAsia" w:ascii="宋体"/>
          <w:b/>
          <w:bCs/>
          <w:szCs w:val="21"/>
          <w:lang w:val="en-US" w:eastAsia="zh-CN"/>
        </w:rPr>
        <w:t>代理</w:t>
      </w:r>
      <w:r>
        <w:rPr>
          <w:rFonts w:hint="eastAsia" w:ascii="宋体"/>
          <w:b/>
          <w:bCs/>
          <w:szCs w:val="21"/>
          <w:lang w:val="zh-CN" w:eastAsia="zh-CN"/>
        </w:rPr>
        <w:t>服务费4000元，由中标单位承担。</w:t>
      </w:r>
    </w:p>
    <w:p w14:paraId="6A36A512">
      <w:pPr>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中标（成交）人须在领取中标（成交）通知书的同时一次性向代理机构缴清。</w:t>
      </w:r>
    </w:p>
    <w:p w14:paraId="1D5B6917">
      <w:pPr>
        <w:snapToGrid w:val="0"/>
        <w:spacing w:line="360" w:lineRule="auto"/>
        <w:ind w:firstLine="420" w:firstLineChars="200"/>
        <w:jc w:val="left"/>
        <w:rPr>
          <w:rFonts w:hint="default"/>
          <w:lang w:val="en-US" w:eastAsia="zh-CN"/>
        </w:rPr>
      </w:pPr>
      <w:r>
        <w:rPr>
          <w:rFonts w:hint="eastAsia" w:ascii="宋体" w:hAnsi="宋体" w:cs="宋体"/>
          <w:color w:val="000000"/>
          <w:szCs w:val="21"/>
          <w:lang w:val="en-US" w:eastAsia="zh-CN"/>
        </w:rPr>
        <w:t>3.</w:t>
      </w:r>
      <w:r>
        <w:rPr>
          <w:rFonts w:hint="eastAsia" w:ascii="宋体" w:hAnsi="宋体" w:cs="宋体"/>
          <w:b/>
          <w:bCs w:val="0"/>
          <w:szCs w:val="21"/>
          <w:lang w:val="en-US" w:eastAsia="zh-CN"/>
        </w:rPr>
        <w:t>本项目餐厅厨房设备二次深化设计费8000元须由中标单位承担。</w:t>
      </w:r>
    </w:p>
    <w:p w14:paraId="53DC7AEB">
      <w:pPr>
        <w:pStyle w:val="15"/>
        <w:snapToGrid w:val="0"/>
        <w:spacing w:line="360" w:lineRule="auto"/>
        <w:rPr>
          <w:rFonts w:hAnsi="宋体" w:cs="宋体"/>
          <w:b/>
          <w:color w:val="000000"/>
          <w:szCs w:val="21"/>
        </w:rPr>
      </w:pPr>
      <w:r>
        <w:rPr>
          <w:rFonts w:hint="eastAsia" w:hAnsi="宋体" w:cs="宋体"/>
          <w:b/>
          <w:color w:val="000000"/>
          <w:szCs w:val="21"/>
        </w:rPr>
        <w:t>（四）特别说明</w:t>
      </w:r>
    </w:p>
    <w:p w14:paraId="7A13EC6E">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lang w:val="zh-CN"/>
        </w:rPr>
        <w:t>▲1.</w:t>
      </w:r>
      <w:r>
        <w:rPr>
          <w:rFonts w:hint="eastAsia" w:ascii="宋体" w:hAnsi="宋体" w:cs="宋体"/>
          <w:color w:val="000000"/>
          <w:kern w:val="0"/>
          <w:szCs w:val="21"/>
        </w:rPr>
        <w:t>谈判供应商应仔细阅读本竞争性谈判文件的所有内容，按照竞争性谈判文件的要求提交谈判响应文件，并对所提供的全部资料的真实性承担法律责任。</w:t>
      </w:r>
    </w:p>
    <w:p w14:paraId="3662BD6F">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lang w:val="zh-CN"/>
        </w:rPr>
        <w:t>▲</w:t>
      </w:r>
      <w:r>
        <w:rPr>
          <w:rFonts w:hint="eastAsia" w:ascii="宋体" w:hAnsi="宋体" w:cs="宋体"/>
          <w:color w:val="000000"/>
          <w:kern w:val="0"/>
          <w:szCs w:val="21"/>
        </w:rPr>
        <w:t>2.谈判供应商在谈判活动中提供任何虚假材料，其谈判无效，并报监管部门查处；成交后发现的，成交供应商须依照《中华人民共和国消费者权益保护法》第49条之规定赔偿采购人，且民事赔偿并不免除违法供应商的行政与刑事责任。</w:t>
      </w:r>
    </w:p>
    <w:p w14:paraId="69554096">
      <w:pPr>
        <w:autoSpaceDE w:val="0"/>
        <w:autoSpaceDN w:val="0"/>
        <w:adjustRightInd w:val="0"/>
        <w:snapToGrid w:val="0"/>
        <w:spacing w:line="360" w:lineRule="auto"/>
        <w:ind w:firstLine="420" w:firstLineChars="200"/>
        <w:rPr>
          <w:rFonts w:ascii="宋体" w:hAnsi="宋体" w:cs="宋体"/>
          <w:b/>
          <w:bCs/>
          <w:szCs w:val="21"/>
        </w:rPr>
      </w:pPr>
      <w:r>
        <w:rPr>
          <w:rFonts w:hint="eastAsia" w:ascii="宋体" w:hAnsi="宋体" w:cs="宋体"/>
          <w:szCs w:val="21"/>
        </w:rPr>
        <w:t>3.</w:t>
      </w:r>
      <w:r>
        <w:rPr>
          <w:rFonts w:hint="eastAsia" w:ascii="宋体" w:hAnsi="宋体" w:cs="宋体"/>
          <w:b/>
          <w:bCs/>
          <w:szCs w:val="21"/>
        </w:rPr>
        <w:t>采用最低评标价法的采购项目，提供相同品牌产品的不同供应商参加同一合同项下投标的，以其中通过资格审查、符合性审查且报价最低的参加评标；报价相同的，由采购人采取随机抽取方式确定，其他投标无效。</w:t>
      </w:r>
    </w:p>
    <w:p w14:paraId="10CB06E1">
      <w:pPr>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非单一产品采购项目，采购人应当根据采购项目技术构成、产品价格比重等合理确定核心产品，并在招标文件中载明。多家供应商提供的核心产品品牌相同的，按前款规定处理。</w:t>
      </w:r>
    </w:p>
    <w:p w14:paraId="5F8860B5">
      <w:pPr>
        <w:autoSpaceDE w:val="0"/>
        <w:autoSpaceDN w:val="0"/>
        <w:adjustRightInd w:val="0"/>
        <w:snapToGrid w:val="0"/>
        <w:spacing w:line="360" w:lineRule="auto"/>
        <w:ind w:firstLine="420" w:firstLineChars="200"/>
        <w:rPr>
          <w:rFonts w:hAnsi="宋体"/>
          <w:szCs w:val="21"/>
        </w:rPr>
      </w:pPr>
      <w:r>
        <w:rPr>
          <w:rFonts w:hint="eastAsia" w:ascii="宋体" w:hAnsi="宋体" w:cs="宋体"/>
          <w:szCs w:val="21"/>
          <w:lang w:val="zh-CN"/>
        </w:rPr>
        <w:t>▲</w:t>
      </w:r>
      <w:r>
        <w:rPr>
          <w:rFonts w:hint="eastAsia" w:ascii="宋体" w:hAnsi="宋体" w:cs="宋体"/>
          <w:b/>
          <w:szCs w:val="21"/>
        </w:rPr>
        <w:t>4.供应商信</w:t>
      </w:r>
      <w:r>
        <w:rPr>
          <w:rFonts w:hint="eastAsia" w:hAnsi="宋体"/>
          <w:b/>
          <w:szCs w:val="21"/>
        </w:rPr>
        <w:t>用信息查询渠道及截止时点、信用信息查询记录和证据留存的具体方式、信用信息的使用规则：</w:t>
      </w:r>
    </w:p>
    <w:p w14:paraId="4F133E56">
      <w:pPr>
        <w:autoSpaceDE w:val="0"/>
        <w:autoSpaceDN w:val="0"/>
        <w:adjustRightInd w:val="0"/>
        <w:snapToGrid w:val="0"/>
        <w:spacing w:line="360" w:lineRule="auto"/>
        <w:ind w:firstLine="420" w:firstLineChars="200"/>
        <w:rPr>
          <w:rFonts w:hAnsi="宋体"/>
          <w:szCs w:val="21"/>
        </w:rPr>
      </w:pPr>
      <w:r>
        <w:rPr>
          <w:rFonts w:hint="eastAsia" w:hAnsi="宋体"/>
          <w:szCs w:val="21"/>
        </w:rPr>
        <w:t>①查询渠道：“信用中国”（www.creditchina.gov.cn）、中国政府采购网（www.ccgp.gov.cn）。</w:t>
      </w:r>
    </w:p>
    <w:p w14:paraId="174F97EB">
      <w:pPr>
        <w:autoSpaceDE w:val="0"/>
        <w:autoSpaceDN w:val="0"/>
        <w:adjustRightInd w:val="0"/>
        <w:snapToGrid w:val="0"/>
        <w:spacing w:line="360" w:lineRule="auto"/>
        <w:ind w:firstLine="420" w:firstLineChars="200"/>
        <w:rPr>
          <w:rFonts w:hAnsi="宋体"/>
          <w:szCs w:val="21"/>
        </w:rPr>
      </w:pPr>
      <w:r>
        <w:rPr>
          <w:rFonts w:hint="eastAsia" w:hAnsi="宋体"/>
          <w:szCs w:val="21"/>
        </w:rPr>
        <w:t>②截止时间：开标后评标前。</w:t>
      </w:r>
    </w:p>
    <w:p w14:paraId="41446877">
      <w:pPr>
        <w:autoSpaceDE w:val="0"/>
        <w:autoSpaceDN w:val="0"/>
        <w:adjustRightInd w:val="0"/>
        <w:snapToGrid w:val="0"/>
        <w:spacing w:line="360" w:lineRule="auto"/>
        <w:ind w:firstLine="420" w:firstLineChars="200"/>
        <w:rPr>
          <w:rFonts w:hAnsi="宋体"/>
          <w:szCs w:val="21"/>
        </w:rPr>
      </w:pPr>
      <w:r>
        <w:rPr>
          <w:rFonts w:hint="eastAsia" w:hAnsi="宋体"/>
          <w:szCs w:val="21"/>
        </w:rPr>
        <w:t>③信用信息查询记录和证据留存的具体方式：将在规定查询时间内打印信用信息查询记录及相关证据，并将与其他采购文件一并保存。</w:t>
      </w:r>
    </w:p>
    <w:p w14:paraId="327808AF">
      <w:pPr>
        <w:snapToGrid w:val="0"/>
        <w:spacing w:line="360" w:lineRule="auto"/>
        <w:ind w:firstLine="420" w:firstLineChars="200"/>
        <w:jc w:val="left"/>
        <w:rPr>
          <w:rFonts w:ascii="宋体" w:hAnsi="宋体" w:cs="宋体"/>
          <w:color w:val="000000"/>
          <w:kern w:val="0"/>
          <w:szCs w:val="21"/>
        </w:rPr>
      </w:pPr>
      <w:r>
        <w:rPr>
          <w:rFonts w:hint="eastAsia" w:hAnsi="宋体"/>
          <w:szCs w:val="21"/>
        </w:rPr>
        <w:t>④使用规则：对列入失信被执行人、重大税收违法案件当事人名单、政府采购严重违法失信行为</w:t>
      </w:r>
      <w:r>
        <w:rPr>
          <w:rFonts w:hint="eastAsia" w:ascii="宋体" w:hAnsi="宋体" w:cs="宋体"/>
          <w:color w:val="000000"/>
          <w:kern w:val="0"/>
          <w:szCs w:val="21"/>
        </w:rPr>
        <w:t>记录名单的供应商，拒绝其参与政府采购活动。</w:t>
      </w:r>
    </w:p>
    <w:p w14:paraId="4B34C8BF">
      <w:pPr>
        <w:pStyle w:val="50"/>
        <w:spacing w:line="360" w:lineRule="auto"/>
        <w:rPr>
          <w:rFonts w:ascii="宋体" w:hAnsi="宋体" w:cs="宋体"/>
          <w:b/>
          <w:bCs/>
          <w:szCs w:val="21"/>
          <w:lang w:val="zh-CN"/>
        </w:rPr>
      </w:pPr>
      <w:r>
        <w:rPr>
          <w:rFonts w:hint="eastAsia" w:ascii="宋体" w:hAnsi="宋体" w:cs="宋体"/>
          <w:b/>
          <w:color w:val="000000"/>
          <w:kern w:val="2"/>
          <w:szCs w:val="21"/>
        </w:rPr>
        <w:t>（五）</w:t>
      </w:r>
      <w:r>
        <w:rPr>
          <w:rFonts w:hint="eastAsia" w:ascii="宋体" w:hAnsi="宋体" w:cs="宋体"/>
          <w:b/>
          <w:bCs/>
          <w:szCs w:val="21"/>
          <w:lang w:val="zh-CN"/>
        </w:rPr>
        <w:t>质疑与投诉</w:t>
      </w:r>
    </w:p>
    <w:p w14:paraId="26FEEADE">
      <w:pPr>
        <w:snapToGrid w:val="0"/>
        <w:spacing w:line="360" w:lineRule="auto"/>
        <w:ind w:firstLine="495" w:firstLineChars="236"/>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w:t>
      </w:r>
      <w:r>
        <w:rPr>
          <w:rFonts w:hint="eastAsia" w:ascii="宋体" w:hAnsi="宋体" w:cs="宋体"/>
          <w:szCs w:val="21"/>
          <w:lang w:val="zh-CN"/>
        </w:rPr>
        <w:t>供应商认为</w:t>
      </w:r>
      <w:r>
        <w:rPr>
          <w:rFonts w:hint="eastAsia" w:ascii="宋体" w:hAnsi="宋体" w:cs="宋体"/>
          <w:szCs w:val="21"/>
        </w:rPr>
        <w:t>谈判</w:t>
      </w:r>
      <w:r>
        <w:rPr>
          <w:rFonts w:hint="eastAsia" w:ascii="宋体" w:hAnsi="宋体" w:cs="宋体"/>
          <w:szCs w:val="21"/>
          <w:lang w:val="zh-CN"/>
        </w:rPr>
        <w:t>文件、</w:t>
      </w:r>
      <w:r>
        <w:rPr>
          <w:rFonts w:hint="eastAsia" w:ascii="宋体" w:hAnsi="宋体" w:cs="宋体"/>
          <w:szCs w:val="21"/>
        </w:rPr>
        <w:t>谈判</w:t>
      </w:r>
      <w:r>
        <w:rPr>
          <w:rFonts w:hint="eastAsia" w:ascii="宋体" w:hAnsi="宋体" w:cs="宋体"/>
          <w:szCs w:val="21"/>
          <w:lang w:val="zh-CN"/>
        </w:rPr>
        <w:t>过程和中标结果使自己的权益收到损害的，可以在知道或者应知其权益收到损害之日起七个工作日内，以书面形式向代理机构提出质疑（在法定质疑期内一次性提出针对同一采购程序环节的质疑）。</w:t>
      </w:r>
    </w:p>
    <w:p w14:paraId="55F137A6">
      <w:pPr>
        <w:snapToGrid w:val="0"/>
        <w:spacing w:line="360" w:lineRule="auto"/>
        <w:ind w:firstLine="495" w:firstLineChars="236"/>
        <w:rPr>
          <w:rFonts w:ascii="宋体" w:hAnsi="宋体" w:cs="宋体"/>
          <w:szCs w:val="21"/>
          <w:lang w:val="zh-CN"/>
        </w:rPr>
      </w:pPr>
      <w:r>
        <w:rPr>
          <w:rFonts w:hint="eastAsia" w:ascii="宋体" w:hAnsi="宋体" w:cs="宋体"/>
          <w:szCs w:val="21"/>
          <w:lang w:val="zh-CN"/>
        </w:rPr>
        <w:t>2</w:t>
      </w:r>
      <w:r>
        <w:rPr>
          <w:rFonts w:hint="eastAsia" w:ascii="宋体" w:hAnsi="宋体" w:cs="宋体"/>
          <w:szCs w:val="21"/>
        </w:rPr>
        <w:t>.</w:t>
      </w:r>
      <w:r>
        <w:rPr>
          <w:rFonts w:hint="eastAsia" w:ascii="宋体" w:hAnsi="宋体" w:cs="宋体"/>
          <w:szCs w:val="21"/>
          <w:lang w:val="zh-CN"/>
        </w:rPr>
        <w:t>质疑供应商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14:paraId="5B5F1C8B">
      <w:pPr>
        <w:snapToGrid w:val="0"/>
        <w:spacing w:line="360" w:lineRule="auto"/>
        <w:ind w:firstLine="495" w:firstLineChars="236"/>
        <w:rPr>
          <w:rFonts w:ascii="宋体" w:hAnsi="宋体" w:cs="宋体"/>
          <w:szCs w:val="21"/>
          <w:lang w:val="zh-CN"/>
        </w:rPr>
      </w:pPr>
      <w:r>
        <w:rPr>
          <w:rFonts w:hint="eastAsia" w:ascii="宋体" w:hAnsi="宋体" w:cs="宋体"/>
          <w:szCs w:val="21"/>
          <w:lang w:val="zh-CN"/>
        </w:rPr>
        <w:t>3</w:t>
      </w:r>
      <w:r>
        <w:rPr>
          <w:rFonts w:hint="eastAsia" w:ascii="宋体" w:hAnsi="宋体" w:cs="宋体"/>
          <w:szCs w:val="21"/>
        </w:rPr>
        <w:t>.</w:t>
      </w:r>
      <w:r>
        <w:rPr>
          <w:rFonts w:hint="eastAsia" w:ascii="宋体" w:hAnsi="宋体" w:cs="宋体"/>
          <w:szCs w:val="21"/>
          <w:lang w:val="zh-CN"/>
        </w:rPr>
        <w:t>代理机构在收到质疑供应商的书面质疑后7个工作日内作出书面答复（涉及项目采购需求内容的由采购人答复），质疑人在收到答复后应于1 日内，以书面或传真形式（签署意见并加盖公章）向代理机构回复予以确认。过期未回复的，视为默认接受。</w:t>
      </w:r>
    </w:p>
    <w:p w14:paraId="4540897F">
      <w:pPr>
        <w:snapToGrid w:val="0"/>
        <w:spacing w:line="360" w:lineRule="auto"/>
        <w:ind w:firstLine="495" w:firstLineChars="236"/>
        <w:rPr>
          <w:rFonts w:ascii="宋体" w:hAnsi="宋体" w:cs="宋体"/>
          <w:szCs w:val="21"/>
          <w:lang w:val="zh-CN"/>
        </w:rPr>
      </w:pPr>
      <w:r>
        <w:rPr>
          <w:rFonts w:hint="eastAsia" w:ascii="宋体" w:hAnsi="宋体" w:cs="宋体"/>
          <w:szCs w:val="21"/>
          <w:lang w:val="zh-CN"/>
        </w:rPr>
        <w:t>4</w:t>
      </w:r>
      <w:r>
        <w:rPr>
          <w:rFonts w:hint="eastAsia" w:ascii="宋体" w:hAnsi="宋体" w:cs="宋体"/>
          <w:szCs w:val="21"/>
        </w:rPr>
        <w:t>.</w:t>
      </w:r>
      <w:r>
        <w:rPr>
          <w:rFonts w:hint="eastAsia" w:ascii="宋体" w:hAnsi="宋体" w:cs="宋体"/>
          <w:szCs w:val="21"/>
          <w:lang w:val="zh-CN"/>
        </w:rPr>
        <w:t>质疑供应商捏造事实、提供虚假材料进行质疑的，代理机构报告同级监督部门。情况属实的，列入不良行为记录并在指定的媒体上公告。</w:t>
      </w:r>
    </w:p>
    <w:p w14:paraId="457F5070">
      <w:pPr>
        <w:snapToGrid w:val="0"/>
        <w:spacing w:line="360" w:lineRule="auto"/>
        <w:ind w:firstLine="420" w:firstLineChars="200"/>
        <w:rPr>
          <w:rFonts w:asciiTheme="minorEastAsia" w:hAnsiTheme="minorEastAsia" w:eastAsiaTheme="minorEastAsia"/>
          <w:szCs w:val="21"/>
        </w:rPr>
      </w:pPr>
      <w:r>
        <w:rPr>
          <w:rFonts w:hint="eastAsia" w:ascii="宋体" w:hAnsi="宋体" w:cs="宋体"/>
          <w:szCs w:val="21"/>
          <w:lang w:val="zh-CN"/>
        </w:rPr>
        <w:t>5</w:t>
      </w:r>
      <w:r>
        <w:rPr>
          <w:rFonts w:hint="eastAsia" w:ascii="宋体" w:hAnsi="宋体" w:cs="宋体"/>
          <w:szCs w:val="21"/>
        </w:rPr>
        <w:t>.</w:t>
      </w:r>
      <w:r>
        <w:rPr>
          <w:rFonts w:hint="eastAsia" w:ascii="宋体" w:hAnsi="宋体" w:cs="宋体"/>
          <w:szCs w:val="21"/>
          <w:lang w:val="zh-CN"/>
        </w:rPr>
        <w:t>质疑供应商对采购人、代理机构的答复不满意或者采购人、代理机构未在规定的时间内作出答复的，可以在答复期满后十五个工作日内向同级监督部门投诉。</w:t>
      </w:r>
    </w:p>
    <w:p w14:paraId="494ADA6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asciiTheme="minorEastAsia" w:hAnsiTheme="minorEastAsia" w:eastAsiaTheme="minorEastAsia"/>
          <w:b/>
          <w:color w:val="000000" w:themeColor="text1"/>
          <w:kern w:val="0"/>
          <w:sz w:val="24"/>
          <w14:textFill>
            <w14:solidFill>
              <w14:schemeClr w14:val="tx1"/>
            </w14:solidFill>
          </w14:textFill>
        </w:rPr>
      </w:pPr>
      <w:r>
        <w:rPr>
          <w:rFonts w:hint="eastAsia" w:ascii="宋体"/>
          <w:b/>
          <w:color w:val="000000"/>
          <w:kern w:val="0"/>
          <w:sz w:val="24"/>
        </w:rPr>
        <w:t>二、</w:t>
      </w:r>
      <w:r>
        <w:rPr>
          <w:rFonts w:hint="eastAsia" w:asciiTheme="minorEastAsia" w:hAnsiTheme="minorEastAsia" w:eastAsiaTheme="minorEastAsia"/>
          <w:b/>
          <w:color w:val="000000" w:themeColor="text1"/>
          <w:kern w:val="0"/>
          <w:sz w:val="24"/>
          <w14:textFill>
            <w14:solidFill>
              <w14:schemeClr w14:val="tx1"/>
            </w14:solidFill>
          </w14:textFill>
        </w:rPr>
        <w:t>谈判响应文件</w:t>
      </w:r>
    </w:p>
    <w:p w14:paraId="6F6110F0">
      <w:pPr>
        <w:autoSpaceDE w:val="0"/>
        <w:autoSpaceDN w:val="0"/>
        <w:adjustRightInd w:val="0"/>
        <w:snapToGrid w:val="0"/>
        <w:spacing w:line="360" w:lineRule="auto"/>
        <w:ind w:firstLine="422" w:firstLineChars="200"/>
        <w:rPr>
          <w:rFonts w:ascii="宋体"/>
          <w:b/>
          <w:color w:val="000000" w:themeColor="text1"/>
          <w:szCs w:val="21"/>
          <w:lang w:val="zh-CN"/>
          <w14:textFill>
            <w14:solidFill>
              <w14:schemeClr w14:val="tx1"/>
            </w14:solidFill>
          </w14:textFill>
        </w:rPr>
      </w:pPr>
      <w:r>
        <w:rPr>
          <w:rFonts w:hint="eastAsia" w:ascii="宋体"/>
          <w:b/>
          <w:color w:val="000000" w:themeColor="text1"/>
          <w:szCs w:val="21"/>
          <w:lang w:val="zh-CN"/>
          <w14:textFill>
            <w14:solidFill>
              <w14:schemeClr w14:val="tx1"/>
            </w14:solidFill>
          </w14:textFill>
        </w:rPr>
        <w:t>（一）谈判响应文件的组成</w:t>
      </w:r>
    </w:p>
    <w:p w14:paraId="4EDF4D36">
      <w:pPr>
        <w:autoSpaceDE w:val="0"/>
        <w:autoSpaceDN w:val="0"/>
        <w:adjustRightInd w:val="0"/>
        <w:snapToGrid w:val="0"/>
        <w:spacing w:line="360" w:lineRule="auto"/>
        <w:ind w:firstLine="420" w:firstLineChars="200"/>
        <w:rPr>
          <w:rFonts w:asciiTheme="minorEastAsia" w:hAnsiTheme="minorEastAsia" w:eastAsiaTheme="minorEastAsia"/>
          <w:kern w:val="0"/>
          <w:szCs w:val="21"/>
          <w:lang w:val="zh-CN"/>
        </w:rPr>
      </w:pPr>
      <w:r>
        <w:rPr>
          <w:rFonts w:hint="eastAsia" w:ascii="宋体"/>
          <w:color w:val="000000"/>
          <w:kern w:val="0"/>
          <w:szCs w:val="21"/>
        </w:rPr>
        <w:t>供应商应仔细阅读谈判文件的所有内容，按谈判采购文件的要求，详细编制谈判响应文件</w:t>
      </w:r>
      <w:r>
        <w:rPr>
          <w:rFonts w:hAnsi="宋体"/>
          <w:szCs w:val="21"/>
        </w:rPr>
        <w:t>。</w:t>
      </w:r>
      <w:r>
        <w:rPr>
          <w:rFonts w:hint="eastAsia" w:asciiTheme="minorEastAsia" w:hAnsiTheme="minorEastAsia" w:eastAsiaTheme="minorEastAsia"/>
          <w:kern w:val="0"/>
          <w:szCs w:val="21"/>
          <w:lang w:val="zh-CN"/>
        </w:rPr>
        <w:t>【特别提示：如有要求提供资料原件的，原件另行包装，并与谈判响应文件一起提交，谈判响应截止时间后所有原件不予接收。资料原件也可以用与原件相符的公证原件替代】</w:t>
      </w:r>
    </w:p>
    <w:p w14:paraId="55713F39">
      <w:pPr>
        <w:autoSpaceDE w:val="0"/>
        <w:autoSpaceDN w:val="0"/>
        <w:adjustRightInd w:val="0"/>
        <w:snapToGrid w:val="0"/>
        <w:spacing w:line="360" w:lineRule="auto"/>
        <w:ind w:firstLine="632" w:firstLineChars="300"/>
        <w:rPr>
          <w:rFonts w:asciiTheme="minorEastAsia" w:hAnsiTheme="minorEastAsia" w:eastAsiaTheme="minorEastAsia"/>
          <w:kern w:val="0"/>
          <w:szCs w:val="21"/>
        </w:rPr>
      </w:pPr>
      <w:r>
        <w:rPr>
          <w:rFonts w:hint="eastAsia" w:ascii="宋体" w:hAnsi="宋体" w:cs="宋体"/>
          <w:b/>
          <w:szCs w:val="21"/>
        </w:rPr>
        <w:t>▲</w:t>
      </w:r>
      <w:r>
        <w:rPr>
          <w:rFonts w:hint="eastAsia" w:asciiTheme="minorEastAsia" w:hAnsiTheme="minorEastAsia" w:eastAsiaTheme="minorEastAsia"/>
          <w:b/>
          <w:szCs w:val="21"/>
        </w:rPr>
        <w:t>1、资格证明</w:t>
      </w:r>
      <w:r>
        <w:rPr>
          <w:rFonts w:hint="eastAsia" w:ascii="宋体" w:hAnsi="宋体"/>
          <w:b/>
          <w:szCs w:val="21"/>
        </w:rPr>
        <w:t>内容</w:t>
      </w:r>
      <w:r>
        <w:rPr>
          <w:rFonts w:hint="eastAsia" w:ascii="宋体" w:hAnsi="宋体"/>
          <w:b/>
          <w:color w:val="000000"/>
          <w:szCs w:val="21"/>
        </w:rPr>
        <w:t>的组成：</w:t>
      </w:r>
    </w:p>
    <w:p w14:paraId="7405DED1">
      <w:pPr>
        <w:widowControl/>
        <w:snapToGrid w:val="0"/>
        <w:spacing w:line="360" w:lineRule="auto"/>
        <w:ind w:right="62" w:firstLine="420" w:firstLineChars="200"/>
        <w:jc w:val="left"/>
        <w:outlineLvl w:val="0"/>
        <w:rPr>
          <w:rFonts w:ascii="宋体" w:hAnsi="宋体" w:cs="宋体"/>
          <w:szCs w:val="21"/>
        </w:rPr>
      </w:pPr>
      <w:r>
        <w:rPr>
          <w:rFonts w:hint="eastAsia" w:ascii="宋体" w:hAnsi="宋体" w:cs="宋体"/>
          <w:szCs w:val="21"/>
        </w:rPr>
        <w:t>（1）投标函</w:t>
      </w:r>
      <w:r>
        <w:rPr>
          <w:rFonts w:hint="eastAsia" w:ascii="宋体" w:hAnsi="宋体" w:cs="宋体"/>
          <w:szCs w:val="21"/>
          <w:lang w:val="zh-CN"/>
        </w:rPr>
        <w:t>（格式见附件）</w:t>
      </w:r>
      <w:r>
        <w:rPr>
          <w:rFonts w:hint="eastAsia" w:ascii="宋体" w:hAnsi="宋体" w:cs="宋体"/>
          <w:szCs w:val="21"/>
        </w:rPr>
        <w:t>；</w:t>
      </w:r>
    </w:p>
    <w:p w14:paraId="4C299AEF">
      <w:pPr>
        <w:widowControl/>
        <w:snapToGrid w:val="0"/>
        <w:spacing w:line="360" w:lineRule="auto"/>
        <w:ind w:firstLine="420" w:firstLineChars="200"/>
        <w:jc w:val="left"/>
        <w:outlineLvl w:val="0"/>
        <w:rPr>
          <w:rFonts w:ascii="宋体" w:hAnsi="宋体" w:cs="宋体"/>
          <w:szCs w:val="21"/>
        </w:rPr>
      </w:pPr>
      <w:r>
        <w:rPr>
          <w:rFonts w:hint="eastAsia" w:ascii="宋体" w:hAnsi="宋体" w:cs="宋体"/>
          <w:szCs w:val="21"/>
        </w:rPr>
        <w:t>（2）授权委托书(格式见附件)（法定代表人亲自办理投标事宜的，可提供法定代表人有效的身份证）；</w:t>
      </w:r>
    </w:p>
    <w:p w14:paraId="569B3A6F">
      <w:pPr>
        <w:widowControl/>
        <w:snapToGrid w:val="0"/>
        <w:spacing w:line="360" w:lineRule="auto"/>
        <w:ind w:left="414" w:right="62"/>
        <w:jc w:val="left"/>
        <w:outlineLvl w:val="0"/>
        <w:rPr>
          <w:rFonts w:ascii="宋体" w:hAnsi="宋体" w:cs="宋体"/>
          <w:szCs w:val="21"/>
        </w:rPr>
      </w:pPr>
      <w:r>
        <w:rPr>
          <w:rFonts w:hint="eastAsia" w:ascii="宋体" w:hAnsi="宋体" w:cs="宋体"/>
          <w:szCs w:val="21"/>
        </w:rPr>
        <w:t>（3）</w:t>
      </w:r>
      <w:r>
        <w:rPr>
          <w:rFonts w:hint="eastAsia" w:ascii="宋体" w:hAnsi="宋体" w:cs="宋体"/>
          <w:szCs w:val="21"/>
          <w:lang w:val="zh-CN"/>
        </w:rPr>
        <w:t>提供有效的营业执照复印件；</w:t>
      </w:r>
    </w:p>
    <w:p w14:paraId="53AC6B7B">
      <w:pPr>
        <w:widowControl/>
        <w:snapToGrid w:val="0"/>
        <w:spacing w:line="360" w:lineRule="auto"/>
        <w:ind w:right="62" w:firstLine="420" w:firstLineChars="200"/>
        <w:jc w:val="left"/>
        <w:outlineLvl w:val="0"/>
        <w:rPr>
          <w:rFonts w:ascii="宋体" w:hAnsi="宋体" w:cs="宋体"/>
          <w:szCs w:val="21"/>
          <w:lang w:val="zh-CN"/>
        </w:rPr>
      </w:pPr>
      <w:r>
        <w:rPr>
          <w:rFonts w:hint="eastAsia" w:ascii="宋体" w:hAnsi="宋体" w:cs="宋体"/>
          <w:szCs w:val="21"/>
          <w:lang w:val="zh-CN"/>
        </w:rPr>
        <w:t>（4）依法缴纳税收及社会保障资金的承诺函（格式见附件）；</w:t>
      </w:r>
    </w:p>
    <w:p w14:paraId="456246FA">
      <w:pPr>
        <w:widowControl/>
        <w:snapToGrid w:val="0"/>
        <w:spacing w:line="360" w:lineRule="auto"/>
        <w:ind w:left="420" w:right="62"/>
        <w:jc w:val="left"/>
        <w:outlineLvl w:val="0"/>
        <w:rPr>
          <w:rFonts w:ascii="宋体" w:hAnsi="宋体" w:cs="宋体"/>
          <w:szCs w:val="21"/>
        </w:rPr>
      </w:pPr>
      <w:r>
        <w:rPr>
          <w:rFonts w:hint="eastAsia" w:ascii="宋体" w:hAnsi="宋体" w:cs="宋体"/>
          <w:szCs w:val="21"/>
          <w:lang w:val="zh-CN"/>
        </w:rPr>
        <w:t>（5）具有良好的商业信誉、健全的财务状况的承诺函（格式见附件）；</w:t>
      </w:r>
    </w:p>
    <w:p w14:paraId="33F813B3">
      <w:pPr>
        <w:widowControl/>
        <w:snapToGrid w:val="0"/>
        <w:spacing w:line="360" w:lineRule="auto"/>
        <w:ind w:right="62" w:firstLine="420" w:firstLineChars="200"/>
        <w:jc w:val="left"/>
        <w:outlineLvl w:val="0"/>
        <w:rPr>
          <w:rFonts w:ascii="宋体" w:hAnsi="宋体" w:cs="宋体"/>
          <w:szCs w:val="21"/>
          <w:lang w:val="zh-CN"/>
        </w:rPr>
      </w:pPr>
      <w:r>
        <w:rPr>
          <w:rFonts w:hint="eastAsia" w:ascii="宋体" w:hAnsi="宋体" w:cs="宋体"/>
          <w:szCs w:val="21"/>
          <w:lang w:val="zh-CN"/>
        </w:rPr>
        <w:t>（6）具有履行合同所必需设备和专业技术能力的承诺函（格式见附件）；</w:t>
      </w:r>
    </w:p>
    <w:p w14:paraId="06F6DB3E">
      <w:pPr>
        <w:widowControl/>
        <w:snapToGrid w:val="0"/>
        <w:spacing w:line="360" w:lineRule="auto"/>
        <w:ind w:left="420" w:right="62"/>
        <w:jc w:val="left"/>
        <w:outlineLvl w:val="0"/>
        <w:rPr>
          <w:rFonts w:ascii="宋体" w:hAnsi="宋体" w:cs="宋体"/>
          <w:szCs w:val="21"/>
          <w:lang w:val="zh-CN"/>
        </w:rPr>
      </w:pPr>
      <w:r>
        <w:rPr>
          <w:rFonts w:hint="eastAsia" w:ascii="宋体" w:hAnsi="宋体" w:cs="宋体"/>
          <w:szCs w:val="21"/>
          <w:lang w:val="zh-CN"/>
        </w:rPr>
        <w:t>（7）参加政府采购活动前3年内在经营活动中没有重大违法记录的书面声明（格式见附件）；</w:t>
      </w:r>
    </w:p>
    <w:p w14:paraId="21FC2F3C">
      <w:pPr>
        <w:widowControl/>
        <w:snapToGrid w:val="0"/>
        <w:spacing w:line="360" w:lineRule="auto"/>
        <w:ind w:firstLine="420" w:firstLineChars="200"/>
        <w:jc w:val="left"/>
        <w:rPr>
          <w:rFonts w:ascii="宋体" w:hAnsi="宋体" w:cs="宋体"/>
          <w:szCs w:val="21"/>
        </w:rPr>
      </w:pPr>
      <w:r>
        <w:rPr>
          <w:rFonts w:hint="eastAsia" w:ascii="宋体" w:hAnsi="宋体" w:cs="宋体"/>
          <w:szCs w:val="21"/>
        </w:rPr>
        <w:t>（8）提供采购公告中符合供应商特定资格要求的有效资质证书复印件（谈判供应商特定条件中有要求的必须提供），以及需要说明的其他资料。</w:t>
      </w:r>
    </w:p>
    <w:p w14:paraId="55B4B819">
      <w:pPr>
        <w:snapToGrid w:val="0"/>
        <w:spacing w:line="360" w:lineRule="auto"/>
        <w:ind w:firstLine="422" w:firstLineChars="200"/>
        <w:rPr>
          <w:rFonts w:hint="eastAsia" w:ascii="宋体" w:hAnsi="宋体" w:cs="宋体"/>
          <w:b/>
          <w:bCs/>
          <w:szCs w:val="21"/>
          <w:lang w:val="zh-CN"/>
        </w:rPr>
      </w:pPr>
      <w:r>
        <w:rPr>
          <w:rFonts w:hint="eastAsia" w:ascii="宋体" w:hAnsi="宋体" w:cs="宋体"/>
          <w:b/>
          <w:bCs/>
          <w:szCs w:val="21"/>
          <w:lang w:val="zh-CN"/>
        </w:rPr>
        <w:t>▲注：开标前采购机构不安排资格预审，由采购人或采购机构负责审查，若供应商不按要求提供资格审查材料，其谈判响应文件作无效标处理。</w:t>
      </w:r>
    </w:p>
    <w:p w14:paraId="39A9727F">
      <w:pPr>
        <w:snapToGrid w:val="0"/>
        <w:spacing w:line="360" w:lineRule="auto"/>
        <w:ind w:firstLine="422" w:firstLineChars="200"/>
        <w:rPr>
          <w:rFonts w:ascii="宋体" w:hAnsi="宋体" w:cs="宋体"/>
          <w:szCs w:val="21"/>
          <w:u w:val="single"/>
        </w:rPr>
      </w:pPr>
      <w:r>
        <w:rPr>
          <w:rFonts w:hint="eastAsia" w:ascii="宋体" w:hAnsi="宋体"/>
          <w:b/>
          <w:szCs w:val="21"/>
        </w:rPr>
        <w:t>2、</w:t>
      </w:r>
      <w:r>
        <w:rPr>
          <w:rFonts w:hint="eastAsia" w:ascii="宋体" w:hAnsi="宋体"/>
          <w:b/>
          <w:color w:val="000000"/>
          <w:szCs w:val="21"/>
        </w:rPr>
        <w:t>商务与技术内容的组成：</w:t>
      </w:r>
    </w:p>
    <w:p w14:paraId="15C20C30">
      <w:pPr>
        <w:pStyle w:val="5"/>
        <w:widowControl/>
        <w:adjustRightInd w:val="0"/>
        <w:snapToGrid w:val="0"/>
        <w:spacing w:line="360" w:lineRule="auto"/>
        <w:ind w:firstLineChars="200"/>
        <w:rPr>
          <w:rFonts w:ascii="宋体" w:hAnsi="宋体" w:cs="宋体"/>
          <w:color w:val="000000"/>
          <w:kern w:val="0"/>
          <w:szCs w:val="21"/>
        </w:rPr>
      </w:pPr>
      <w:r>
        <w:rPr>
          <w:rFonts w:hint="eastAsia" w:ascii="宋体" w:hAnsi="宋体" w:cs="宋体"/>
          <w:color w:val="000000"/>
          <w:kern w:val="0"/>
          <w:szCs w:val="21"/>
        </w:rPr>
        <w:t>（1）技术响应表（格式见附件）；</w:t>
      </w:r>
    </w:p>
    <w:p w14:paraId="2A286F50">
      <w:pPr>
        <w:pStyle w:val="5"/>
        <w:widowControl/>
        <w:adjustRightInd w:val="0"/>
        <w:snapToGrid w:val="0"/>
        <w:spacing w:line="360" w:lineRule="auto"/>
        <w:ind w:firstLineChars="200"/>
        <w:rPr>
          <w:rFonts w:ascii="宋体" w:hAnsi="宋体" w:cs="宋体"/>
          <w:color w:val="000000"/>
          <w:kern w:val="0"/>
          <w:szCs w:val="21"/>
        </w:rPr>
      </w:pPr>
      <w:r>
        <w:rPr>
          <w:rFonts w:hint="eastAsia" w:ascii="宋体" w:hAnsi="宋体" w:cs="宋体"/>
          <w:color w:val="000000"/>
          <w:kern w:val="0"/>
          <w:szCs w:val="21"/>
        </w:rPr>
        <w:t>（2）商务响应承诺函（格式见附件）；</w:t>
      </w:r>
      <w:r>
        <w:rPr>
          <w:rFonts w:ascii="宋体" w:hAnsi="宋体" w:cs="宋体"/>
          <w:color w:val="000000"/>
          <w:kern w:val="0"/>
          <w:szCs w:val="21"/>
        </w:rPr>
        <w:tab/>
      </w:r>
    </w:p>
    <w:p w14:paraId="4744E39C">
      <w:pPr>
        <w:pStyle w:val="5"/>
        <w:widowControl/>
        <w:adjustRightInd w:val="0"/>
        <w:snapToGrid w:val="0"/>
        <w:spacing w:line="360" w:lineRule="auto"/>
        <w:ind w:firstLineChars="200"/>
        <w:rPr>
          <w:rFonts w:ascii="宋体" w:hAnsi="宋体" w:cs="宋体"/>
          <w:color w:val="000000"/>
          <w:kern w:val="0"/>
          <w:szCs w:val="21"/>
        </w:rPr>
      </w:pPr>
      <w:r>
        <w:rPr>
          <w:rFonts w:ascii="宋体" w:hAnsi="宋体" w:cs="宋体"/>
          <w:color w:val="000000"/>
          <w:kern w:val="0"/>
          <w:szCs w:val="21"/>
        </w:rPr>
        <w:t>（</w:t>
      </w:r>
      <w:r>
        <w:rPr>
          <w:rFonts w:hint="eastAsia" w:ascii="宋体" w:hAnsi="宋体" w:cs="宋体"/>
          <w:color w:val="000000"/>
          <w:kern w:val="0"/>
          <w:szCs w:val="21"/>
        </w:rPr>
        <w:t>3</w:t>
      </w:r>
      <w:r>
        <w:rPr>
          <w:rFonts w:ascii="宋体" w:hAnsi="宋体" w:cs="宋体"/>
          <w:color w:val="000000"/>
          <w:kern w:val="0"/>
          <w:szCs w:val="21"/>
        </w:rPr>
        <w:t>）投标产品技术规格资料（格式自拟）</w:t>
      </w:r>
      <w:r>
        <w:rPr>
          <w:rFonts w:hint="eastAsia" w:ascii="宋体" w:hAnsi="宋体" w:cs="宋体"/>
          <w:color w:val="000000"/>
          <w:kern w:val="0"/>
          <w:szCs w:val="21"/>
        </w:rPr>
        <w:t>；</w:t>
      </w:r>
    </w:p>
    <w:p w14:paraId="6FA8B82F">
      <w:pPr>
        <w:pStyle w:val="5"/>
        <w:widowControl/>
        <w:adjustRightInd w:val="0"/>
        <w:snapToGrid w:val="0"/>
        <w:spacing w:line="360" w:lineRule="auto"/>
        <w:ind w:firstLine="630" w:firstLineChars="300"/>
        <w:rPr>
          <w:rFonts w:ascii="宋体" w:hAnsi="宋体" w:cs="宋体"/>
          <w:color w:val="000000"/>
          <w:kern w:val="0"/>
          <w:szCs w:val="21"/>
        </w:rPr>
      </w:pPr>
      <w:r>
        <w:rPr>
          <w:rFonts w:ascii="宋体" w:hAnsi="宋体" w:cs="宋体"/>
          <w:color w:val="000000"/>
          <w:kern w:val="0"/>
          <w:szCs w:val="21"/>
        </w:rPr>
        <w:t>A、产品生产原料名称与品牌、产品工艺流程、产品技术性能指标、产品图片资料 以及所遵循的技术规范；</w:t>
      </w:r>
    </w:p>
    <w:p w14:paraId="0CB58037">
      <w:pPr>
        <w:pStyle w:val="5"/>
        <w:widowControl/>
        <w:adjustRightInd w:val="0"/>
        <w:snapToGrid w:val="0"/>
        <w:spacing w:line="360" w:lineRule="auto"/>
        <w:ind w:firstLine="630" w:firstLineChars="300"/>
        <w:rPr>
          <w:rFonts w:ascii="宋体" w:hAnsi="宋体" w:cs="宋体"/>
          <w:color w:val="000000"/>
          <w:kern w:val="0"/>
          <w:szCs w:val="21"/>
        </w:rPr>
      </w:pPr>
      <w:r>
        <w:rPr>
          <w:rFonts w:ascii="宋体" w:hAnsi="宋体" w:cs="宋体"/>
          <w:color w:val="000000"/>
          <w:kern w:val="0"/>
          <w:szCs w:val="21"/>
        </w:rPr>
        <w:t>B、产品出厂标准、产品质量检测报告等。</w:t>
      </w:r>
    </w:p>
    <w:p w14:paraId="146700D2">
      <w:pPr>
        <w:pStyle w:val="5"/>
        <w:widowControl/>
        <w:adjustRightInd w:val="0"/>
        <w:snapToGrid w:val="0"/>
        <w:spacing w:line="360" w:lineRule="auto"/>
        <w:ind w:firstLineChars="200"/>
        <w:rPr>
          <w:rFonts w:ascii="宋体" w:hAnsi="宋体" w:cs="宋体"/>
          <w:color w:val="000000"/>
          <w:kern w:val="0"/>
          <w:szCs w:val="21"/>
        </w:rPr>
      </w:pPr>
      <w:r>
        <w:rPr>
          <w:rFonts w:ascii="宋体" w:hAnsi="宋体" w:cs="宋体"/>
          <w:color w:val="000000"/>
          <w:kern w:val="0"/>
          <w:szCs w:val="21"/>
        </w:rPr>
        <w:t>（</w:t>
      </w:r>
      <w:r>
        <w:rPr>
          <w:rFonts w:hint="eastAsia" w:ascii="宋体" w:hAnsi="宋体" w:cs="宋体"/>
          <w:color w:val="000000"/>
          <w:kern w:val="0"/>
          <w:szCs w:val="21"/>
        </w:rPr>
        <w:t>4</w:t>
      </w:r>
      <w:r>
        <w:rPr>
          <w:rFonts w:ascii="宋体" w:hAnsi="宋体" w:cs="宋体"/>
          <w:color w:val="000000"/>
          <w:kern w:val="0"/>
          <w:szCs w:val="21"/>
        </w:rPr>
        <w:t>） 项目组织实施方案（包括项目工期、确保项目供货的措施或方案、项目实施 进度安排、项目实施人员资质等） ；</w:t>
      </w:r>
    </w:p>
    <w:p w14:paraId="06B64FDF">
      <w:pPr>
        <w:snapToGrid w:val="0"/>
        <w:spacing w:line="360" w:lineRule="auto"/>
        <w:ind w:firstLine="420" w:firstLineChars="200"/>
        <w:rPr>
          <w:rFonts w:ascii="宋体" w:hAnsi="宋体" w:cs="宋体"/>
          <w:color w:val="000000"/>
          <w:kern w:val="0"/>
          <w:szCs w:val="21"/>
        </w:rPr>
      </w:pPr>
      <w:r>
        <w:rPr>
          <w:rFonts w:ascii="宋体" w:hAnsi="宋体" w:cs="宋体"/>
          <w:color w:val="000000"/>
          <w:kern w:val="0"/>
          <w:szCs w:val="21"/>
        </w:rPr>
        <w:t>（</w:t>
      </w:r>
      <w:r>
        <w:rPr>
          <w:rFonts w:hint="eastAsia" w:ascii="宋体" w:hAnsi="宋体" w:cs="宋体"/>
          <w:color w:val="000000"/>
          <w:kern w:val="0"/>
          <w:szCs w:val="21"/>
        </w:rPr>
        <w:t>5</w:t>
      </w:r>
      <w:r>
        <w:rPr>
          <w:rFonts w:ascii="宋体" w:hAnsi="宋体" w:cs="宋体"/>
          <w:color w:val="000000"/>
          <w:kern w:val="0"/>
          <w:szCs w:val="21"/>
        </w:rPr>
        <w:t>） 投标产品明细清单（均不含报价） ；</w:t>
      </w:r>
      <w:r>
        <w:rPr>
          <w:rFonts w:ascii="宋体" w:hAnsi="宋体" w:cs="宋体"/>
          <w:color w:val="000000"/>
          <w:kern w:val="0"/>
          <w:szCs w:val="21"/>
        </w:rPr>
        <w:tab/>
      </w:r>
    </w:p>
    <w:p w14:paraId="11157FF7">
      <w:pPr>
        <w:pStyle w:val="5"/>
        <w:widowControl/>
        <w:adjustRightInd w:val="0"/>
        <w:snapToGrid w:val="0"/>
        <w:spacing w:line="360" w:lineRule="auto"/>
        <w:ind w:firstLineChars="200"/>
        <w:rPr>
          <w:rFonts w:hint="eastAsia" w:ascii="宋体" w:hAnsi="宋体" w:cs="宋体"/>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6</w:t>
      </w:r>
      <w:r>
        <w:rPr>
          <w:rFonts w:hint="eastAsia" w:ascii="宋体" w:hAnsi="宋体" w:cs="宋体"/>
          <w:color w:val="000000"/>
          <w:kern w:val="0"/>
          <w:szCs w:val="21"/>
        </w:rPr>
        <w:t>）谈判供应商认为需要提供的其他资料（包括可能影响谈判供应商商务与技术文件评分的各类证明材料）。</w:t>
      </w:r>
    </w:p>
    <w:p w14:paraId="61D2CD12">
      <w:pPr>
        <w:pStyle w:val="5"/>
        <w:widowControl/>
        <w:adjustRightInd w:val="0"/>
        <w:snapToGrid w:val="0"/>
        <w:spacing w:line="360" w:lineRule="auto"/>
        <w:ind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（7）售后服务描述及承诺：</w:t>
      </w:r>
    </w:p>
    <w:p w14:paraId="4A8D56BE">
      <w:pPr>
        <w:pStyle w:val="5"/>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A.距采购人最近的服务网点详细介绍（包括地理位置、资质资格、技术力量、工作业绩、服务内容及联系电话等）。</w:t>
      </w:r>
    </w:p>
    <w:p w14:paraId="3949CE0F">
      <w:pPr>
        <w:pStyle w:val="5"/>
        <w:widowControl/>
        <w:adjustRightInd w:val="0"/>
        <w:snapToGrid w:val="0"/>
        <w:spacing w:line="360" w:lineRule="auto"/>
        <w:ind w:left="218" w:leftChars="104" w:firstLine="541" w:firstLineChars="25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B.针对本项目的售后服务措施及承诺（售后技术服务方案、人员配备、故障响应时间、技术培训方案等）。</w:t>
      </w:r>
    </w:p>
    <w:p w14:paraId="46FFEE3D">
      <w:pPr>
        <w:pStyle w:val="5"/>
        <w:widowControl/>
        <w:adjustRightInd w:val="0"/>
        <w:snapToGrid w:val="0"/>
        <w:spacing w:line="360" w:lineRule="auto"/>
        <w:rPr>
          <w:rFonts w:ascii="宋体"/>
          <w:color w:val="000000" w:themeColor="text1"/>
          <w:szCs w:val="21"/>
          <w:lang w:val="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投标人基本情况表</w:t>
      </w:r>
      <w:r>
        <w:rPr>
          <w:rFonts w:hint="eastAsia" w:ascii="宋体" w:hAnsi="宋体" w:cs="宋体"/>
          <w:color w:val="000000"/>
          <w:kern w:val="0"/>
          <w:szCs w:val="21"/>
        </w:rPr>
        <w:t>（格式见附件）；</w:t>
      </w:r>
    </w:p>
    <w:p w14:paraId="7D766F07">
      <w:pPr>
        <w:autoSpaceDE w:val="0"/>
        <w:autoSpaceDN w:val="0"/>
        <w:adjustRightInd w:val="0"/>
        <w:spacing w:line="360" w:lineRule="auto"/>
        <w:ind w:left="426" w:firstLine="57" w:firstLineChars="27"/>
        <w:rPr>
          <w:rFonts w:ascii="宋体" w:hAnsi="宋体"/>
          <w:b/>
          <w:kern w:val="0"/>
          <w:szCs w:val="21"/>
        </w:rPr>
      </w:pPr>
      <w:r>
        <w:rPr>
          <w:rFonts w:hint="eastAsia" w:ascii="宋体" w:hAnsi="宋体"/>
          <w:b/>
          <w:kern w:val="0"/>
          <w:szCs w:val="21"/>
        </w:rPr>
        <w:t>3、报价内容的组成</w:t>
      </w:r>
    </w:p>
    <w:p w14:paraId="57375D12">
      <w:pPr>
        <w:pStyle w:val="23"/>
        <w:ind w:left="0" w:leftChars="0" w:firstLine="413"/>
        <w:rPr>
          <w:color w:val="000000"/>
          <w:kern w:val="0"/>
          <w:sz w:val="21"/>
          <w:szCs w:val="21"/>
        </w:rPr>
      </w:pPr>
      <w:r>
        <w:rPr>
          <w:rFonts w:hint="eastAsia"/>
          <w:color w:val="000000"/>
          <w:kern w:val="0"/>
          <w:sz w:val="21"/>
          <w:szCs w:val="21"/>
        </w:rPr>
        <w:t>（1）报价内容由首次报价一览表、报价明细表，以及供应商认为其他需要说明的内容组成。</w:t>
      </w:r>
    </w:p>
    <w:p w14:paraId="24AFBD72">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（2）此报价为供</w:t>
      </w:r>
      <w:r>
        <w:rPr>
          <w:rFonts w:hint="eastAsia" w:asciiTheme="minorEastAsia" w:hAnsiTheme="minorEastAsia" w:eastAsiaTheme="minorEastAsia"/>
          <w:kern w:val="0"/>
          <w:szCs w:val="21"/>
        </w:rPr>
        <w:t>应商</w:t>
      </w:r>
      <w:r>
        <w:rPr>
          <w:rFonts w:hint="eastAsia" w:ascii="宋体" w:hAnsi="宋体"/>
          <w:kern w:val="0"/>
          <w:szCs w:val="21"/>
        </w:rPr>
        <w:t>针对本项目报出的唯一的首次报价</w:t>
      </w:r>
      <w:r>
        <w:rPr>
          <w:rFonts w:hint="eastAsia" w:asciiTheme="minorEastAsia" w:hAnsiTheme="minorEastAsia" w:eastAsiaTheme="minorEastAsia"/>
          <w:kern w:val="0"/>
          <w:szCs w:val="21"/>
        </w:rPr>
        <w:t>，包含其它</w:t>
      </w:r>
      <w:r>
        <w:rPr>
          <w:rFonts w:hint="eastAsia" w:asciiTheme="minorEastAsia" w:hAnsiTheme="minorEastAsia" w:eastAsiaTheme="minorEastAsia"/>
          <w:color w:val="000000" w:themeColor="text1"/>
          <w:kern w:val="0"/>
          <w:szCs w:val="21"/>
          <w14:textFill>
            <w14:solidFill>
              <w14:schemeClr w14:val="tx1"/>
            </w14:solidFill>
          </w14:textFill>
        </w:rPr>
        <w:t>一切所要涉及到的费用，有选择的报价将被拒绝。</w:t>
      </w:r>
    </w:p>
    <w:p w14:paraId="69749220">
      <w:pPr>
        <w:snapToGrid w:val="0"/>
        <w:spacing w:line="360" w:lineRule="auto"/>
        <w:ind w:firstLine="420" w:firstLineChars="200"/>
        <w:jc w:val="left"/>
        <w:rPr>
          <w:rFonts w:ascii="宋体" w:hAnsi="宋体" w:cs="宋体"/>
          <w:color w:val="000000"/>
          <w:kern w:val="0"/>
          <w:szCs w:val="21"/>
          <w:highlight w:val="none"/>
        </w:rPr>
      </w:pPr>
      <w:r>
        <w:rPr>
          <w:rFonts w:hint="eastAsia" w:asciiTheme="minorEastAsia" w:hAnsiTheme="minorEastAsia" w:eastAsiaTheme="minorEastAsia"/>
          <w:color w:val="000000" w:themeColor="text1"/>
          <w:kern w:val="0"/>
          <w:szCs w:val="21"/>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Cs w:val="21"/>
          <w:highlight w:val="none"/>
          <w14:textFill>
            <w14:solidFill>
              <w14:schemeClr w14:val="tx1"/>
            </w14:solidFill>
          </w14:textFill>
        </w:rPr>
        <w:t>3</w:t>
      </w:r>
      <w:r>
        <w:rPr>
          <w:rFonts w:hint="eastAsia" w:asciiTheme="minorEastAsia" w:hAnsiTheme="minorEastAsia" w:eastAsiaTheme="minorEastAsia"/>
          <w:color w:val="000000" w:themeColor="text1"/>
          <w:kern w:val="0"/>
          <w:szCs w:val="21"/>
          <w:highlight w:val="none"/>
          <w:lang w:val="zh-CN"/>
          <w14:textFill>
            <w14:solidFill>
              <w14:schemeClr w14:val="tx1"/>
            </w14:solidFill>
          </w14:textFill>
        </w:rPr>
        <w:t>）报价应当包括</w:t>
      </w:r>
      <w:r>
        <w:rPr>
          <w:rFonts w:hint="eastAsia" w:ascii="宋体" w:hAnsi="宋体" w:cs="宋体"/>
          <w:color w:val="000000"/>
          <w:kern w:val="0"/>
          <w:szCs w:val="21"/>
          <w:highlight w:val="none"/>
        </w:rPr>
        <w:t>但不限于货款、标准附件、备品备件、专用工具、包装、运输、装卸、保险、税金、货到就位以及安装、调试、培训、保修、售后服务、保险费、安全生产费、维护与拆除、承包人驻地建设、采购代理费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二次深化设计费、</w:t>
      </w:r>
      <w:r>
        <w:rPr>
          <w:rFonts w:hint="eastAsia" w:ascii="宋体" w:hAnsi="宋体" w:cs="宋体"/>
          <w:color w:val="000000"/>
          <w:kern w:val="0"/>
          <w:szCs w:val="21"/>
          <w:highlight w:val="none"/>
          <w:lang w:eastAsia="zh-CN"/>
        </w:rPr>
        <w:t>包含上山搬运等一切费用、</w:t>
      </w:r>
      <w:r>
        <w:rPr>
          <w:rFonts w:hint="eastAsia" w:ascii="宋体" w:hAnsi="宋体" w:cs="宋体"/>
          <w:color w:val="000000"/>
          <w:kern w:val="0"/>
          <w:szCs w:val="21"/>
          <w:highlight w:val="none"/>
        </w:rPr>
        <w:t>完成合同所需的一切本身和不可缺的所有工作开支、政策性文件规定及合同包含的所有风险、责任等各项全部费用并承担一切风险责任。谈判供应商在报价中应充分考虑作业期间成本投入的市场风险、政策性调整及其他不可预见因素，今后不再作调整</w:t>
      </w:r>
      <w:r>
        <w:rPr>
          <w:rFonts w:hint="eastAsia" w:ascii="宋体" w:hAnsi="宋体" w:cs="宋体"/>
          <w:bCs/>
          <w:color w:val="000000"/>
          <w:kern w:val="0"/>
          <w:szCs w:val="21"/>
          <w:highlight w:val="none"/>
        </w:rPr>
        <w:t>，如果谈判供应商在中标并签署合同后，在工作中出现任务遗漏，均由成交供应商免费提</w:t>
      </w:r>
      <w:r>
        <w:rPr>
          <w:rFonts w:hint="eastAsia" w:ascii="宋体" w:hAnsi="宋体" w:cs="宋体"/>
          <w:color w:val="000000"/>
          <w:kern w:val="0"/>
          <w:szCs w:val="21"/>
          <w:highlight w:val="none"/>
        </w:rPr>
        <w:t>供，采购人将不再支付任何费用。</w:t>
      </w:r>
    </w:p>
    <w:p w14:paraId="56A6B3C8">
      <w:pPr>
        <w:autoSpaceDE w:val="0"/>
        <w:autoSpaceDN w:val="0"/>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（4）相关报价单需打印或用不退色的墨水填写， 谈判报价单不得涂改和增删，如有错漏必须修改，修改处须由同一签署人签字或盖章。由于字迹模糊或表达不清引起的后果由供应商负责。</w:t>
      </w:r>
    </w:p>
    <w:p w14:paraId="13E5CC51">
      <w:pPr>
        <w:snapToGrid w:val="0"/>
        <w:spacing w:line="360" w:lineRule="auto"/>
        <w:ind w:firstLine="420" w:firstLineChars="200"/>
        <w:rPr>
          <w:rFonts w:ascii="宋体" w:hAnsi="宋体"/>
          <w:b/>
          <w:bCs/>
          <w:kern w:val="0"/>
          <w:szCs w:val="21"/>
        </w:rPr>
      </w:pPr>
      <w:r>
        <w:rPr>
          <w:rFonts w:hint="eastAsia" w:ascii="宋体" w:hAnsi="宋体" w:cs="宋体"/>
          <w:color w:val="000000"/>
          <w:szCs w:val="21"/>
        </w:rPr>
        <w:t>（</w:t>
      </w:r>
      <w:r>
        <w:rPr>
          <w:rFonts w:hint="eastAsia" w:ascii="宋体" w:hAnsi="宋体" w:cs="宋体"/>
          <w:color w:val="000000"/>
          <w:kern w:val="0"/>
          <w:szCs w:val="21"/>
        </w:rPr>
        <w:t>5</w:t>
      </w:r>
      <w:r>
        <w:rPr>
          <w:rFonts w:hint="eastAsia" w:ascii="宋体" w:hAnsi="宋体" w:cs="宋体"/>
          <w:color w:val="000000"/>
          <w:szCs w:val="21"/>
        </w:rPr>
        <w:t>）</w:t>
      </w:r>
      <w:r>
        <w:rPr>
          <w:szCs w:val="21"/>
        </w:rPr>
        <w:t>报价有关表格应按</w:t>
      </w:r>
      <w:r>
        <w:rPr>
          <w:rFonts w:hint="eastAsia"/>
          <w:szCs w:val="21"/>
        </w:rPr>
        <w:t>谈判</w:t>
      </w:r>
      <w:r>
        <w:rPr>
          <w:szCs w:val="21"/>
        </w:rPr>
        <w:t>文件中相关附表格式填写</w:t>
      </w:r>
      <w:r>
        <w:rPr>
          <w:rFonts w:hint="eastAsia" w:ascii="宋体" w:hAnsi="宋体" w:cs="宋体"/>
          <w:color w:val="000000"/>
          <w:szCs w:val="21"/>
        </w:rPr>
        <w:t>。</w:t>
      </w:r>
    </w:p>
    <w:p w14:paraId="25697CBD">
      <w:pPr>
        <w:numPr>
          <w:ilvl w:val="0"/>
          <w:numId w:val="3"/>
        </w:numPr>
        <w:snapToGrid w:val="0"/>
        <w:spacing w:line="360" w:lineRule="auto"/>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谈判响应文件的</w:t>
      </w:r>
      <w:r>
        <w:rPr>
          <w:rFonts w:hint="eastAsia" w:asciiTheme="minorEastAsia" w:hAnsiTheme="minorEastAsia"/>
          <w:b/>
          <w:bCs/>
          <w:kern w:val="0"/>
          <w:szCs w:val="21"/>
        </w:rPr>
        <w:t>制作、封装及</w:t>
      </w:r>
      <w:r>
        <w:rPr>
          <w:rFonts w:hint="eastAsia" w:asciiTheme="minorEastAsia" w:hAnsiTheme="minorEastAsia" w:eastAsiaTheme="minorEastAsia"/>
          <w:b/>
          <w:bCs/>
          <w:kern w:val="0"/>
          <w:szCs w:val="21"/>
        </w:rPr>
        <w:t>递交要求</w:t>
      </w:r>
    </w:p>
    <w:p w14:paraId="505FB468">
      <w:pPr>
        <w:autoSpaceDE w:val="0"/>
        <w:autoSpaceDN w:val="0"/>
        <w:adjustRightInd w:val="0"/>
        <w:snapToGrid w:val="0"/>
        <w:spacing w:line="360" w:lineRule="auto"/>
        <w:ind w:firstLine="48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1、</w:t>
      </w:r>
      <w:r>
        <w:rPr>
          <w:rFonts w:hint="eastAsia" w:asciiTheme="minorEastAsia" w:hAnsiTheme="minorEastAsia" w:eastAsiaTheme="minorEastAsia"/>
          <w:b/>
          <w:bCs/>
          <w:kern w:val="0"/>
          <w:szCs w:val="21"/>
        </w:rPr>
        <w:t>谈判响应</w:t>
      </w:r>
      <w:r>
        <w:rPr>
          <w:rFonts w:hint="eastAsia" w:asciiTheme="minorEastAsia" w:hAnsiTheme="minorEastAsia"/>
          <w:b/>
          <w:bCs/>
          <w:color w:val="000000" w:themeColor="text1"/>
          <w:szCs w:val="21"/>
          <w14:textFill>
            <w14:solidFill>
              <w14:schemeClr w14:val="tx1"/>
            </w14:solidFill>
          </w14:textFill>
        </w:rPr>
        <w:t>文件的制作要求</w:t>
      </w:r>
    </w:p>
    <w:p w14:paraId="4EDA4550">
      <w:pPr>
        <w:autoSpaceDE w:val="0"/>
        <w:autoSpaceDN w:val="0"/>
        <w:adjustRightInd w:val="0"/>
        <w:snapToGrid w:val="0"/>
        <w:spacing w:line="360" w:lineRule="auto"/>
        <w:ind w:firstLine="48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谈判人</w:t>
      </w:r>
      <w:r>
        <w:rPr>
          <w:rFonts w:hint="eastAsia" w:asciiTheme="minorEastAsia" w:hAnsiTheme="minorEastAsia"/>
          <w:color w:val="000000" w:themeColor="text1"/>
          <w:szCs w:val="21"/>
          <w14:textFill>
            <w14:solidFill>
              <w14:schemeClr w14:val="tx1"/>
            </w14:solidFill>
          </w14:textFill>
        </w:rPr>
        <w:t>应</w:t>
      </w:r>
      <w:r>
        <w:rPr>
          <w:rFonts w:hint="eastAsia" w:asciiTheme="minorEastAsia" w:hAnsiTheme="minorEastAsia" w:eastAsiaTheme="minorEastAsia"/>
          <w:color w:val="000000" w:themeColor="text1"/>
          <w:szCs w:val="21"/>
          <w14:textFill>
            <w14:solidFill>
              <w14:schemeClr w14:val="tx1"/>
            </w14:solidFill>
          </w14:textFill>
        </w:rPr>
        <w:t>按照谈判</w:t>
      </w:r>
      <w:r>
        <w:rPr>
          <w:rFonts w:hint="eastAsia" w:asciiTheme="minorEastAsia" w:hAnsiTheme="minorEastAsia"/>
          <w:color w:val="000000" w:themeColor="text1"/>
          <w:szCs w:val="21"/>
          <w14:textFill>
            <w14:solidFill>
              <w14:schemeClr w14:val="tx1"/>
            </w14:solidFill>
          </w14:textFill>
        </w:rPr>
        <w:t>文件组成内容</w:t>
      </w:r>
      <w:r>
        <w:rPr>
          <w:rFonts w:hint="eastAsia" w:asciiTheme="minorEastAsia" w:hAnsiTheme="minorEastAsia" w:eastAsiaTheme="minorEastAsia"/>
          <w:color w:val="000000" w:themeColor="text1"/>
          <w:szCs w:val="21"/>
          <w14:textFill>
            <w14:solidFill>
              <w14:schemeClr w14:val="tx1"/>
            </w14:solidFill>
          </w14:textFill>
        </w:rPr>
        <w:t>及项目采购需求制作谈判响应文件，</w:t>
      </w:r>
      <w:r>
        <w:rPr>
          <w:rFonts w:hint="eastAsia" w:asciiTheme="minorEastAsia" w:hAnsiTheme="minorEastAsia" w:eastAsiaTheme="minorEastAsia"/>
          <w:color w:val="000000" w:themeColor="text1"/>
          <w:kern w:val="0"/>
          <w:szCs w:val="21"/>
          <w14:textFill>
            <w14:solidFill>
              <w14:schemeClr w14:val="tx1"/>
            </w14:solidFill>
          </w14:textFill>
        </w:rPr>
        <w:t>不按谈判采购文件要求制作谈判响应文件的将视情</w:t>
      </w:r>
      <w:r>
        <w:rPr>
          <w:rFonts w:hint="eastAsia" w:asciiTheme="minorEastAsia" w:hAnsiTheme="minorEastAsia"/>
          <w:color w:val="000000" w:themeColor="text1"/>
          <w:kern w:val="0"/>
          <w:szCs w:val="21"/>
          <w14:textFill>
            <w14:solidFill>
              <w14:schemeClr w14:val="tx1"/>
            </w14:solidFill>
          </w14:textFill>
        </w:rPr>
        <w:t>处理（拒收、扣分等），由此产生的责任由谈判人自行承担。</w:t>
      </w:r>
    </w:p>
    <w:p w14:paraId="27C04DD2">
      <w:pPr>
        <w:autoSpaceDE w:val="0"/>
        <w:autoSpaceDN w:val="0"/>
        <w:adjustRightInd w:val="0"/>
        <w:snapToGrid w:val="0"/>
        <w:spacing w:line="360" w:lineRule="auto"/>
        <w:ind w:firstLine="422" w:firstLineChars="200"/>
        <w:rPr>
          <w:rFonts w:asciiTheme="minorEastAsia" w:hAnsiTheme="minorEastAsia" w:eastAsiaTheme="minorEastAsia"/>
          <w:kern w:val="0"/>
          <w:szCs w:val="21"/>
          <w:lang w:val="zh-CN"/>
        </w:rPr>
      </w:pPr>
      <w:r>
        <w:rPr>
          <w:rFonts w:hint="eastAsia" w:ascii="宋体" w:hAnsi="宋体" w:cs="宋体"/>
          <w:b/>
          <w:bCs/>
          <w:szCs w:val="21"/>
          <w:lang w:val="zh-CN"/>
        </w:rPr>
        <w:t>▲</w:t>
      </w:r>
      <w:r>
        <w:rPr>
          <w:rFonts w:hint="eastAsia" w:ascii="宋体" w:hAnsi="宋体"/>
          <w:color w:val="000000"/>
          <w:szCs w:val="21"/>
        </w:rPr>
        <w:t>（2）谈判人应对所提供的全部资料的真实性承担法律责任，谈判响应</w:t>
      </w:r>
      <w:r>
        <w:rPr>
          <w:rFonts w:hint="eastAsia" w:asciiTheme="minorEastAsia" w:hAnsiTheme="minorEastAsia"/>
          <w:kern w:val="0"/>
          <w:szCs w:val="21"/>
          <w:lang w:val="zh-CN"/>
        </w:rPr>
        <w:t>文件</w:t>
      </w:r>
      <w:r>
        <w:rPr>
          <w:rFonts w:hint="eastAsia" w:asciiTheme="minorEastAsia" w:hAnsiTheme="minorEastAsia" w:eastAsiaTheme="minorEastAsia"/>
          <w:kern w:val="0"/>
          <w:szCs w:val="21"/>
          <w:lang w:val="zh-CN"/>
        </w:rPr>
        <w:t>内</w:t>
      </w:r>
      <w:r>
        <w:rPr>
          <w:rFonts w:hint="eastAsia" w:asciiTheme="minorEastAsia" w:hAnsiTheme="minorEastAsia"/>
          <w:kern w:val="0"/>
          <w:szCs w:val="21"/>
          <w:lang w:val="zh-CN"/>
        </w:rPr>
        <w:t>容中</w:t>
      </w:r>
      <w:r>
        <w:rPr>
          <w:rFonts w:hint="eastAsia" w:asciiTheme="minorEastAsia" w:hAnsiTheme="minorEastAsia" w:eastAsiaTheme="minorEastAsia"/>
          <w:kern w:val="0"/>
          <w:szCs w:val="21"/>
          <w:lang w:val="zh-CN"/>
        </w:rPr>
        <w:t>有要求盖章或签字的地方必须加盖谈判人的公章以及法定代表人或全权代表</w:t>
      </w:r>
      <w:r>
        <w:rPr>
          <w:rFonts w:hint="eastAsia" w:ascii="宋体" w:hAnsi="宋体"/>
          <w:kern w:val="0"/>
          <w:szCs w:val="21"/>
          <w:lang w:val="zh-CN"/>
        </w:rPr>
        <w:t>的盖章或签字</w:t>
      </w:r>
      <w:r>
        <w:rPr>
          <w:rFonts w:hint="eastAsia" w:asciiTheme="minorEastAsia" w:hAnsiTheme="minorEastAsia" w:eastAsiaTheme="minorEastAsia"/>
          <w:kern w:val="0"/>
          <w:szCs w:val="21"/>
          <w:lang w:val="zh-CN"/>
        </w:rPr>
        <w:t>。</w:t>
      </w:r>
    </w:p>
    <w:p w14:paraId="7E623EC6">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kern w:val="0"/>
          <w:szCs w:val="21"/>
          <w:lang w:val="zh-CN"/>
        </w:rPr>
        <w:t>（</w:t>
      </w:r>
      <w:r>
        <w:rPr>
          <w:rFonts w:hint="eastAsia" w:asciiTheme="minorEastAsia" w:hAnsiTheme="minorEastAsia"/>
          <w:kern w:val="0"/>
          <w:szCs w:val="21"/>
        </w:rPr>
        <w:t>3</w:t>
      </w:r>
      <w:r>
        <w:rPr>
          <w:rFonts w:hint="eastAsia" w:asciiTheme="minorEastAsia" w:hAnsiTheme="minorEastAsia"/>
          <w:kern w:val="0"/>
          <w:szCs w:val="21"/>
          <w:lang w:val="zh-CN"/>
        </w:rPr>
        <w:t>）谈判响应</w:t>
      </w:r>
      <w:r>
        <w:rPr>
          <w:rFonts w:asciiTheme="minorEastAsia" w:hAnsiTheme="minorEastAsia" w:eastAsiaTheme="minorEastAsia"/>
          <w:szCs w:val="21"/>
        </w:rPr>
        <w:t>文件以及</w:t>
      </w:r>
      <w:r>
        <w:rPr>
          <w:rFonts w:hint="eastAsia" w:asciiTheme="minorEastAsia" w:hAnsiTheme="minorEastAsia" w:eastAsiaTheme="minorEastAsia"/>
          <w:szCs w:val="21"/>
        </w:rPr>
        <w:t>谈判供应商</w:t>
      </w:r>
      <w:r>
        <w:rPr>
          <w:rFonts w:asciiTheme="minorEastAsia" w:hAnsiTheme="minorEastAsia" w:eastAsiaTheme="minorEastAsia"/>
          <w:szCs w:val="21"/>
        </w:rPr>
        <w:t>与</w:t>
      </w:r>
      <w:r>
        <w:rPr>
          <w:rFonts w:hint="eastAsia" w:ascii="宋体" w:hAnsi="宋体"/>
          <w:szCs w:val="21"/>
        </w:rPr>
        <w:t>采购组织机构</w:t>
      </w:r>
      <w:r>
        <w:rPr>
          <w:rFonts w:asciiTheme="minorEastAsia" w:hAnsiTheme="minorEastAsia" w:eastAsiaTheme="minorEastAsia"/>
          <w:szCs w:val="21"/>
        </w:rPr>
        <w:t>就有关</w:t>
      </w:r>
      <w:r>
        <w:rPr>
          <w:rFonts w:hint="eastAsia" w:asciiTheme="minorEastAsia" w:hAnsiTheme="minorEastAsia" w:eastAsiaTheme="minorEastAsia"/>
          <w:szCs w:val="21"/>
        </w:rPr>
        <w:t>谈</w:t>
      </w:r>
      <w:r>
        <w:rPr>
          <w:rFonts w:hint="eastAsia" w:asciiTheme="minorEastAsia" w:hAnsiTheme="minorEastAsia" w:eastAsiaTheme="minorEastAsia"/>
          <w:color w:val="000000"/>
          <w:szCs w:val="21"/>
        </w:rPr>
        <w:t>判响应</w:t>
      </w:r>
      <w:r>
        <w:rPr>
          <w:rFonts w:asciiTheme="minorEastAsia" w:hAnsiTheme="minorEastAsia" w:eastAsiaTheme="minorEastAsia"/>
          <w:color w:val="000000"/>
          <w:szCs w:val="21"/>
        </w:rPr>
        <w:t>事宜的所有来往函电，均应以中文汉语书写。除</w:t>
      </w:r>
      <w:r>
        <w:rPr>
          <w:rFonts w:hint="eastAsia" w:asciiTheme="minorEastAsia" w:hAnsiTheme="minorEastAsia" w:eastAsiaTheme="minorEastAsia"/>
          <w:color w:val="000000"/>
          <w:szCs w:val="21"/>
        </w:rPr>
        <w:t>签字</w:t>
      </w:r>
      <w:r>
        <w:rPr>
          <w:rFonts w:asciiTheme="minorEastAsia" w:hAnsiTheme="minorEastAsia" w:eastAsiaTheme="minorEastAsia"/>
          <w:color w:val="000000"/>
          <w:szCs w:val="21"/>
        </w:rPr>
        <w:t>、盖章、专用名称等特殊情形外，以中文汉语以外的文字表述的谈判响应文件视同未提供。</w:t>
      </w:r>
    </w:p>
    <w:p w14:paraId="63E3489F">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color w:val="000000"/>
          <w:szCs w:val="21"/>
        </w:rPr>
        <w:t>（4）</w:t>
      </w:r>
      <w:r>
        <w:rPr>
          <w:rFonts w:hint="eastAsia" w:asciiTheme="minorEastAsia" w:hAnsiTheme="minorEastAsia" w:eastAsiaTheme="minorEastAsia"/>
          <w:color w:val="000000"/>
          <w:szCs w:val="21"/>
        </w:rPr>
        <w:t>谈判</w:t>
      </w:r>
      <w:r>
        <w:rPr>
          <w:rFonts w:asciiTheme="minorEastAsia" w:hAnsiTheme="minorEastAsia" w:eastAsiaTheme="minorEastAsia"/>
          <w:color w:val="000000"/>
          <w:szCs w:val="21"/>
        </w:rPr>
        <w:t>计量单位，</w:t>
      </w:r>
      <w:r>
        <w:rPr>
          <w:rFonts w:hint="eastAsia" w:asciiTheme="minorEastAsia" w:hAnsiTheme="minorEastAsia" w:eastAsiaTheme="minorEastAsia"/>
          <w:color w:val="000000"/>
          <w:szCs w:val="21"/>
        </w:rPr>
        <w:t>谈判</w:t>
      </w:r>
      <w:r>
        <w:rPr>
          <w:rFonts w:asciiTheme="minorEastAsia" w:hAnsiTheme="minorEastAsia" w:eastAsiaTheme="minorEastAsia"/>
          <w:color w:val="000000"/>
          <w:szCs w:val="21"/>
        </w:rPr>
        <w:t>文件已有明确规定的，使用</w:t>
      </w:r>
      <w:r>
        <w:rPr>
          <w:rFonts w:hint="eastAsia" w:asciiTheme="minorEastAsia" w:hAnsiTheme="minorEastAsia" w:eastAsiaTheme="minorEastAsia"/>
          <w:color w:val="000000"/>
          <w:szCs w:val="21"/>
        </w:rPr>
        <w:t>谈判</w:t>
      </w:r>
      <w:r>
        <w:rPr>
          <w:rFonts w:asciiTheme="minorEastAsia" w:hAnsiTheme="minorEastAsia" w:eastAsiaTheme="minorEastAsia"/>
          <w:color w:val="000000"/>
          <w:szCs w:val="21"/>
        </w:rPr>
        <w:t>文件规定的计量单位；</w:t>
      </w:r>
      <w:r>
        <w:rPr>
          <w:rFonts w:hint="eastAsia" w:asciiTheme="minorEastAsia" w:hAnsiTheme="minorEastAsia" w:eastAsiaTheme="minorEastAsia"/>
          <w:color w:val="000000"/>
          <w:szCs w:val="21"/>
        </w:rPr>
        <w:t>谈判</w:t>
      </w:r>
      <w:r>
        <w:rPr>
          <w:rFonts w:asciiTheme="minorEastAsia" w:hAnsiTheme="minorEastAsia" w:eastAsiaTheme="minorEastAsia"/>
          <w:color w:val="000000"/>
          <w:szCs w:val="21"/>
        </w:rPr>
        <w:t>文件没有规定的，应采用中华人民共和国法定计量单位（货币单位：人民币元）。</w:t>
      </w:r>
    </w:p>
    <w:p w14:paraId="4AF52700">
      <w:pPr>
        <w:autoSpaceDE w:val="0"/>
        <w:autoSpaceDN w:val="0"/>
        <w:adjustRightInd w:val="0"/>
        <w:snapToGrid w:val="0"/>
        <w:spacing w:line="360" w:lineRule="auto"/>
        <w:ind w:firstLine="48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w:t>
      </w:r>
      <w:r>
        <w:rPr>
          <w:rFonts w:asciiTheme="minorEastAsia" w:hAnsiTheme="minorEastAsia" w:eastAsiaTheme="minorEastAsia"/>
          <w:color w:val="000000" w:themeColor="text1"/>
          <w:szCs w:val="21"/>
          <w14:textFill>
            <w14:solidFill>
              <w14:schemeClr w14:val="tx1"/>
            </w14:solidFill>
          </w14:textFill>
        </w:rPr>
        <w:t>若</w:t>
      </w:r>
      <w:r>
        <w:rPr>
          <w:rFonts w:hint="eastAsia" w:asciiTheme="minorEastAsia" w:hAnsiTheme="minorEastAsia" w:eastAsiaTheme="minorEastAsia"/>
          <w:color w:val="000000" w:themeColor="text1"/>
          <w:szCs w:val="21"/>
          <w14:textFill>
            <w14:solidFill>
              <w14:schemeClr w14:val="tx1"/>
            </w14:solidFill>
          </w14:textFill>
        </w:rPr>
        <w:t>供应商</w:t>
      </w:r>
      <w:r>
        <w:rPr>
          <w:rFonts w:asciiTheme="minorEastAsia" w:hAnsiTheme="minorEastAsia" w:eastAsiaTheme="minorEastAsia"/>
          <w:color w:val="000000" w:themeColor="text1"/>
          <w:szCs w:val="21"/>
          <w14:textFill>
            <w14:solidFill>
              <w14:schemeClr w14:val="tx1"/>
            </w14:solidFill>
          </w14:textFill>
        </w:rPr>
        <w:t>不按</w:t>
      </w:r>
      <w:r>
        <w:rPr>
          <w:rFonts w:hint="eastAsia" w:asciiTheme="minorEastAsia" w:hAnsiTheme="minorEastAsia" w:eastAsiaTheme="minorEastAsia"/>
          <w:color w:val="000000" w:themeColor="text1"/>
          <w:szCs w:val="21"/>
          <w14:textFill>
            <w14:solidFill>
              <w14:schemeClr w14:val="tx1"/>
            </w14:solidFill>
          </w14:textFill>
        </w:rPr>
        <w:t>谈判</w:t>
      </w:r>
      <w:r>
        <w:rPr>
          <w:rFonts w:asciiTheme="minorEastAsia" w:hAnsiTheme="minorEastAsia" w:eastAsiaTheme="minorEastAsia"/>
          <w:color w:val="000000" w:themeColor="text1"/>
          <w:szCs w:val="21"/>
          <w14:textFill>
            <w14:solidFill>
              <w14:schemeClr w14:val="tx1"/>
            </w14:solidFill>
          </w14:textFill>
        </w:rPr>
        <w:t>文件的要求提供资格审查材料，其风险由</w:t>
      </w:r>
      <w:r>
        <w:rPr>
          <w:rFonts w:hint="eastAsia" w:asciiTheme="minorEastAsia" w:hAnsiTheme="minorEastAsia" w:eastAsiaTheme="minorEastAsia"/>
          <w:color w:val="000000" w:themeColor="text1"/>
          <w:szCs w:val="21"/>
          <w14:textFill>
            <w14:solidFill>
              <w14:schemeClr w14:val="tx1"/>
            </w14:solidFill>
          </w14:textFill>
        </w:rPr>
        <w:t>供应商</w:t>
      </w:r>
      <w:r>
        <w:rPr>
          <w:rFonts w:asciiTheme="minorEastAsia" w:hAnsiTheme="minorEastAsia" w:eastAsiaTheme="minorEastAsia"/>
          <w:color w:val="000000" w:themeColor="text1"/>
          <w:szCs w:val="21"/>
          <w14:textFill>
            <w14:solidFill>
              <w14:schemeClr w14:val="tx1"/>
            </w14:solidFill>
          </w14:textFill>
        </w:rPr>
        <w:t>自行承担。</w:t>
      </w:r>
    </w:p>
    <w:p w14:paraId="2F4F4A26">
      <w:pPr>
        <w:autoSpaceDE w:val="0"/>
        <w:autoSpaceDN w:val="0"/>
        <w:adjustRightInd w:val="0"/>
        <w:snapToGrid w:val="0"/>
        <w:spacing w:line="360" w:lineRule="auto"/>
        <w:ind w:firstLine="480"/>
        <w:rPr>
          <w:rFonts w:asciiTheme="minorEastAsia" w:hAnsiTheme="minorEastAsia" w:eastAsiaTheme="minorEastAsia"/>
          <w:szCs w:val="21"/>
        </w:rPr>
      </w:pPr>
      <w:r>
        <w:rPr>
          <w:rFonts w:hint="eastAsia" w:asciiTheme="minorEastAsia" w:hAnsiTheme="minorEastAsia"/>
          <w:color w:val="000000" w:themeColor="text1"/>
          <w:kern w:val="0"/>
          <w:szCs w:val="21"/>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与本次谈判无关的内容请不要制作在内，确保谈判文件有针对性、简洁明了，同时节约纸张；谈判响应文件建议</w:t>
      </w:r>
      <w:r>
        <w:rPr>
          <w:rFonts w:hint="eastAsia" w:asciiTheme="minorEastAsia" w:hAnsiTheme="minorEastAsia" w:eastAsiaTheme="minorEastAsia"/>
          <w:szCs w:val="21"/>
        </w:rPr>
        <w:t>以A4纸大小双面打印并装订。</w:t>
      </w:r>
    </w:p>
    <w:p w14:paraId="4B1BCA8A">
      <w:pPr>
        <w:autoSpaceDE w:val="0"/>
        <w:autoSpaceDN w:val="0"/>
        <w:adjustRightInd w:val="0"/>
        <w:snapToGrid w:val="0"/>
        <w:spacing w:line="360" w:lineRule="auto"/>
        <w:ind w:firstLine="48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2、谈判响应文件的封装要求</w:t>
      </w:r>
    </w:p>
    <w:p w14:paraId="64E51B2D">
      <w:pPr>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（1）谈判响应文件份数：谈判响应文件共三</w:t>
      </w:r>
      <w:r>
        <w:rPr>
          <w:rFonts w:hint="eastAsia" w:ascii="宋体" w:hAnsi="宋体"/>
          <w:bCs/>
          <w:color w:val="000000"/>
          <w:szCs w:val="21"/>
          <w:lang w:val="zh-CN"/>
        </w:rPr>
        <w:t>份</w:t>
      </w:r>
      <w:r>
        <w:rPr>
          <w:rFonts w:hint="eastAsia" w:ascii="宋体"/>
          <w:bCs/>
          <w:color w:val="000000"/>
          <w:szCs w:val="21"/>
          <w:lang w:val="zh-CN"/>
        </w:rPr>
        <w:t>（</w:t>
      </w:r>
      <w:r>
        <w:rPr>
          <w:rFonts w:hint="eastAsia" w:asciiTheme="majorEastAsia" w:hAnsiTheme="majorEastAsia" w:eastAsiaTheme="majorEastAsia" w:cstheme="majorEastAsia"/>
          <w:szCs w:val="21"/>
        </w:rPr>
        <w:t>正本</w:t>
      </w:r>
      <w:r>
        <w:rPr>
          <w:rFonts w:cs="Arial" w:asciiTheme="minorEastAsia" w:hAnsiTheme="minorEastAsia" w:eastAsiaTheme="minorEastAsia"/>
          <w:szCs w:val="21"/>
        </w:rPr>
        <w:t>一</w:t>
      </w:r>
      <w:r>
        <w:rPr>
          <w:rFonts w:hint="eastAsia" w:asciiTheme="majorEastAsia" w:hAnsiTheme="majorEastAsia" w:eastAsiaTheme="majorEastAsia" w:cstheme="majorEastAsia"/>
          <w:szCs w:val="21"/>
        </w:rPr>
        <w:t>份、副本</w:t>
      </w:r>
      <w:r>
        <w:rPr>
          <w:rFonts w:cs="Arial" w:asciiTheme="minorEastAsia" w:hAnsiTheme="minorEastAsia" w:eastAsiaTheme="minorEastAsia"/>
          <w:szCs w:val="21"/>
        </w:rPr>
        <w:t>二</w:t>
      </w:r>
      <w:r>
        <w:rPr>
          <w:rFonts w:hint="eastAsia" w:asciiTheme="majorEastAsia" w:hAnsiTheme="majorEastAsia" w:eastAsiaTheme="majorEastAsia" w:cstheme="majorEastAsia"/>
          <w:szCs w:val="21"/>
        </w:rPr>
        <w:t>份，正副本分开各自密封包装</w:t>
      </w:r>
      <w:r>
        <w:rPr>
          <w:rFonts w:hint="eastAsia" w:asciiTheme="minorEastAsia" w:hAnsiTheme="minorEastAsia" w:eastAsiaTheme="minorEastAsia"/>
          <w:kern w:val="0"/>
          <w:szCs w:val="21"/>
        </w:rPr>
        <w:t>）。谈判响应文件的正本封面必须注明“正本”字样，副本可以采用正本的复印件。如有不同标段，请按标段号分别装订，密封要求同上。</w:t>
      </w:r>
    </w:p>
    <w:p w14:paraId="4F5EBFBC">
      <w:pPr>
        <w:autoSpaceDE w:val="0"/>
        <w:autoSpaceDN w:val="0"/>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kern w:val="0"/>
          <w:szCs w:val="21"/>
        </w:rPr>
        <w:t>（2）所有谈判响应资料按谈判</w:t>
      </w:r>
      <w:r>
        <w:rPr>
          <w:rFonts w:hint="eastAsia" w:ascii="宋体" w:hAnsi="宋体"/>
          <w:szCs w:val="21"/>
        </w:rPr>
        <w:t>采购文件</w:t>
      </w:r>
      <w:r>
        <w:rPr>
          <w:rFonts w:hint="eastAsia" w:asciiTheme="minorEastAsia" w:hAnsiTheme="minorEastAsia" w:eastAsiaTheme="minorEastAsia"/>
          <w:kern w:val="0"/>
          <w:szCs w:val="21"/>
        </w:rPr>
        <w:t>的组成所列</w:t>
      </w:r>
      <w:r>
        <w:rPr>
          <w:rFonts w:hint="eastAsia" w:asciiTheme="minorEastAsia" w:hAnsiTheme="minorEastAsia" w:eastAsiaTheme="minorEastAsia"/>
          <w:szCs w:val="21"/>
        </w:rPr>
        <w:t>内容及顺序装订成册，</w:t>
      </w:r>
      <w:r>
        <w:rPr>
          <w:rFonts w:hint="eastAsia" w:asciiTheme="minorEastAsia" w:hAnsiTheme="minorEastAsia" w:eastAsiaTheme="minorEastAsia"/>
          <w:szCs w:val="21"/>
          <w:lang w:val="zh-CN"/>
        </w:rPr>
        <w:t>并逐页连续标注页码。因谈判响应文件内容不完整、编排混乱导致谈判响应文件被误读、漏读或者查找不到相关内容的责任由</w:t>
      </w:r>
      <w:r>
        <w:rPr>
          <w:rFonts w:hint="eastAsia" w:asciiTheme="minorEastAsia" w:hAnsiTheme="minorEastAsia" w:eastAsiaTheme="minorEastAsia"/>
          <w:color w:val="000000" w:themeColor="text1"/>
          <w:szCs w:val="21"/>
          <w14:textFill>
            <w14:solidFill>
              <w14:schemeClr w14:val="tx1"/>
            </w14:solidFill>
          </w14:textFill>
        </w:rPr>
        <w:t>供应商</w:t>
      </w:r>
      <w:r>
        <w:rPr>
          <w:rFonts w:hint="eastAsia" w:asciiTheme="minorEastAsia" w:hAnsiTheme="minorEastAsia" w:eastAsiaTheme="minorEastAsia"/>
          <w:szCs w:val="21"/>
          <w:lang w:val="zh-CN"/>
        </w:rPr>
        <w:t>自行承担。</w:t>
      </w:r>
    </w:p>
    <w:p w14:paraId="67FD49A3">
      <w:pPr>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（3）请在密封袋的封口处应有谈判单位公章或谈判全权代表签字。封皮上写明项目编号、标段、谈判响应项目名称、</w:t>
      </w:r>
      <w:r>
        <w:rPr>
          <w:rFonts w:hint="eastAsia" w:asciiTheme="minorEastAsia" w:hAnsiTheme="minorEastAsia" w:eastAsiaTheme="minorEastAsia"/>
          <w:color w:val="000000" w:themeColor="text1"/>
          <w:szCs w:val="21"/>
          <w14:textFill>
            <w14:solidFill>
              <w14:schemeClr w14:val="tx1"/>
            </w14:solidFill>
          </w14:textFill>
        </w:rPr>
        <w:t>供应商</w:t>
      </w:r>
      <w:r>
        <w:rPr>
          <w:rFonts w:hint="eastAsia" w:asciiTheme="minorEastAsia" w:hAnsiTheme="minorEastAsia" w:eastAsiaTheme="minorEastAsia"/>
          <w:kern w:val="0"/>
          <w:szCs w:val="21"/>
        </w:rPr>
        <w:t>名称，并注明“谈判响应文件名称”、“谈判时启封”字样，未按上述要求密封及加写标记，采购组织机构对谈判响应文件的误投和提前启封不负责任。</w:t>
      </w:r>
    </w:p>
    <w:p w14:paraId="734FF4E6">
      <w:pPr>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（4）项目如分标段，各标段谈判响应文件必须分开编制，并按上述份数要求单独密封包装。</w:t>
      </w:r>
    </w:p>
    <w:p w14:paraId="2EE44C00">
      <w:pPr>
        <w:autoSpaceDE w:val="0"/>
        <w:autoSpaceDN w:val="0"/>
        <w:adjustRightInd w:val="0"/>
        <w:snapToGrid w:val="0"/>
        <w:spacing w:line="360" w:lineRule="auto"/>
        <w:ind w:firstLine="420" w:firstLineChars="200"/>
        <w:rPr>
          <w:rFonts w:asciiTheme="minorEastAsia" w:hAnsiTheme="minorEastAsia" w:eastAsiaTheme="minorEastAsia"/>
          <w:kern w:val="0"/>
          <w:szCs w:val="21"/>
          <w:lang w:val="zh-CN"/>
        </w:rPr>
      </w:pPr>
      <w:r>
        <w:rPr>
          <w:rFonts w:hint="eastAsia" w:asciiTheme="minorEastAsia" w:hAnsiTheme="minorEastAsia" w:eastAsiaTheme="minorEastAsia"/>
          <w:kern w:val="0"/>
          <w:szCs w:val="21"/>
        </w:rPr>
        <w:t>（5）</w:t>
      </w:r>
      <w:r>
        <w:rPr>
          <w:rFonts w:hint="eastAsia" w:asciiTheme="minorEastAsia" w:hAnsiTheme="minorEastAsia" w:eastAsiaTheme="minorEastAsia"/>
          <w:kern w:val="0"/>
          <w:szCs w:val="21"/>
          <w:lang w:val="zh-CN"/>
        </w:rPr>
        <w:t>因密封不严、标记不明而造成失密、拒收、过早启封等情况，</w:t>
      </w:r>
      <w:r>
        <w:rPr>
          <w:rFonts w:hint="eastAsia" w:ascii="宋体" w:hAnsi="宋体"/>
          <w:szCs w:val="21"/>
        </w:rPr>
        <w:t>采购文件</w:t>
      </w:r>
      <w:r>
        <w:rPr>
          <w:rFonts w:hint="eastAsia" w:asciiTheme="minorEastAsia" w:hAnsiTheme="minorEastAsia" w:eastAsiaTheme="minorEastAsia"/>
          <w:kern w:val="0"/>
          <w:szCs w:val="21"/>
          <w:lang w:val="zh-CN"/>
        </w:rPr>
        <w:t>概不负责。</w:t>
      </w:r>
    </w:p>
    <w:p w14:paraId="43AF3DE4">
      <w:pPr>
        <w:autoSpaceDE w:val="0"/>
        <w:autoSpaceDN w:val="0"/>
        <w:adjustRightInd w:val="0"/>
        <w:snapToGrid w:val="0"/>
        <w:spacing w:line="360" w:lineRule="auto"/>
        <w:ind w:firstLine="48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kern w:val="0"/>
          <w:szCs w:val="21"/>
        </w:rPr>
        <w:t>3、</w:t>
      </w:r>
      <w:r>
        <w:rPr>
          <w:rFonts w:hint="eastAsia" w:asciiTheme="minorEastAsia" w:hAnsiTheme="minorEastAsia" w:eastAsiaTheme="minorEastAsia"/>
          <w:color w:val="000000" w:themeColor="text1"/>
          <w:szCs w:val="21"/>
          <w14:textFill>
            <w14:solidFill>
              <w14:schemeClr w14:val="tx1"/>
            </w14:solidFill>
          </w14:textFill>
        </w:rPr>
        <w:t>谈判响应</w:t>
      </w:r>
      <w:r>
        <w:rPr>
          <w:rFonts w:hint="eastAsia" w:asciiTheme="minorEastAsia" w:hAnsiTheme="minorEastAsia"/>
          <w:color w:val="000000" w:themeColor="text1"/>
          <w:szCs w:val="21"/>
          <w14:textFill>
            <w14:solidFill>
              <w14:schemeClr w14:val="tx1"/>
            </w14:solidFill>
          </w14:textFill>
        </w:rPr>
        <w:t>文件的递交要求</w:t>
      </w:r>
    </w:p>
    <w:p w14:paraId="33CD41FB">
      <w:pPr>
        <w:tabs>
          <w:tab w:val="left" w:pos="1418"/>
        </w:tabs>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Theme="minorEastAsia" w:hAnsiTheme="minorEastAsia" w:eastAsiaTheme="minorEastAsia"/>
          <w:color w:val="000000" w:themeColor="text1"/>
          <w:szCs w:val="21"/>
          <w14:textFill>
            <w14:solidFill>
              <w14:schemeClr w14:val="tx1"/>
            </w14:solidFill>
          </w14:textFill>
        </w:rPr>
        <w:t>谈判响应</w:t>
      </w:r>
      <w:r>
        <w:rPr>
          <w:rFonts w:hint="eastAsia" w:asciiTheme="minorEastAsia" w:hAnsiTheme="minorEastAsia" w:eastAsiaTheme="minorEastAsia"/>
          <w:kern w:val="0"/>
          <w:szCs w:val="21"/>
        </w:rPr>
        <w:t>文件必须在规定时间前派人送达指定的谈判地点。</w:t>
      </w:r>
      <w:r>
        <w:rPr>
          <w:rFonts w:hint="eastAsia" w:asciiTheme="minorEastAsia" w:hAnsiTheme="minorEastAsia" w:eastAsiaTheme="minorEastAsia"/>
          <w:color w:val="000000" w:themeColor="text1"/>
          <w:szCs w:val="21"/>
          <w14:textFill>
            <w14:solidFill>
              <w14:schemeClr w14:val="tx1"/>
            </w14:solidFill>
          </w14:textFill>
        </w:rPr>
        <w:t>谈判响应</w:t>
      </w:r>
      <w:r>
        <w:rPr>
          <w:rFonts w:hint="eastAsia" w:asciiTheme="minorEastAsia" w:hAnsiTheme="minorEastAsia" w:eastAsiaTheme="minorEastAsia"/>
          <w:kern w:val="0"/>
          <w:szCs w:val="21"/>
        </w:rPr>
        <w:t>文件在截止时间后提交，采购组织机构将将拒绝接收。</w:t>
      </w:r>
    </w:p>
    <w:p w14:paraId="19F70592">
      <w:pPr>
        <w:tabs>
          <w:tab w:val="left" w:pos="1418"/>
        </w:tabs>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（2）如有特殊情况，采购组织机构延长截止时间和谈判时间，采购组织机构和</w:t>
      </w:r>
      <w:r>
        <w:rPr>
          <w:rFonts w:hint="eastAsia" w:asciiTheme="minorEastAsia" w:hAnsiTheme="minorEastAsia" w:eastAsiaTheme="minorEastAsia"/>
          <w:color w:val="000000" w:themeColor="text1"/>
          <w:szCs w:val="21"/>
          <w14:textFill>
            <w14:solidFill>
              <w14:schemeClr w14:val="tx1"/>
            </w14:solidFill>
          </w14:textFill>
        </w:rPr>
        <w:t>供应商</w:t>
      </w:r>
      <w:r>
        <w:rPr>
          <w:rFonts w:hint="eastAsia" w:asciiTheme="minorEastAsia" w:hAnsiTheme="minorEastAsia" w:eastAsiaTheme="minorEastAsia"/>
          <w:kern w:val="0"/>
          <w:szCs w:val="21"/>
        </w:rPr>
        <w:t>的权利和义务将受到新的截止时间和谈判时间的约束。</w:t>
      </w:r>
    </w:p>
    <w:p w14:paraId="75EF716F">
      <w:pPr>
        <w:tabs>
          <w:tab w:val="left" w:pos="1898"/>
        </w:tabs>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4、谈判响应文件的补充、修改和撤回。</w:t>
      </w:r>
    </w:p>
    <w:p w14:paraId="0ABBB175">
      <w:pPr>
        <w:tabs>
          <w:tab w:val="left" w:pos="960"/>
          <w:tab w:val="left" w:pos="1418"/>
        </w:tabs>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Theme="minorEastAsia" w:hAnsiTheme="minorEastAsia" w:eastAsiaTheme="minorEastAsia"/>
          <w:color w:val="000000" w:themeColor="text1"/>
          <w:szCs w:val="21"/>
          <w14:textFill>
            <w14:solidFill>
              <w14:schemeClr w14:val="tx1"/>
            </w14:solidFill>
          </w14:textFill>
        </w:rPr>
        <w:t>供应商</w:t>
      </w:r>
      <w:r>
        <w:rPr>
          <w:rFonts w:hint="eastAsia" w:asciiTheme="minorEastAsia" w:hAnsiTheme="minorEastAsia" w:eastAsiaTheme="minorEastAsia"/>
          <w:kern w:val="0"/>
          <w:szCs w:val="21"/>
        </w:rPr>
        <w:t>如需对上交的谈判响应文件进行补充、修改或撤回的，必须在谈判响应截止时间</w:t>
      </w:r>
      <w:r>
        <w:rPr>
          <w:rFonts w:hint="eastAsia" w:ascii="宋体"/>
          <w:color w:val="000000"/>
          <w:kern w:val="0"/>
          <w:szCs w:val="21"/>
        </w:rPr>
        <w:t>以前将书面的修改文件或撤消通知送达</w:t>
      </w:r>
      <w:r>
        <w:rPr>
          <w:rFonts w:hint="eastAsia" w:ascii="宋体" w:hAnsi="宋体"/>
          <w:szCs w:val="21"/>
        </w:rPr>
        <w:t>采购组织机构</w:t>
      </w:r>
      <w:r>
        <w:rPr>
          <w:rFonts w:hint="eastAsia" w:ascii="宋体"/>
          <w:color w:val="000000"/>
          <w:kern w:val="0"/>
          <w:szCs w:val="21"/>
        </w:rPr>
        <w:t>。</w:t>
      </w:r>
    </w:p>
    <w:p w14:paraId="7477339C">
      <w:pPr>
        <w:tabs>
          <w:tab w:val="left" w:pos="1418"/>
        </w:tabs>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（2）谈判修改文件必须密封，在密封袋上写明项目编号、标段、谈判项目名称、</w:t>
      </w:r>
      <w:r>
        <w:rPr>
          <w:rFonts w:hint="eastAsia" w:asciiTheme="minorEastAsia" w:hAnsiTheme="minorEastAsia" w:eastAsiaTheme="minorEastAsia"/>
          <w:color w:val="000000" w:themeColor="text1"/>
          <w:szCs w:val="21"/>
          <w14:textFill>
            <w14:solidFill>
              <w14:schemeClr w14:val="tx1"/>
            </w14:solidFill>
          </w14:textFill>
        </w:rPr>
        <w:t>供应商</w:t>
      </w:r>
      <w:r>
        <w:rPr>
          <w:rFonts w:hint="eastAsia" w:asciiTheme="minorEastAsia" w:hAnsiTheme="minorEastAsia" w:eastAsiaTheme="minorEastAsia"/>
          <w:kern w:val="0"/>
          <w:szCs w:val="21"/>
        </w:rPr>
        <w:t>名称、并注明“修改文件”、“谈判时启封”字样，其作为谈判响应文件的组成部份。</w:t>
      </w:r>
    </w:p>
    <w:p w14:paraId="551B03E7">
      <w:pPr>
        <w:tabs>
          <w:tab w:val="left" w:pos="1898"/>
        </w:tabs>
        <w:autoSpaceDE w:val="0"/>
        <w:autoSpaceDN w:val="0"/>
        <w:adjustRightInd w:val="0"/>
        <w:snapToGrid w:val="0"/>
        <w:spacing w:line="360" w:lineRule="auto"/>
        <w:rPr>
          <w:rFonts w:asciiTheme="minorEastAsia" w:hAnsiTheme="minorEastAsia" w:eastAsiaTheme="minorEastAsia"/>
          <w:b/>
          <w:kern w:val="0"/>
          <w:szCs w:val="21"/>
        </w:rPr>
      </w:pPr>
      <w:r>
        <w:rPr>
          <w:rFonts w:hint="eastAsia" w:asciiTheme="minorEastAsia" w:hAnsiTheme="minorEastAsia" w:eastAsiaTheme="minorEastAsia"/>
          <w:b/>
          <w:kern w:val="0"/>
          <w:szCs w:val="21"/>
        </w:rPr>
        <w:t>（三）谈判响应文件的有效期</w:t>
      </w:r>
    </w:p>
    <w:p w14:paraId="5D615CA6">
      <w:pPr>
        <w:pStyle w:val="7"/>
        <w:tabs>
          <w:tab w:val="left" w:pos="454"/>
          <w:tab w:val="left" w:pos="720"/>
          <w:tab w:val="left" w:pos="1200"/>
        </w:tabs>
        <w:snapToGrid w:val="0"/>
        <w:spacing w:line="360" w:lineRule="auto"/>
        <w:ind w:left="0" w:firstLine="420" w:firstLineChars="200"/>
        <w:rPr>
          <w:rFonts w:ascii="FangSong_GB2312" w:hAnsi="FangSong_GB2312" w:eastAsia="FangSong_GB2312" w:cs="FangSong_GB2312"/>
          <w:szCs w:val="21"/>
          <w:lang w:val="en-GB"/>
        </w:rPr>
      </w:pPr>
      <w:r>
        <w:rPr>
          <w:rFonts w:hint="eastAsia" w:ascii="宋体" w:hAnsi="宋体"/>
          <w:color w:val="000000"/>
          <w:szCs w:val="21"/>
          <w:lang w:val="en-GB"/>
        </w:rPr>
        <w:t>自谈判响应截止日起90天谈判响应文件应保持有效。有效期不足的</w:t>
      </w:r>
      <w:r>
        <w:rPr>
          <w:rFonts w:hint="eastAsia" w:asciiTheme="minorEastAsia" w:hAnsiTheme="minorEastAsia" w:eastAsiaTheme="minorEastAsia"/>
          <w:color w:val="000000" w:themeColor="text1"/>
          <w:szCs w:val="21"/>
          <w14:textFill>
            <w14:solidFill>
              <w14:schemeClr w14:val="tx1"/>
            </w14:solidFill>
          </w14:textFill>
        </w:rPr>
        <w:t>谈判响应</w:t>
      </w:r>
      <w:r>
        <w:rPr>
          <w:rFonts w:hint="eastAsia" w:ascii="宋体" w:hAnsi="宋体"/>
          <w:color w:val="000000"/>
          <w:szCs w:val="21"/>
          <w:lang w:val="en-GB"/>
        </w:rPr>
        <w:t>文件将被拒绝。</w:t>
      </w:r>
    </w:p>
    <w:p w14:paraId="5E7D6C06">
      <w:pPr>
        <w:pStyle w:val="7"/>
        <w:tabs>
          <w:tab w:val="left" w:pos="454"/>
          <w:tab w:val="left" w:pos="720"/>
          <w:tab w:val="left" w:pos="1200"/>
        </w:tabs>
        <w:snapToGrid w:val="0"/>
        <w:spacing w:line="360" w:lineRule="auto"/>
        <w:ind w:left="0" w:firstLine="420" w:firstLineChars="200"/>
        <w:rPr>
          <w:rFonts w:ascii="宋体" w:hAnsi="宋体"/>
          <w:color w:val="000000"/>
          <w:szCs w:val="21"/>
          <w:lang w:val="en-GB"/>
        </w:rPr>
      </w:pPr>
      <w:r>
        <w:rPr>
          <w:rFonts w:hint="eastAsia" w:ascii="宋体" w:hAnsi="宋体"/>
          <w:color w:val="000000"/>
          <w:szCs w:val="21"/>
          <w:lang w:val="en-GB"/>
        </w:rPr>
        <w:t>在特殊情况下，采购人可与</w:t>
      </w:r>
      <w:r>
        <w:rPr>
          <w:rFonts w:hint="eastAsia" w:asciiTheme="minorEastAsia" w:hAnsiTheme="minorEastAsia" w:eastAsiaTheme="minorEastAsia"/>
          <w:color w:val="000000" w:themeColor="text1"/>
          <w:szCs w:val="21"/>
          <w14:textFill>
            <w14:solidFill>
              <w14:schemeClr w14:val="tx1"/>
            </w14:solidFill>
          </w14:textFill>
        </w:rPr>
        <w:t>供应商</w:t>
      </w:r>
      <w:r>
        <w:rPr>
          <w:rFonts w:hint="eastAsia" w:ascii="宋体" w:hAnsi="宋体"/>
          <w:color w:val="000000"/>
          <w:szCs w:val="21"/>
          <w:lang w:val="en-GB"/>
        </w:rPr>
        <w:t>协商延长谈判响应文件的有效期，这种要求和答复均以书面形式进行。</w:t>
      </w:r>
    </w:p>
    <w:p w14:paraId="58A8CDAF">
      <w:pPr>
        <w:pStyle w:val="7"/>
        <w:numPr>
          <w:ilvl w:val="0"/>
          <w:numId w:val="0"/>
        </w:numPr>
        <w:tabs>
          <w:tab w:val="left" w:pos="0"/>
          <w:tab w:val="left" w:pos="720"/>
          <w:tab w:val="left" w:pos="1200"/>
          <w:tab w:val="clear" w:pos="360"/>
        </w:tabs>
        <w:snapToGrid w:val="0"/>
        <w:spacing w:line="360" w:lineRule="auto"/>
        <w:ind w:firstLine="367" w:firstLineChars="175"/>
        <w:rPr>
          <w:rFonts w:asciiTheme="minorEastAsia" w:hAnsiTheme="minorEastAsia" w:eastAsiaTheme="minorEastAsia"/>
          <w:b/>
          <w:color w:val="000000"/>
          <w:szCs w:val="21"/>
        </w:rPr>
      </w:pPr>
      <w:r>
        <w:rPr>
          <w:rFonts w:hint="eastAsia" w:ascii="宋体" w:hAnsi="宋体"/>
          <w:color w:val="000000"/>
          <w:szCs w:val="21"/>
        </w:rPr>
        <w:t>3.</w:t>
      </w:r>
      <w:r>
        <w:rPr>
          <w:rFonts w:hint="eastAsia" w:asciiTheme="minorEastAsia" w:hAnsiTheme="minorEastAsia" w:eastAsiaTheme="minorEastAsia"/>
          <w:color w:val="000000" w:themeColor="text1"/>
          <w:szCs w:val="21"/>
          <w14:textFill>
            <w14:solidFill>
              <w14:schemeClr w14:val="tx1"/>
            </w14:solidFill>
          </w14:textFill>
        </w:rPr>
        <w:t>供应商</w:t>
      </w:r>
      <w:r>
        <w:rPr>
          <w:rFonts w:hint="eastAsia" w:ascii="宋体" w:hAnsi="宋体"/>
          <w:color w:val="000000"/>
          <w:szCs w:val="21"/>
          <w:lang w:val="en-GB"/>
        </w:rPr>
        <w:t>可拒绝接受延期要求而不会导致谈判保证金被没收。同意延长有效期的</w:t>
      </w:r>
      <w:r>
        <w:rPr>
          <w:rFonts w:hint="eastAsia" w:asciiTheme="minorEastAsia" w:hAnsiTheme="minorEastAsia" w:eastAsiaTheme="minorEastAsia"/>
          <w:color w:val="000000" w:themeColor="text1"/>
          <w:szCs w:val="21"/>
          <w14:textFill>
            <w14:solidFill>
              <w14:schemeClr w14:val="tx1"/>
            </w14:solidFill>
          </w14:textFill>
        </w:rPr>
        <w:t>供应商</w:t>
      </w:r>
      <w:r>
        <w:rPr>
          <w:rFonts w:hint="eastAsia" w:ascii="宋体" w:hAnsi="宋体"/>
          <w:color w:val="000000"/>
          <w:szCs w:val="21"/>
          <w:lang w:val="en-GB"/>
        </w:rPr>
        <w:t>需要相应延长谈判</w:t>
      </w:r>
      <w:r>
        <w:rPr>
          <w:rFonts w:asciiTheme="minorEastAsia" w:hAnsiTheme="minorEastAsia" w:eastAsiaTheme="minorEastAsia"/>
          <w:color w:val="000000"/>
          <w:szCs w:val="21"/>
        </w:rPr>
        <w:t>保证金的有效期，但不能修改谈判响应文件。</w:t>
      </w:r>
    </w:p>
    <w:p w14:paraId="0213C633">
      <w:pPr>
        <w:snapToGrid w:val="0"/>
        <w:spacing w:line="360" w:lineRule="auto"/>
        <w:ind w:firstLine="420" w:firstLineChars="200"/>
        <w:jc w:val="left"/>
        <w:outlineLvl w:val="0"/>
        <w:rPr>
          <w:rFonts w:asciiTheme="minorEastAsia" w:hAnsiTheme="minorEastAsia" w:eastAsiaTheme="minorEastAsia"/>
          <w:b/>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.成交供应商</w:t>
      </w:r>
      <w:r>
        <w:rPr>
          <w:rFonts w:asciiTheme="minorEastAsia" w:hAnsiTheme="minorEastAsia" w:eastAsiaTheme="minorEastAsia"/>
          <w:color w:val="000000"/>
          <w:szCs w:val="21"/>
        </w:rPr>
        <w:t>的</w:t>
      </w:r>
      <w:r>
        <w:rPr>
          <w:rFonts w:hint="eastAsia" w:asciiTheme="minorEastAsia" w:hAnsiTheme="minorEastAsia" w:eastAsiaTheme="minorEastAsia"/>
          <w:color w:val="000000" w:themeColor="text1"/>
          <w:szCs w:val="21"/>
          <w14:textFill>
            <w14:solidFill>
              <w14:schemeClr w14:val="tx1"/>
            </w14:solidFill>
          </w14:textFill>
        </w:rPr>
        <w:t>谈判响应</w:t>
      </w:r>
      <w:r>
        <w:rPr>
          <w:rFonts w:asciiTheme="minorEastAsia" w:hAnsiTheme="minorEastAsia" w:eastAsiaTheme="minorEastAsia"/>
          <w:color w:val="000000"/>
          <w:szCs w:val="21"/>
        </w:rPr>
        <w:t>文件自</w:t>
      </w:r>
      <w:r>
        <w:rPr>
          <w:rFonts w:hint="eastAsia" w:asciiTheme="minorEastAsia" w:hAnsiTheme="minorEastAsia" w:eastAsiaTheme="minorEastAsia"/>
          <w:color w:val="000000"/>
          <w:szCs w:val="21"/>
        </w:rPr>
        <w:t>谈判</w:t>
      </w:r>
      <w:r>
        <w:rPr>
          <w:rFonts w:asciiTheme="minorEastAsia" w:hAnsiTheme="minorEastAsia" w:eastAsiaTheme="minorEastAsia"/>
          <w:color w:val="000000"/>
          <w:szCs w:val="21"/>
        </w:rPr>
        <w:t>之日起至合同履行完毕均应保持有效。</w:t>
      </w:r>
    </w:p>
    <w:p w14:paraId="11D16847">
      <w:pPr>
        <w:tabs>
          <w:tab w:val="left" w:pos="141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三、谈判保证金</w:t>
      </w:r>
    </w:p>
    <w:p w14:paraId="5D043765">
      <w:pPr>
        <w:pStyle w:val="15"/>
        <w:snapToGrid w:val="0"/>
        <w:spacing w:line="360" w:lineRule="auto"/>
        <w:ind w:firstLine="420" w:firstLineChars="200"/>
        <w:rPr>
          <w:rFonts w:hAnsi="宋体" w:cs="宋体"/>
          <w:szCs w:val="21"/>
        </w:rPr>
      </w:pPr>
      <w:r>
        <w:rPr>
          <w:rFonts w:hint="eastAsia" w:hAnsi="宋体" w:cs="宋体"/>
          <w:szCs w:val="21"/>
        </w:rPr>
        <w:t>1、投标保证金：人民币</w:t>
      </w:r>
      <w:r>
        <w:rPr>
          <w:rFonts w:hint="eastAsia" w:hAnsi="宋体" w:cs="宋体"/>
          <w:szCs w:val="21"/>
          <w:u w:val="single"/>
          <w:lang w:val="en-US" w:eastAsia="zh-CN"/>
        </w:rPr>
        <w:t xml:space="preserve">   5000   </w:t>
      </w:r>
      <w:r>
        <w:rPr>
          <w:rFonts w:hint="eastAsia" w:hAnsi="宋体" w:cs="宋体"/>
          <w:szCs w:val="21"/>
        </w:rPr>
        <w:t>元。交付方式：转账、电汇、银行汇票。投标保证金必须以投标单位名义从其账户汇入</w:t>
      </w:r>
      <w:r>
        <w:rPr>
          <w:rFonts w:hint="eastAsia" w:hAnsi="宋体" w:cs="宋体"/>
          <w:szCs w:val="21"/>
          <w:lang w:eastAsia="zh-CN"/>
        </w:rPr>
        <w:t>欧邦工程管理集团有限公司</w:t>
      </w:r>
      <w:r>
        <w:rPr>
          <w:rFonts w:hint="eastAsia" w:hAnsi="宋体" w:cs="宋体"/>
          <w:szCs w:val="21"/>
        </w:rPr>
        <w:t>账户，并注明项目名称，确保在投标截止时间前到账，否则将失去谈判资格。</w:t>
      </w:r>
    </w:p>
    <w:p w14:paraId="429145C8">
      <w:pPr>
        <w:pStyle w:val="15"/>
        <w:snapToGrid w:val="0"/>
        <w:spacing w:line="360" w:lineRule="auto"/>
        <w:ind w:firstLine="420" w:firstLineChars="200"/>
        <w:rPr>
          <w:rFonts w:hint="eastAsia" w:hAnsi="宋体" w:eastAsia="宋体" w:cs="宋体"/>
          <w:szCs w:val="21"/>
          <w:lang w:eastAsia="zh-CN"/>
        </w:rPr>
      </w:pPr>
      <w:r>
        <w:rPr>
          <w:rFonts w:hint="eastAsia" w:hAnsi="宋体" w:cs="宋体"/>
          <w:szCs w:val="21"/>
        </w:rPr>
        <w:t xml:space="preserve">    开户名：</w:t>
      </w:r>
      <w:r>
        <w:rPr>
          <w:rFonts w:hint="eastAsia" w:ascii="宋体" w:hAnsi="宋体" w:eastAsia="宋体" w:cs="Times New Roman"/>
          <w:kern w:val="0"/>
          <w:sz w:val="21"/>
          <w:szCs w:val="20"/>
          <w:lang w:val="en-US" w:eastAsia="zh-CN" w:bidi="ar-SA"/>
        </w:rPr>
        <w:t>欧邦工程管理集团有限公司仙居分公司</w:t>
      </w:r>
    </w:p>
    <w:p w14:paraId="512D1144">
      <w:pPr>
        <w:pStyle w:val="15"/>
        <w:snapToGrid w:val="0"/>
        <w:spacing w:line="360" w:lineRule="auto"/>
        <w:ind w:firstLine="420" w:firstLineChars="200"/>
        <w:rPr>
          <w:rFonts w:hAnsi="宋体" w:cs="宋体"/>
          <w:szCs w:val="21"/>
        </w:rPr>
      </w:pPr>
      <w:r>
        <w:rPr>
          <w:rFonts w:hint="eastAsia" w:hAnsi="宋体" w:cs="宋体"/>
          <w:szCs w:val="21"/>
        </w:rPr>
        <w:t xml:space="preserve">    开户行：</w:t>
      </w:r>
      <w:r>
        <w:rPr>
          <w:rFonts w:hint="eastAsia" w:cs="Times New Roman"/>
          <w:kern w:val="0"/>
          <w:sz w:val="21"/>
          <w:szCs w:val="20"/>
          <w:lang w:val="en-US" w:eastAsia="zh-CN" w:bidi="ar-SA"/>
        </w:rPr>
        <w:t>台州银行股份有限公司仙居支行</w:t>
      </w:r>
    </w:p>
    <w:p w14:paraId="429B4BA5">
      <w:pPr>
        <w:tabs>
          <w:tab w:val="left" w:pos="1418"/>
        </w:tabs>
        <w:autoSpaceDE w:val="0"/>
        <w:autoSpaceDN w:val="0"/>
        <w:adjustRightInd w:val="0"/>
        <w:snapToGrid w:val="0"/>
        <w:spacing w:line="360" w:lineRule="auto"/>
        <w:ind w:firstLine="840" w:firstLineChars="400"/>
        <w:rPr>
          <w:rFonts w:asciiTheme="minorEastAsia" w:hAnsiTheme="minorEastAsia" w:eastAsiaTheme="minorEastAsia"/>
          <w:kern w:val="0"/>
          <w:szCs w:val="21"/>
        </w:rPr>
      </w:pPr>
      <w:r>
        <w:rPr>
          <w:rFonts w:hint="eastAsia" w:hAnsi="宋体" w:cs="宋体"/>
          <w:szCs w:val="21"/>
        </w:rPr>
        <w:t>账  号：</w:t>
      </w:r>
      <w:r>
        <w:rPr>
          <w:rFonts w:hint="eastAsia" w:cs="Times New Roman"/>
          <w:kern w:val="0"/>
          <w:sz w:val="21"/>
          <w:szCs w:val="20"/>
          <w:lang w:val="en-US" w:eastAsia="zh-CN" w:bidi="ar-SA"/>
        </w:rPr>
        <w:t>5302296229000015</w:t>
      </w:r>
      <w:r>
        <w:rPr>
          <w:rFonts w:hint="eastAsia" w:hAnsi="宋体" w:cs="宋体"/>
          <w:szCs w:val="21"/>
        </w:rPr>
        <w:t>。</w:t>
      </w:r>
    </w:p>
    <w:p w14:paraId="7F291CB0">
      <w:pPr>
        <w:tabs>
          <w:tab w:val="left" w:pos="1418"/>
        </w:tabs>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2、成交供应商的谈判保证金在合同签订后五个工作日内退还，或转为成交供应商的履约保证金。</w:t>
      </w:r>
    </w:p>
    <w:p w14:paraId="790B4FA2">
      <w:pPr>
        <w:snapToGrid w:val="0"/>
        <w:spacing w:line="360" w:lineRule="auto"/>
        <w:ind w:left="4" w:firstLine="411" w:firstLineChars="196"/>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3、未</w:t>
      </w:r>
      <w:r>
        <w:rPr>
          <w:rFonts w:hint="eastAsia" w:asciiTheme="minorEastAsia" w:hAnsiTheme="minorEastAsia" w:eastAsiaTheme="minorEastAsia"/>
          <w:kern w:val="0"/>
          <w:szCs w:val="21"/>
        </w:rPr>
        <w:t>成交</w:t>
      </w:r>
      <w:r>
        <w:rPr>
          <w:rFonts w:hint="eastAsia" w:asciiTheme="minorEastAsia" w:hAnsiTheme="minorEastAsia" w:eastAsiaTheme="minorEastAsia"/>
          <w:color w:val="000000"/>
          <w:szCs w:val="21"/>
        </w:rPr>
        <w:t>供应商的谈判保证金将在</w:t>
      </w:r>
      <w:r>
        <w:rPr>
          <w:rFonts w:hint="eastAsia" w:asciiTheme="minorEastAsia" w:hAnsiTheme="minorEastAsia" w:eastAsiaTheme="minorEastAsia"/>
          <w:kern w:val="0"/>
          <w:szCs w:val="21"/>
        </w:rPr>
        <w:t>成交</w:t>
      </w:r>
      <w:r>
        <w:rPr>
          <w:rFonts w:hint="eastAsia" w:asciiTheme="minorEastAsia" w:hAnsiTheme="minorEastAsia" w:eastAsiaTheme="minorEastAsia"/>
          <w:color w:val="000000"/>
          <w:szCs w:val="21"/>
        </w:rPr>
        <w:t xml:space="preserve">通知书发出后五个工作日内退还。 </w:t>
      </w:r>
    </w:p>
    <w:p w14:paraId="262CDC92">
      <w:pPr>
        <w:snapToGrid w:val="0"/>
        <w:spacing w:line="360" w:lineRule="auto"/>
        <w:ind w:left="4" w:firstLine="411" w:firstLineChars="196"/>
        <w:jc w:val="left"/>
        <w:rPr>
          <w:rFonts w:ascii="FangSong_GB2312" w:hAnsi="FangSong_GB2312" w:eastAsia="FangSong_GB2312" w:cs="FangSong_GB2312"/>
          <w:szCs w:val="21"/>
        </w:rPr>
      </w:pPr>
      <w:r>
        <w:rPr>
          <w:rFonts w:hint="eastAsia" w:asciiTheme="minorEastAsia" w:hAnsiTheme="minorEastAsia" w:eastAsiaTheme="minorEastAsia"/>
          <w:color w:val="000000"/>
          <w:szCs w:val="21"/>
        </w:rPr>
        <w:t>4、如发生质疑（投诉），质疑人（投诉人）和被质疑（投诉）事项所涉及供应商的谈判保证金不受以上时间限制，在质疑（投诉）处理完毕后退还。</w:t>
      </w:r>
    </w:p>
    <w:p w14:paraId="6DA5ED77">
      <w:pPr>
        <w:snapToGrid w:val="0"/>
        <w:spacing w:line="360" w:lineRule="auto"/>
        <w:ind w:left="424" w:leftChars="202" w:firstLine="46" w:firstLineChars="22"/>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5、供应商有下列情形之一的，谈判保证金将不予退还：</w:t>
      </w:r>
    </w:p>
    <w:p w14:paraId="7C0CB527">
      <w:pPr>
        <w:snapToGrid w:val="0"/>
        <w:spacing w:line="360" w:lineRule="auto"/>
        <w:ind w:firstLine="411" w:firstLineChars="196"/>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themeColor="text1"/>
          <w:szCs w:val="21"/>
          <w14:textFill>
            <w14:solidFill>
              <w14:schemeClr w14:val="tx1"/>
            </w14:solidFill>
          </w14:textFill>
        </w:rPr>
        <w:t>供应商</w:t>
      </w:r>
      <w:r>
        <w:rPr>
          <w:rFonts w:hint="eastAsia" w:asciiTheme="minorEastAsia" w:hAnsiTheme="minorEastAsia" w:eastAsiaTheme="minorEastAsia"/>
          <w:color w:val="000000"/>
          <w:szCs w:val="21"/>
        </w:rPr>
        <w:t>在截止时间后至谈判响应有效期内无故撤回谈判响应文件</w:t>
      </w:r>
      <w:r>
        <w:rPr>
          <w:rFonts w:hint="eastAsia" w:ascii="宋体" w:hAnsi="宋体" w:cs="宋体"/>
          <w:kern w:val="0"/>
          <w:szCs w:val="21"/>
        </w:rPr>
        <w:t>或放弃成交资格的</w:t>
      </w:r>
      <w:r>
        <w:rPr>
          <w:rFonts w:asciiTheme="minorEastAsia" w:hAnsiTheme="minorEastAsia" w:eastAsiaTheme="minorEastAsia"/>
          <w:szCs w:val="21"/>
        </w:rPr>
        <w:t>；</w:t>
      </w:r>
    </w:p>
    <w:p w14:paraId="154B7FA7">
      <w:pPr>
        <w:snapToGrid w:val="0"/>
        <w:spacing w:line="360" w:lineRule="auto"/>
        <w:ind w:firstLine="411" w:firstLineChars="196"/>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w:t>
      </w:r>
      <w:r>
        <w:rPr>
          <w:rFonts w:hint="eastAsia" w:asciiTheme="minorEastAsia" w:hAnsiTheme="minorEastAsia" w:eastAsiaTheme="minorEastAsia"/>
          <w:color w:val="000000" w:themeColor="text1"/>
          <w:szCs w:val="21"/>
          <w14:textFill>
            <w14:solidFill>
              <w14:schemeClr w14:val="tx1"/>
            </w14:solidFill>
          </w14:textFill>
        </w:rPr>
        <w:t>供应商</w:t>
      </w:r>
      <w:r>
        <w:rPr>
          <w:rFonts w:asciiTheme="minorEastAsia" w:hAnsiTheme="minorEastAsia" w:eastAsiaTheme="minorEastAsia"/>
          <w:szCs w:val="21"/>
        </w:rPr>
        <w:t>在</w:t>
      </w:r>
      <w:r>
        <w:rPr>
          <w:rFonts w:hint="eastAsia" w:asciiTheme="minorEastAsia" w:hAnsiTheme="minorEastAsia" w:eastAsiaTheme="minorEastAsia"/>
          <w:szCs w:val="21"/>
        </w:rPr>
        <w:t>谈判</w:t>
      </w:r>
      <w:r>
        <w:rPr>
          <w:rFonts w:asciiTheme="minorEastAsia" w:hAnsiTheme="minorEastAsia" w:eastAsiaTheme="minorEastAsia"/>
          <w:szCs w:val="21"/>
        </w:rPr>
        <w:t>过程中弄虚作假，提供虚假材料</w:t>
      </w:r>
      <w:r>
        <w:rPr>
          <w:rFonts w:hint="eastAsia" w:asciiTheme="minorEastAsia" w:hAnsiTheme="minorEastAsia" w:eastAsiaTheme="minorEastAsia"/>
          <w:szCs w:val="21"/>
        </w:rPr>
        <w:t>的</w:t>
      </w:r>
      <w:r>
        <w:rPr>
          <w:rFonts w:asciiTheme="minorEastAsia" w:hAnsiTheme="minorEastAsia" w:eastAsiaTheme="minorEastAsia"/>
          <w:szCs w:val="21"/>
        </w:rPr>
        <w:t>；</w:t>
      </w:r>
    </w:p>
    <w:p w14:paraId="78401DAE">
      <w:pPr>
        <w:snapToGrid w:val="0"/>
        <w:spacing w:line="360" w:lineRule="auto"/>
        <w:ind w:firstLine="411" w:firstLineChars="196"/>
        <w:jc w:val="left"/>
        <w:rPr>
          <w:rFonts w:ascii="宋体" w:hAnsi="宋体"/>
          <w:bCs/>
          <w:szCs w:val="21"/>
        </w:rPr>
      </w:pPr>
      <w:r>
        <w:rPr>
          <w:rFonts w:asciiTheme="minorEastAsia" w:hAnsiTheme="minorEastAsia" w:eastAsiaTheme="minorEastAsia"/>
          <w:color w:val="000000"/>
          <w:szCs w:val="21"/>
        </w:rPr>
        <w:t>（3）</w:t>
      </w:r>
      <w:r>
        <w:rPr>
          <w:rFonts w:hint="eastAsia" w:ascii="宋体" w:hAnsi="宋体"/>
          <w:bCs/>
          <w:szCs w:val="21"/>
        </w:rPr>
        <w:t>除因不可抗力或谈判文件认可的情形以外，成交供应商不与采购人签订合同或</w:t>
      </w:r>
      <w:r>
        <w:rPr>
          <w:rFonts w:hint="eastAsia" w:ascii="宋体" w:hAnsi="宋体"/>
          <w:bCs/>
          <w:color w:val="000000"/>
          <w:szCs w:val="21"/>
        </w:rPr>
        <w:t>拒绝履行合同义务的；</w:t>
      </w:r>
    </w:p>
    <w:p w14:paraId="2D4ECF6E">
      <w:pPr>
        <w:snapToGrid w:val="0"/>
        <w:spacing w:line="360" w:lineRule="auto"/>
        <w:ind w:firstLine="411" w:firstLineChars="196"/>
        <w:jc w:val="left"/>
        <w:rPr>
          <w:rFonts w:asciiTheme="minorEastAsia" w:hAnsiTheme="minorEastAsia" w:eastAsiaTheme="minorEastAsia"/>
          <w:szCs w:val="21"/>
        </w:rPr>
      </w:pPr>
      <w:r>
        <w:rPr>
          <w:rFonts w:hint="eastAsia" w:ascii="宋体" w:hAnsi="宋体"/>
          <w:bCs/>
          <w:color w:val="000000"/>
          <w:szCs w:val="21"/>
        </w:rPr>
        <w:t>（4）供应商与采购人、其他供应商或者采购组织机构恶意串通的；</w:t>
      </w:r>
    </w:p>
    <w:p w14:paraId="6F226683">
      <w:pPr>
        <w:snapToGrid w:val="0"/>
        <w:spacing w:line="360" w:lineRule="auto"/>
        <w:ind w:firstLine="411" w:firstLineChars="196"/>
        <w:jc w:val="left"/>
        <w:rPr>
          <w:rFonts w:ascii="宋体" w:hAnsi="宋体"/>
          <w:bCs/>
          <w:color w:val="000000"/>
          <w:szCs w:val="21"/>
        </w:rPr>
      </w:pPr>
      <w:r>
        <w:rPr>
          <w:rFonts w:hint="eastAsia" w:ascii="宋体" w:hAnsi="宋体"/>
          <w:bCs/>
          <w:color w:val="000000"/>
          <w:szCs w:val="21"/>
        </w:rPr>
        <w:t>（5）与采购人另行订立背离合同实质性内容的协议的；</w:t>
      </w:r>
    </w:p>
    <w:p w14:paraId="7576CAA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0" w:firstLineChars="200"/>
        <w:jc w:val="left"/>
        <w:rPr>
          <w:rFonts w:ascii="宋体" w:hAnsi="宋体"/>
          <w:bCs/>
          <w:color w:val="000000"/>
          <w:szCs w:val="21"/>
        </w:rPr>
      </w:pPr>
      <w:r>
        <w:rPr>
          <w:rFonts w:hint="eastAsia" w:ascii="宋体" w:hAnsi="宋体"/>
          <w:bCs/>
          <w:color w:val="000000"/>
          <w:szCs w:val="21"/>
        </w:rPr>
        <w:t>（6）法律、法规明确规定的其他行为。</w:t>
      </w:r>
    </w:p>
    <w:p w14:paraId="00798C0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b/>
          <w:color w:val="FF0000"/>
          <w:kern w:val="0"/>
          <w:sz w:val="24"/>
        </w:rPr>
      </w:pPr>
      <w:r>
        <w:rPr>
          <w:rFonts w:hint="eastAsia" w:ascii="宋体"/>
          <w:b/>
          <w:color w:val="000000" w:themeColor="text1"/>
          <w:kern w:val="0"/>
          <w:sz w:val="24"/>
          <w14:textFill>
            <w14:solidFill>
              <w14:schemeClr w14:val="tx1"/>
            </w14:solidFill>
          </w14:textFill>
        </w:rPr>
        <w:t>四、谈判</w:t>
      </w:r>
    </w:p>
    <w:p w14:paraId="00A7F813">
      <w:pPr>
        <w:snapToGrid w:val="0"/>
        <w:spacing w:line="360" w:lineRule="auto"/>
        <w:ind w:firstLine="413" w:firstLineChars="196"/>
        <w:jc w:val="left"/>
        <w:rPr>
          <w:rFonts w:asciiTheme="minorEastAsia" w:hAnsiTheme="minorEastAsia" w:eastAsiaTheme="minorEastAsia"/>
          <w:b/>
          <w:bCs/>
          <w:szCs w:val="21"/>
        </w:rPr>
      </w:pPr>
      <w:r>
        <w:rPr>
          <w:rFonts w:hint="eastAsia" w:asciiTheme="minorEastAsia" w:hAnsiTheme="minorEastAsia" w:eastAsiaTheme="minorEastAsia"/>
          <w:b/>
          <w:bCs/>
          <w:szCs w:val="21"/>
        </w:rPr>
        <w:t xml:space="preserve"> （一）谈判程序</w:t>
      </w:r>
    </w:p>
    <w:p w14:paraId="4CE34C25">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1.采购组织机构在“谈判公告”规定的时间和地点组织谈判，谈判采购会议由采购组织机构工作人员主持，所有供应商均应准时参加谈判采购会议。</w:t>
      </w:r>
    </w:p>
    <w:p w14:paraId="0C3ECEFA">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 </w:t>
      </w:r>
      <w:r>
        <w:rPr>
          <w:rFonts w:hint="eastAsia" w:ascii="宋体" w:hAnsi="宋体"/>
          <w:color w:val="000000"/>
          <w:szCs w:val="21"/>
        </w:rPr>
        <w:t>采购组织机构工作人员应当</w:t>
      </w:r>
      <w:r>
        <w:rPr>
          <w:rFonts w:hint="eastAsia" w:asciiTheme="minorEastAsia" w:hAnsiTheme="minorEastAsia" w:eastAsiaTheme="minorEastAsia" w:cstheme="minorEastAsia"/>
          <w:szCs w:val="21"/>
        </w:rPr>
        <w:t>核验出席谈判活动现场的各供应商代表及相关单位人员身份，并组织其分别登记、签到，无关人员可拒绝其进入现场。</w:t>
      </w:r>
    </w:p>
    <w:p w14:paraId="73396B7B">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3.采购组织机构工作人员接收谈判响应文件并登记，并由供应商代表对递交记录情况进行签字确认。</w:t>
      </w:r>
    </w:p>
    <w:p w14:paraId="41117809">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14:paraId="25EA7435">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5.对谈判保证金缴纳情况进行查验、核实，提请供应商代表查验谈判响应文件密封情况。</w:t>
      </w:r>
    </w:p>
    <w:p w14:paraId="035EB815">
      <w:pPr>
        <w:pStyle w:val="15"/>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6、主持人按供应商签到的先后顺序当场拆封谈判响应文件，并送至评审室；</w:t>
      </w:r>
    </w:p>
    <w:p w14:paraId="744CBD0A">
      <w:pPr>
        <w:pStyle w:val="15"/>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7.谈判小组对符合资格的供应商的谈判响应文件进行符合性审查，以确定其是否满足谈判文件的实质性要求。</w:t>
      </w:r>
    </w:p>
    <w:p w14:paraId="152A04BA">
      <w:pPr>
        <w:pStyle w:val="15"/>
        <w:snapToGrid w:val="0"/>
        <w:spacing w:line="360" w:lineRule="auto"/>
        <w:ind w:firstLine="420" w:firstLineChars="200"/>
        <w:rPr>
          <w:rFonts w:hAnsi="宋体"/>
          <w:szCs w:val="21"/>
        </w:rPr>
      </w:pPr>
      <w:r>
        <w:rPr>
          <w:rFonts w:hint="eastAsia" w:hAnsi="宋体"/>
          <w:szCs w:val="21"/>
        </w:rPr>
        <w:t>8.谈判小组对响应文件进行评审，并根据谈判文件规定的程序、评定成交的标准等事项与实质性响应谈判文件要求的供应商进行谈判。未实质性响应谈判文件的响应文件按无效处理；</w:t>
      </w:r>
    </w:p>
    <w:p w14:paraId="4F906F5D">
      <w:pPr>
        <w:pStyle w:val="17"/>
        <w:snapToGrid w:val="0"/>
        <w:ind w:firstLine="420" w:firstLineChars="200"/>
        <w:rPr>
          <w:rFonts w:hAnsi="宋体"/>
          <w:sz w:val="21"/>
          <w:szCs w:val="21"/>
        </w:rPr>
      </w:pPr>
      <w:r>
        <w:rPr>
          <w:rFonts w:hint="eastAsia" w:hAnsi="宋体"/>
          <w:sz w:val="21"/>
          <w:szCs w:val="21"/>
        </w:rPr>
        <w:t>9.谈判小组所有成员集中与单一供应商分别进行谈</w:t>
      </w:r>
      <w:r>
        <w:rPr>
          <w:rFonts w:hint="eastAsia" w:hAnsi="宋体"/>
          <w:color w:val="auto"/>
          <w:sz w:val="21"/>
          <w:szCs w:val="21"/>
        </w:rPr>
        <w:t>判。</w:t>
      </w:r>
      <w:r>
        <w:rPr>
          <w:rFonts w:hint="eastAsia"/>
          <w:color w:val="auto"/>
          <w:sz w:val="21"/>
          <w:szCs w:val="21"/>
          <w:shd w:val="clear" w:color="auto" w:fill="FFFFFF"/>
        </w:rPr>
        <w:t>所有参加谈判的供应商均有一</w:t>
      </w:r>
      <w:r>
        <w:rPr>
          <w:rFonts w:hint="eastAsia"/>
          <w:b/>
          <w:color w:val="auto"/>
          <w:sz w:val="21"/>
          <w:szCs w:val="21"/>
          <w:shd w:val="clear" w:color="auto" w:fill="FFFFFF"/>
        </w:rPr>
        <w:t>轮</w:t>
      </w:r>
      <w:r>
        <w:rPr>
          <w:rFonts w:hint="eastAsia"/>
          <w:color w:val="auto"/>
          <w:sz w:val="21"/>
          <w:szCs w:val="21"/>
          <w:shd w:val="clear" w:color="auto" w:fill="FFFFFF"/>
        </w:rPr>
        <w:t>谈判机会。</w:t>
      </w:r>
      <w:r>
        <w:rPr>
          <w:rFonts w:hint="eastAsia" w:hAnsi="宋体"/>
          <w:color w:val="auto"/>
          <w:sz w:val="21"/>
          <w:szCs w:val="21"/>
        </w:rPr>
        <w:t>供应商应由法人代表或法人代表授权的人进行。供应商所作的重要答复均应以书面形式，并经法定代表人或授权人签署，作为谈判文</w:t>
      </w:r>
      <w:r>
        <w:rPr>
          <w:rFonts w:hint="eastAsia" w:hAnsi="宋体"/>
          <w:sz w:val="21"/>
          <w:szCs w:val="21"/>
        </w:rPr>
        <w:t>件的一部分，对谈判供应商有约束力，但不得对内容进行实质性修改。在谈判中，谈判的任何一方不得透露与谈判有关的其他供应商的技术资料、价格和其他信息；</w:t>
      </w:r>
    </w:p>
    <w:p w14:paraId="4C2FAEA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540"/>
        <w:jc w:val="left"/>
        <w:rPr>
          <w:szCs w:val="21"/>
        </w:rPr>
      </w:pPr>
      <w:r>
        <w:rPr>
          <w:rFonts w:hint="eastAsia"/>
          <w:szCs w:val="21"/>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14:paraId="15BD9D13">
      <w:pPr>
        <w:pageBreakBefore w:val="0"/>
        <w:kinsoku/>
        <w:wordWrap/>
        <w:overflowPunct/>
        <w:topLinePunct w:val="0"/>
        <w:bidi w:val="0"/>
        <w:snapToGrid w:val="0"/>
        <w:spacing w:line="360" w:lineRule="auto"/>
        <w:ind w:firstLine="420" w:firstLineChars="200"/>
        <w:rPr>
          <w:rFonts w:hint="eastAsia" w:ascii="宋体" w:hAnsi="宋体" w:eastAsia="宋体" w:cs="宋体"/>
          <w:color w:val="0000FF"/>
          <w:sz w:val="21"/>
          <w:szCs w:val="21"/>
          <w:highlight w:val="none"/>
          <w:lang w:eastAsia="zh-CN" w:bidi="ar"/>
        </w:rPr>
      </w:pPr>
      <w:r>
        <w:rPr>
          <w:rFonts w:hint="eastAsia" w:hAnsi="宋体"/>
          <w:color w:val="auto"/>
          <w:sz w:val="21"/>
          <w:szCs w:val="21"/>
        </w:rPr>
        <w:t>11.</w:t>
      </w:r>
      <w:r>
        <w:rPr>
          <w:rFonts w:hint="eastAsia" w:ascii="宋体" w:hAnsi="宋体" w:eastAsia="宋体" w:cs="宋体"/>
          <w:sz w:val="21"/>
          <w:szCs w:val="21"/>
          <w:highlight w:val="none"/>
          <w:lang w:val="en-US" w:eastAsia="zh-CN" w:bidi="ar"/>
        </w:rPr>
        <w:fldChar w:fldCharType="begin"/>
      </w:r>
      <w:r>
        <w:rPr>
          <w:rFonts w:hint="eastAsia" w:ascii="宋体" w:hAnsi="宋体" w:eastAsia="宋体" w:cs="宋体"/>
          <w:sz w:val="21"/>
          <w:szCs w:val="21"/>
          <w:highlight w:val="none"/>
          <w:lang w:val="en-US" w:eastAsia="zh-CN" w:bidi="ar"/>
        </w:rPr>
        <w:instrText xml:space="preserve"> HYPERLINK "mailto:2、报价分二次进行，首次报价在响应文件中体现；最终报价在磋商结束后由所有有效的磋商供应商在规定的时间内填写（最终报价时间时限根据评审情况另行通知）同时将最终报价一览表、工程量清单填写好并加盖单位公章扫描成电子扫描件发送至邮箱1042619288@qq.com；最终报价高于供应商自己的初次报价或未填写齐全，按无效报价处理（磋商文件的采购需求发生实质性变动的情况除外）；" </w:instrText>
      </w:r>
      <w:r>
        <w:rPr>
          <w:rFonts w:hint="eastAsia" w:ascii="宋体" w:hAnsi="宋体" w:eastAsia="宋体" w:cs="宋体"/>
          <w:sz w:val="21"/>
          <w:szCs w:val="21"/>
          <w:highlight w:val="none"/>
          <w:lang w:val="en-US" w:eastAsia="zh-CN" w:bidi="ar"/>
        </w:rPr>
        <w:fldChar w:fldCharType="separate"/>
      </w:r>
      <w:r>
        <w:rPr>
          <w:rFonts w:hint="eastAsia" w:ascii="宋体" w:hAnsi="宋体" w:eastAsia="宋体" w:cs="Times New Roman"/>
          <w:b/>
          <w:color w:val="FF0000"/>
          <w:sz w:val="21"/>
          <w:lang w:val="en-US" w:eastAsia="zh-CN"/>
        </w:rPr>
        <w:t>报价分二次进行，首次报价在响应文件中体现；最终报价在</w:t>
      </w:r>
      <w:r>
        <w:rPr>
          <w:rFonts w:hint="eastAsia" w:ascii="宋体" w:hAnsi="宋体" w:cs="Times New Roman"/>
          <w:b/>
          <w:color w:val="FF0000"/>
          <w:sz w:val="21"/>
          <w:lang w:val="en-US" w:eastAsia="zh-CN"/>
        </w:rPr>
        <w:t>谈判</w:t>
      </w:r>
      <w:r>
        <w:rPr>
          <w:rFonts w:hint="eastAsia" w:ascii="宋体" w:hAnsi="宋体" w:eastAsia="宋体" w:cs="Times New Roman"/>
          <w:b/>
          <w:color w:val="FF0000"/>
          <w:sz w:val="21"/>
          <w:lang w:val="en-US" w:eastAsia="zh-CN"/>
        </w:rPr>
        <w:t>结束后由所有有效的</w:t>
      </w:r>
      <w:r>
        <w:rPr>
          <w:rFonts w:hint="eastAsia" w:ascii="宋体" w:hAnsi="宋体" w:cs="Times New Roman"/>
          <w:b/>
          <w:color w:val="FF0000"/>
          <w:sz w:val="21"/>
          <w:lang w:val="en-US" w:eastAsia="zh-CN"/>
        </w:rPr>
        <w:t>谈判</w:t>
      </w:r>
      <w:r>
        <w:rPr>
          <w:rFonts w:hint="eastAsia" w:ascii="宋体" w:hAnsi="宋体" w:eastAsia="宋体" w:cs="Times New Roman"/>
          <w:b/>
          <w:color w:val="FF0000"/>
          <w:sz w:val="21"/>
          <w:lang w:val="en-US" w:eastAsia="zh-CN"/>
        </w:rPr>
        <w:t>供应商在规定的时间内填写（最终报价时间时限根据评审情况另行通知）同时将最终报价一览表、报价明细表填写好并加盖单位公章扫描成电子扫描件加密发送至邮箱704277393@qq.com；最终报价高于供应商自己的初次报价或未填写齐全，按无效报价处理（</w:t>
      </w:r>
      <w:r>
        <w:rPr>
          <w:rFonts w:hint="eastAsia" w:ascii="宋体" w:hAnsi="宋体" w:cs="Times New Roman"/>
          <w:b/>
          <w:color w:val="FF0000"/>
          <w:sz w:val="21"/>
          <w:lang w:val="en-US" w:eastAsia="zh-CN"/>
        </w:rPr>
        <w:t>谈判文件</w:t>
      </w:r>
      <w:r>
        <w:rPr>
          <w:rFonts w:hint="eastAsia" w:ascii="宋体" w:hAnsi="宋体" w:eastAsia="宋体" w:cs="Times New Roman"/>
          <w:b/>
          <w:color w:val="FF0000"/>
          <w:sz w:val="21"/>
          <w:lang w:val="en-US" w:eastAsia="zh-CN"/>
        </w:rPr>
        <w:t>的采购需求发生实质性变动的情况除外）；</w:t>
      </w:r>
      <w:r>
        <w:rPr>
          <w:rFonts w:hint="eastAsia" w:ascii="宋体" w:hAnsi="宋体" w:eastAsia="宋体" w:cs="宋体"/>
          <w:sz w:val="21"/>
          <w:szCs w:val="21"/>
          <w:highlight w:val="none"/>
          <w:lang w:val="en-US" w:eastAsia="zh-CN" w:bidi="ar"/>
        </w:rPr>
        <w:fldChar w:fldCharType="end"/>
      </w:r>
      <w:r>
        <w:rPr>
          <w:rFonts w:hint="eastAsia" w:ascii="宋体" w:hAnsi="宋体" w:cs="Times New Roman"/>
          <w:b/>
          <w:color w:val="FF0000"/>
          <w:sz w:val="21"/>
          <w:lang w:val="en-US" w:eastAsia="zh-CN"/>
        </w:rPr>
        <w:t>附件发送至邮箱未加密造成泄密的由投标人自行承担。</w:t>
      </w:r>
    </w:p>
    <w:p w14:paraId="7ADF9400">
      <w:pPr>
        <w:pStyle w:val="17"/>
        <w:snapToGrid w:val="0"/>
        <w:ind w:firstLine="422" w:firstLineChars="200"/>
        <w:rPr>
          <w:rFonts w:hAnsi="宋体"/>
          <w:color w:val="auto"/>
          <w:sz w:val="21"/>
          <w:szCs w:val="21"/>
        </w:rPr>
      </w:pPr>
      <w:r>
        <w:rPr>
          <w:rFonts w:hint="eastAsia" w:ascii="宋体" w:hAnsi="宋体" w:cs="Times New Roman"/>
          <w:b/>
          <w:color w:val="FF0000"/>
          <w:sz w:val="21"/>
          <w:lang w:val="en-US" w:eastAsia="zh-CN"/>
        </w:rPr>
        <w:t>▲注：各供应商针对本项目最终报价工作应当事先作好充分准备，以避免在规定时间内未能完成最终报价，在规定时间内未能提完成最终报价，按供应商自动放弃处理，责任由供应商自负。</w:t>
      </w:r>
    </w:p>
    <w:p w14:paraId="64F0F9C5">
      <w:pPr>
        <w:snapToGrid w:val="0"/>
        <w:spacing w:line="360" w:lineRule="auto"/>
        <w:ind w:firstLine="420" w:firstLineChars="200"/>
        <w:rPr>
          <w:rFonts w:ascii="宋体" w:hAnsi="宋体"/>
          <w:szCs w:val="21"/>
        </w:rPr>
      </w:pPr>
      <w:r>
        <w:rPr>
          <w:rFonts w:hint="eastAsia" w:ascii="宋体" w:hAnsi="宋体"/>
          <w:szCs w:val="21"/>
        </w:rPr>
        <w:t>12.谈判小组</w:t>
      </w:r>
      <w:r>
        <w:rPr>
          <w:rFonts w:hint="eastAsia" w:ascii="宋体" w:hAnsi="宋体"/>
          <w:kern w:val="0"/>
          <w:szCs w:val="21"/>
        </w:rPr>
        <w:t>编写评审报告</w:t>
      </w:r>
      <w:r>
        <w:rPr>
          <w:rFonts w:hint="eastAsia" w:ascii="宋体" w:hAnsi="宋体"/>
          <w:szCs w:val="21"/>
        </w:rPr>
        <w:t>（评审报告应按相关规定及时向财政部门申请备案）；</w:t>
      </w:r>
    </w:p>
    <w:p w14:paraId="232F40CF">
      <w:pPr>
        <w:pStyle w:val="17"/>
        <w:snapToGrid w:val="0"/>
        <w:ind w:firstLine="420" w:firstLineChars="200"/>
        <w:rPr>
          <w:rFonts w:hAnsi="宋体" w:cs="宋体"/>
          <w:b/>
          <w:color w:val="auto"/>
          <w:sz w:val="21"/>
          <w:szCs w:val="21"/>
        </w:rPr>
      </w:pPr>
      <w:r>
        <w:rPr>
          <w:rFonts w:hint="eastAsia" w:hAnsi="宋体"/>
          <w:color w:val="auto"/>
          <w:sz w:val="21"/>
          <w:szCs w:val="21"/>
        </w:rPr>
        <w:t>13.采购组织机构</w:t>
      </w:r>
      <w:r>
        <w:rPr>
          <w:rFonts w:hint="eastAsia" w:hAnsi="宋体" w:cs="宋体"/>
          <w:color w:val="auto"/>
          <w:sz w:val="21"/>
          <w:szCs w:val="21"/>
        </w:rPr>
        <w:t>对谈判小组专家成员进行评价；</w:t>
      </w:r>
    </w:p>
    <w:p w14:paraId="35340767">
      <w:pPr>
        <w:pStyle w:val="24"/>
        <w:snapToGrid w:val="0"/>
        <w:spacing w:before="0" w:beforeAutospacing="0" w:after="0" w:afterAutospacing="0" w:line="360" w:lineRule="auto"/>
        <w:ind w:firstLine="420" w:firstLineChars="200"/>
        <w:jc w:val="both"/>
        <w:rPr>
          <w:rFonts w:hint="default" w:asciiTheme="minorEastAsia" w:hAnsiTheme="minorEastAsia" w:eastAsiaTheme="minorEastAsia"/>
          <w:color w:val="000000" w:themeColor="text1"/>
          <w:sz w:val="21"/>
          <w:szCs w:val="21"/>
          <w14:textFill>
            <w14:solidFill>
              <w14:schemeClr w14:val="tx1"/>
            </w14:solidFill>
          </w14:textFill>
        </w:rPr>
      </w:pPr>
      <w:r>
        <w:rPr>
          <w:sz w:val="21"/>
          <w:szCs w:val="21"/>
        </w:rPr>
        <w:t>14.宣布谈判结果，谈判采购会议结束。</w:t>
      </w:r>
    </w:p>
    <w:p w14:paraId="4EBBFB57">
      <w:pPr>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（二）澄清问题的形式</w:t>
      </w:r>
    </w:p>
    <w:p w14:paraId="289A0FE4">
      <w:pPr>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谈判人的澄清、说明或者补正应当采用书面形式，并加盖公章，或者由法定代理人或其授权的代表签字，并不得超出谈判</w:t>
      </w:r>
      <w:r>
        <w:rPr>
          <w:rFonts w:hint="eastAsia" w:ascii="宋体" w:hAnsi="宋体"/>
          <w:color w:val="000000"/>
          <w:szCs w:val="21"/>
        </w:rPr>
        <w:t>响应文件的范围或者改变谈判响应文件的实质性内容。</w:t>
      </w:r>
    </w:p>
    <w:p w14:paraId="269E7BA4">
      <w:pPr>
        <w:pStyle w:val="15"/>
        <w:snapToGrid w:val="0"/>
        <w:spacing w:line="360" w:lineRule="auto"/>
        <w:ind w:left="690" w:leftChars="228" w:hanging="211" w:hangingChars="100"/>
        <w:rPr>
          <w:rFonts w:asciiTheme="minorEastAsia" w:hAnsiTheme="minorEastAsia" w:eastAsiaTheme="minorEastAsia"/>
          <w:b/>
          <w:szCs w:val="21"/>
        </w:rPr>
      </w:pPr>
      <w:r>
        <w:rPr>
          <w:rFonts w:hint="eastAsia" w:asciiTheme="minorEastAsia" w:hAnsiTheme="minorEastAsia" w:eastAsiaTheme="minorEastAsia"/>
          <w:b/>
          <w:szCs w:val="21"/>
        </w:rPr>
        <w:t>（三）错误修正</w:t>
      </w:r>
    </w:p>
    <w:p w14:paraId="68A17E98">
      <w:pPr>
        <w:pStyle w:val="24"/>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谈判响应文件报价出现前后不一致的，除谈判采购文件另有规定外，按照下列规定修正：</w:t>
      </w:r>
    </w:p>
    <w:p w14:paraId="7261F568">
      <w:pPr>
        <w:pStyle w:val="24"/>
        <w:snapToGrid w:val="0"/>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1.</w:t>
      </w:r>
      <w:r>
        <w:rPr>
          <w:rFonts w:asciiTheme="minorEastAsia" w:hAnsiTheme="minorEastAsia"/>
          <w:color w:val="000000" w:themeColor="text1"/>
          <w:sz w:val="21"/>
          <w:szCs w:val="21"/>
          <w14:textFill>
            <w14:solidFill>
              <w14:schemeClr w14:val="tx1"/>
            </w14:solidFill>
          </w14:textFill>
        </w:rPr>
        <w:t>谈判响应</w:t>
      </w:r>
      <w:r>
        <w:rPr>
          <w:rFonts w:asciiTheme="minorEastAsia" w:hAnsiTheme="minorEastAsia" w:eastAsiaTheme="minorEastAsia"/>
          <w:sz w:val="21"/>
          <w:szCs w:val="21"/>
        </w:rPr>
        <w:t>文件中首次报价一览表内容与</w:t>
      </w:r>
      <w:r>
        <w:rPr>
          <w:rFonts w:asciiTheme="minorEastAsia" w:hAnsiTheme="minorEastAsia"/>
          <w:color w:val="000000" w:themeColor="text1"/>
          <w:sz w:val="21"/>
          <w:szCs w:val="21"/>
          <w14:textFill>
            <w14:solidFill>
              <w14:schemeClr w14:val="tx1"/>
            </w14:solidFill>
          </w14:textFill>
        </w:rPr>
        <w:t>谈判响应</w:t>
      </w:r>
      <w:r>
        <w:rPr>
          <w:rFonts w:asciiTheme="minorEastAsia" w:hAnsiTheme="minorEastAsia" w:eastAsiaTheme="minorEastAsia"/>
          <w:sz w:val="21"/>
          <w:szCs w:val="21"/>
        </w:rPr>
        <w:t>文件中相应内容不一致的，以首次报价一览表为准；</w:t>
      </w:r>
    </w:p>
    <w:p w14:paraId="6E639EA0">
      <w:pPr>
        <w:pStyle w:val="24"/>
        <w:snapToGrid w:val="0"/>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2.大写金额和小写金额不一致的，以大写金额为准；</w:t>
      </w:r>
    </w:p>
    <w:p w14:paraId="1F7A6781">
      <w:pPr>
        <w:pStyle w:val="24"/>
        <w:snapToGrid w:val="0"/>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3.单价金额小数点或者百分比有明显错位的，以首次报价一览表的总价为准，并修改单价；</w:t>
      </w:r>
    </w:p>
    <w:p w14:paraId="6E9D4B80">
      <w:pPr>
        <w:pStyle w:val="24"/>
        <w:snapToGrid w:val="0"/>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4.总价金额与按单价汇总金额不一致的，以单价金额计算结果为准。</w:t>
      </w:r>
    </w:p>
    <w:p w14:paraId="0F7DD8BA">
      <w:pPr>
        <w:pStyle w:val="24"/>
        <w:snapToGrid w:val="0"/>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同时出现两种以上不一致的，按照前款规定的顺序修正。修正应当采用书面形式，并加盖公章，或者由法定代表人或其授权的代表签字。修正后的报价经谈判人确认后产生约束力，谈判人不确认的，将终止谈判。</w:t>
      </w:r>
    </w:p>
    <w:p w14:paraId="4C413903">
      <w:pPr>
        <w:pStyle w:val="24"/>
        <w:snapToGrid w:val="0"/>
        <w:spacing w:before="0" w:beforeAutospacing="0" w:after="0" w:afterAutospacing="0" w:line="360" w:lineRule="auto"/>
        <w:ind w:firstLine="316" w:firstLineChars="150"/>
        <w:jc w:val="both"/>
        <w:rPr>
          <w:rFonts w:hint="default" w:asciiTheme="minorEastAsia" w:hAnsiTheme="minorEastAsia" w:eastAsiaTheme="minorEastAsia"/>
          <w:b/>
          <w:sz w:val="21"/>
          <w:szCs w:val="21"/>
        </w:rPr>
      </w:pPr>
      <w:r>
        <w:rPr>
          <w:rFonts w:asciiTheme="minorEastAsia" w:hAnsiTheme="minorEastAsia" w:eastAsiaTheme="minorEastAsia"/>
          <w:b/>
          <w:bCs/>
          <w:sz w:val="21"/>
          <w:szCs w:val="21"/>
        </w:rPr>
        <w:t>（四）</w:t>
      </w:r>
      <w:r>
        <w:rPr>
          <w:rFonts w:asciiTheme="minorEastAsia" w:hAnsiTheme="minorEastAsia" w:eastAsiaTheme="minorEastAsia"/>
          <w:b/>
          <w:sz w:val="21"/>
          <w:szCs w:val="21"/>
        </w:rPr>
        <w:t>供应商存在下列情况之一的，响应无效，终止谈判</w:t>
      </w:r>
    </w:p>
    <w:p w14:paraId="2DDD0818">
      <w:pPr>
        <w:pStyle w:val="24"/>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1.未按照谈判文件的规定提交谈判保证金的。</w:t>
      </w:r>
    </w:p>
    <w:p w14:paraId="40AACBA9">
      <w:pPr>
        <w:pStyle w:val="24"/>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sz w:val="21"/>
          <w:szCs w:val="21"/>
        </w:rPr>
        <w:t>2.谈判响应文件中报价的货物跟商务与技术内容中的供应货物出现重大偏差的；</w:t>
      </w:r>
    </w:p>
    <w:p w14:paraId="41C64831">
      <w:pPr>
        <w:pStyle w:val="24"/>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3.不具备谈判文件中规定的资格要求的。</w:t>
      </w:r>
      <w:r>
        <w:rPr>
          <w:rFonts w:hint="default" w:asciiTheme="minorEastAsia" w:hAnsiTheme="minorEastAsia" w:eastAsiaTheme="minorEastAsia"/>
          <w:sz w:val="21"/>
          <w:szCs w:val="21"/>
        </w:rPr>
        <w:tab/>
      </w:r>
    </w:p>
    <w:p w14:paraId="4B0BEB8C">
      <w:pPr>
        <w:pStyle w:val="24"/>
        <w:adjustRightInd w:val="0"/>
        <w:snapToGrid w:val="0"/>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4.谈判响应文件含有采购人不能接受的附加条件的。</w:t>
      </w:r>
    </w:p>
    <w:p w14:paraId="5F29ACDF">
      <w:pPr>
        <w:adjustRightInd w:val="0"/>
        <w:snapToGrid w:val="0"/>
        <w:spacing w:line="360" w:lineRule="auto"/>
        <w:ind w:firstLine="411" w:firstLineChars="196"/>
        <w:rPr>
          <w:rFonts w:asciiTheme="minorEastAsia" w:hAnsiTheme="minorEastAsia" w:eastAsiaTheme="minorEastAsia"/>
          <w:bCs/>
          <w:kern w:val="0"/>
          <w:szCs w:val="21"/>
        </w:rPr>
      </w:pPr>
      <w:r>
        <w:rPr>
          <w:rFonts w:hint="eastAsia" w:asciiTheme="minorEastAsia" w:hAnsiTheme="minorEastAsia" w:eastAsiaTheme="minorEastAsia"/>
          <w:kern w:val="0"/>
          <w:szCs w:val="21"/>
        </w:rPr>
        <w:t>5.谈判代表人</w:t>
      </w:r>
      <w:r>
        <w:rPr>
          <w:rFonts w:hint="eastAsia" w:asciiTheme="minorEastAsia" w:hAnsiTheme="minorEastAsia" w:eastAsiaTheme="minorEastAsia"/>
          <w:szCs w:val="21"/>
        </w:rPr>
        <w:t>未能出具身份证明或与法定代表人授权委托人身份不符的；</w:t>
      </w:r>
    </w:p>
    <w:p w14:paraId="54C14D93">
      <w:pPr>
        <w:pStyle w:val="24"/>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6.</w:t>
      </w:r>
      <w:r>
        <w:rPr>
          <w:sz w:val="21"/>
          <w:szCs w:val="21"/>
        </w:rPr>
        <w:t>谈判小组</w:t>
      </w:r>
      <w:r>
        <w:rPr>
          <w:rFonts w:asciiTheme="minorEastAsia" w:hAnsiTheme="minorEastAsia" w:eastAsiaTheme="minorEastAsia"/>
          <w:sz w:val="21"/>
          <w:szCs w:val="21"/>
        </w:rPr>
        <w:t>认为供应商的报价明显低于其他通过符合性审查供应商的报价，有可能影响产品质量或者不能诚信履约的，应当要求其在评审现场合理的时间内提供书面说明，必要时提交相关证明材料；供应商不能证明其报价合理性的，</w:t>
      </w:r>
      <w:r>
        <w:rPr>
          <w:sz w:val="21"/>
          <w:szCs w:val="21"/>
        </w:rPr>
        <w:t>谈判小组</w:t>
      </w:r>
      <w:r>
        <w:rPr>
          <w:rFonts w:asciiTheme="minorEastAsia" w:hAnsiTheme="minorEastAsia" w:eastAsiaTheme="minorEastAsia"/>
          <w:sz w:val="21"/>
          <w:szCs w:val="21"/>
        </w:rPr>
        <w:t>应当将与其终止谈判。</w:t>
      </w:r>
    </w:p>
    <w:p w14:paraId="46CFCA69">
      <w:pPr>
        <w:pStyle w:val="24"/>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7.报价超过谈判文件中规定的</w:t>
      </w:r>
      <w:r>
        <w:rPr>
          <w:sz w:val="21"/>
          <w:szCs w:val="21"/>
        </w:rPr>
        <w:t>最高限价</w:t>
      </w:r>
      <w:r>
        <w:rPr>
          <w:rFonts w:asciiTheme="minorEastAsia" w:hAnsiTheme="minorEastAsia" w:eastAsiaTheme="minorEastAsia"/>
          <w:sz w:val="21"/>
          <w:szCs w:val="21"/>
        </w:rPr>
        <w:t xml:space="preserve">。 </w:t>
      </w:r>
    </w:p>
    <w:p w14:paraId="68EFE144">
      <w:pPr>
        <w:pStyle w:val="24"/>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8.主要性能参数指标负偏离项（含）以上的。</w:t>
      </w:r>
    </w:p>
    <w:p w14:paraId="07E42527">
      <w:pPr>
        <w:tabs>
          <w:tab w:val="left" w:pos="1898"/>
        </w:tabs>
        <w:autoSpaceDE w:val="0"/>
        <w:autoSpaceDN w:val="0"/>
        <w:adjustRightInd w:val="0"/>
        <w:snapToGrid w:val="0"/>
        <w:spacing w:line="360" w:lineRule="auto"/>
        <w:ind w:firstLine="480"/>
        <w:rPr>
          <w:rFonts w:asciiTheme="minorEastAsia" w:hAnsiTheme="minorEastAsia" w:eastAsiaTheme="minorEastAsia"/>
          <w:kern w:val="0"/>
          <w:szCs w:val="21"/>
        </w:rPr>
      </w:pPr>
      <w:r>
        <w:rPr>
          <w:rFonts w:hint="eastAsia" w:asciiTheme="minorEastAsia" w:hAnsiTheme="minorEastAsia" w:eastAsiaTheme="minorEastAsia"/>
          <w:kern w:val="0"/>
          <w:szCs w:val="21"/>
        </w:rPr>
        <w:t>9.谈判响应参数未如实填写，完全复制粘贴采购参数的。</w:t>
      </w:r>
    </w:p>
    <w:p w14:paraId="22E46AC5">
      <w:pPr>
        <w:tabs>
          <w:tab w:val="left" w:pos="1898"/>
        </w:tabs>
        <w:autoSpaceDE w:val="0"/>
        <w:autoSpaceDN w:val="0"/>
        <w:adjustRightInd w:val="0"/>
        <w:snapToGrid w:val="0"/>
        <w:spacing w:line="360" w:lineRule="auto"/>
        <w:ind w:firstLine="48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10.谈判响应文件提供虚假材料的。 </w:t>
      </w:r>
    </w:p>
    <w:p w14:paraId="54FA814D">
      <w:pPr>
        <w:tabs>
          <w:tab w:val="left" w:pos="1898"/>
        </w:tabs>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kern w:val="0"/>
          <w:szCs w:val="21"/>
        </w:rPr>
        <w:t>11.</w:t>
      </w:r>
      <w:r>
        <w:rPr>
          <w:rFonts w:ascii="宋体" w:hAnsi="宋体"/>
          <w:szCs w:val="21"/>
        </w:rPr>
        <w:t>不同</w:t>
      </w:r>
      <w:r>
        <w:rPr>
          <w:rFonts w:hint="eastAsia" w:ascii="宋体" w:hAnsi="宋体"/>
          <w:szCs w:val="21"/>
        </w:rPr>
        <w:t>供应商</w:t>
      </w:r>
      <w:r>
        <w:rPr>
          <w:rFonts w:ascii="宋体" w:hAnsi="宋体"/>
          <w:szCs w:val="21"/>
        </w:rPr>
        <w:t>的</w:t>
      </w:r>
      <w:r>
        <w:rPr>
          <w:rFonts w:hint="eastAsia" w:ascii="宋体" w:hAnsi="宋体"/>
          <w:szCs w:val="21"/>
        </w:rPr>
        <w:t>谈判响应</w:t>
      </w:r>
      <w:r>
        <w:rPr>
          <w:rFonts w:ascii="宋体" w:hAnsi="宋体"/>
          <w:szCs w:val="21"/>
        </w:rPr>
        <w:t>文件由同一单位或者个人编制；</w:t>
      </w:r>
    </w:p>
    <w:p w14:paraId="2A45BAB5">
      <w:pPr>
        <w:pStyle w:val="24"/>
        <w:snapToGrid w:val="0"/>
        <w:spacing w:before="0" w:beforeAutospacing="0" w:after="0" w:afterAutospacing="0" w:line="360" w:lineRule="auto"/>
        <w:ind w:firstLine="420" w:firstLineChars="200"/>
        <w:rPr>
          <w:rFonts w:hint="default"/>
          <w:sz w:val="21"/>
          <w:szCs w:val="21"/>
        </w:rPr>
      </w:pPr>
      <w:r>
        <w:rPr>
          <w:sz w:val="21"/>
          <w:szCs w:val="21"/>
        </w:rPr>
        <w:t>12.不同供应商委托同一单位或者个人办理谈判事宜；</w:t>
      </w:r>
    </w:p>
    <w:p w14:paraId="7F48F256">
      <w:pPr>
        <w:pStyle w:val="24"/>
        <w:snapToGrid w:val="0"/>
        <w:spacing w:before="0" w:beforeAutospacing="0" w:after="0" w:afterAutospacing="0" w:line="360" w:lineRule="auto"/>
        <w:ind w:firstLine="420" w:firstLineChars="200"/>
        <w:rPr>
          <w:rFonts w:hint="default"/>
          <w:sz w:val="21"/>
          <w:szCs w:val="21"/>
        </w:rPr>
      </w:pPr>
      <w:r>
        <w:rPr>
          <w:sz w:val="21"/>
          <w:szCs w:val="21"/>
        </w:rPr>
        <w:t>13.不同供应商的谈判响应文件载明的项目管理成员或者联系人员为同一人；</w:t>
      </w:r>
    </w:p>
    <w:p w14:paraId="38C10C63">
      <w:pPr>
        <w:pStyle w:val="24"/>
        <w:snapToGrid w:val="0"/>
        <w:spacing w:before="0" w:beforeAutospacing="0" w:after="0" w:afterAutospacing="0" w:line="360" w:lineRule="auto"/>
        <w:ind w:firstLine="420" w:firstLineChars="200"/>
        <w:rPr>
          <w:rFonts w:hint="default"/>
          <w:sz w:val="21"/>
          <w:szCs w:val="21"/>
        </w:rPr>
      </w:pPr>
      <w:r>
        <w:rPr>
          <w:sz w:val="21"/>
          <w:szCs w:val="21"/>
        </w:rPr>
        <w:t>14.不同供应商的谈判响应文件异常一致或者报价呈规律性差异；</w:t>
      </w:r>
    </w:p>
    <w:p w14:paraId="0863EE2C">
      <w:pPr>
        <w:pStyle w:val="24"/>
        <w:snapToGrid w:val="0"/>
        <w:spacing w:before="0" w:beforeAutospacing="0" w:after="0" w:afterAutospacing="0" w:line="360" w:lineRule="auto"/>
        <w:ind w:firstLine="420" w:firstLineChars="200"/>
        <w:rPr>
          <w:rFonts w:hint="default"/>
          <w:sz w:val="21"/>
          <w:szCs w:val="21"/>
        </w:rPr>
      </w:pPr>
      <w:r>
        <w:rPr>
          <w:sz w:val="21"/>
          <w:szCs w:val="21"/>
        </w:rPr>
        <w:t>15.不同供应商的谈判响应文件相互混装；</w:t>
      </w:r>
    </w:p>
    <w:p w14:paraId="79D801E4">
      <w:pPr>
        <w:pStyle w:val="24"/>
        <w:snapToGrid w:val="0"/>
        <w:spacing w:before="0" w:beforeAutospacing="0" w:after="0" w:afterAutospacing="0" w:line="360" w:lineRule="auto"/>
        <w:ind w:firstLine="420" w:firstLineChars="200"/>
        <w:rPr>
          <w:rFonts w:hint="default" w:asciiTheme="minorEastAsia" w:hAnsiTheme="minorEastAsia"/>
          <w:sz w:val="21"/>
          <w:szCs w:val="21"/>
        </w:rPr>
      </w:pPr>
      <w:r>
        <w:rPr>
          <w:sz w:val="21"/>
          <w:szCs w:val="21"/>
        </w:rPr>
        <w:t>16.不同供应商的谈判保证金从同一单位或者个人的账户转出；</w:t>
      </w:r>
    </w:p>
    <w:p w14:paraId="5AE2527C">
      <w:pPr>
        <w:autoSpaceDE w:val="0"/>
        <w:autoSpaceDN w:val="0"/>
        <w:adjustRightInd w:val="0"/>
        <w:snapToGri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17.不符合法律、法规和谈判文件中规定的其他实质性要求的（谈判采购文件中打“▲”内容及被拒绝的条款或提供的货物经谈判小组认定不符合采购需求的）。</w:t>
      </w:r>
    </w:p>
    <w:p w14:paraId="5B50DEE2">
      <w:pPr>
        <w:autoSpaceDE w:val="0"/>
        <w:autoSpaceDN w:val="0"/>
        <w:adjustRightInd w:val="0"/>
        <w:snapToGrid w:val="0"/>
        <w:spacing w:line="360" w:lineRule="auto"/>
        <w:ind w:left="480"/>
        <w:rPr>
          <w:rFonts w:asciiTheme="minorEastAsia" w:hAnsiTheme="minorEastAsia" w:eastAsiaTheme="minorEastAsia"/>
          <w:kern w:val="0"/>
          <w:szCs w:val="21"/>
        </w:rPr>
      </w:pPr>
      <w:r>
        <w:rPr>
          <w:rFonts w:hint="eastAsia" w:asciiTheme="minorEastAsia" w:hAnsiTheme="minorEastAsia" w:eastAsiaTheme="minorEastAsia"/>
          <w:b/>
          <w:kern w:val="0"/>
          <w:szCs w:val="21"/>
        </w:rPr>
        <w:t>（五）有下列情况之一的，本次谈判终止</w:t>
      </w:r>
    </w:p>
    <w:p w14:paraId="459D4278">
      <w:pPr>
        <w:pStyle w:val="24"/>
        <w:snapToGrid w:val="0"/>
        <w:spacing w:before="0" w:beforeAutospacing="0" w:after="0" w:afterAutospacing="0" w:line="360" w:lineRule="auto"/>
        <w:ind w:firstLine="525" w:firstLineChars="250"/>
        <w:jc w:val="both"/>
        <w:rPr>
          <w:rFonts w:hint="default" w:asciiTheme="minorEastAsia" w:hAnsiTheme="minorEastAsia" w:eastAsiaTheme="minorEastAsia"/>
          <w:sz w:val="21"/>
          <w:szCs w:val="21"/>
        </w:rPr>
      </w:pPr>
      <w:r>
        <w:rPr>
          <w:rFonts w:asciiTheme="minorEastAsia" w:hAnsiTheme="minorEastAsia" w:eastAsiaTheme="minorEastAsia"/>
          <w:sz w:val="21"/>
          <w:szCs w:val="21"/>
        </w:rPr>
        <w:t>1.出现影响采购公正的违法、违规行为的；</w:t>
      </w:r>
    </w:p>
    <w:p w14:paraId="03B6A512">
      <w:pPr>
        <w:pStyle w:val="24"/>
        <w:snapToGrid w:val="0"/>
        <w:spacing w:before="0" w:beforeAutospacing="0" w:after="0" w:afterAutospacing="0" w:line="360" w:lineRule="auto"/>
        <w:ind w:firstLine="525" w:firstLineChars="250"/>
        <w:jc w:val="both"/>
        <w:rPr>
          <w:rFonts w:hint="default" w:asciiTheme="minorEastAsia" w:hAnsiTheme="minorEastAsia" w:eastAsiaTheme="minorEastAsia"/>
          <w:b/>
          <w:bCs/>
          <w:sz w:val="21"/>
          <w:szCs w:val="21"/>
        </w:rPr>
      </w:pPr>
      <w:r>
        <w:rPr>
          <w:rFonts w:asciiTheme="minorEastAsia" w:hAnsiTheme="minorEastAsia" w:eastAsiaTheme="minorEastAsia"/>
          <w:sz w:val="21"/>
          <w:szCs w:val="21"/>
        </w:rPr>
        <w:t>2.</w:t>
      </w:r>
      <w:r>
        <w:rPr>
          <w:sz w:val="21"/>
          <w:szCs w:val="21"/>
        </w:rPr>
        <w:t>谈判小组</w:t>
      </w:r>
      <w:r>
        <w:rPr>
          <w:rFonts w:asciiTheme="minorEastAsia" w:hAnsiTheme="minorEastAsia" w:eastAsiaTheme="minorEastAsia"/>
          <w:sz w:val="21"/>
          <w:szCs w:val="21"/>
        </w:rPr>
        <w:t xml:space="preserve">发现谈判文件存在歧义、重大缺陷导致谈判工作无法进行，或者谈判文件内容违反国家有关强制性规定的； </w:t>
      </w:r>
    </w:p>
    <w:p w14:paraId="14D5B630">
      <w:pPr>
        <w:pStyle w:val="24"/>
        <w:snapToGrid w:val="0"/>
        <w:spacing w:before="0" w:beforeAutospacing="0" w:after="0" w:afterAutospacing="0" w:line="360" w:lineRule="auto"/>
        <w:ind w:firstLine="525" w:firstLineChars="250"/>
        <w:jc w:val="both"/>
        <w:rPr>
          <w:rFonts w:hint="default" w:asciiTheme="minorEastAsia" w:hAnsiTheme="minorEastAsia" w:eastAsiaTheme="minorEastAsia"/>
          <w:sz w:val="21"/>
          <w:szCs w:val="21"/>
        </w:rPr>
      </w:pPr>
      <w:r>
        <w:rPr>
          <w:rFonts w:asciiTheme="minorEastAsia" w:hAnsiTheme="minorEastAsia" w:eastAsiaTheme="minorEastAsia"/>
          <w:sz w:val="21"/>
          <w:szCs w:val="21"/>
        </w:rPr>
        <w:t>3.因重大变故，采购任务取消的；</w:t>
      </w:r>
    </w:p>
    <w:p w14:paraId="4392BE65">
      <w:pPr>
        <w:pStyle w:val="24"/>
        <w:snapToGrid w:val="0"/>
        <w:spacing w:before="0" w:beforeAutospacing="0" w:after="0" w:afterAutospacing="0" w:line="360" w:lineRule="auto"/>
        <w:ind w:firstLine="525" w:firstLineChars="250"/>
        <w:jc w:val="both"/>
        <w:rPr>
          <w:rFonts w:hint="default" w:asciiTheme="minorEastAsia" w:hAnsiTheme="minorEastAsia" w:eastAsiaTheme="minorEastAsia"/>
          <w:sz w:val="21"/>
          <w:szCs w:val="21"/>
        </w:rPr>
      </w:pPr>
      <w:r>
        <w:rPr>
          <w:rFonts w:asciiTheme="minorEastAsia" w:hAnsiTheme="minorEastAsia" w:eastAsiaTheme="minorEastAsia"/>
          <w:sz w:val="21"/>
          <w:szCs w:val="21"/>
        </w:rPr>
        <w:t>4.法律、法规和谈判文件规定的其他导致谈判结果无效的。</w:t>
      </w:r>
    </w:p>
    <w:p w14:paraId="2D01F7CB">
      <w:pPr>
        <w:pStyle w:val="15"/>
        <w:tabs>
          <w:tab w:val="left" w:pos="630"/>
        </w:tabs>
        <w:snapToGrid w:val="0"/>
        <w:spacing w:line="360" w:lineRule="auto"/>
        <w:ind w:firstLine="413" w:firstLineChars="196"/>
        <w:rPr>
          <w:rFonts w:asciiTheme="minorEastAsia" w:hAnsiTheme="minorEastAsia" w:eastAsiaTheme="minorEastAsia"/>
          <w:b/>
          <w:szCs w:val="21"/>
        </w:rPr>
      </w:pP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六</w:t>
      </w:r>
      <w:r>
        <w:rPr>
          <w:rFonts w:asciiTheme="minorEastAsia" w:hAnsiTheme="minorEastAsia" w:eastAsiaTheme="minorEastAsia"/>
          <w:b/>
          <w:color w:val="000000"/>
          <w:szCs w:val="21"/>
        </w:rPr>
        <w:t>）</w:t>
      </w:r>
      <w:r>
        <w:rPr>
          <w:rFonts w:hint="eastAsia" w:asciiTheme="minorEastAsia" w:hAnsiTheme="minorEastAsia" w:eastAsiaTheme="minorEastAsia"/>
          <w:b/>
          <w:szCs w:val="21"/>
        </w:rPr>
        <w:t>谈判</w:t>
      </w:r>
      <w:r>
        <w:rPr>
          <w:rFonts w:asciiTheme="minorEastAsia" w:hAnsiTheme="minorEastAsia" w:eastAsiaTheme="minorEastAsia"/>
          <w:b/>
          <w:szCs w:val="21"/>
        </w:rPr>
        <w:t>原则和办法</w:t>
      </w:r>
    </w:p>
    <w:p w14:paraId="2EBE0578">
      <w:pPr>
        <w:pStyle w:val="15"/>
        <w:snapToGrid w:val="0"/>
        <w:spacing w:line="360" w:lineRule="auto"/>
        <w:ind w:firstLine="525" w:firstLineChars="250"/>
        <w:rPr>
          <w:rFonts w:hAnsi="宋体"/>
          <w:szCs w:val="21"/>
        </w:rPr>
      </w:pPr>
      <w:r>
        <w:rPr>
          <w:rFonts w:hAnsi="宋体"/>
          <w:szCs w:val="21"/>
        </w:rPr>
        <w:t>1</w:t>
      </w:r>
      <w:r>
        <w:rPr>
          <w:rFonts w:hint="eastAsia" w:hAnsi="宋体"/>
          <w:szCs w:val="21"/>
        </w:rPr>
        <w:t>、谈判</w:t>
      </w:r>
      <w:r>
        <w:rPr>
          <w:rFonts w:hAnsi="宋体"/>
          <w:szCs w:val="21"/>
        </w:rPr>
        <w:t>原则。</w:t>
      </w:r>
      <w:r>
        <w:rPr>
          <w:rFonts w:hint="eastAsia" w:hAnsi="宋体"/>
          <w:szCs w:val="21"/>
        </w:rPr>
        <w:t>谈判小组</w:t>
      </w:r>
      <w:r>
        <w:rPr>
          <w:rFonts w:hAnsi="宋体"/>
          <w:szCs w:val="21"/>
        </w:rPr>
        <w:t>必须公平、公正、客观，不带任何倾向性和启发性；不得向外界透露任何与</w:t>
      </w:r>
      <w:r>
        <w:rPr>
          <w:rFonts w:hint="eastAsia" w:hAnsi="宋体"/>
          <w:szCs w:val="21"/>
        </w:rPr>
        <w:t>评审</w:t>
      </w:r>
      <w:r>
        <w:rPr>
          <w:rFonts w:hAnsi="宋体"/>
          <w:szCs w:val="21"/>
        </w:rPr>
        <w:t>有关的内容；任何单位和个人不得干扰、影响</w:t>
      </w:r>
      <w:r>
        <w:rPr>
          <w:rFonts w:hint="eastAsia" w:hAnsi="宋体"/>
          <w:szCs w:val="21"/>
        </w:rPr>
        <w:t>评审</w:t>
      </w:r>
      <w:r>
        <w:rPr>
          <w:rFonts w:hAnsi="宋体"/>
          <w:szCs w:val="21"/>
        </w:rPr>
        <w:t>的正常进行；</w:t>
      </w:r>
      <w:r>
        <w:rPr>
          <w:rFonts w:hint="eastAsia" w:hAnsi="宋体"/>
          <w:szCs w:val="21"/>
        </w:rPr>
        <w:t>评审</w:t>
      </w:r>
      <w:r>
        <w:rPr>
          <w:rFonts w:hAnsi="宋体"/>
          <w:szCs w:val="21"/>
        </w:rPr>
        <w:t>委员会及有关工作人员不得私下与</w:t>
      </w:r>
      <w:r>
        <w:rPr>
          <w:rFonts w:hint="eastAsia" w:hAnsi="宋体"/>
          <w:szCs w:val="21"/>
        </w:rPr>
        <w:t>供应商</w:t>
      </w:r>
      <w:r>
        <w:rPr>
          <w:rFonts w:hAnsi="宋体"/>
          <w:szCs w:val="21"/>
        </w:rPr>
        <w:t>接触。</w:t>
      </w:r>
    </w:p>
    <w:p w14:paraId="3E25F27C">
      <w:pPr>
        <w:pStyle w:val="15"/>
        <w:snapToGrid w:val="0"/>
        <w:spacing w:line="360" w:lineRule="auto"/>
        <w:ind w:firstLine="525" w:firstLineChars="250"/>
        <w:rPr>
          <w:color w:val="000000"/>
          <w:szCs w:val="21"/>
        </w:rPr>
      </w:pPr>
      <w:r>
        <w:rPr>
          <w:rFonts w:hAnsi="宋体"/>
          <w:szCs w:val="21"/>
        </w:rPr>
        <w:t>2</w:t>
      </w:r>
      <w:r>
        <w:rPr>
          <w:rFonts w:hint="eastAsia" w:hAnsi="宋体"/>
          <w:szCs w:val="21"/>
        </w:rPr>
        <w:t>、谈判</w:t>
      </w:r>
      <w:r>
        <w:rPr>
          <w:rFonts w:hAnsi="宋体"/>
          <w:szCs w:val="21"/>
        </w:rPr>
        <w:t>办法</w:t>
      </w:r>
      <w:r>
        <w:rPr>
          <w:rFonts w:hint="eastAsia" w:hAnsi="宋体"/>
          <w:szCs w:val="21"/>
        </w:rPr>
        <w:t>：</w:t>
      </w:r>
      <w:r>
        <w:rPr>
          <w:rFonts w:hint="eastAsia"/>
          <w:color w:val="000000"/>
          <w:szCs w:val="21"/>
        </w:rPr>
        <w:t>（1）谈判</w:t>
      </w:r>
      <w:r>
        <w:rPr>
          <w:color w:val="000000"/>
          <w:szCs w:val="21"/>
        </w:rPr>
        <w:t>小组应当从质量和服务均能满足</w:t>
      </w:r>
      <w:r>
        <w:rPr>
          <w:rFonts w:hint="eastAsia"/>
          <w:color w:val="000000"/>
          <w:szCs w:val="21"/>
        </w:rPr>
        <w:t>谈判</w:t>
      </w:r>
      <w:r>
        <w:rPr>
          <w:color w:val="000000"/>
          <w:szCs w:val="21"/>
        </w:rPr>
        <w:t>文件实质性响应要求的供应商中，按照报价由低到高的顺序确定成交候选人。</w:t>
      </w:r>
    </w:p>
    <w:p w14:paraId="472D973F">
      <w:pPr>
        <w:pStyle w:val="24"/>
        <w:snapToGrid w:val="0"/>
        <w:spacing w:before="0" w:beforeAutospacing="0" w:after="0" w:afterAutospacing="0" w:line="360" w:lineRule="auto"/>
        <w:ind w:firstLine="525" w:firstLineChars="250"/>
        <w:jc w:val="both"/>
        <w:rPr>
          <w:rFonts w:hint="default" w:ascii="FangSong_GB2312" w:hAnsi="FangSong_GB2312" w:eastAsia="FangSong_GB2312" w:cs="FangSong_GB2312"/>
          <w:kern w:val="2"/>
          <w:sz w:val="21"/>
          <w:szCs w:val="21"/>
          <w:shd w:val="clear" w:color="FFFFFF" w:fill="D9D9D9"/>
        </w:rPr>
      </w:pPr>
      <w:r>
        <w:rPr>
          <w:sz w:val="21"/>
          <w:szCs w:val="21"/>
        </w:rPr>
        <w:t>（2）如遇相同最低报价，取交货期短者为成交单位；如两者均相同，则在相同最低报价中重新报价，直至产生最低报价者为成交单位。</w:t>
      </w:r>
    </w:p>
    <w:p w14:paraId="7CDD14F4">
      <w:pPr>
        <w:pStyle w:val="15"/>
        <w:snapToGrid w:val="0"/>
        <w:spacing w:line="360" w:lineRule="auto"/>
        <w:ind w:firstLine="413" w:firstLineChars="196"/>
        <w:rPr>
          <w:rFonts w:asciiTheme="minorEastAsia" w:hAnsiTheme="minorEastAsia" w:eastAsiaTheme="minorEastAsia"/>
          <w:b/>
          <w:szCs w:val="21"/>
        </w:rPr>
      </w:pPr>
      <w:r>
        <w:rPr>
          <w:rFonts w:asciiTheme="minorEastAsia" w:hAnsiTheme="minorEastAsia" w:eastAsiaTheme="minorEastAsia"/>
          <w:b/>
          <w:szCs w:val="21"/>
        </w:rPr>
        <w:t>（</w:t>
      </w:r>
      <w:r>
        <w:rPr>
          <w:rFonts w:hint="eastAsia" w:asciiTheme="minorEastAsia" w:hAnsiTheme="minorEastAsia" w:eastAsiaTheme="minorEastAsia"/>
          <w:b/>
          <w:szCs w:val="21"/>
        </w:rPr>
        <w:t>七</w:t>
      </w:r>
      <w:r>
        <w:rPr>
          <w:rFonts w:asciiTheme="minorEastAsia" w:hAnsiTheme="minorEastAsia" w:eastAsiaTheme="minorEastAsia"/>
          <w:b/>
          <w:szCs w:val="21"/>
        </w:rPr>
        <w:t>）</w:t>
      </w:r>
      <w:r>
        <w:rPr>
          <w:rFonts w:hint="eastAsia" w:asciiTheme="minorEastAsia" w:hAnsiTheme="minorEastAsia" w:eastAsiaTheme="minorEastAsia"/>
          <w:b/>
          <w:szCs w:val="21"/>
        </w:rPr>
        <w:t>评审</w:t>
      </w:r>
      <w:r>
        <w:rPr>
          <w:rFonts w:asciiTheme="minorEastAsia" w:hAnsiTheme="minorEastAsia" w:eastAsiaTheme="minorEastAsia"/>
          <w:b/>
          <w:szCs w:val="21"/>
        </w:rPr>
        <w:t>过程的监控</w:t>
      </w:r>
    </w:p>
    <w:p w14:paraId="21F5A29F">
      <w:pPr>
        <w:pStyle w:val="24"/>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本项目</w:t>
      </w:r>
      <w:r>
        <w:rPr>
          <w:sz w:val="21"/>
          <w:szCs w:val="21"/>
        </w:rPr>
        <w:t>评审</w:t>
      </w:r>
      <w:r>
        <w:rPr>
          <w:rFonts w:asciiTheme="minorEastAsia" w:hAnsiTheme="minorEastAsia" w:eastAsiaTheme="minorEastAsia"/>
          <w:sz w:val="21"/>
          <w:szCs w:val="21"/>
        </w:rPr>
        <w:t>过程实行全程录音、录像监控，政府采购监管部门视情进行现场监督，供应商在</w:t>
      </w:r>
      <w:r>
        <w:rPr>
          <w:sz w:val="21"/>
          <w:szCs w:val="21"/>
        </w:rPr>
        <w:t>评审</w:t>
      </w:r>
      <w:r>
        <w:rPr>
          <w:rFonts w:asciiTheme="minorEastAsia" w:hAnsiTheme="minorEastAsia" w:eastAsiaTheme="minorEastAsia"/>
          <w:sz w:val="21"/>
          <w:szCs w:val="21"/>
        </w:rPr>
        <w:t>过程中所进行的试图影响</w:t>
      </w:r>
      <w:r>
        <w:rPr>
          <w:sz w:val="21"/>
          <w:szCs w:val="21"/>
        </w:rPr>
        <w:t>评审</w:t>
      </w:r>
      <w:r>
        <w:rPr>
          <w:rFonts w:asciiTheme="minorEastAsia" w:hAnsiTheme="minorEastAsia" w:eastAsiaTheme="minorEastAsia"/>
          <w:sz w:val="21"/>
          <w:szCs w:val="21"/>
        </w:rPr>
        <w:t>结果的不公正活动，可能导致其谈判响应被拒绝。</w:t>
      </w:r>
    </w:p>
    <w:p w14:paraId="4AC8430E">
      <w:pPr>
        <w:pStyle w:val="24"/>
        <w:snapToGrid w:val="0"/>
        <w:spacing w:before="0" w:beforeAutospacing="0" w:after="0" w:afterAutospacing="0" w:line="360" w:lineRule="auto"/>
        <w:ind w:firstLine="422" w:firstLineChars="200"/>
        <w:jc w:val="both"/>
        <w:rPr>
          <w:rFonts w:hint="default"/>
          <w:sz w:val="21"/>
          <w:szCs w:val="21"/>
        </w:rPr>
      </w:pPr>
      <w:r>
        <w:rPr>
          <w:b/>
          <w:sz w:val="21"/>
          <w:szCs w:val="21"/>
        </w:rPr>
        <w:t>五、谈判结果确定</w:t>
      </w:r>
    </w:p>
    <w:p w14:paraId="5E68DFC1">
      <w:pPr>
        <w:pStyle w:val="24"/>
        <w:snapToGrid w:val="0"/>
        <w:spacing w:before="0" w:beforeAutospacing="0" w:after="0" w:afterAutospacing="0" w:line="360" w:lineRule="auto"/>
        <w:ind w:firstLine="525" w:firstLineChars="250"/>
        <w:jc w:val="both"/>
        <w:rPr>
          <w:rFonts w:hint="default"/>
          <w:sz w:val="21"/>
          <w:szCs w:val="21"/>
        </w:rPr>
      </w:pPr>
      <w:r>
        <w:rPr>
          <w:sz w:val="21"/>
          <w:szCs w:val="21"/>
        </w:rP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14:paraId="4D3E6719">
      <w:pPr>
        <w:snapToGrid w:val="0"/>
        <w:spacing w:line="360" w:lineRule="auto"/>
        <w:ind w:firstLine="420" w:firstLineChars="200"/>
        <w:rPr>
          <w:rFonts w:ascii="宋体" w:hAnsi="宋体"/>
          <w:kern w:val="0"/>
          <w:szCs w:val="21"/>
        </w:rPr>
      </w:pPr>
      <w:r>
        <w:rPr>
          <w:rFonts w:hint="eastAsia" w:ascii="宋体" w:hAnsi="宋体"/>
          <w:kern w:val="0"/>
          <w:szCs w:val="21"/>
        </w:rPr>
        <w:t>2、发布成交结果公告。采购组织机构应当在</w:t>
      </w:r>
      <w:r>
        <w:rPr>
          <w:rFonts w:ascii="宋体" w:hAnsi="宋体"/>
          <w:kern w:val="0"/>
          <w:szCs w:val="21"/>
        </w:rPr>
        <w:t>成交供应商确定</w:t>
      </w:r>
      <w:r>
        <w:rPr>
          <w:rFonts w:hint="eastAsia" w:ascii="宋体" w:hAnsi="宋体"/>
          <w:kern w:val="0"/>
          <w:szCs w:val="21"/>
        </w:rPr>
        <w:t>后</w:t>
      </w:r>
      <w:r>
        <w:rPr>
          <w:rFonts w:ascii="宋体" w:hAnsi="宋体"/>
          <w:kern w:val="0"/>
          <w:szCs w:val="21"/>
        </w:rPr>
        <w:t>2个工作日内</w:t>
      </w:r>
      <w:r>
        <w:rPr>
          <w:rFonts w:hint="eastAsia" w:ascii="宋体" w:hAnsi="宋体"/>
          <w:kern w:val="0"/>
          <w:szCs w:val="21"/>
        </w:rPr>
        <w:t>，</w:t>
      </w:r>
      <w:r>
        <w:rPr>
          <w:rFonts w:ascii="宋体" w:hAnsi="宋体"/>
          <w:kern w:val="0"/>
          <w:szCs w:val="21"/>
        </w:rPr>
        <w:t>在省级以上财政部门指定的</w:t>
      </w:r>
      <w:r>
        <w:rPr>
          <w:rFonts w:hint="eastAsia" w:ascii="宋体" w:hAnsi="宋体"/>
          <w:kern w:val="0"/>
          <w:szCs w:val="21"/>
        </w:rPr>
        <w:t>政府采购信息发布</w:t>
      </w:r>
      <w:r>
        <w:rPr>
          <w:rFonts w:ascii="宋体" w:hAnsi="宋体"/>
          <w:kern w:val="0"/>
          <w:szCs w:val="21"/>
        </w:rPr>
        <w:t>媒体及相关网站</w:t>
      </w:r>
      <w:r>
        <w:rPr>
          <w:rFonts w:hint="eastAsia" w:ascii="宋体" w:hAnsi="宋体"/>
          <w:kern w:val="0"/>
          <w:szCs w:val="21"/>
        </w:rPr>
        <w:t>上</w:t>
      </w:r>
      <w:r>
        <w:rPr>
          <w:rFonts w:ascii="宋体" w:hAnsi="宋体"/>
          <w:kern w:val="0"/>
          <w:szCs w:val="21"/>
        </w:rPr>
        <w:t>公告</w:t>
      </w:r>
      <w:r>
        <w:rPr>
          <w:rFonts w:hint="eastAsia" w:ascii="宋体" w:hAnsi="宋体"/>
          <w:kern w:val="0"/>
          <w:szCs w:val="21"/>
        </w:rPr>
        <w:t>成交结果，并将谈判文件随同公告。</w:t>
      </w:r>
    </w:p>
    <w:p w14:paraId="1127B054">
      <w:pPr>
        <w:snapToGrid w:val="0"/>
        <w:spacing w:line="360" w:lineRule="auto"/>
        <w:ind w:firstLine="420" w:firstLineChars="200"/>
        <w:rPr>
          <w:rFonts w:ascii="宋体" w:hAnsi="宋体"/>
          <w:kern w:val="0"/>
          <w:szCs w:val="21"/>
        </w:rPr>
      </w:pPr>
      <w:r>
        <w:rPr>
          <w:rFonts w:hint="eastAsia" w:ascii="宋体" w:hAnsi="宋体"/>
          <w:kern w:val="0"/>
          <w:szCs w:val="21"/>
        </w:rPr>
        <w:t>3、发出成交通知书。采购组织机构在发布成交结果同时，向成交供应商发出成交通知书。</w:t>
      </w:r>
    </w:p>
    <w:p w14:paraId="0B5EB554">
      <w:pPr>
        <w:spacing w:line="360" w:lineRule="auto"/>
        <w:ind w:firstLine="482" w:firstLineChars="200"/>
        <w:rPr>
          <w:rFonts w:ascii="宋体" w:hAnsi="宋体"/>
          <w:b/>
          <w:kern w:val="0"/>
          <w:sz w:val="24"/>
        </w:rPr>
      </w:pPr>
      <w:r>
        <w:rPr>
          <w:rFonts w:hint="eastAsia" w:ascii="宋体" w:hAnsi="宋体"/>
          <w:b/>
          <w:kern w:val="0"/>
          <w:sz w:val="24"/>
        </w:rPr>
        <w:t>六、合同签订及公告</w:t>
      </w:r>
    </w:p>
    <w:p w14:paraId="611B402D">
      <w:pPr>
        <w:pStyle w:val="13"/>
        <w:snapToGrid w:val="0"/>
        <w:ind w:firstLine="422" w:firstLineChars="200"/>
        <w:rPr>
          <w:rFonts w:hAnsi="宋体"/>
          <w:b/>
          <w:color w:val="auto"/>
          <w:sz w:val="21"/>
          <w:szCs w:val="21"/>
        </w:rPr>
      </w:pPr>
      <w:r>
        <w:rPr>
          <w:rFonts w:hint="eastAsia"/>
          <w:b/>
          <w:sz w:val="21"/>
          <w:szCs w:val="21"/>
        </w:rPr>
        <w:t>（一）</w:t>
      </w:r>
      <w:r>
        <w:rPr>
          <w:rFonts w:hint="eastAsia" w:hAnsi="宋体"/>
          <w:b/>
          <w:color w:val="auto"/>
          <w:sz w:val="21"/>
          <w:szCs w:val="21"/>
        </w:rPr>
        <w:t>签订合同</w:t>
      </w:r>
    </w:p>
    <w:p w14:paraId="44969D1E">
      <w:pPr>
        <w:pStyle w:val="13"/>
        <w:snapToGrid w:val="0"/>
        <w:ind w:firstLine="420" w:firstLineChars="200"/>
        <w:rPr>
          <w:rFonts w:hAnsi="宋体"/>
          <w:color w:val="auto"/>
          <w:sz w:val="21"/>
          <w:szCs w:val="21"/>
        </w:rPr>
      </w:pPr>
      <w:r>
        <w:rPr>
          <w:rFonts w:hint="eastAsia" w:hAnsi="宋体"/>
          <w:color w:val="auto"/>
          <w:sz w:val="21"/>
          <w:szCs w:val="21"/>
        </w:rPr>
        <w:t>1、采购人应当自成交通知书发出之日起7个工作日内，</w:t>
      </w:r>
      <w:r>
        <w:rPr>
          <w:sz w:val="21"/>
          <w:szCs w:val="21"/>
        </w:rPr>
        <w:t>按照</w:t>
      </w:r>
      <w:r>
        <w:rPr>
          <w:rFonts w:hint="eastAsia"/>
          <w:sz w:val="21"/>
          <w:szCs w:val="21"/>
        </w:rPr>
        <w:t>谈判</w:t>
      </w:r>
      <w:r>
        <w:rPr>
          <w:sz w:val="21"/>
          <w:szCs w:val="21"/>
        </w:rPr>
        <w:t>采购文件</w:t>
      </w:r>
      <w:r>
        <w:rPr>
          <w:rFonts w:hint="eastAsia"/>
          <w:sz w:val="21"/>
          <w:szCs w:val="21"/>
        </w:rPr>
        <w:t>确定的合同文本以及采购标的、规格型号、采购金额、采购数量和服务要求等事项签订政府采购合同。</w:t>
      </w:r>
    </w:p>
    <w:p w14:paraId="7445F29A">
      <w:pPr>
        <w:pStyle w:val="24"/>
        <w:snapToGrid w:val="0"/>
        <w:spacing w:before="0" w:beforeAutospacing="0" w:after="0" w:afterAutospacing="0" w:line="360" w:lineRule="auto"/>
        <w:ind w:firstLine="525" w:firstLineChars="250"/>
        <w:jc w:val="both"/>
        <w:rPr>
          <w:rFonts w:hint="default"/>
          <w:sz w:val="21"/>
          <w:szCs w:val="21"/>
        </w:rPr>
      </w:pPr>
      <w:r>
        <w:rPr>
          <w:sz w:val="21"/>
          <w:szCs w:val="21"/>
        </w:rP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14:paraId="3DC5AE08">
      <w:pPr>
        <w:pStyle w:val="24"/>
        <w:snapToGrid w:val="0"/>
        <w:spacing w:before="0" w:beforeAutospacing="0" w:after="0" w:afterAutospacing="0" w:line="360" w:lineRule="auto"/>
        <w:ind w:firstLine="525" w:firstLineChars="250"/>
        <w:jc w:val="both"/>
        <w:rPr>
          <w:rFonts w:hint="default"/>
          <w:sz w:val="21"/>
          <w:szCs w:val="21"/>
        </w:rPr>
      </w:pPr>
      <w:r>
        <w:rPr>
          <w:sz w:val="21"/>
          <w:szCs w:val="21"/>
        </w:rPr>
        <w:t>3、成交供应商无故拖延、拒签合同的,谈判保证金将不予退还并取消成交资格。</w:t>
      </w:r>
    </w:p>
    <w:p w14:paraId="180D0A9A">
      <w:pPr>
        <w:pStyle w:val="24"/>
        <w:snapToGrid w:val="0"/>
        <w:spacing w:before="0" w:beforeAutospacing="0" w:after="0" w:afterAutospacing="0" w:line="360" w:lineRule="auto"/>
        <w:ind w:firstLine="525" w:firstLineChars="250"/>
        <w:jc w:val="both"/>
        <w:rPr>
          <w:rFonts w:hint="default"/>
          <w:sz w:val="21"/>
          <w:szCs w:val="21"/>
        </w:rPr>
      </w:pPr>
      <w:r>
        <w:rPr>
          <w:sz w:val="21"/>
          <w:szCs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6DA5D159">
      <w:pPr>
        <w:pStyle w:val="24"/>
        <w:snapToGrid w:val="0"/>
        <w:spacing w:before="0" w:beforeAutospacing="0" w:after="0" w:afterAutospacing="0" w:line="360" w:lineRule="auto"/>
        <w:ind w:firstLine="525" w:firstLineChars="250"/>
        <w:rPr>
          <w:rFonts w:hint="default"/>
          <w:sz w:val="21"/>
          <w:szCs w:val="21"/>
        </w:rPr>
      </w:pPr>
      <w:r>
        <w:rPr>
          <w:sz w:val="21"/>
          <w:szCs w:val="21"/>
        </w:rPr>
        <w:t>5、询问或者质疑事项可能影响成交结果的，采购人应当暂停签订合同，已经签订合同的，应当中止履行合同（成交结果的质疑期为成交结果公告期限届满之日起七个工作日）。</w:t>
      </w:r>
    </w:p>
    <w:p w14:paraId="2E167C0E">
      <w:pPr>
        <w:pStyle w:val="24"/>
        <w:snapToGrid w:val="0"/>
        <w:spacing w:before="0" w:beforeAutospacing="0" w:after="0" w:afterAutospacing="0" w:line="360" w:lineRule="auto"/>
        <w:ind w:firstLine="527" w:firstLineChars="250"/>
        <w:rPr>
          <w:rFonts w:hint="default" w:ascii="FangSong_GB2312" w:hAnsi="FangSong_GB2312" w:eastAsia="FangSong_GB2312" w:cs="FangSong_GB2312"/>
          <w:b/>
          <w:sz w:val="21"/>
          <w:szCs w:val="21"/>
        </w:rPr>
      </w:pPr>
      <w:r>
        <w:rPr>
          <w:b/>
          <w:sz w:val="21"/>
          <w:szCs w:val="21"/>
        </w:rPr>
        <w:t>（二）合同公告及备案</w:t>
      </w:r>
    </w:p>
    <w:p w14:paraId="03C4ABEA">
      <w:pPr>
        <w:pStyle w:val="13"/>
        <w:snapToGrid w:val="0"/>
        <w:ind w:firstLine="420" w:firstLineChars="200"/>
        <w:rPr>
          <w:rFonts w:hint="eastAsia" w:hAnsi="宋体" w:eastAsia="宋体"/>
          <w:sz w:val="21"/>
          <w:szCs w:val="21"/>
          <w:lang w:eastAsia="zh-CN"/>
        </w:rPr>
        <w:sectPr>
          <w:footerReference r:id="rId3" w:type="default"/>
          <w:pgSz w:w="11906" w:h="16838"/>
          <w:pgMar w:top="1304" w:right="1417" w:bottom="1304" w:left="1417" w:header="851" w:footer="992" w:gutter="0"/>
          <w:cols w:space="720" w:num="1"/>
          <w:docGrid w:type="lines" w:linePitch="312" w:charSpace="0"/>
        </w:sectPr>
      </w:pPr>
      <w:r>
        <w:rPr>
          <w:rFonts w:hint="eastAsia" w:hAnsi="宋体"/>
          <w:color w:val="auto"/>
          <w:sz w:val="21"/>
          <w:szCs w:val="21"/>
        </w:rPr>
        <w:t>1、采购人应当自政府采购合同签订之日起2个工作日内，</w:t>
      </w:r>
      <w:r>
        <w:rPr>
          <w:rFonts w:hAnsi="宋体"/>
          <w:sz w:val="21"/>
          <w:szCs w:val="21"/>
        </w:rPr>
        <w:t>在省级以上财政部门指定的</w:t>
      </w:r>
      <w:r>
        <w:rPr>
          <w:rFonts w:hint="eastAsia" w:hAnsi="宋体"/>
          <w:sz w:val="21"/>
          <w:szCs w:val="21"/>
        </w:rPr>
        <w:t>政府采购信息发布</w:t>
      </w:r>
      <w:r>
        <w:rPr>
          <w:rFonts w:hAnsi="宋体"/>
          <w:sz w:val="21"/>
          <w:szCs w:val="21"/>
        </w:rPr>
        <w:t>媒体及相关网站</w:t>
      </w:r>
      <w:r>
        <w:rPr>
          <w:rFonts w:hint="eastAsia" w:hAnsi="宋体"/>
          <w:sz w:val="21"/>
          <w:szCs w:val="21"/>
        </w:rPr>
        <w:t>上</w:t>
      </w:r>
      <w:r>
        <w:rPr>
          <w:rFonts w:hAnsi="宋体"/>
          <w:sz w:val="21"/>
          <w:szCs w:val="21"/>
        </w:rPr>
        <w:t>公告</w:t>
      </w:r>
      <w:r>
        <w:rPr>
          <w:rFonts w:hint="eastAsia" w:hAnsi="宋体"/>
          <w:sz w:val="21"/>
          <w:szCs w:val="21"/>
          <w:lang w:eastAsia="zh-CN"/>
        </w:rPr>
        <w:t>。</w:t>
      </w:r>
    </w:p>
    <w:p w14:paraId="5EB73FF4">
      <w:pPr>
        <w:snapToGrid w:val="0"/>
        <w:spacing w:beforeLines="50" w:afterLines="50" w:line="360" w:lineRule="auto"/>
        <w:jc w:val="both"/>
        <w:rPr>
          <w:rFonts w:asciiTheme="majorEastAsia" w:hAnsiTheme="majorEastAsia" w:eastAsiaTheme="majorEastAsia"/>
          <w:b/>
          <w:bCs/>
          <w:color w:val="000000" w:themeColor="text1"/>
          <w:sz w:val="36"/>
          <w:szCs w:val="36"/>
          <w14:textFill>
            <w14:solidFill>
              <w14:schemeClr w14:val="tx1"/>
            </w14:solidFill>
          </w14:textFill>
        </w:rPr>
      </w:pPr>
    </w:p>
    <w:p w14:paraId="53612C14">
      <w:pPr>
        <w:numPr>
          <w:ilvl w:val="0"/>
          <w:numId w:val="4"/>
        </w:numPr>
        <w:tabs>
          <w:tab w:val="left" w:pos="8280"/>
        </w:tabs>
        <w:autoSpaceDE w:val="0"/>
        <w:autoSpaceDN w:val="0"/>
        <w:adjustRightInd w:val="0"/>
        <w:spacing w:line="360" w:lineRule="auto"/>
        <w:ind w:right="25"/>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采购需求</w:t>
      </w:r>
    </w:p>
    <w:p w14:paraId="01EE17C7">
      <w:pPr>
        <w:pStyle w:val="3"/>
        <w:pageBreakBefore w:val="0"/>
        <w:numPr>
          <w:ilvl w:val="0"/>
          <w:numId w:val="0"/>
        </w:numPr>
        <w:kinsoku/>
        <w:wordWrap/>
        <w:overflowPunct/>
        <w:topLinePunct w:val="0"/>
        <w:autoSpaceDE/>
        <w:autoSpaceDN/>
        <w:bidi w:val="0"/>
        <w:snapToGrid/>
        <w:spacing w:before="0" w:after="0" w:line="360" w:lineRule="auto"/>
        <w:ind w:left="420" w:leftChars="0"/>
        <w:textAlignment w:val="auto"/>
        <w:rPr>
          <w:rFonts w:hint="eastAsia" w:hAnsi="宋体" w:eastAsia="宋体" w:cs="宋体"/>
          <w:sz w:val="21"/>
          <w:szCs w:val="21"/>
          <w:highlight w:val="none"/>
          <w:lang w:val="en-US" w:eastAsia="zh-CN"/>
        </w:rPr>
      </w:pPr>
      <w:bookmarkStart w:id="0" w:name="_Toc493957132"/>
      <w:bookmarkStart w:id="1" w:name="_Toc493956020"/>
      <w:bookmarkStart w:id="2" w:name="_Toc486423870"/>
      <w:r>
        <w:rPr>
          <w:rFonts w:hint="eastAsia" w:hAnsi="宋体" w:eastAsia="宋体" w:cs="宋体"/>
          <w:sz w:val="21"/>
          <w:szCs w:val="21"/>
          <w:highlight w:val="none"/>
          <w:lang w:val="en-US" w:eastAsia="zh-CN"/>
        </w:rPr>
        <w:t>一、产地要求</w:t>
      </w:r>
      <w:bookmarkEnd w:id="0"/>
      <w:bookmarkEnd w:id="1"/>
      <w:bookmarkEnd w:id="2"/>
    </w:p>
    <w:p w14:paraId="2EAC0E24">
      <w:pPr>
        <w:spacing w:line="360" w:lineRule="auto"/>
        <w:ind w:firstLine="420" w:firstLineChars="200"/>
        <w:rPr>
          <w:rFonts w:hint="eastAsia" w:ascii="宋体" w:hAnsi="宋体" w:cs="宋体"/>
          <w:sz w:val="21"/>
          <w:szCs w:val="21"/>
        </w:rPr>
      </w:pPr>
      <w:r>
        <w:rPr>
          <w:rFonts w:hint="eastAsia" w:ascii="宋体" w:hAnsi="宋体" w:cs="宋体"/>
          <w:sz w:val="21"/>
          <w:szCs w:val="21"/>
        </w:rPr>
        <w:t>▲1、中标单位在签订合同时，若坚持提出附加条件和不合理要求，成交资格将被取消，该中标人对由此产生的一切后果负责。</w:t>
      </w:r>
    </w:p>
    <w:p w14:paraId="7D0D6011">
      <w:pPr>
        <w:spacing w:line="360" w:lineRule="auto"/>
        <w:ind w:firstLine="420" w:firstLineChars="200"/>
        <w:rPr>
          <w:rFonts w:hint="eastAsia" w:hAnsi="宋体" w:eastAsia="宋体" w:cs="宋体"/>
          <w:sz w:val="21"/>
          <w:szCs w:val="21"/>
          <w:highlight w:val="none"/>
          <w:lang w:val="en-US" w:eastAsia="zh-CN"/>
        </w:rPr>
      </w:pPr>
      <w:r>
        <w:rPr>
          <w:rFonts w:hint="eastAsia" w:ascii="宋体" w:hAnsi="宋体" w:cs="宋体"/>
          <w:sz w:val="21"/>
          <w:szCs w:val="21"/>
        </w:rPr>
        <w:t>▲2、本招标货物应按国际标准、国标、部标或专业标准制造；非标准货物按采购人提供的要求制造；质量标准按照国家有关规定及合同约定进行验收。</w:t>
      </w:r>
    </w:p>
    <w:tbl>
      <w:tblPr>
        <w:tblStyle w:val="27"/>
        <w:tblW w:w="14575"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915"/>
        <w:gridCol w:w="1687"/>
        <w:gridCol w:w="1358"/>
        <w:gridCol w:w="1186"/>
        <w:gridCol w:w="2272"/>
        <w:gridCol w:w="1710"/>
        <w:gridCol w:w="1281"/>
      </w:tblGrid>
      <w:tr w14:paraId="30B8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166" w:type="dxa"/>
            <w:noWrap w:val="0"/>
            <w:vAlign w:val="center"/>
          </w:tcPr>
          <w:p w14:paraId="0F8BBDC2">
            <w:pPr>
              <w:widowControl/>
              <w:spacing w:line="360" w:lineRule="auto"/>
              <w:jc w:val="center"/>
              <w:rPr>
                <w:rFonts w:hAnsi="宋体" w:cs="宋体"/>
                <w:b/>
                <w:szCs w:val="21"/>
              </w:rPr>
            </w:pPr>
            <w:r>
              <w:rPr>
                <w:rFonts w:hint="eastAsia" w:hAnsi="宋体" w:cs="宋体"/>
                <w:b/>
                <w:szCs w:val="21"/>
              </w:rPr>
              <w:t>标项序号</w:t>
            </w:r>
          </w:p>
        </w:tc>
        <w:tc>
          <w:tcPr>
            <w:tcW w:w="3915" w:type="dxa"/>
            <w:noWrap w:val="0"/>
            <w:vAlign w:val="center"/>
          </w:tcPr>
          <w:p w14:paraId="31D1E035">
            <w:pPr>
              <w:widowControl/>
              <w:spacing w:line="360" w:lineRule="auto"/>
              <w:jc w:val="center"/>
              <w:rPr>
                <w:rFonts w:hAnsi="宋体" w:cs="宋体"/>
                <w:b/>
                <w:szCs w:val="21"/>
              </w:rPr>
            </w:pPr>
            <w:r>
              <w:rPr>
                <w:rFonts w:hint="eastAsia" w:hAnsi="宋体" w:cs="宋体"/>
                <w:b/>
                <w:szCs w:val="21"/>
              </w:rPr>
              <w:t>标项名称</w:t>
            </w:r>
          </w:p>
        </w:tc>
        <w:tc>
          <w:tcPr>
            <w:tcW w:w="1687" w:type="dxa"/>
            <w:noWrap w:val="0"/>
            <w:vAlign w:val="center"/>
          </w:tcPr>
          <w:p w14:paraId="53E1C8B6">
            <w:pPr>
              <w:widowControl/>
              <w:spacing w:line="360" w:lineRule="auto"/>
              <w:jc w:val="center"/>
              <w:rPr>
                <w:rFonts w:hint="eastAsia" w:hAnsi="宋体" w:eastAsia="宋体" w:cs="宋体"/>
                <w:b/>
                <w:szCs w:val="21"/>
                <w:lang w:eastAsia="zh-CN"/>
              </w:rPr>
            </w:pPr>
            <w:r>
              <w:rPr>
                <w:rFonts w:hint="eastAsia" w:ascii="Times New Roman" w:hAnsi="宋体" w:eastAsia="宋体" w:cs="宋体"/>
                <w:b/>
                <w:szCs w:val="21"/>
                <w:lang w:eastAsia="zh-CN"/>
              </w:rPr>
              <w:t>供应场所</w:t>
            </w:r>
          </w:p>
        </w:tc>
        <w:tc>
          <w:tcPr>
            <w:tcW w:w="1358" w:type="dxa"/>
            <w:noWrap w:val="0"/>
            <w:vAlign w:val="center"/>
          </w:tcPr>
          <w:p w14:paraId="2E6F21C1">
            <w:pPr>
              <w:widowControl/>
              <w:spacing w:line="360" w:lineRule="auto"/>
              <w:jc w:val="center"/>
              <w:rPr>
                <w:rFonts w:hAnsi="宋体" w:cs="宋体"/>
                <w:b/>
                <w:szCs w:val="21"/>
              </w:rPr>
            </w:pPr>
            <w:r>
              <w:rPr>
                <w:rFonts w:hint="eastAsia" w:hAnsi="宋体" w:cs="宋体"/>
                <w:b/>
                <w:szCs w:val="21"/>
              </w:rPr>
              <w:t>数量</w:t>
            </w:r>
          </w:p>
        </w:tc>
        <w:tc>
          <w:tcPr>
            <w:tcW w:w="1186" w:type="dxa"/>
            <w:noWrap w:val="0"/>
            <w:vAlign w:val="center"/>
          </w:tcPr>
          <w:p w14:paraId="1EF9FC6C">
            <w:pPr>
              <w:widowControl/>
              <w:spacing w:line="360" w:lineRule="auto"/>
              <w:jc w:val="center"/>
              <w:rPr>
                <w:rFonts w:hAnsi="宋体" w:cs="宋体"/>
                <w:b/>
                <w:szCs w:val="21"/>
              </w:rPr>
            </w:pPr>
            <w:r>
              <w:rPr>
                <w:rFonts w:hint="eastAsia" w:hAnsi="宋体" w:cs="宋体"/>
                <w:b/>
                <w:szCs w:val="21"/>
              </w:rPr>
              <w:t>单位</w:t>
            </w:r>
          </w:p>
        </w:tc>
        <w:tc>
          <w:tcPr>
            <w:tcW w:w="2272" w:type="dxa"/>
            <w:noWrap w:val="0"/>
            <w:vAlign w:val="center"/>
          </w:tcPr>
          <w:p w14:paraId="19C2AEEA">
            <w:pPr>
              <w:widowControl/>
              <w:jc w:val="center"/>
              <w:rPr>
                <w:rFonts w:hAnsi="宋体" w:cs="宋体"/>
                <w:b/>
                <w:szCs w:val="21"/>
              </w:rPr>
            </w:pPr>
            <w:r>
              <w:rPr>
                <w:rFonts w:hint="eastAsia" w:hAnsi="宋体" w:cs="宋体"/>
                <w:b/>
                <w:szCs w:val="21"/>
              </w:rPr>
              <w:t>预算金额（元）</w:t>
            </w:r>
          </w:p>
        </w:tc>
        <w:tc>
          <w:tcPr>
            <w:tcW w:w="1710" w:type="dxa"/>
            <w:noWrap w:val="0"/>
            <w:vAlign w:val="center"/>
          </w:tcPr>
          <w:p w14:paraId="048F28CF">
            <w:pPr>
              <w:widowControl/>
              <w:jc w:val="center"/>
              <w:rPr>
                <w:rFonts w:hAnsi="宋体" w:cs="宋体"/>
                <w:b/>
                <w:szCs w:val="21"/>
              </w:rPr>
            </w:pPr>
            <w:r>
              <w:rPr>
                <w:rFonts w:hint="eastAsia" w:hAnsi="宋体" w:cs="宋体"/>
                <w:b/>
                <w:szCs w:val="21"/>
              </w:rPr>
              <w:t>最高限价（元）</w:t>
            </w:r>
          </w:p>
        </w:tc>
        <w:tc>
          <w:tcPr>
            <w:tcW w:w="1281" w:type="dxa"/>
            <w:noWrap w:val="0"/>
            <w:vAlign w:val="center"/>
          </w:tcPr>
          <w:p w14:paraId="5196A440">
            <w:pPr>
              <w:widowControl/>
              <w:spacing w:line="360" w:lineRule="auto"/>
              <w:jc w:val="center"/>
              <w:rPr>
                <w:rFonts w:hint="eastAsia" w:hAnsi="宋体" w:cs="宋体"/>
                <w:b/>
                <w:szCs w:val="21"/>
              </w:rPr>
            </w:pPr>
            <w:r>
              <w:rPr>
                <w:rFonts w:hint="eastAsia" w:hAnsi="宋体" w:cs="宋体"/>
                <w:b/>
                <w:szCs w:val="21"/>
              </w:rPr>
              <w:t>备注</w:t>
            </w:r>
          </w:p>
        </w:tc>
      </w:tr>
      <w:tr w14:paraId="721F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66" w:type="dxa"/>
            <w:noWrap w:val="0"/>
            <w:vAlign w:val="center"/>
          </w:tcPr>
          <w:p w14:paraId="02A8D782">
            <w:pPr>
              <w:widowControl/>
              <w:spacing w:line="360" w:lineRule="auto"/>
              <w:jc w:val="center"/>
              <w:rPr>
                <w:rFonts w:ascii="宋体" w:hAnsi="宋体"/>
                <w:szCs w:val="21"/>
              </w:rPr>
            </w:pPr>
            <w:r>
              <w:rPr>
                <w:rFonts w:ascii="宋体" w:hAnsi="宋体"/>
                <w:szCs w:val="21"/>
              </w:rPr>
              <w:t>1</w:t>
            </w:r>
          </w:p>
        </w:tc>
        <w:tc>
          <w:tcPr>
            <w:tcW w:w="3915" w:type="dxa"/>
            <w:noWrap w:val="0"/>
            <w:vAlign w:val="center"/>
          </w:tcPr>
          <w:p w14:paraId="04D5DDB7">
            <w:pPr>
              <w:widowControl/>
              <w:spacing w:line="360" w:lineRule="auto"/>
              <w:jc w:val="center"/>
              <w:rPr>
                <w:rFonts w:hint="eastAsia" w:ascii="宋体" w:eastAsia="宋体"/>
                <w:szCs w:val="21"/>
                <w:lang w:eastAsia="zh-CN"/>
              </w:rPr>
            </w:pPr>
            <w:r>
              <w:rPr>
                <w:rFonts w:hint="eastAsia" w:ascii="宋体"/>
                <w:szCs w:val="21"/>
                <w:lang w:eastAsia="zh-CN"/>
              </w:rPr>
              <w:t>神仙居仙侠演艺餐厅厨房设备采购（非政府采购类）</w:t>
            </w:r>
          </w:p>
        </w:tc>
        <w:tc>
          <w:tcPr>
            <w:tcW w:w="1687" w:type="dxa"/>
            <w:noWrap w:val="0"/>
            <w:vAlign w:val="center"/>
          </w:tcPr>
          <w:p w14:paraId="013FE702">
            <w:pPr>
              <w:widowControl/>
              <w:spacing w:line="360" w:lineRule="auto"/>
              <w:jc w:val="center"/>
              <w:rPr>
                <w:rFonts w:hint="eastAsia" w:ascii="宋体" w:hAnsi="宋体" w:eastAsia="宋体"/>
                <w:szCs w:val="21"/>
                <w:lang w:eastAsia="zh-CN"/>
              </w:rPr>
            </w:pPr>
            <w:r>
              <w:rPr>
                <w:rFonts w:hint="eastAsia" w:ascii="宋体" w:hAnsi="宋体"/>
                <w:color w:val="auto"/>
                <w:szCs w:val="21"/>
                <w:lang w:eastAsia="zh-CN"/>
              </w:rPr>
              <w:t>神仙居景区</w:t>
            </w:r>
          </w:p>
        </w:tc>
        <w:tc>
          <w:tcPr>
            <w:tcW w:w="1358" w:type="dxa"/>
            <w:noWrap w:val="0"/>
            <w:vAlign w:val="center"/>
          </w:tcPr>
          <w:p w14:paraId="1AAFC5EC">
            <w:pPr>
              <w:widowControl/>
              <w:spacing w:line="360" w:lineRule="auto"/>
              <w:jc w:val="center"/>
              <w:rPr>
                <w:rFonts w:ascii="宋体"/>
                <w:szCs w:val="21"/>
              </w:rPr>
            </w:pPr>
            <w:r>
              <w:rPr>
                <w:rFonts w:ascii="宋体" w:hAnsi="宋体"/>
                <w:szCs w:val="21"/>
              </w:rPr>
              <w:t>1</w:t>
            </w:r>
          </w:p>
        </w:tc>
        <w:tc>
          <w:tcPr>
            <w:tcW w:w="1186" w:type="dxa"/>
            <w:noWrap w:val="0"/>
            <w:vAlign w:val="center"/>
          </w:tcPr>
          <w:p w14:paraId="0C76FFBA">
            <w:pPr>
              <w:widowControl/>
              <w:spacing w:line="360" w:lineRule="auto"/>
              <w:jc w:val="center"/>
              <w:rPr>
                <w:rFonts w:hint="default" w:ascii="宋体" w:eastAsia="宋体"/>
                <w:szCs w:val="21"/>
                <w:lang w:val="en-US" w:eastAsia="zh-CN"/>
              </w:rPr>
            </w:pPr>
            <w:r>
              <w:rPr>
                <w:rFonts w:hint="eastAsia" w:ascii="宋体" w:hAnsi="宋体"/>
                <w:szCs w:val="21"/>
                <w:lang w:val="en-US" w:eastAsia="zh-CN"/>
              </w:rPr>
              <w:t xml:space="preserve"> 项</w:t>
            </w:r>
          </w:p>
        </w:tc>
        <w:tc>
          <w:tcPr>
            <w:tcW w:w="2272" w:type="dxa"/>
            <w:noWrap w:val="0"/>
            <w:vAlign w:val="center"/>
          </w:tcPr>
          <w:p w14:paraId="5E7D33C9">
            <w:pPr>
              <w:widowControl/>
              <w:spacing w:line="360" w:lineRule="auto"/>
              <w:jc w:val="center"/>
              <w:rPr>
                <w:rFonts w:hint="default" w:ascii="宋体"/>
                <w:szCs w:val="21"/>
                <w:lang w:val="en-US"/>
              </w:rPr>
            </w:pPr>
            <w:r>
              <w:rPr>
                <w:rFonts w:hint="eastAsia"/>
                <w:lang w:val="en-US" w:eastAsia="zh-CN"/>
              </w:rPr>
              <w:t>290000</w:t>
            </w:r>
          </w:p>
        </w:tc>
        <w:tc>
          <w:tcPr>
            <w:tcW w:w="1710" w:type="dxa"/>
            <w:noWrap w:val="0"/>
            <w:vAlign w:val="center"/>
          </w:tcPr>
          <w:p w14:paraId="41588F47">
            <w:pPr>
              <w:widowControl/>
              <w:spacing w:line="360" w:lineRule="auto"/>
              <w:jc w:val="center"/>
              <w:rPr>
                <w:rFonts w:hint="eastAsia" w:ascii="宋体"/>
                <w:szCs w:val="21"/>
              </w:rPr>
            </w:pPr>
            <w:r>
              <w:rPr>
                <w:rFonts w:hint="eastAsia"/>
                <w:lang w:val="en-US" w:eastAsia="zh-CN"/>
              </w:rPr>
              <w:t>290000</w:t>
            </w:r>
          </w:p>
        </w:tc>
        <w:tc>
          <w:tcPr>
            <w:tcW w:w="1281" w:type="dxa"/>
            <w:noWrap w:val="0"/>
            <w:vAlign w:val="center"/>
          </w:tcPr>
          <w:p w14:paraId="3E7C82EB">
            <w:pPr>
              <w:widowControl/>
              <w:spacing w:line="360" w:lineRule="auto"/>
              <w:jc w:val="center"/>
              <w:rPr>
                <w:rFonts w:ascii="宋体"/>
                <w:szCs w:val="21"/>
              </w:rPr>
            </w:pPr>
            <w:r>
              <w:rPr>
                <w:rFonts w:hint="eastAsia" w:ascii="宋体"/>
                <w:szCs w:val="21"/>
                <w:lang w:eastAsia="zh-CN"/>
              </w:rPr>
              <w:t>包含上山搬运等一切费用</w:t>
            </w:r>
          </w:p>
        </w:tc>
      </w:tr>
    </w:tbl>
    <w:p w14:paraId="411539DA">
      <w:pPr>
        <w:pStyle w:val="3"/>
        <w:pageBreakBefore w:val="0"/>
        <w:numPr>
          <w:ilvl w:val="0"/>
          <w:numId w:val="0"/>
        </w:numPr>
        <w:kinsoku/>
        <w:wordWrap/>
        <w:overflowPunct/>
        <w:topLinePunct w:val="0"/>
        <w:autoSpaceDE/>
        <w:autoSpaceDN/>
        <w:bidi w:val="0"/>
        <w:snapToGrid/>
        <w:spacing w:before="0" w:after="0" w:line="360" w:lineRule="auto"/>
        <w:ind w:left="420" w:leftChars="0"/>
        <w:textAlignment w:val="auto"/>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二、采购清单</w:t>
      </w:r>
    </w:p>
    <w:tbl>
      <w:tblPr>
        <w:tblStyle w:val="27"/>
        <w:tblW w:w="144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593"/>
        <w:gridCol w:w="6339"/>
        <w:gridCol w:w="1162"/>
        <w:gridCol w:w="1025"/>
        <w:gridCol w:w="1950"/>
        <w:gridCol w:w="1625"/>
      </w:tblGrid>
      <w:tr w14:paraId="30130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D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0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1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F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8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F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参考图片</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F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推荐品牌</w:t>
            </w:r>
          </w:p>
        </w:tc>
      </w:tr>
      <w:tr w14:paraId="5F869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3DAB">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1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圆脚四层平板层架</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C9F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台面优质304不锈钢冷轧板制造；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要求台面304不锈钢≥1.2mm；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台面加强处理，下衬加强筋为304不锈钢≥1.2mm；                                                                                                  立柱为304不锈钢Φ38×1.2mm,配全钢子弹调节脚。</w:t>
            </w:r>
          </w:p>
          <w:p w14:paraId="4E4854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：1500*500*1550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6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9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E9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69" name="图片_5"/>
                  <wp:cNvGraphicFramePr/>
                  <a:graphic xmlns:a="http://schemas.openxmlformats.org/drawingml/2006/main">
                    <a:graphicData uri="http://schemas.openxmlformats.org/drawingml/2006/picture">
                      <pic:pic xmlns:pic="http://schemas.openxmlformats.org/drawingml/2006/picture">
                        <pic:nvPicPr>
                          <pic:cNvPr id="69" name="图片_5"/>
                          <pic:cNvPicPr/>
                        </pic:nvPicPr>
                        <pic:blipFill>
                          <a:blip r:embed="rId7"/>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C3C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71085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65C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6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挂墙双层板(侧开口）</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D11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采用优质304不锈钢冷轧板制造；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台面304不锈钢≥1.2mm，加强筋1.2mm；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层板304不锈钢≥1.2mm，加强筋1.2mm；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立柱304不锈钢38*38×1.2mm不锈钢方管</w:t>
            </w:r>
          </w:p>
          <w:p w14:paraId="1A3CF8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1000*300*400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4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3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5E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70" name="图片_10"/>
                  <wp:cNvGraphicFramePr/>
                  <a:graphic xmlns:a="http://schemas.openxmlformats.org/drawingml/2006/main">
                    <a:graphicData uri="http://schemas.openxmlformats.org/drawingml/2006/picture">
                      <pic:pic xmlns:pic="http://schemas.openxmlformats.org/drawingml/2006/picture">
                        <pic:nvPicPr>
                          <pic:cNvPr id="70" name="图片_10"/>
                          <pic:cNvPicPr/>
                        </pic:nvPicPr>
                        <pic:blipFill>
                          <a:blip r:embed="rId8"/>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E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181F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0824">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3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大单星盆台</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FE8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采用SUS304优质不锈钢板制作；                                                     台面：采用≥1.2mm不锈钢板制作；                                                      星盆：采用≥1.2mm不锈钢板制作；                                     </w:t>
            </w:r>
          </w:p>
          <w:p w14:paraId="4AC377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立柱：φ48*1.2不锈钢圆管制作；                                                       脚：配不锈钢全钢调节脚；</w:t>
            </w:r>
          </w:p>
          <w:p w14:paraId="05EFE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1000*700*800+100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3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A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E7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71" name="图片_12"/>
                  <wp:cNvGraphicFramePr/>
                  <a:graphic xmlns:a="http://schemas.openxmlformats.org/drawingml/2006/main">
                    <a:graphicData uri="http://schemas.openxmlformats.org/drawingml/2006/picture">
                      <pic:pic xmlns:pic="http://schemas.openxmlformats.org/drawingml/2006/picture">
                        <pic:nvPicPr>
                          <pic:cNvPr id="71" name="图片_12"/>
                          <pic:cNvPicPr/>
                        </pic:nvPicPr>
                        <pic:blipFill>
                          <a:blip r:embed="rId9"/>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E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67A7A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95F8">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9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座台双层架</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3FC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台面优质304不锈钢冷轧板制造；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要求台面304不锈钢≥1.2mm；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台面加强处理，下衬加强筋为304不锈钢≥1.2mm；                                                                                                  立柱为304不锈钢Φ38×1.2mm,配全钢子弹调节脚。</w:t>
            </w:r>
          </w:p>
          <w:p w14:paraId="36CD02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1800*350*600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8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4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B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72" name="图片_14"/>
                  <wp:cNvGraphicFramePr/>
                  <a:graphic xmlns:a="http://schemas.openxmlformats.org/drawingml/2006/main">
                    <a:graphicData uri="http://schemas.openxmlformats.org/drawingml/2006/picture">
                      <pic:pic xmlns:pic="http://schemas.openxmlformats.org/drawingml/2006/picture">
                        <pic:nvPicPr>
                          <pic:cNvPr id="72" name="图片_14"/>
                          <pic:cNvPicPr/>
                        </pic:nvPicPr>
                        <pic:blipFill>
                          <a:blip r:embed="rId10"/>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1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74D0E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F40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C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平台雪柜</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4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1.容量：≥480L                                                                                                                                                                             2.功率：≥220V/158W                                                                                                                                                                 3、双间室双机双温可单独控制，触摸屏电子温控器、液晶超白光数字温度显示、箱内实际温度与数字显示温度差不超过2℃；                                                                                      4、箱体整体发泡，包括工作台面以确保整体强度，保温层密度不低于38kg/m³；                                                                                                               5、外壳及内胆材料采用优质201不锈钢，外壳部分的材料实际厚度最低不得低于0.4mm，正面门体及前罩等外表面采用油磨抗指纹处理并覆透明膜；                                                         6、采用高效节能、环保的制冷系统，铜管蒸发器、钢丝冷凝器、良好的散热效果，制冷系统需承诺三年不得内漏；机舱后部封闭不得影响散热功能（风扇散热方向需超向开门方向）。                                                                                7、★国内主流品牌压缩机、纯铜线散热风机、电源线引出柜体外长度不得低于1.8米，产品布线及主导线线径截面积不得低于0.75mm²；主要电器部件提供对应的有效的CCC认证证书，至少需提供：压缩机、风机、电源线、插头、接线端子主要电器部件有效的CCC证书扫描件（或电子文档）；                                                                                        8、★产品整机安全性能必须符合GB4706.1\GB4706.13\GB4343.1\GB17625.1的标准要求，并提供有效的带有CMA标识的检测报告扫描件；提供对应本产品要求的CCC认证证书；                                                                         9、★产品制冷性能及能效等级要求：根据GB26920.2及SB/T10794.2国家能效测试标准中规定的标准气候类型4的工况下能效等级不得低于2级；已经获得能效备案的需提供已经备案的对应产品的能效标识三份；                                                                                                                                                              10、★产品需经过食品接触产品安全检测并提供带有CMA标志的检测报告；并获得食品接触产品卫生认证及食品接触产品安全认证证书。                                                           11、★产品需经过电器电子产品国推ROHS认证并提供有效的认证证书；                                                                                                                                                                      12、★响应国家减碳的要求，获得过商用冷柜超节能产品获得证书的投标机构优先采用。                                                                                                    13、★为满足不同客户对产品恶劣使用环境的需求，获得过商用冷柜超高温优品认证证书的投标机构优先采用。                                                                             14.尺寸： 1800*800*800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5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7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2E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777875</wp:posOffset>
                  </wp:positionV>
                  <wp:extent cx="835025" cy="835025"/>
                  <wp:effectExtent l="0" t="0" r="3175" b="3175"/>
                  <wp:wrapNone/>
                  <wp:docPr id="73" name="图片_16"/>
                  <wp:cNvGraphicFramePr/>
                  <a:graphic xmlns:a="http://schemas.openxmlformats.org/drawingml/2006/main">
                    <a:graphicData uri="http://schemas.openxmlformats.org/drawingml/2006/picture">
                      <pic:pic xmlns:pic="http://schemas.openxmlformats.org/drawingml/2006/picture">
                        <pic:nvPicPr>
                          <pic:cNvPr id="73" name="图片_16"/>
                          <pic:cNvPicPr/>
                        </pic:nvPicPr>
                        <pic:blipFill>
                          <a:blip r:embed="rId11"/>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7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冰厨/美厨/凯普顿（相当或更优）</w:t>
            </w:r>
          </w:p>
        </w:tc>
      </w:tr>
      <w:tr w14:paraId="6B1F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1DD1">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5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双星右平台</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DE5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采用优质304不锈钢冷轧板制造；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台面304不锈钢板材≥1.2mm，加强筋1.0mm；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层板304不锈钢板材≥1.2mm加强筋1.0mm；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立柱304不锈钢Φ38×1.2mm圆管,配全钢调节脚;                                           背板高304不锈钢≥350*1.2mm不锈钢板</w:t>
            </w:r>
          </w:p>
          <w:p w14:paraId="0FC9A7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1500*700*800+100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E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D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C3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62865</wp:posOffset>
                  </wp:positionH>
                  <wp:positionV relativeFrom="paragraph">
                    <wp:posOffset>63500</wp:posOffset>
                  </wp:positionV>
                  <wp:extent cx="835025" cy="638175"/>
                  <wp:effectExtent l="0" t="0" r="3175" b="9525"/>
                  <wp:wrapNone/>
                  <wp:docPr id="76" name="图片_18"/>
                  <wp:cNvGraphicFramePr/>
                  <a:graphic xmlns:a="http://schemas.openxmlformats.org/drawingml/2006/main">
                    <a:graphicData uri="http://schemas.openxmlformats.org/drawingml/2006/picture">
                      <pic:pic xmlns:pic="http://schemas.openxmlformats.org/drawingml/2006/picture">
                        <pic:nvPicPr>
                          <pic:cNvPr id="76" name="图片_18"/>
                          <pic:cNvPicPr/>
                        </pic:nvPicPr>
                        <pic:blipFill>
                          <a:blip r:embed="rId12"/>
                          <a:stretch>
                            <a:fillRect/>
                          </a:stretch>
                        </pic:blipFill>
                        <pic:spPr>
                          <a:xfrm>
                            <a:off x="0" y="0"/>
                            <a:ext cx="835025" cy="63817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C1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423A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633F">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6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挂墙双层板(侧开口）</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A41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采用优质304不锈钢冷轧板制造；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台面304不锈钢≥1.2mm，≥加强筋1.2mm；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层板304不锈钢≥1.2mm，≥加强筋1.2mm；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立柱304不锈钢38*38×1.2mm不锈钢方管</w:t>
            </w:r>
          </w:p>
          <w:p w14:paraId="5C92EB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1500*300*400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8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3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F4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74" name="图片_20"/>
                  <wp:cNvGraphicFramePr/>
                  <a:graphic xmlns:a="http://schemas.openxmlformats.org/drawingml/2006/main">
                    <a:graphicData uri="http://schemas.openxmlformats.org/drawingml/2006/picture">
                      <pic:pic xmlns:pic="http://schemas.openxmlformats.org/drawingml/2006/picture">
                        <pic:nvPicPr>
                          <pic:cNvPr id="74" name="图片_20"/>
                          <pic:cNvPicPr/>
                        </pic:nvPicPr>
                        <pic:blipFill>
                          <a:blip r:embed="rId8"/>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6D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0FF01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F65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C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菜馅机</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2E2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产品功率：≥380V/1.6kw                                                             生产能力：≥200-1000kg/H                                                         采用304不锈钢板制造；可切丝、切片、切条、切角块、切斜片，刀片更换自如，输送带使用无毒、耐高温的硅橡胶作材料；轮子：采用φ150重型万向活动轮；。</w:t>
            </w:r>
          </w:p>
          <w:p w14:paraId="72CFD9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760*710*900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0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2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45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77" name="图片_22"/>
                  <wp:cNvGraphicFramePr/>
                  <a:graphic xmlns:a="http://schemas.openxmlformats.org/drawingml/2006/main">
                    <a:graphicData uri="http://schemas.openxmlformats.org/drawingml/2006/picture">
                      <pic:pic xmlns:pic="http://schemas.openxmlformats.org/drawingml/2006/picture">
                        <pic:nvPicPr>
                          <pic:cNvPr id="77" name="图片_22"/>
                          <pic:cNvPicPr/>
                        </pic:nvPicPr>
                        <pic:blipFill>
                          <a:blip r:embed="rId13"/>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7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银鹰／麦康／鑫科悦（相当或更优）</w:t>
            </w:r>
          </w:p>
        </w:tc>
      </w:tr>
      <w:tr w14:paraId="27F04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D741">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C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双门消毒柜</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top"/>
          </w:tcPr>
          <w:p w14:paraId="64CDEA6C">
            <w:pPr>
              <w:keepNext w:val="0"/>
              <w:keepLines w:val="0"/>
              <w:widowControl/>
              <w:numPr>
                <w:ilvl w:val="0"/>
                <w:numId w:val="5"/>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防水触摸控制屏具有各种消毒模式可同时兼容：自选模式、不锈钢制品、毛巾鞋服、陶瓷制品、玻璃器皿、竹木制品、密胺制品等智能化功能，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2、库体不锈钢采用SUS304厚度1.0mm及耐高温隔热棉以及聚氨酯发泡隔热保温层；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3、消毒温度：20~150℃；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4、消毒方式：360º高温热风循环；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5、电压：≥220V 功率：≥4.4kw 容积：≥720L热风循环商用消毒柜150摄氏度立体循环风高温杀菌、杀毒效果彻底、无死角，安全的超高温保险防止意外操作.</w:t>
            </w:r>
          </w:p>
          <w:p w14:paraId="05B87552">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1300*690*1980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B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1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4F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wp:posOffset>
                  </wp:positionH>
                  <wp:positionV relativeFrom="paragraph">
                    <wp:posOffset>563880</wp:posOffset>
                  </wp:positionV>
                  <wp:extent cx="835025" cy="835025"/>
                  <wp:effectExtent l="0" t="0" r="3175" b="3175"/>
                  <wp:wrapNone/>
                  <wp:docPr id="78" name="图片_24"/>
                  <wp:cNvGraphicFramePr/>
                  <a:graphic xmlns:a="http://schemas.openxmlformats.org/drawingml/2006/main">
                    <a:graphicData uri="http://schemas.openxmlformats.org/drawingml/2006/picture">
                      <pic:pic xmlns:pic="http://schemas.openxmlformats.org/drawingml/2006/picture">
                        <pic:nvPicPr>
                          <pic:cNvPr id="78" name="图片_24"/>
                          <pic:cNvPicPr/>
                        </pic:nvPicPr>
                        <pic:blipFill>
                          <a:blip r:embed="rId14"/>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F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联众/康庭/康宝</w:t>
            </w:r>
            <w:r>
              <w:rPr>
                <w:rFonts w:hint="eastAsia" w:ascii="宋体" w:hAnsi="宋体" w:eastAsia="宋体" w:cs="宋体"/>
                <w:i w:val="0"/>
                <w:iCs w:val="0"/>
                <w:color w:val="000000"/>
                <w:kern w:val="0"/>
                <w:sz w:val="21"/>
                <w:szCs w:val="21"/>
                <w:u w:val="none"/>
                <w:lang w:val="en-US" w:eastAsia="zh-CN" w:bidi="ar"/>
              </w:rPr>
              <w:t>（相当或更优）</w:t>
            </w:r>
          </w:p>
        </w:tc>
      </w:tr>
      <w:tr w14:paraId="063E3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E44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1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高压花洒龙头</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124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 xml:space="preserve">座台式双孔双温花洒、黄铜铸造表面抛光镀铬处理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、优质陶瓷阀芯、一字手柄</w:t>
            </w:r>
          </w:p>
          <w:p w14:paraId="42C1DEBE">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2"/>
                <w:sz w:val="20"/>
                <w:szCs w:val="20"/>
                <w:lang w:val="en-US" w:eastAsia="zh-CN" w:bidi="ar-SA"/>
              </w:rPr>
              <w:t>3</w:t>
            </w:r>
            <w:r>
              <w:rPr>
                <w:rFonts w:hint="eastAsia" w:ascii="宋体" w:hAnsi="宋体" w:eastAsia="宋体" w:cs="宋体"/>
                <w:i w:val="0"/>
                <w:iCs w:val="0"/>
                <w:color w:val="000000"/>
                <w:kern w:val="2"/>
                <w:sz w:val="20"/>
                <w:szCs w:val="20"/>
                <w:lang w:val="en-US" w:eastAsia="zh-CN" w:bidi="ar-SA"/>
              </w:rPr>
              <w:t>、</w:t>
            </w: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192*400*1140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8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A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B4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75" name="图片_26"/>
                  <wp:cNvGraphicFramePr/>
                  <a:graphic xmlns:a="http://schemas.openxmlformats.org/drawingml/2006/main">
                    <a:graphicData uri="http://schemas.openxmlformats.org/drawingml/2006/picture">
                      <pic:pic xmlns:pic="http://schemas.openxmlformats.org/drawingml/2006/picture">
                        <pic:nvPicPr>
                          <pic:cNvPr id="75" name="图片_26"/>
                          <pic:cNvPicPr/>
                        </pic:nvPicPr>
                        <pic:blipFill>
                          <a:blip r:embed="rId15"/>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C0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佳鼎／ 欧圣／欧德宝（相当或更优）</w:t>
            </w:r>
          </w:p>
        </w:tc>
      </w:tr>
      <w:tr w14:paraId="5A5B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2B8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11</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7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洁碟台连茜架</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B3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采用优质油磨304不锈钢冷轧板制造；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台面≥1.2mm，加强筋≥1.2mm；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层板≥1.2mm，加强筋≥1.2mm；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立柱Φ38×1.2mm不锈钢圆管,配调节脚;                                         背板高≥100*1.5mm不锈钢板</w:t>
            </w:r>
          </w:p>
          <w:p w14:paraId="7F3D5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900*800*800+100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0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E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56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91" name="图片_28"/>
                  <wp:cNvGraphicFramePr/>
                  <a:graphic xmlns:a="http://schemas.openxmlformats.org/drawingml/2006/main">
                    <a:graphicData uri="http://schemas.openxmlformats.org/drawingml/2006/picture">
                      <pic:pic xmlns:pic="http://schemas.openxmlformats.org/drawingml/2006/picture">
                        <pic:nvPicPr>
                          <pic:cNvPr id="91" name="图片_28"/>
                          <pic:cNvPicPr/>
                        </pic:nvPicPr>
                        <pic:blipFill>
                          <a:blip r:embed="rId16"/>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4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7C1D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406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A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冲地龙头</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84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技术要求：流量：≥5.37升/分钟，软管长度：≥10米。</w:t>
            </w:r>
          </w:p>
          <w:p w14:paraId="3C0B50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200*565*860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9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9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D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80" name="图片_32"/>
                  <wp:cNvGraphicFramePr/>
                  <a:graphic xmlns:a="http://schemas.openxmlformats.org/drawingml/2006/main">
                    <a:graphicData uri="http://schemas.openxmlformats.org/drawingml/2006/picture">
                      <pic:pic xmlns:pic="http://schemas.openxmlformats.org/drawingml/2006/picture">
                        <pic:nvPicPr>
                          <pic:cNvPr id="80" name="图片_32"/>
                          <pic:cNvPicPr/>
                        </pic:nvPicPr>
                        <pic:blipFill>
                          <a:blip r:embed="rId17"/>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C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君畅/志诚/佳鼎</w:t>
            </w:r>
            <w:r>
              <w:rPr>
                <w:rFonts w:hint="eastAsia" w:ascii="宋体" w:hAnsi="宋体" w:eastAsia="宋体" w:cs="宋体"/>
                <w:i w:val="0"/>
                <w:iCs w:val="0"/>
                <w:color w:val="000000"/>
                <w:kern w:val="0"/>
                <w:sz w:val="21"/>
                <w:szCs w:val="21"/>
                <w:u w:val="none"/>
                <w:lang w:val="en-US" w:eastAsia="zh-CN" w:bidi="ar"/>
              </w:rPr>
              <w:t>（相当或更优）</w:t>
            </w:r>
          </w:p>
        </w:tc>
      </w:tr>
      <w:tr w14:paraId="0BCBB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ACD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D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双星入机台带收餐口</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D3E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采用优质304不锈钢冷轧板制造；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台面304不锈钢板材≥1.2mm，加强筋≥1.0mm；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层板304不锈钢板材≥1.2mm加强筋≥1.0mm；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立柱304不锈钢Φ38×1.5mm圆管,配全钢调节脚;                                           背板高304不锈钢≥350*1.5mm不锈钢板</w:t>
            </w:r>
          </w:p>
          <w:p w14:paraId="4C76E0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1800*800*800+100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D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B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C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81" name="图片_34"/>
                  <wp:cNvGraphicFramePr/>
                  <a:graphic xmlns:a="http://schemas.openxmlformats.org/drawingml/2006/main">
                    <a:graphicData uri="http://schemas.openxmlformats.org/drawingml/2006/picture">
                      <pic:pic xmlns:pic="http://schemas.openxmlformats.org/drawingml/2006/picture">
                        <pic:nvPicPr>
                          <pic:cNvPr id="81" name="图片_34"/>
                          <pic:cNvPicPr/>
                        </pic:nvPicPr>
                        <pic:blipFill>
                          <a:blip r:embed="rId18"/>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4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5D53F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397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0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圆脚四层平板层架</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819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台面优质304不锈钢冷轧板制造；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要求台面304不锈钢≥1.2mm；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台面加强处理，下衬加强筋为304不锈钢≥1.2mm；                                                                                                  立柱为304不锈钢Φ38×1.2mm,配全钢子弹调节脚。</w:t>
            </w:r>
          </w:p>
          <w:p w14:paraId="204B2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1800*500*1550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4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8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0D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96" name="图片_38"/>
                  <wp:cNvGraphicFramePr/>
                  <a:graphic xmlns:a="http://schemas.openxmlformats.org/drawingml/2006/main">
                    <a:graphicData uri="http://schemas.openxmlformats.org/drawingml/2006/picture">
                      <pic:pic xmlns:pic="http://schemas.openxmlformats.org/drawingml/2006/picture">
                        <pic:nvPicPr>
                          <pic:cNvPr id="96" name="图片_38"/>
                          <pic:cNvPicPr/>
                        </pic:nvPicPr>
                        <pic:blipFill>
                          <a:blip r:embed="rId19"/>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B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4B37A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7B3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5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圆脚四层平板层架</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106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台面优质304不锈钢冷轧板制造；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要求台面304不锈钢≥1.2mm；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台面加强处理，下衬加强筋为304不锈钢≥1.2mm；                                                                                                  立柱为304不锈钢Φ38×1.2mm,配全钢子弹调节脚。</w:t>
            </w:r>
          </w:p>
          <w:p w14:paraId="0EA2CF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1500*500*1550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9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6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BB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83" name="图片_40"/>
                  <wp:cNvGraphicFramePr/>
                  <a:graphic xmlns:a="http://schemas.openxmlformats.org/drawingml/2006/main">
                    <a:graphicData uri="http://schemas.openxmlformats.org/drawingml/2006/picture">
                      <pic:pic xmlns:pic="http://schemas.openxmlformats.org/drawingml/2006/picture">
                        <pic:nvPicPr>
                          <pic:cNvPr id="83" name="图片_40"/>
                          <pic:cNvPicPr/>
                        </pic:nvPicPr>
                        <pic:blipFill>
                          <a:blip r:embed="rId19"/>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02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20A3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E18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C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圆脚四层平板层架</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5A2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台面优质304不锈钢冷轧板制造；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要求台面304不锈钢≥1.2mm；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台面加强处理，下衬加强筋为304不锈钢≥1.2mm；                                                                                                  立柱为304不锈钢Φ38×1.2mm,配全钢子弹调节脚。</w:t>
            </w:r>
          </w:p>
          <w:p w14:paraId="61435B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1200*500*1550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3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6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E6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97" name="图片_42"/>
                  <wp:cNvGraphicFramePr/>
                  <a:graphic xmlns:a="http://schemas.openxmlformats.org/drawingml/2006/main">
                    <a:graphicData uri="http://schemas.openxmlformats.org/drawingml/2006/picture">
                      <pic:pic xmlns:pic="http://schemas.openxmlformats.org/drawingml/2006/picture">
                        <pic:nvPicPr>
                          <pic:cNvPr id="97" name="图片_42"/>
                          <pic:cNvPicPr/>
                        </pic:nvPicPr>
                        <pic:blipFill>
                          <a:blip r:embed="rId19"/>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5A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2D52B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433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6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双温库</w:t>
            </w:r>
          </w:p>
        </w:tc>
        <w:tc>
          <w:tcPr>
            <w:tcW w:w="6339" w:type="dxa"/>
            <w:tcBorders>
              <w:top w:val="nil"/>
              <w:left w:val="single" w:color="000000" w:sz="4" w:space="0"/>
              <w:bottom w:val="single" w:color="000000" w:sz="4" w:space="0"/>
              <w:right w:val="single" w:color="000000" w:sz="4" w:space="0"/>
            </w:tcBorders>
            <w:shd w:val="clear" w:color="auto" w:fill="auto"/>
            <w:vAlign w:val="center"/>
          </w:tcPr>
          <w:p w14:paraId="2C190F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技术要求：—聚氨酯双面不锈钢板面板,厚度为1.0mm，冷藏调试温度：2℃~-12℃；冷冻调试温度：0℃~-18℃。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—带标记的不含氟氯化碳的氨甲酸乙酯隔热发泡层，120mm 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—采用硅胶可耐零下40度低温：制冷压缩机采用功率5KW及以上，压缩机：艾默生，冷风机为上海耀达品牌；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—冷风机ＤＤ－２２为上海帝亚冷风机   品牌：制冷剂为原装巨化：所有电工电料、管道配件、电控柜均为一线品牌；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—配重力回归门；</w:t>
            </w:r>
          </w:p>
          <w:p w14:paraId="7AFAE2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85000*2200*2800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4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5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B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48895</wp:posOffset>
                  </wp:positionH>
                  <wp:positionV relativeFrom="paragraph">
                    <wp:posOffset>27940</wp:posOffset>
                  </wp:positionV>
                  <wp:extent cx="835025" cy="835025"/>
                  <wp:effectExtent l="0" t="0" r="3175" b="3175"/>
                  <wp:wrapNone/>
                  <wp:docPr id="107" name="图片_46"/>
                  <wp:cNvGraphicFramePr/>
                  <a:graphic xmlns:a="http://schemas.openxmlformats.org/drawingml/2006/main">
                    <a:graphicData uri="http://schemas.openxmlformats.org/drawingml/2006/picture">
                      <pic:pic xmlns:pic="http://schemas.openxmlformats.org/drawingml/2006/picture">
                        <pic:nvPicPr>
                          <pic:cNvPr id="107" name="图片_46"/>
                          <pic:cNvPicPr/>
                        </pic:nvPicPr>
                        <pic:blipFill>
                          <a:blip r:embed="rId20"/>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3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和顺/冰河/七十二度</w:t>
            </w:r>
            <w:r>
              <w:rPr>
                <w:rFonts w:hint="eastAsia" w:ascii="宋体" w:hAnsi="宋体" w:eastAsia="宋体" w:cs="宋体"/>
                <w:i w:val="0"/>
                <w:iCs w:val="0"/>
                <w:color w:val="000000"/>
                <w:kern w:val="0"/>
                <w:sz w:val="21"/>
                <w:szCs w:val="21"/>
                <w:u w:val="none"/>
                <w:lang w:val="en-US" w:eastAsia="zh-CN" w:bidi="ar"/>
              </w:rPr>
              <w:t>（相当或更优）</w:t>
            </w:r>
          </w:p>
        </w:tc>
      </w:tr>
      <w:tr w14:paraId="4C425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51B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5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商用米糊豆浆机</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A5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轴流磨粉碎，立体环绕加热技术，最大容量25L，全部电脑自动控制，  电压/频率：≥220V/50HZ  制浆容量：≥20L/次 输入功率：≥5370W/32A 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416*416*1100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3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B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1079">
            <w:pPr>
              <w:rPr>
                <w:rFonts w:hint="eastAsia" w:ascii="宋体" w:hAnsi="宋体" w:eastAsia="宋体" w:cs="宋体"/>
                <w:i w:val="0"/>
                <w:iCs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2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九阳/禾元/伊东（相当或更优）</w:t>
            </w:r>
          </w:p>
        </w:tc>
      </w:tr>
      <w:tr w14:paraId="5D547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425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19</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6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挂墙双层板(侧开口）</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F7D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—采用优质304不锈钢冷轧板制造；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—台面304不锈钢≥1.2mm，加强筋≥1.2mm；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—层板304不锈钢≥1.2mm，加强筋≥1.2mm；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—立柱304不锈钢38*38×1.2mm不锈钢方管</w:t>
            </w:r>
          </w:p>
          <w:p w14:paraId="0DE3FD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2500*300*400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1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E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57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40005</wp:posOffset>
                  </wp:positionH>
                  <wp:positionV relativeFrom="paragraph">
                    <wp:posOffset>80645</wp:posOffset>
                  </wp:positionV>
                  <wp:extent cx="835025" cy="698500"/>
                  <wp:effectExtent l="0" t="0" r="3175" b="6350"/>
                  <wp:wrapNone/>
                  <wp:docPr id="82" name="图片_50"/>
                  <wp:cNvGraphicFramePr/>
                  <a:graphic xmlns:a="http://schemas.openxmlformats.org/drawingml/2006/main">
                    <a:graphicData uri="http://schemas.openxmlformats.org/drawingml/2006/picture">
                      <pic:pic xmlns:pic="http://schemas.openxmlformats.org/drawingml/2006/picture">
                        <pic:nvPicPr>
                          <pic:cNvPr id="82" name="图片_50"/>
                          <pic:cNvPicPr/>
                        </pic:nvPicPr>
                        <pic:blipFill>
                          <a:blip r:embed="rId21"/>
                          <a:stretch>
                            <a:fillRect/>
                          </a:stretch>
                        </pic:blipFill>
                        <pic:spPr>
                          <a:xfrm>
                            <a:off x="0" y="0"/>
                            <a:ext cx="835025" cy="698500"/>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11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7F9CD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1F7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5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单门单星盆柜</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668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台面：≥304-1.2mm不锈钢板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2.水斗：≥304-1.2mm不锈钢板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3.柜体：≥304-1.2mm不锈钢板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4.柜门：≥304-1.2mm不锈钢板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5.加强筋：≥1.2mm不锈钢板</w:t>
            </w:r>
          </w:p>
          <w:p w14:paraId="71B340A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2"/>
                <w:sz w:val="20"/>
                <w:szCs w:val="20"/>
                <w:lang w:val="en-US" w:eastAsia="zh-CN" w:bidi="ar-SA"/>
              </w:rPr>
              <w:t>6</w:t>
            </w:r>
            <w:r>
              <w:rPr>
                <w:rFonts w:hint="eastAsia" w:ascii="宋体" w:hAnsi="宋体" w:eastAsia="宋体" w:cs="宋体"/>
                <w:i w:val="0"/>
                <w:iCs w:val="0"/>
                <w:color w:val="000000"/>
                <w:kern w:val="2"/>
                <w:sz w:val="20"/>
                <w:szCs w:val="20"/>
                <w:lang w:val="en-US" w:eastAsia="zh-CN" w:bidi="ar-SA"/>
              </w:rPr>
              <w:t>.</w:t>
            </w: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700*800*800+100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.台脚：可调节不锈钢重力脚</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C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D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EA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110" name="图片_52"/>
                  <wp:cNvGraphicFramePr/>
                  <a:graphic xmlns:a="http://schemas.openxmlformats.org/drawingml/2006/main">
                    <a:graphicData uri="http://schemas.openxmlformats.org/drawingml/2006/picture">
                      <pic:pic xmlns:pic="http://schemas.openxmlformats.org/drawingml/2006/picture">
                        <pic:nvPicPr>
                          <pic:cNvPr id="110" name="图片_52"/>
                          <pic:cNvPicPr/>
                        </pic:nvPicPr>
                        <pic:blipFill>
                          <a:blip r:embed="rId22"/>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8D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68DB2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9D9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21</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3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电热蒸饭车</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9F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用材标准：优质无磁304不锈钢                                                 规格：双门12盘；                                                               电压：≥380V；                                                                   功率：≥12KW。</w:t>
            </w:r>
          </w:p>
          <w:p w14:paraId="52A2EB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700*700*1500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6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4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3C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108" name="图片_54"/>
                  <wp:cNvGraphicFramePr/>
                  <a:graphic xmlns:a="http://schemas.openxmlformats.org/drawingml/2006/main">
                    <a:graphicData uri="http://schemas.openxmlformats.org/drawingml/2006/picture">
                      <pic:pic xmlns:pic="http://schemas.openxmlformats.org/drawingml/2006/picture">
                        <pic:nvPicPr>
                          <pic:cNvPr id="108" name="图片_54"/>
                          <pic:cNvPicPr/>
                        </pic:nvPicPr>
                        <pic:blipFill>
                          <a:blip r:embed="rId23"/>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D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德玛仕/联众/宇王</w:t>
            </w:r>
            <w:r>
              <w:rPr>
                <w:rFonts w:hint="eastAsia" w:ascii="宋体" w:hAnsi="宋体" w:eastAsia="宋体" w:cs="宋体"/>
                <w:i w:val="0"/>
                <w:iCs w:val="0"/>
                <w:color w:val="000000"/>
                <w:kern w:val="0"/>
                <w:sz w:val="21"/>
                <w:szCs w:val="21"/>
                <w:u w:val="none"/>
                <w:lang w:val="en-US" w:eastAsia="zh-CN" w:bidi="ar"/>
              </w:rPr>
              <w:t>（相当或更优）</w:t>
            </w:r>
          </w:p>
        </w:tc>
      </w:tr>
      <w:tr w14:paraId="505BE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82F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22</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1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平台雪柜</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1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1.容量：≥480L                                                                                                                                                                             2.功率：≥220V/158W                                                                                                                                                                 3、双间室双机双温可单独控制，触摸屏电子温控器、液晶超白光数字温度显示、箱内实际温度与数字显示温度差不超过2℃；                                                                                      4、箱体整体发泡，包括工作台面以确保整体强度，保温层密度不低于38kg/m³；                                                                                                               5、外壳及内胆材料采用优质201不锈钢，外壳部分的材料实际厚度最低不得低于0.4mm，正面门体及前罩等外表面采用油磨抗指纹处理并覆透明膜；                                                         6、采用高效节能、环保的制冷系统，铜管蒸发器、钢丝冷凝器、良好的散热效果，制冷系统需承诺三年不得内漏；机舱后部封闭不得影响散热功能（风扇散热方向需超向开门方向）。                                                                                7、</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国内主流品牌压缩机、纯铜线散热风机、电源线引出柜体外长度不得低于1.8米，产品布线及主导线线径截面积不得低于0.75mm²；主要电器部件提供对应的有效的CCC认证证书，至少需提供：压缩机、风机、电源线、插头、接线端子主要电器部件有效的CCC证书扫描件（或电子文档）；                                                                                        8、★产品整机安全性能必须符合GB4706.1\GB4706.13\GB4343.1\GB17625.1的标准要求，并提供有效的带有CMA标识的检测报告扫描件；提供对应本产品要求的CCC认证证书；                                                                         9、</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产品制冷性能及能效等级要求：根据GB26920.2及SB/T10794.2国家能效测试标准中规定的标准气候类型4的工况下能效等级不得低于2级；已经获得能效备案的需提供已经备案的对应产品的能效标识三份；                                                                                                                                                              10、★产品需经过食品接触产品安全检测并提供带有CMA标志的检测报告；并获得食品接触产品卫生认证及食品接触产品安全认证证书。、产品需经过电器电子产品国推ROHS认证并提供有效的认证证书；                                                                                                                                                                      11、★响应国家减碳的要求，获得过商用冷柜超节能产品获得证书的投标机构优先采用。                                                                                                    12、★为满足不同客户对产品恶劣使用环境的需求，获得过商用冷柜超高温优品认证证书的投标机构优先采用。                                                                             13.尺寸： 1800*800*800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6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2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1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116205</wp:posOffset>
                  </wp:positionH>
                  <wp:positionV relativeFrom="paragraph">
                    <wp:posOffset>-579120</wp:posOffset>
                  </wp:positionV>
                  <wp:extent cx="835025" cy="835025"/>
                  <wp:effectExtent l="0" t="0" r="3175" b="3175"/>
                  <wp:wrapNone/>
                  <wp:docPr id="109" name="图片_56"/>
                  <wp:cNvGraphicFramePr/>
                  <a:graphic xmlns:a="http://schemas.openxmlformats.org/drawingml/2006/main">
                    <a:graphicData uri="http://schemas.openxmlformats.org/drawingml/2006/picture">
                      <pic:pic xmlns:pic="http://schemas.openxmlformats.org/drawingml/2006/picture">
                        <pic:nvPicPr>
                          <pic:cNvPr id="109" name="图片_56"/>
                          <pic:cNvPicPr/>
                        </pic:nvPicPr>
                        <pic:blipFill>
                          <a:blip r:embed="rId11"/>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C2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5B94C0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5671CF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6D75D8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7C6BF2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4A5609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3716BE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4FF309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722892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4D5ECB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75F48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冰厨/美厨/凯普顿（相当或更优）</w:t>
            </w:r>
          </w:p>
        </w:tc>
      </w:tr>
      <w:tr w14:paraId="7126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6D2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23</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9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落地式电饼铛</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1D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采用电热管加热，铝制锅面，箱体箱盖采用不锈钢拉伸成型；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在控温方面，采用上下电热管双表控温，采用电热铛专用控温仪；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全部原器件采用插接联接，并可互换；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功率：≥4.8KW/220V。</w:t>
            </w:r>
          </w:p>
          <w:p w14:paraId="38EBB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650*790*900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D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2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2C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wp:posOffset>
                  </wp:positionH>
                  <wp:positionV relativeFrom="paragraph">
                    <wp:posOffset>34925</wp:posOffset>
                  </wp:positionV>
                  <wp:extent cx="835025" cy="673100"/>
                  <wp:effectExtent l="0" t="0" r="3175" b="12700"/>
                  <wp:wrapNone/>
                  <wp:docPr id="86" name="图片_58"/>
                  <wp:cNvGraphicFramePr/>
                  <a:graphic xmlns:a="http://schemas.openxmlformats.org/drawingml/2006/main">
                    <a:graphicData uri="http://schemas.openxmlformats.org/drawingml/2006/picture">
                      <pic:pic xmlns:pic="http://schemas.openxmlformats.org/drawingml/2006/picture">
                        <pic:nvPicPr>
                          <pic:cNvPr id="86" name="图片_58"/>
                          <pic:cNvPicPr/>
                        </pic:nvPicPr>
                        <pic:blipFill>
                          <a:blip r:embed="rId24"/>
                          <a:stretch>
                            <a:fillRect/>
                          </a:stretch>
                        </pic:blipFill>
                        <pic:spPr>
                          <a:xfrm>
                            <a:off x="0" y="0"/>
                            <a:ext cx="835025" cy="673100"/>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A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联众/汇泉/金佰特（相当或更优）</w:t>
            </w:r>
          </w:p>
        </w:tc>
      </w:tr>
      <w:tr w14:paraId="4B45F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E62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24</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B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炉拼台</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4F8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台面：≥304-1.2mm不锈钢板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2.面板/背板：≥304-1.2mm不锈钢板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3.加强筋：≥1.2mm不锈钢板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4.立柱：ø38×1.0mm不锈钢圆管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5.台脚：可调节不锈钢子弹脚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6.规格：≥600×1000×800mm</w:t>
            </w:r>
          </w:p>
          <w:p w14:paraId="7FF0427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2"/>
                <w:sz w:val="20"/>
                <w:szCs w:val="20"/>
                <w:lang w:val="en-US" w:eastAsia="zh-CN" w:bidi="ar-SA"/>
              </w:rPr>
              <w:t>7</w:t>
            </w:r>
            <w:r>
              <w:rPr>
                <w:rFonts w:hint="eastAsia" w:ascii="宋体" w:hAnsi="宋体" w:eastAsia="宋体" w:cs="宋体"/>
                <w:i w:val="0"/>
                <w:iCs w:val="0"/>
                <w:color w:val="000000"/>
                <w:kern w:val="2"/>
                <w:sz w:val="20"/>
                <w:szCs w:val="20"/>
                <w:lang w:val="en-US" w:eastAsia="zh-CN" w:bidi="ar-SA"/>
              </w:rPr>
              <w:t>.</w:t>
            </w: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400*1000*800+450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0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D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3D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88" name="图片_60"/>
                  <wp:cNvGraphicFramePr/>
                  <a:graphic xmlns:a="http://schemas.openxmlformats.org/drawingml/2006/main">
                    <a:graphicData uri="http://schemas.openxmlformats.org/drawingml/2006/picture">
                      <pic:pic xmlns:pic="http://schemas.openxmlformats.org/drawingml/2006/picture">
                        <pic:nvPicPr>
                          <pic:cNvPr id="88" name="图片_60"/>
                          <pic:cNvPicPr/>
                        </pic:nvPicPr>
                        <pic:blipFill>
                          <a:blip r:embed="rId25"/>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4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联众/汇泉/金佰特（相当或更优）</w:t>
            </w:r>
          </w:p>
        </w:tc>
      </w:tr>
      <w:tr w14:paraId="07035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80A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25</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E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电磁双头单尾小炒炉</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top"/>
          </w:tcPr>
          <w:p w14:paraId="0092C49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用材标准：优质无磁304不锈钢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1、炉面：≥1.5mm不锈钢，炮台整体拉伸成型，为保证卫生安全炉灶边柜与炉面必须一体折弯成型;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2、封板：≥1.2mm不锈钢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3、背板：≥1.2mm不锈钢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4、侧板：≥1.2mm不锈钢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5、底板：≥1.5mm镀锌板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6、炉脚：Ø50mm钢管；外包不锈钢套管，配可包钢调子弹脚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7、实时熄火保护设计;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8、炉灶内骨架：≥40×40不锈钢/铝合金构造，防腐耐用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9、主气管：无缝钢管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10、其余：排烟采用A3板排烟道和304#2B防腐性能的食品级不锈钢板排烟口并做隔热层                                                                                         11.电压功率：≥380V/25KW                                                                           12.微晶面板：≥400*2</w:t>
            </w:r>
          </w:p>
          <w:p w14:paraId="7EF15A8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13.</w:t>
            </w: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1800*1000*800+450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5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7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57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71120</wp:posOffset>
                  </wp:positionH>
                  <wp:positionV relativeFrom="paragraph">
                    <wp:posOffset>369570</wp:posOffset>
                  </wp:positionV>
                  <wp:extent cx="835025" cy="835025"/>
                  <wp:effectExtent l="0" t="0" r="3175" b="3175"/>
                  <wp:wrapNone/>
                  <wp:docPr id="95" name="图片_62"/>
                  <wp:cNvGraphicFramePr/>
                  <a:graphic xmlns:a="http://schemas.openxmlformats.org/drawingml/2006/main">
                    <a:graphicData uri="http://schemas.openxmlformats.org/drawingml/2006/picture">
                      <pic:pic xmlns:pic="http://schemas.openxmlformats.org/drawingml/2006/picture">
                        <pic:nvPicPr>
                          <pic:cNvPr id="95" name="图片_62"/>
                          <pic:cNvPicPr/>
                        </pic:nvPicPr>
                        <pic:blipFill>
                          <a:blip r:embed="rId26"/>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B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联众/汇泉/金佰特（相当或更优）</w:t>
            </w:r>
          </w:p>
        </w:tc>
      </w:tr>
      <w:tr w14:paraId="18292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DC4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26</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2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油烟净化一体机</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top"/>
          </w:tcPr>
          <w:p w14:paraId="50D64E8A">
            <w:pPr>
              <w:keepNext w:val="0"/>
              <w:keepLines w:val="0"/>
              <w:widowControl/>
              <w:numPr>
                <w:ilvl w:val="0"/>
                <w:numId w:val="6"/>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烟罩分段制作，可分多个单元组成，安装方便，美观牢固，每份收集组件都有检修门，检修门都带有锁定装置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排烟罩采用304不锈钢板材制作，表面拉丝处理，烟罩体板材厚度1.2mm，接驳口满焊处理，边缘双折边防剌手设计，烟罩底部风阀调节设计（可在天花底下调节风量），排烟罩设有污油凝结槽并设活动载油器，集风幕、前补新风、耐温、耐酸碱、阻燃、耐磨、耐拉排油烟设备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每节烟罩均配置紫外线光解净化装置，每单元配置灯管数量不少于4根，UV-C灯管（使用寿命不低于8000h）和镇流器，油烟通过紫外线光解后直接分解为二氧化碳和水，有效阻止油烟进入烟道，提高安全性，减少火灾的隐患 ，UV控制系统设有远程监控系统，实时监测每根灯管故障和使用情况以及使用寿命；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每节烟罩均配有防水LED照明装置，照明亮度不少于400 LUX每平方米，易拆式不锈钢检修门，内嵌式磨砂钢化玻璃和专用密封条密封，有效防止油烟进入影响照明，最高耐温达到300摄氏度以上，灯光柔和使用更安全；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配备独立控制的捕捉风幕技术，专用捕捉气流静音风扇、旋风式油网、捕射气流油网烟罩，捕捉气流可有效捕获和克制油烟、蒸汽和热量的外溢，每个单元排风量可控制到4000m³/h以内，有效提升排风效果；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UV净化器外壳全部为SUS304不锈钢材料制造，每份收集组件都有独立的检修门和配电盒，检修门都可配置联锁装置，使用方便，更加安全；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额定排风量下的阻力100Pa；风速不超过每秒3米；保持停留时间，有利于油烟净化，电源能够检测到高压开路的故障并及时保护；带有短路保护和过热保护装置；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油烟净化效率95%，颗粒物净化95%，非甲烷总烃85%；油烟排放浓度1mg/m3 ，颗粒物排放浓度2.0mg/m3，非甲烷总烃排放浓度4.0mg/m3，UV油烟净化器的臭氧允许增加量0.16 mg/ m3（1h均值），有效去油除味.。</w:t>
            </w:r>
          </w:p>
          <w:p w14:paraId="40B941D5">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1400*1100*550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4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5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D4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41275</wp:posOffset>
                  </wp:positionH>
                  <wp:positionV relativeFrom="paragraph">
                    <wp:posOffset>1368425</wp:posOffset>
                  </wp:positionV>
                  <wp:extent cx="912495" cy="750570"/>
                  <wp:effectExtent l="0" t="0" r="1905" b="11430"/>
                  <wp:wrapNone/>
                  <wp:docPr id="92" name="图片_9"/>
                  <wp:cNvGraphicFramePr/>
                  <a:graphic xmlns:a="http://schemas.openxmlformats.org/drawingml/2006/main">
                    <a:graphicData uri="http://schemas.openxmlformats.org/drawingml/2006/picture">
                      <pic:pic xmlns:pic="http://schemas.openxmlformats.org/drawingml/2006/picture">
                        <pic:nvPicPr>
                          <pic:cNvPr id="92" name="图片_9"/>
                          <pic:cNvPicPr/>
                        </pic:nvPicPr>
                        <pic:blipFill>
                          <a:blip r:embed="rId27"/>
                          <a:stretch>
                            <a:fillRect/>
                          </a:stretch>
                        </pic:blipFill>
                        <pic:spPr>
                          <a:xfrm>
                            <a:off x="0" y="0"/>
                            <a:ext cx="912495" cy="750570"/>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43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联众/汇泉/亿科（相当或更优）</w:t>
            </w:r>
          </w:p>
        </w:tc>
      </w:tr>
      <w:tr w14:paraId="2286F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C8E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27</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E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电磁双头矮汤炉</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top"/>
          </w:tcPr>
          <w:p w14:paraId="0144B8B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用材标准：优质无磁304不锈钢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1、炉面：≥1.5mm不锈钢，炮台整体拉伸成型，为保证卫生安全炉灶边柜与炉面必须一体折弯成型;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2、封板：≥1.2mm不锈钢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3、背板：≥1.2mm不锈钢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4、侧板：≥1.2mm不锈钢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5、底板：≥1.5mm镀锌板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6、炉脚：Ø50mm钢管；外包不锈钢套管，配可包钢调子弹脚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7、炉灶内骨架：≥40×40不锈钢/铝合金构造，防腐耐用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8、主气管：无缝钢管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9、其余：排烟采用A3板排烟道和304#2B防腐性能的食品级不锈钢板排烟口并做隔热层                                                                                         110.电压功率：≥380V/30KW                                                                           12.微晶面板：≥400*2                                                                              </w:t>
            </w:r>
            <w:r>
              <w:rPr>
                <w:rFonts w:hint="eastAsia" w:ascii="宋体" w:hAnsi="宋体" w:cs="宋体"/>
                <w:i w:val="0"/>
                <w:iCs w:val="0"/>
                <w:color w:val="000000"/>
                <w:kern w:val="0"/>
                <w:sz w:val="20"/>
                <w:szCs w:val="20"/>
                <w:u w:val="none"/>
                <w:lang w:val="en-US" w:eastAsia="zh-CN" w:bidi="ar"/>
              </w:rPr>
              <w:t>13.</w:t>
            </w:r>
            <w:r>
              <w:rPr>
                <w:rFonts w:hint="eastAsia" w:ascii="宋体" w:hAnsi="宋体" w:eastAsia="宋体" w:cs="宋体"/>
                <w:i w:val="0"/>
                <w:iCs w:val="0"/>
                <w:color w:val="000000"/>
                <w:kern w:val="0"/>
                <w:sz w:val="20"/>
                <w:szCs w:val="20"/>
                <w:u w:val="none"/>
                <w:lang w:val="en-US" w:eastAsia="zh-CN" w:bidi="ar"/>
              </w:rPr>
              <w:t>打桶外径：≥600mm</w:t>
            </w:r>
          </w:p>
          <w:p w14:paraId="45F6230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1200*800*600+650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7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5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9E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107315</wp:posOffset>
                  </wp:positionH>
                  <wp:positionV relativeFrom="paragraph">
                    <wp:posOffset>568960</wp:posOffset>
                  </wp:positionV>
                  <wp:extent cx="867410" cy="900430"/>
                  <wp:effectExtent l="0" t="0" r="8890" b="13970"/>
                  <wp:wrapNone/>
                  <wp:docPr id="84" name="图片_13"/>
                  <wp:cNvGraphicFramePr/>
                  <a:graphic xmlns:a="http://schemas.openxmlformats.org/drawingml/2006/main">
                    <a:graphicData uri="http://schemas.openxmlformats.org/drawingml/2006/picture">
                      <pic:pic xmlns:pic="http://schemas.openxmlformats.org/drawingml/2006/picture">
                        <pic:nvPicPr>
                          <pic:cNvPr id="84" name="图片_13"/>
                          <pic:cNvPicPr/>
                        </pic:nvPicPr>
                        <pic:blipFill>
                          <a:blip r:embed="rId28"/>
                          <a:stretch>
                            <a:fillRect/>
                          </a:stretch>
                        </pic:blipFill>
                        <pic:spPr>
                          <a:xfrm>
                            <a:off x="0" y="0"/>
                            <a:ext cx="867410" cy="900430"/>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D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联众/汇泉/金佰特（相当或更优）</w:t>
            </w:r>
          </w:p>
        </w:tc>
      </w:tr>
      <w:tr w14:paraId="2C3BD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532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28</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1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四头电磁煲仔炉</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DD698">
            <w:pPr>
              <w:keepNext w:val="0"/>
              <w:keepLines w:val="0"/>
              <w:widowControl/>
              <w:suppressLineNumbers w:val="0"/>
              <w:jc w:val="left"/>
              <w:textAlignment w:val="center"/>
              <w:rPr>
                <w:rStyle w:val="60"/>
                <w:sz w:val="20"/>
                <w:szCs w:val="20"/>
                <w:lang w:val="en-US" w:eastAsia="zh-CN" w:bidi="ar"/>
              </w:rPr>
            </w:pPr>
            <w:r>
              <w:rPr>
                <w:rStyle w:val="60"/>
                <w:sz w:val="20"/>
                <w:szCs w:val="20"/>
                <w:lang w:val="en-US" w:eastAsia="zh-CN" w:bidi="ar"/>
              </w:rPr>
              <w:t>额定输入电压</w:t>
            </w:r>
            <w:r>
              <w:rPr>
                <w:rFonts w:hint="eastAsia" w:ascii="宋体" w:hAnsi="宋体" w:eastAsia="宋体" w:cs="宋体"/>
                <w:i w:val="0"/>
                <w:iCs w:val="0"/>
                <w:color w:val="000000"/>
                <w:kern w:val="0"/>
                <w:sz w:val="20"/>
                <w:szCs w:val="20"/>
                <w:u w:val="none"/>
                <w:lang w:val="en-US" w:eastAsia="zh-CN" w:bidi="ar"/>
              </w:rPr>
              <w:t>≥</w:t>
            </w:r>
            <w:r>
              <w:rPr>
                <w:rStyle w:val="60"/>
                <w:sz w:val="20"/>
                <w:szCs w:val="20"/>
                <w:lang w:val="en-US" w:eastAsia="zh-CN" w:bidi="ar"/>
              </w:rPr>
              <w:t>380V，输出功率</w:t>
            </w:r>
            <w:r>
              <w:rPr>
                <w:rFonts w:hint="eastAsia" w:ascii="宋体" w:hAnsi="宋体" w:eastAsia="宋体" w:cs="宋体"/>
                <w:i w:val="0"/>
                <w:iCs w:val="0"/>
                <w:color w:val="000000"/>
                <w:kern w:val="0"/>
                <w:sz w:val="20"/>
                <w:szCs w:val="20"/>
                <w:u w:val="none"/>
                <w:lang w:val="en-US" w:eastAsia="zh-CN" w:bidi="ar"/>
              </w:rPr>
              <w:t>≥</w:t>
            </w:r>
            <w:r>
              <w:rPr>
                <w:rStyle w:val="60"/>
                <w:sz w:val="20"/>
                <w:szCs w:val="20"/>
                <w:lang w:val="en-US" w:eastAsia="zh-CN" w:bidi="ar"/>
              </w:rPr>
              <w:t>2.5KW*6，工作频率</w:t>
            </w:r>
            <w:r>
              <w:rPr>
                <w:rFonts w:hint="eastAsia" w:ascii="宋体" w:hAnsi="宋体" w:eastAsia="宋体" w:cs="宋体"/>
                <w:i w:val="0"/>
                <w:iCs w:val="0"/>
                <w:color w:val="000000"/>
                <w:kern w:val="0"/>
                <w:sz w:val="20"/>
                <w:szCs w:val="20"/>
                <w:u w:val="none"/>
                <w:lang w:val="en-US" w:eastAsia="zh-CN" w:bidi="ar"/>
              </w:rPr>
              <w:t>≥</w:t>
            </w:r>
            <w:r>
              <w:rPr>
                <w:rStyle w:val="60"/>
                <w:sz w:val="20"/>
                <w:szCs w:val="20"/>
                <w:lang w:val="en-US" w:eastAsia="zh-CN" w:bidi="ar"/>
              </w:rPr>
              <w:t>50/60Hz，炉面采用</w:t>
            </w:r>
            <w:r>
              <w:rPr>
                <w:rFonts w:hint="eastAsia" w:ascii="宋体" w:hAnsi="宋体" w:eastAsia="宋体" w:cs="宋体"/>
                <w:i w:val="0"/>
                <w:iCs w:val="0"/>
                <w:color w:val="000000"/>
                <w:kern w:val="0"/>
                <w:sz w:val="20"/>
                <w:szCs w:val="20"/>
                <w:u w:val="none"/>
                <w:lang w:val="en-US" w:eastAsia="zh-CN" w:bidi="ar"/>
              </w:rPr>
              <w:t>≥</w:t>
            </w:r>
            <w:r>
              <w:rPr>
                <w:rStyle w:val="60"/>
                <w:sz w:val="20"/>
                <w:szCs w:val="20"/>
                <w:lang w:val="en-US" w:eastAsia="zh-CN" w:bidi="ar"/>
              </w:rPr>
              <w:t>304#1.5mm不锈钢,柜体采用</w:t>
            </w:r>
            <w:r>
              <w:rPr>
                <w:rFonts w:hint="eastAsia" w:ascii="宋体" w:hAnsi="宋体" w:eastAsia="宋体" w:cs="宋体"/>
                <w:i w:val="0"/>
                <w:iCs w:val="0"/>
                <w:color w:val="000000"/>
                <w:kern w:val="0"/>
                <w:sz w:val="20"/>
                <w:szCs w:val="20"/>
                <w:u w:val="none"/>
                <w:lang w:val="en-US" w:eastAsia="zh-CN" w:bidi="ar"/>
              </w:rPr>
              <w:t>≥</w:t>
            </w:r>
            <w:r>
              <w:rPr>
                <w:rStyle w:val="60"/>
                <w:sz w:val="20"/>
                <w:szCs w:val="20"/>
                <w:lang w:val="en-US" w:eastAsia="zh-CN" w:bidi="ar"/>
              </w:rPr>
              <w:t>304</w:t>
            </w:r>
            <w:r>
              <w:rPr>
                <w:rFonts w:hint="eastAsia" w:ascii="宋体" w:hAnsi="宋体" w:eastAsia="宋体" w:cs="宋体"/>
                <w:i/>
                <w:iCs/>
                <w:color w:val="000000"/>
                <w:kern w:val="0"/>
                <w:sz w:val="20"/>
                <w:szCs w:val="20"/>
                <w:u w:val="none"/>
                <w:lang w:val="en-US" w:eastAsia="zh-CN" w:bidi="ar"/>
              </w:rPr>
              <w:t>#</w:t>
            </w:r>
            <w:r>
              <w:rPr>
                <w:rStyle w:val="60"/>
                <w:sz w:val="20"/>
                <w:szCs w:val="20"/>
                <w:lang w:val="en-US" w:eastAsia="zh-CN" w:bidi="ar"/>
              </w:rPr>
              <w:t>1.2mm不锈钢；</w:t>
            </w:r>
            <w:r>
              <w:rPr>
                <w:rStyle w:val="60"/>
                <w:sz w:val="20"/>
                <w:szCs w:val="20"/>
                <w:lang w:val="en-US" w:eastAsia="zh-CN" w:bidi="ar"/>
              </w:rPr>
              <w:br w:type="textWrapping"/>
            </w:r>
            <w:r>
              <w:rPr>
                <w:rStyle w:val="60"/>
                <w:sz w:val="20"/>
                <w:szCs w:val="20"/>
                <w:lang w:val="en-US" w:eastAsia="zh-CN" w:bidi="ar"/>
              </w:rPr>
              <w:t>2、锅具符合食品级材质，导热性强，高效节能，耐高温，耐用；</w:t>
            </w:r>
            <w:r>
              <w:rPr>
                <w:rStyle w:val="60"/>
                <w:sz w:val="20"/>
                <w:szCs w:val="20"/>
                <w:lang w:val="en-US" w:eastAsia="zh-CN" w:bidi="ar"/>
              </w:rPr>
              <w:br w:type="textWrapping"/>
            </w:r>
            <w:r>
              <w:rPr>
                <w:rStyle w:val="60"/>
                <w:sz w:val="20"/>
                <w:szCs w:val="20"/>
                <w:lang w:val="en-US" w:eastAsia="zh-CN" w:bidi="ar"/>
              </w:rPr>
              <w:t>3、一体化防水技术LED数码中文显示器，可目视化管理及直观操作，视觉冲击力强。同时，显示器具备电量累计每日，每周，每月，加热状态呈现由图标与加热中文显示，火力显示由数字与火力分布相互结合；</w:t>
            </w:r>
            <w:r>
              <w:rPr>
                <w:rStyle w:val="60"/>
                <w:sz w:val="20"/>
                <w:szCs w:val="20"/>
                <w:lang w:val="en-US" w:eastAsia="zh-CN" w:bidi="ar"/>
              </w:rPr>
              <w:br w:type="textWrapping"/>
            </w:r>
            <w:r>
              <w:rPr>
                <w:rStyle w:val="60"/>
                <w:sz w:val="20"/>
                <w:szCs w:val="20"/>
                <w:lang w:val="en-US" w:eastAsia="zh-CN" w:bidi="ar"/>
              </w:rPr>
              <w:t>4、设备控制系统CPU中央处理器采用64位及先进技术IGBT，启动进入自检模式，具备36种自动故障诊断功能使产品更智能化；</w:t>
            </w:r>
            <w:r>
              <w:rPr>
                <w:rStyle w:val="60"/>
                <w:sz w:val="20"/>
                <w:szCs w:val="20"/>
                <w:lang w:val="en-US" w:eastAsia="zh-CN" w:bidi="ar"/>
              </w:rPr>
              <w:br w:type="textWrapping"/>
            </w:r>
            <w:r>
              <w:rPr>
                <w:rStyle w:val="60"/>
                <w:sz w:val="20"/>
                <w:szCs w:val="20"/>
                <w:lang w:val="en-US" w:eastAsia="zh-CN" w:bidi="ar"/>
              </w:rPr>
              <w:t>5、自主磁控开关99档火力调节，火力可自由分配，实现微火、中火、猛火随意调节，火力大小显示器可同步显示；</w:t>
            </w:r>
            <w:r>
              <w:rPr>
                <w:rStyle w:val="60"/>
                <w:sz w:val="20"/>
                <w:szCs w:val="20"/>
                <w:lang w:val="en-US" w:eastAsia="zh-CN" w:bidi="ar"/>
              </w:rPr>
              <w:br w:type="textWrapping"/>
            </w:r>
            <w:r>
              <w:rPr>
                <w:rStyle w:val="60"/>
                <w:sz w:val="20"/>
                <w:szCs w:val="20"/>
                <w:lang w:val="en-US" w:eastAsia="zh-CN" w:bidi="ar"/>
              </w:rPr>
              <w:t>6、PPS“齿”形线盘组件，采用紫铜耐高温阻燃漆包线发热均匀，耐高温，散热效果好，线序布局美观同时使用寿命长；</w:t>
            </w:r>
            <w:r>
              <w:rPr>
                <w:rStyle w:val="60"/>
                <w:sz w:val="20"/>
                <w:szCs w:val="20"/>
                <w:lang w:val="en-US" w:eastAsia="zh-CN" w:bidi="ar"/>
              </w:rPr>
              <w:br w:type="textWrapping"/>
            </w:r>
            <w:r>
              <w:rPr>
                <w:rStyle w:val="60"/>
                <w:sz w:val="20"/>
                <w:szCs w:val="20"/>
                <w:lang w:val="en-US" w:eastAsia="zh-CN" w:bidi="ar"/>
              </w:rPr>
              <w:t>7、产品热效率不低于95%，模块化全封闭分层负压散热设计，防油烟，防湿气，防蟑螂到达三防效果；</w:t>
            </w:r>
            <w:r>
              <w:rPr>
                <w:rStyle w:val="60"/>
                <w:sz w:val="20"/>
                <w:szCs w:val="20"/>
                <w:lang w:val="en-US" w:eastAsia="zh-CN" w:bidi="ar"/>
              </w:rPr>
              <w:br w:type="textWrapping"/>
            </w:r>
            <w:r>
              <w:rPr>
                <w:rStyle w:val="60"/>
                <w:sz w:val="20"/>
                <w:szCs w:val="20"/>
                <w:lang w:val="en-US" w:eastAsia="zh-CN" w:bidi="ar"/>
              </w:rPr>
              <w:t>8、风机采用IPX7防水级、静音、产品专用冷风通道设计，散热性强，高压直流风机；</w:t>
            </w:r>
            <w:r>
              <w:rPr>
                <w:rStyle w:val="60"/>
                <w:sz w:val="20"/>
                <w:szCs w:val="20"/>
                <w:lang w:val="en-US" w:eastAsia="zh-CN" w:bidi="ar"/>
              </w:rPr>
              <w:br w:type="textWrapping"/>
            </w:r>
            <w:r>
              <w:rPr>
                <w:rStyle w:val="60"/>
                <w:sz w:val="20"/>
                <w:szCs w:val="20"/>
                <w:lang w:val="en-US" w:eastAsia="zh-CN" w:bidi="ar"/>
              </w:rPr>
              <w:t>9、集成模块化电容，故障低，能耗低，寿命长，散热性强，防水，同步性强，抗感绕性强；</w:t>
            </w:r>
          </w:p>
          <w:p w14:paraId="43EB0A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800*1000*800+450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2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E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81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145415</wp:posOffset>
                  </wp:positionH>
                  <wp:positionV relativeFrom="paragraph">
                    <wp:posOffset>982345</wp:posOffset>
                  </wp:positionV>
                  <wp:extent cx="835025" cy="835025"/>
                  <wp:effectExtent l="0" t="0" r="3175" b="3175"/>
                  <wp:wrapNone/>
                  <wp:docPr id="85" name="图片_68"/>
                  <wp:cNvGraphicFramePr/>
                  <a:graphic xmlns:a="http://schemas.openxmlformats.org/drawingml/2006/main">
                    <a:graphicData uri="http://schemas.openxmlformats.org/drawingml/2006/picture">
                      <pic:pic xmlns:pic="http://schemas.openxmlformats.org/drawingml/2006/picture">
                        <pic:nvPicPr>
                          <pic:cNvPr id="85" name="图片_68"/>
                          <pic:cNvPicPr/>
                        </pic:nvPicPr>
                        <pic:blipFill>
                          <a:blip r:embed="rId29"/>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D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联众/汇泉/金佰特（相当或更优）</w:t>
            </w:r>
          </w:p>
        </w:tc>
      </w:tr>
      <w:tr w14:paraId="344C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BC8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29</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3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油烟净化一体机</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top"/>
          </w:tcPr>
          <w:p w14:paraId="63C41785">
            <w:pPr>
              <w:keepNext w:val="0"/>
              <w:keepLines w:val="0"/>
              <w:widowControl/>
              <w:numPr>
                <w:ilvl w:val="0"/>
                <w:numId w:val="7"/>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烟罩分段制作，可分多个单元组成，安装方便，美观牢固，每份收集组件都有检修门，检修门都带有锁定装置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排烟罩采用304不锈钢板材制作，表面拉丝处理，烟罩体板材厚度1.2mm，接驳口满焊处理，边缘双折边防剌手设计，烟罩底部风阀调节设计（可在天花底下调节风量），排烟罩设有污油凝结槽并设活动载油器，集风幕、前补新风、耐温、耐酸碱、阻燃、耐磨、耐拉排油烟设备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每节烟罩均配置紫外线光解净化装置，每单元配置灯管数量不少于4根，UV-C灯管（使用寿命不低于8000h）和镇流器，油烟通过紫外线光解后直接分解为二氧化碳和水，有效阻止油烟进入烟道，提高安全性，减少火灾的隐患 ，UV控制系统设有远程监控系统，实时监测每根灯管故障和使用情况以及使用寿命；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每节烟罩均配有防水LED照明装置，照明亮度不少于400 LUX每平方米，易拆式不锈钢检修门，内嵌式磨砂钢化玻璃和专用密封条密封，有效防止油烟进入影响照明，最高耐温达到300摄氏度以上，灯光柔和使用更安全；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配备独立控制的捕捉风幕技术，专用捕捉气流静音风扇、旋风式油网、捕射气流油网烟罩，捕捉气流可有效捕获和克制油烟、蒸汽和热量的外溢，每个单元排风量可控制到4000m³/h以内，有效提升排风效果；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UV净化器外壳全部为SUS304不锈钢材料制造，每份收集组件都有独立的检修门和配电盒，检修门都可配置联锁装置，使用方便，更加安全；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额定排风量下的阻力100Pa；风速不超过每秒3米；保持停留时间，有利于油烟净化，电源能够检测到高压开路的故障并及时保护；带有短路保护和过热保护装置；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油烟净化效率95%，颗粒物净化95%，非甲烷总烃85%；油烟排放浓度1mg/m3 ，颗粒物排放浓度2.0mg/m3，非甲烷总烃排放浓度4.0mg/m3，UV油烟净化器的臭氧允许增加量0.16 mg/ m3（1h均值），有效去油除味.。</w:t>
            </w:r>
          </w:p>
          <w:p w14:paraId="42EC98C0">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4800*1200*550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0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3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D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4445</wp:posOffset>
                  </wp:positionH>
                  <wp:positionV relativeFrom="paragraph">
                    <wp:posOffset>1558925</wp:posOffset>
                  </wp:positionV>
                  <wp:extent cx="912495" cy="750570"/>
                  <wp:effectExtent l="0" t="0" r="1905" b="11430"/>
                  <wp:wrapNone/>
                  <wp:docPr id="98" name="图片_11"/>
                  <wp:cNvGraphicFramePr/>
                  <a:graphic xmlns:a="http://schemas.openxmlformats.org/drawingml/2006/main">
                    <a:graphicData uri="http://schemas.openxmlformats.org/drawingml/2006/picture">
                      <pic:pic xmlns:pic="http://schemas.openxmlformats.org/drawingml/2006/picture">
                        <pic:nvPicPr>
                          <pic:cNvPr id="98" name="图片_11"/>
                          <pic:cNvPicPr/>
                        </pic:nvPicPr>
                        <pic:blipFill>
                          <a:blip r:embed="rId27"/>
                          <a:stretch>
                            <a:fillRect/>
                          </a:stretch>
                        </pic:blipFill>
                        <pic:spPr>
                          <a:xfrm>
                            <a:off x="0" y="0"/>
                            <a:ext cx="912495" cy="750570"/>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D2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联众/汇泉/亿科（相当或更优）</w:t>
            </w:r>
          </w:p>
        </w:tc>
      </w:tr>
      <w:tr w14:paraId="590C8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029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3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保温菜柜</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D74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采用≥SUS304/1.2mm优质不锈钢板制造，                                               其他≥1.2mm，下加加强筋；易清洁卫生，                                              立柱Φ38mm*1.2mm不锈钢方管制作，配不锈钢调节脚.                                      电功率≥220V/3KW。配四只≥0.8mm1/1份数盘，深≥150,                                             工作面配可控制电源开关，配一进水阀、一下水阀</w:t>
            </w:r>
          </w:p>
          <w:p w14:paraId="4D6272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1650*800*800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D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D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75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87" name="图片_72"/>
                  <wp:cNvGraphicFramePr/>
                  <a:graphic xmlns:a="http://schemas.openxmlformats.org/drawingml/2006/main">
                    <a:graphicData uri="http://schemas.openxmlformats.org/drawingml/2006/picture">
                      <pic:pic xmlns:pic="http://schemas.openxmlformats.org/drawingml/2006/picture">
                        <pic:nvPicPr>
                          <pic:cNvPr id="87" name="图片_72"/>
                          <pic:cNvPicPr/>
                        </pic:nvPicPr>
                        <pic:blipFill>
                          <a:blip r:embed="rId30"/>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ED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联众/汇泉/金佰特（相当或更优）</w:t>
            </w:r>
          </w:p>
        </w:tc>
      </w:tr>
      <w:tr w14:paraId="7B009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2A6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31</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2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保温菜柜</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E8C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采用≥SUS304/1.2mm优质不锈钢板制造，                                               其他≥1.2mm，下加加强筋；易清洁卫生，                                              立柱Φ38mm*1.2mm不锈钢方管制作，配不锈钢调节脚.                                      电功率≥220V/3KW。配四只≥0.8mm1/1份数盘，深150,                                             工作面配可控制电源开关，配一进水阀、一下水阀</w:t>
            </w:r>
          </w:p>
          <w:p w14:paraId="79465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1800*800*800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5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2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5D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99" name="图片_74"/>
                  <wp:cNvGraphicFramePr/>
                  <a:graphic xmlns:a="http://schemas.openxmlformats.org/drawingml/2006/main">
                    <a:graphicData uri="http://schemas.openxmlformats.org/drawingml/2006/picture">
                      <pic:pic xmlns:pic="http://schemas.openxmlformats.org/drawingml/2006/picture">
                        <pic:nvPicPr>
                          <pic:cNvPr id="99" name="图片_74"/>
                          <pic:cNvPicPr/>
                        </pic:nvPicPr>
                        <pic:blipFill>
                          <a:blip r:embed="rId30"/>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A4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联众/汇泉/金佰特（相当或更优）</w:t>
            </w:r>
          </w:p>
        </w:tc>
      </w:tr>
      <w:tr w14:paraId="7117F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987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32</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C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圆脚四层平板层架</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719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台面优质304不锈钢冷轧板制造；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要求台面304不锈钢≥1.2mm；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台面加强处理，下衬加强筋为304不锈钢≥1.2mm；                                                                                                  立柱为304不锈钢Φ38×1.2mm,配全钢子弹调节脚。</w:t>
            </w:r>
          </w:p>
          <w:p w14:paraId="2677BA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1200*500*1550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1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1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D1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100" name="图片_76"/>
                  <wp:cNvGraphicFramePr/>
                  <a:graphic xmlns:a="http://schemas.openxmlformats.org/drawingml/2006/main">
                    <a:graphicData uri="http://schemas.openxmlformats.org/drawingml/2006/picture">
                      <pic:pic xmlns:pic="http://schemas.openxmlformats.org/drawingml/2006/picture">
                        <pic:nvPicPr>
                          <pic:cNvPr id="100" name="图片_76"/>
                          <pic:cNvPicPr/>
                        </pic:nvPicPr>
                        <pic:blipFill>
                          <a:blip r:embed="rId19"/>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7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741E8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587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33</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D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一型明档玻璃烟罩</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top"/>
          </w:tcPr>
          <w:p w14:paraId="4C3865AE">
            <w:pPr>
              <w:keepNext w:val="0"/>
              <w:keepLines w:val="0"/>
              <w:widowControl/>
              <w:numPr>
                <w:ilvl w:val="0"/>
                <w:numId w:val="8"/>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烟罩分段制作，可分多个单元组成，安装方便，美观牢固，每份收集组件都有检修门，检修门都带有锁定装置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排烟罩采用304-1.5mm不锈钢板材加优质钢化玻璃制作，表面拉丝处理，烟罩体板材厚度1.2mm，接驳口满焊处理，边缘双折边防剌手设计，烟罩底部风阀调节设计（可在天花底下调节风量），排烟罩设有污油凝结槽并设活动载油器，集风幕、前补新风、耐温、耐酸碱、阻燃、耐磨、耐拉排油烟设备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每节烟罩均配置紫外线光解净化装置，每单元配置灯管数量不少于4根，UV-C灯管（使用寿命不低于8000h）和镇流器，油烟通过紫外线光解后直接分解为二氧化碳和水，有效阻止油烟进入烟道，提高安全性，减少火灾的隐患 ，UV控制系统设有远程监控系统，实时监测每根灯管故障和使用情况以及使用寿命；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每节烟罩均配有防水LED照明装置，照明亮度不少于400 LUX每平方米，易拆式不锈钢检修门，内嵌式磨砂钢化玻璃和专用密封条密封，有效防止油烟进入影响照明，最高耐温达到300摄氏度以上，灯光柔和使用更安全；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配备独立控制的捕捉风幕技术，专用捕捉气流静音风扇、旋风式油网、捕射气流油网烟罩，捕捉气流可有效捕获和克制油烟、蒸汽和热量的外溢，每个单元排风量可控制到4000m³/h以内，有效提升排风效果；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UV净化器外壳全部为SUS304不锈钢材料制造，每份收集组件都有独立的检修门和配电盒，检修门都可配置联锁装置，使用方便，更加安全；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额定排风量下的阻力100Pa；风速不超过每秒3米；保持停留时间，有利于油烟净化，电源能够检测到高压开路的故障并及时保护；带有短路保护和过热保护装置；</w:t>
            </w:r>
          </w:p>
          <w:p w14:paraId="43CA239C">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4700*1200*900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B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4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F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466090</wp:posOffset>
                  </wp:positionV>
                  <wp:extent cx="835025" cy="835025"/>
                  <wp:effectExtent l="0" t="0" r="3175" b="3175"/>
                  <wp:wrapNone/>
                  <wp:docPr id="93" name="图片_78"/>
                  <wp:cNvGraphicFramePr/>
                  <a:graphic xmlns:a="http://schemas.openxmlformats.org/drawingml/2006/main">
                    <a:graphicData uri="http://schemas.openxmlformats.org/drawingml/2006/picture">
                      <pic:pic xmlns:pic="http://schemas.openxmlformats.org/drawingml/2006/picture">
                        <pic:nvPicPr>
                          <pic:cNvPr id="93" name="图片_78"/>
                          <pic:cNvPicPr/>
                        </pic:nvPicPr>
                        <pic:blipFill>
                          <a:blip r:embed="rId31"/>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F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联众/汇泉/亿科（相当或更优）</w:t>
            </w:r>
          </w:p>
        </w:tc>
      </w:tr>
      <w:tr w14:paraId="4DEAD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68F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34</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6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单通打荷台</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AB2E9">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层板：≥304-1.2mm不锈钢板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2.柜体：≥304-1.0mm不锈钢板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3.柜门：≥304-1.0mm不锈钢板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4.加强筋：≥1.2mm不锈钢板</w:t>
            </w:r>
          </w:p>
          <w:p w14:paraId="2CAEC20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1800*800*500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D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1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F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86995</wp:posOffset>
                  </wp:positionH>
                  <wp:positionV relativeFrom="paragraph">
                    <wp:posOffset>71120</wp:posOffset>
                  </wp:positionV>
                  <wp:extent cx="835025" cy="835025"/>
                  <wp:effectExtent l="0" t="0" r="3175" b="3175"/>
                  <wp:wrapNone/>
                  <wp:docPr id="101" name="图片_80"/>
                  <wp:cNvGraphicFramePr/>
                  <a:graphic xmlns:a="http://schemas.openxmlformats.org/drawingml/2006/main">
                    <a:graphicData uri="http://schemas.openxmlformats.org/drawingml/2006/picture">
                      <pic:pic xmlns:pic="http://schemas.openxmlformats.org/drawingml/2006/picture">
                        <pic:nvPicPr>
                          <pic:cNvPr id="101" name="图片_80"/>
                          <pic:cNvPicPr/>
                        </pic:nvPicPr>
                        <pic:blipFill>
                          <a:blip r:embed="rId32"/>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C5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6697E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555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35</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C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三层烧饼炉</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EA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具备烤、蒸、蒸烤三种烹饪模式；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加热温度最高可达250℃；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触屏版STEADY COOK系统，烤箱具备7寸显示屏，软件具备99可定制菜单；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烹饪过程可根据食材分阶段进行，可编程6个烹饪步骤，可调湿度0-100%；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具备24小时预约、快速降温、解冻等功能；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具备10档风速调节模式；</w:t>
            </w:r>
          </w:p>
          <w:p w14:paraId="624124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870*690*1020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A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5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8A4C">
            <w:pPr>
              <w:rPr>
                <w:rFonts w:hint="eastAsia" w:ascii="宋体" w:hAnsi="宋体" w:eastAsia="宋体" w:cs="宋体"/>
                <w:i w:val="0"/>
                <w:iCs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F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联众/汇泉/金佰特（相当或更优）</w:t>
            </w:r>
          </w:p>
        </w:tc>
      </w:tr>
      <w:tr w14:paraId="45675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DDC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36</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4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平台雪柜</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03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1.容量：≥480L                                                                                                                                                                             2.功率：≥220V/158W                                                                                                                                                                 3、双间室双机双温可单独控制，触摸屏电子温控器、液晶超白光数字温度显示、箱内实际温度与数字显示温度差不超过2℃；                                                                                      4、箱体整体发泡，包括工作台面以确保整体强度，保温层密度不低于38kg/m³；                                                                                                               5、外壳及内胆材料采用优质201不锈钢，外壳部分的材料实际厚度最低不得低于0.4mm，正面门体及前罩等外表面采用油磨抗指纹处理并覆透明膜；                                                         6、采用高效节能、环保的制冷系统，铜管蒸发器、钢丝冷凝器、良好的散热效果，制冷系统需承诺三年不得内漏；机舱后部封闭不得影响散热功能（风扇散热方向需超向开门方向）。                                                                                7、</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国内主流品牌压缩机、纯铜线散热风机、电源线引出柜体外长度不得低于1.8米，产品布线及主导线线径截面积不得低于0.75mm²；主要电器部件提供对应的有效的CCC认证证书，至少需提供：压缩机、风机、电源线、插头、接线端子主要电器部件有效的CCC证书扫描件（或电子文档）；                                                                                        8、★产品整机安全性能必须符合GB4706.1\GB4706.13\GB4343.1\GB17625.1的标准要求，并提供有效的带有CMA标识的检测报告扫描件；提供对应本产品要求的CCC认证证书；                                                                         9、</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产品制冷性能及能效等级要求：根据GB26920.2及SB/T10794.2国家能效测试标准中规定的标准气候类型4的工况下能效等级不得低于2级；已经获得能效备案的需提供已经备案的对应产品的能效标识三份；                                                                                                                                                              10、★产品需经过食品接触产品安全检测并提供带有CMA标志的检测报告；并获得食品接触产品卫生认证及食品接触产品安全认证证书。、产品需经过电器电子产品国推ROHS认证并提供有效的认证证书；                                                                                                                                                                      11、★响应国家减碳的要求，获得过商用冷柜超节能产品获得证书的投标机构优先采用。                                                                                                    12、★为满足不同客户对产品恶劣使用环境的需求，获得过商用冷柜超高温优品认证证书的投标机构优先采用。                                                                             13.尺寸： 1800*800*800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4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B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C8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-23495</wp:posOffset>
                  </wp:positionH>
                  <wp:positionV relativeFrom="paragraph">
                    <wp:posOffset>1118870</wp:posOffset>
                  </wp:positionV>
                  <wp:extent cx="835025" cy="835025"/>
                  <wp:effectExtent l="0" t="0" r="3175" b="3175"/>
                  <wp:wrapNone/>
                  <wp:docPr id="106" name="图片_84"/>
                  <wp:cNvGraphicFramePr/>
                  <a:graphic xmlns:a="http://schemas.openxmlformats.org/drawingml/2006/main">
                    <a:graphicData uri="http://schemas.openxmlformats.org/drawingml/2006/picture">
                      <pic:pic xmlns:pic="http://schemas.openxmlformats.org/drawingml/2006/picture">
                        <pic:nvPicPr>
                          <pic:cNvPr id="106" name="图片_84"/>
                          <pic:cNvPicPr/>
                        </pic:nvPicPr>
                        <pic:blipFill>
                          <a:blip r:embed="rId11"/>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95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冰厨/美厨/凯普顿（相当或更优）</w:t>
            </w:r>
          </w:p>
        </w:tc>
      </w:tr>
      <w:tr w14:paraId="269EC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379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37</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7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单门单星盆柜</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EB45A">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台面：≥304-1.2mm不锈钢板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2.水斗：≥304-1.2mm不锈钢板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3.柜体：≥304-1.0mm不锈钢板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4.柜门：≥304-1.0mm不锈钢板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5.加强筋：≥1.2mm不锈钢板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6.台脚：可调节不锈钢重力脚</w:t>
            </w:r>
          </w:p>
          <w:p w14:paraId="0E84309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700*700*800+100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5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9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15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94" name="图片_86"/>
                  <wp:cNvGraphicFramePr/>
                  <a:graphic xmlns:a="http://schemas.openxmlformats.org/drawingml/2006/main">
                    <a:graphicData uri="http://schemas.openxmlformats.org/drawingml/2006/picture">
                      <pic:pic xmlns:pic="http://schemas.openxmlformats.org/drawingml/2006/picture">
                        <pic:nvPicPr>
                          <pic:cNvPr id="94" name="图片_86"/>
                          <pic:cNvPicPr/>
                        </pic:nvPicPr>
                        <pic:blipFill>
                          <a:blip r:embed="rId22"/>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2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0F51B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DD3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38</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4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电磁单头大锅灶</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top"/>
          </w:tcPr>
          <w:p w14:paraId="5E2DDCA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用材标准：优质无磁304不锈钢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1、炉面：≥1.5mm不锈钢，炮台整体拉伸成型，为保证卫生安全炉灶边柜与炉面必须一体折弯成型;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2、封板：≥1.2mm不锈钢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3、背板：≥1.2mm不锈钢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4、侧板：≥1.2mm不锈钢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5、底板：≥1.5mm镀锌板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6、炉脚：Ø50mm钢管；外包不锈钢套管，配可包钢调子弹脚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7、实时熄火保护设计;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8、炉灶内骨架：≥40×40不锈钢/铝合金构造，防腐耐用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9、主气管：无缝钢管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10、其余：排烟采用A3板排烟道和304#2B防腐性能的食品级不锈钢板排烟口并做隔热层                                                                                         11.电压功率：≥380V/30KW                                                                           12.微晶面板：≥400*1                                                                              大锅外径：≥1000mm                                                                                         容量：≥1*110L</w:t>
            </w:r>
          </w:p>
          <w:p w14:paraId="656E04D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1100*1100*800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5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C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7B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86995</wp:posOffset>
                  </wp:positionH>
                  <wp:positionV relativeFrom="paragraph">
                    <wp:posOffset>800735</wp:posOffset>
                  </wp:positionV>
                  <wp:extent cx="835025" cy="835025"/>
                  <wp:effectExtent l="0" t="0" r="3175" b="3175"/>
                  <wp:wrapNone/>
                  <wp:docPr id="89" name="图片_88"/>
                  <wp:cNvGraphicFramePr/>
                  <a:graphic xmlns:a="http://schemas.openxmlformats.org/drawingml/2006/main">
                    <a:graphicData uri="http://schemas.openxmlformats.org/drawingml/2006/picture">
                      <pic:pic xmlns:pic="http://schemas.openxmlformats.org/drawingml/2006/picture">
                        <pic:nvPicPr>
                          <pic:cNvPr id="89" name="图片_88"/>
                          <pic:cNvPicPr/>
                        </pic:nvPicPr>
                        <pic:blipFill>
                          <a:blip r:embed="rId33"/>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6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联众/汇泉/金佰特（相当或更优）</w:t>
            </w:r>
          </w:p>
        </w:tc>
      </w:tr>
      <w:tr w14:paraId="7F6A6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25F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39</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2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四门高身雪柜</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A3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1.容量：≥925L                                                                                      2.功率：≥220V/428W                                                                                 3、双间室双机双温可单独控制，触摸屏电子温控器、液晶超白光数字温度显示、箱内实际温度与数字显示温度差不超过2℃；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4、箱体整体发泡，两侧支撑部分需发泡到顶以确保整体强度，侧板中间部位不得有拼接缝，保温层密度不低于38kg/m³；                                                                    5、外壳及内胆材料采用优质加厚201不锈钢，外壳部分的材料实际厚度最低不得低于0.45mm，正面门体及上罩的最低厚度不低于0.7mm，外表面采用油磨抗指纹处理并覆透明膜；                                                                                            6、采用高效节能、环保的制冷系统，铜管蒸发器、钢丝冷凝器、良好的散热效果，中梁带除露功能，制冷系统需承诺三年不得内漏；                                                                                       7、</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国内主流品牌压缩机、纯铜线散热风机、电源线引出柜体外长度不得低于1.8米，产品布线及主导线线径截面积不得低于0.75mm²；主要电器部件提供对应的有效的CCC认证证书，至少需提供：压缩机、风机、电源线、插头、接线端子主要电器部件有效的CCC证书扫描件（或电子文档）；                                                                                            8、★产品整机安全性能必须符合GB4706.1\GB4706.13\GB4343.1\GB17625.1的标准要求，并提供有效的带有CMA标识的检测报告扫描件（或电子文档）；提供对应本产品要求的CCC认证证书；                                                                               9、</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产品制冷性能及节能要求需根据SB/T10794.2标准中规定的标准气候类型4的工况下不低于冷藏H2及冷冻L1的性能要求，并提供有效的带有CMC标识的检测报告扫描件；且已经依据GB26920.2进行了能效检测，能效等级满足1级，具有国家能效标识备案中心可查的1级能效标识；需要时请提供已经备案的能效标识三份；                                            10、★产品需经过食品接触产品安全检测并提供带有CMA标志的检测报告；并获得食品接触产品卫生认证及食品接触产品安全认证证书。                                                                                      11、★产品需经过电器电子产品国推ROHS认证并提供有效的认证证书；                                                                                                                         12、★为满足不同客户对产品恶劣使用环境的需求，获得过商用冷柜超高温优品认证证书的投标机构优先采用。                                                                                                              13、★响应国家减碳的要求，获得过商用冷柜超节能产品获得证书的投标机构优先采用。                                                                      14.规格：1210×750×2005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3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F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51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78740</wp:posOffset>
                  </wp:positionH>
                  <wp:positionV relativeFrom="paragraph">
                    <wp:posOffset>436880</wp:posOffset>
                  </wp:positionV>
                  <wp:extent cx="835025" cy="835025"/>
                  <wp:effectExtent l="0" t="0" r="3175" b="3175"/>
                  <wp:wrapNone/>
                  <wp:docPr id="102" name="图片_90"/>
                  <wp:cNvGraphicFramePr/>
                  <a:graphic xmlns:a="http://schemas.openxmlformats.org/drawingml/2006/main">
                    <a:graphicData uri="http://schemas.openxmlformats.org/drawingml/2006/picture">
                      <pic:pic xmlns:pic="http://schemas.openxmlformats.org/drawingml/2006/picture">
                        <pic:nvPicPr>
                          <pic:cNvPr id="102" name="图片_90"/>
                          <pic:cNvPicPr/>
                        </pic:nvPicPr>
                        <pic:blipFill>
                          <a:blip r:embed="rId34"/>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C9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冰厨/美厨/凯普顿（相当或更优）</w:t>
            </w:r>
          </w:p>
        </w:tc>
      </w:tr>
      <w:tr w14:paraId="78E35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D27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4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明档电磁蒸煮炉</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F87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采用≥SUS304/1.5mm优质不锈钢板制造，                                               其他≥1.2mm，下加加强筋；易清洁卫生，                                              立柱Φ38mm*1.2mm不锈钢方管制作，配不锈钢调节脚.                                      电功率≥380V/9KW。                                            工作面配可控制电源开关，配一进水阀、一下水阀</w:t>
            </w:r>
          </w:p>
          <w:p w14:paraId="0728D0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800*800*800+50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4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0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7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79" name="图片_92"/>
                  <wp:cNvGraphicFramePr/>
                  <a:graphic xmlns:a="http://schemas.openxmlformats.org/drawingml/2006/main">
                    <a:graphicData uri="http://schemas.openxmlformats.org/drawingml/2006/picture">
                      <pic:pic xmlns:pic="http://schemas.openxmlformats.org/drawingml/2006/picture">
                        <pic:nvPicPr>
                          <pic:cNvPr id="79" name="图片_92"/>
                          <pic:cNvPicPr/>
                        </pic:nvPicPr>
                        <pic:blipFill>
                          <a:blip r:embed="rId35"/>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DB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联众/汇泉/金佰特（相当或更优）</w:t>
            </w:r>
          </w:p>
        </w:tc>
      </w:tr>
      <w:tr w14:paraId="071F2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67C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41</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0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单通打荷台</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9B6D5">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层板：≥304-1.2mm不锈钢板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2.柜体：≥304-1.0mm不锈钢板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3.柜门：≥304-1.0mm不锈钢板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4.加强筋：≥1.2mm不锈钢板</w:t>
            </w:r>
          </w:p>
          <w:p w14:paraId="12ACB6B4">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1800*800*800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2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F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E1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90" name="图片_94"/>
                  <wp:cNvGraphicFramePr/>
                  <a:graphic xmlns:a="http://schemas.openxmlformats.org/drawingml/2006/main">
                    <a:graphicData uri="http://schemas.openxmlformats.org/drawingml/2006/picture">
                      <pic:pic xmlns:pic="http://schemas.openxmlformats.org/drawingml/2006/picture">
                        <pic:nvPicPr>
                          <pic:cNvPr id="90" name="图片_94"/>
                          <pic:cNvPicPr/>
                        </pic:nvPicPr>
                        <pic:blipFill>
                          <a:blip r:embed="rId32"/>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0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73094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713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42</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B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单通打荷台</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D22A0">
            <w:pPr>
              <w:keepNext w:val="0"/>
              <w:keepLines w:val="0"/>
              <w:widowControl/>
              <w:numPr>
                <w:ilvl w:val="0"/>
                <w:numId w:val="1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层板：≥304-1.2mm不锈钢板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2.柜体：≥304-1.0mm不锈钢板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3.柜门：≥304-1.0mm不锈钢板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4.加强筋：≥1.2mm不锈钢板</w:t>
            </w:r>
          </w:p>
          <w:p w14:paraId="173E638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1800*700*800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C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6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09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103" name="图片_96"/>
                  <wp:cNvGraphicFramePr/>
                  <a:graphic xmlns:a="http://schemas.openxmlformats.org/drawingml/2006/main">
                    <a:graphicData uri="http://schemas.openxmlformats.org/drawingml/2006/picture">
                      <pic:pic xmlns:pic="http://schemas.openxmlformats.org/drawingml/2006/picture">
                        <pic:nvPicPr>
                          <pic:cNvPr id="103" name="图片_96"/>
                          <pic:cNvPicPr/>
                        </pic:nvPicPr>
                        <pic:blipFill>
                          <a:blip r:embed="rId32"/>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4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6F5E7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EB3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43</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1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木质案板台</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BB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—支架部分采用优质不锈钢制造；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—台面为≥80mm高质实木案板；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—立柱Φ38×1.2mm，配子弹调节脚。</w:t>
            </w:r>
          </w:p>
          <w:p w14:paraId="7B39E5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1800*800*800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3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D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AB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104" name="图片_98"/>
                  <wp:cNvGraphicFramePr/>
                  <a:graphic xmlns:a="http://schemas.openxmlformats.org/drawingml/2006/main">
                    <a:graphicData uri="http://schemas.openxmlformats.org/drawingml/2006/picture">
                      <pic:pic xmlns:pic="http://schemas.openxmlformats.org/drawingml/2006/picture">
                        <pic:nvPicPr>
                          <pic:cNvPr id="104" name="图片_98"/>
                          <pic:cNvPicPr/>
                        </pic:nvPicPr>
                        <pic:blipFill>
                          <a:blip r:embed="rId36"/>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C1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2B83B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1EC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44</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7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活动面粉车</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9A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用料标准：≥SUS 304 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外框：≥1.5mm 不锈钢板             篮子：≥1.5mm 厚不锈钢板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Φ5静音橡胶，两定两刹车轮</w:t>
            </w:r>
          </w:p>
          <w:p w14:paraId="4CCE3B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500*500*550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4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C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A8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105" name="图片_100"/>
                  <wp:cNvGraphicFramePr/>
                  <a:graphic xmlns:a="http://schemas.openxmlformats.org/drawingml/2006/main">
                    <a:graphicData uri="http://schemas.openxmlformats.org/drawingml/2006/picture">
                      <pic:pic xmlns:pic="http://schemas.openxmlformats.org/drawingml/2006/picture">
                        <pic:nvPicPr>
                          <pic:cNvPr id="105" name="图片_100"/>
                          <pic:cNvPicPr/>
                        </pic:nvPicPr>
                        <pic:blipFill>
                          <a:blip r:embed="rId37"/>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5D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63966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388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45</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1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六门高身雪柜</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EFB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1.容量：≥925L                                                                                      2.功率：≥220V/428W                                                                                 3、双间室双机双温可单独控制，触摸屏电子温控器、液晶超白光数字温度显示、箱内实际温度与数字显示温度差不超过2℃；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4、箱体整体发泡，两侧支撑部分需发泡到顶以确保整体强度，侧板中间部位不得有拼接缝，保温层密度不低于38kg/m³；                                                                    5、外壳及内胆材料采用优质加厚201不锈钢，外壳部分的材料实际厚度最低不得低于0.45mm，正面门体及上罩的最低厚度不低于0.7mm，外表面采用油磨抗指纹处理并覆透明膜；   1800*705*1950                                                                                         6、采用高效节能、环保的制冷系统，铜管蒸发器、钢丝冷凝器、良好的散热效果，中梁带除露功能，制冷系统需承诺三年不得内漏；                                                                                       7、</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国内主流品牌压缩机、纯铜线散热风机、电源线引出柜体外长度不得低于1.8米，产品布线及主导线线径截面积不得低于0.75mm²；主要电器部件提供对应的有效的CCC认证证书，至少需提供：压缩机、风机、电源线、插头、接线端子主要电器部件有效的CCC证书扫描件（或电子文档）；                                                                                            8、★产品整机安全性能必须符合GB4706.1\GB4706.13\GB4343.1\GB17625.1的标准要求，并提供有效的带有CMA标识的检测报告扫描件（或电子文档）；提供对应本产品要求的CCC认证证书；                                                                               9、</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产品制冷性能及节能要求需根据SB/T10794.2标准中规定的标准气候类型4的工况下不低于冷藏H2及冷冻L1的性能要求，并提供有效的带有CMC标识的检测报告扫描件；且已经依据GB26920.2进行了能效检测，能效等级满足1级，具有国家能效标识备案中心可查的1级能效标识；需要时请提供已经备案的能效标识三份；                                            10、★产品需经过食品接触产品安全检测并提供带有CMA标志的检测报告；并获得食品接触产品卫生认证及食品接触产品安全认证证书。                                                                                      11、★产品需经过电器电子产品国推ROHS认证并提供有效的认证证书；                                                                                                                         12、★为满足不同客户对产品恶劣使用环境的需求，获得过商用冷柜超高温优品认证证书的投标机构优先采用。                                                                                                              13、★响应国家减碳的要求，获得过商用冷柜超节能产品获得证书的投标机构优先采用。</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D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A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1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283845</wp:posOffset>
                  </wp:positionV>
                  <wp:extent cx="835025" cy="835025"/>
                  <wp:effectExtent l="0" t="0" r="3175" b="3175"/>
                  <wp:wrapNone/>
                  <wp:docPr id="113" name="图片_102"/>
                  <wp:cNvGraphicFramePr/>
                  <a:graphic xmlns:a="http://schemas.openxmlformats.org/drawingml/2006/main">
                    <a:graphicData uri="http://schemas.openxmlformats.org/drawingml/2006/picture">
                      <pic:pic xmlns:pic="http://schemas.openxmlformats.org/drawingml/2006/picture">
                        <pic:nvPicPr>
                          <pic:cNvPr id="113" name="图片_102"/>
                          <pic:cNvPicPr/>
                        </pic:nvPicPr>
                        <pic:blipFill>
                          <a:blip r:embed="rId38"/>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78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冰厨/美厨/凯普顿（相当或更优）</w:t>
            </w:r>
          </w:p>
        </w:tc>
      </w:tr>
      <w:tr w14:paraId="3BA0A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E67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46</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9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搅拌机</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AEC7">
            <w:pPr>
              <w:keepNext w:val="0"/>
              <w:keepLines w:val="0"/>
              <w:widowControl/>
              <w:numPr>
                <w:ilvl w:val="0"/>
                <w:numId w:val="1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料筒容量：≥40L；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2.搅拌杆转速：≥65/102/296RPM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3.功率/电压：≥2KW/220V/380v；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4.全齿轮变速传动，使用寿命长。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5.全金属机身，持久耐用，品牌产品，质量上乘；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6.符合国际要求的食品接触材料，安全卫生；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7.标配过载保护开关，有效保护电机过载；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8.纯铜电机，动力澎湃，质量稳定；</w:t>
            </w:r>
          </w:p>
          <w:p w14:paraId="348674AE">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480*550*1050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B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E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AE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124" name="图片_104"/>
                  <wp:cNvGraphicFramePr/>
                  <a:graphic xmlns:a="http://schemas.openxmlformats.org/drawingml/2006/main">
                    <a:graphicData uri="http://schemas.openxmlformats.org/drawingml/2006/picture">
                      <pic:pic xmlns:pic="http://schemas.openxmlformats.org/drawingml/2006/picture">
                        <pic:nvPicPr>
                          <pic:cNvPr id="124" name="图片_104"/>
                          <pic:cNvPicPr/>
                        </pic:nvPicPr>
                        <pic:blipFill>
                          <a:blip r:embed="rId39"/>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5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银鹰／鑫科悦／恒联（相当或更优）</w:t>
            </w:r>
          </w:p>
        </w:tc>
      </w:tr>
      <w:tr w14:paraId="6D792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460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47</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0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一型明档玻璃烟罩</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top"/>
          </w:tcPr>
          <w:p w14:paraId="44B7F1FE">
            <w:pPr>
              <w:keepNext w:val="0"/>
              <w:keepLines w:val="0"/>
              <w:widowControl/>
              <w:numPr>
                <w:ilvl w:val="0"/>
                <w:numId w:val="14"/>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烟罩分段制作，可分多个单元组成，安装方便，美观牢固，每份收集组件都有检修门，检修门都带有锁定装置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排烟罩采用304-1.5mm不锈钢板材加优质钢化玻璃制作，表面拉丝处理，烟罩体板材厚度1.2mm，接驳口满焊处理，边缘双折边防剌手设计，烟罩底部风阀调节设计（可在天花底下调节风量），排烟罩设有污油凝结槽并设活动载油器，集风幕、前补新风、耐温、耐酸碱、阻燃、耐磨、耐拉排油烟设备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每节烟罩均配置紫外线光解净化装置，每单元配置灯管数量不少于4根，UV-C灯管（使用寿命不低于8000h）和镇流器，油烟通过紫外线光解后直接分解为二氧化碳和水，有效阻止油烟进入烟道，提高安全性，减少火灾的隐患 ，UV控制系统设有远程监控系统，实时监测每根灯管故障和使用情况以及使用寿命；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每节烟罩均配有防水LED照明装置，照明亮度不少于400 LUX每平方米，易拆式不锈钢检修门，内嵌式磨砂钢化玻璃和专用密封条密封，有效防止油烟进入影响照明，最高耐温达到300摄氏度以上，灯光柔和使用更安全；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配备独立控制的捕捉风幕技术，专用捕捉气流静音风扇、旋风式油网、捕射气流油网烟罩，捕捉气流可有效捕获和克制油烟、蒸汽和热量的外溢，每个单元排风量可控制到4000m³/h以内，有效提升排风效果；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UV净化器外壳全部为SUS304不锈钢材料制造，每份收集组件都有独立的检修门和配电盒，检修门都可配置联锁装置，使用方便，更加安全；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额定排风量下的阻力100Pa；风速不超过每秒3米；保持停留时间，有利于油烟净化，电源能够检测到高压开路的故障并及时保护；带有短路保护和过热保护装置；</w:t>
            </w:r>
          </w:p>
          <w:p w14:paraId="63CE2412">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1700*1000*900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1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1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F8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103505</wp:posOffset>
                  </wp:positionH>
                  <wp:positionV relativeFrom="paragraph">
                    <wp:posOffset>1205865</wp:posOffset>
                  </wp:positionV>
                  <wp:extent cx="835025" cy="835025"/>
                  <wp:effectExtent l="0" t="0" r="3175" b="3175"/>
                  <wp:wrapNone/>
                  <wp:docPr id="114" name="图片_106"/>
                  <wp:cNvGraphicFramePr/>
                  <a:graphic xmlns:a="http://schemas.openxmlformats.org/drawingml/2006/main">
                    <a:graphicData uri="http://schemas.openxmlformats.org/drawingml/2006/picture">
                      <pic:pic xmlns:pic="http://schemas.openxmlformats.org/drawingml/2006/picture">
                        <pic:nvPicPr>
                          <pic:cNvPr id="114" name="图片_106"/>
                          <pic:cNvPicPr/>
                        </pic:nvPicPr>
                        <pic:blipFill>
                          <a:blip r:embed="rId31"/>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DC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联众/汇泉/金佰特（相当或更优）</w:t>
            </w:r>
          </w:p>
        </w:tc>
      </w:tr>
      <w:tr w14:paraId="6535C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E31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48</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8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电磁蒸包炉</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3AB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采用≥SUS304/1.5mm优质不锈钢板制造，                                               其他≥1.2mm，下加加强筋；易清洁卫生，                                              立柱Φ38mm*1.2mm不锈钢方管制作，配不锈钢调节脚.                                      电功率≥380V/9KW。      </w:t>
            </w:r>
          </w:p>
          <w:p w14:paraId="44D007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800*800*800+50                                    </w:t>
            </w:r>
          </w:p>
          <w:p w14:paraId="790EA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工作面配可控制电源开关，配一进水阀、一下水阀</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6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B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C3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122" name="图片_108"/>
                  <wp:cNvGraphicFramePr/>
                  <a:graphic xmlns:a="http://schemas.openxmlformats.org/drawingml/2006/main">
                    <a:graphicData uri="http://schemas.openxmlformats.org/drawingml/2006/picture">
                      <pic:pic xmlns:pic="http://schemas.openxmlformats.org/drawingml/2006/picture">
                        <pic:nvPicPr>
                          <pic:cNvPr id="122" name="图片_108"/>
                          <pic:cNvPicPr/>
                        </pic:nvPicPr>
                        <pic:blipFill>
                          <a:blip r:embed="rId40"/>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D0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联众/汇泉/金佰特（相当或更优）</w:t>
            </w:r>
          </w:p>
        </w:tc>
      </w:tr>
      <w:tr w14:paraId="03187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E8F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49</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4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350半自动压面机</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F1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—电压:≥380V；                                                             —额定输入功率：≥3KW；                                                         —电机功率:≥2.2KW-4；                                                                      —轧辊尺寸：≥￠135×350 mm；                                                  —采用连续三段压面制作工艺，仿人工式卷面,不伤面筋,使面皮更有光泽、口感佳，品质更加稳定。</w:t>
            </w:r>
          </w:p>
          <w:p w14:paraId="6AB33F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605*635*1025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E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3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66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117" name="图片_110"/>
                  <wp:cNvGraphicFramePr/>
                  <a:graphic xmlns:a="http://schemas.openxmlformats.org/drawingml/2006/main">
                    <a:graphicData uri="http://schemas.openxmlformats.org/drawingml/2006/picture">
                      <pic:pic xmlns:pic="http://schemas.openxmlformats.org/drawingml/2006/picture">
                        <pic:nvPicPr>
                          <pic:cNvPr id="117" name="图片_110"/>
                          <pic:cNvPicPr/>
                        </pic:nvPicPr>
                        <pic:blipFill>
                          <a:blip r:embed="rId41"/>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6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银鹰／鑫科悦／恒联（相当或更优）</w:t>
            </w:r>
          </w:p>
        </w:tc>
      </w:tr>
      <w:tr w14:paraId="7FE2A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6CD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50</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B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和面机</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5CE4">
            <w:pPr>
              <w:keepNext w:val="0"/>
              <w:keepLines w:val="0"/>
              <w:widowControl/>
              <w:numPr>
                <w:ilvl w:val="0"/>
                <w:numId w:val="15"/>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动双速和面机是一种和面效率较高、效果较好的食品加工机械。其特点是仿人工和面，搅拌棒搅拌面粉的同时，螺旋搅拌杆将面粉向桶底推压，使面粉充分混合，起筋快，省时省力。该种机器与面粉接触的部件全部采用不锈钢制作，干净卫生。而且该机具有结构紧凑，体积小，易操作易清洁等优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2.和面量：≤50KG，50L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3.电压：≥380V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4.功率：≥2.8KW</w:t>
            </w:r>
          </w:p>
          <w:p w14:paraId="63C24B9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580*980*1080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2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A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48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119" name="图片_114"/>
                  <wp:cNvGraphicFramePr/>
                  <a:graphic xmlns:a="http://schemas.openxmlformats.org/drawingml/2006/main">
                    <a:graphicData uri="http://schemas.openxmlformats.org/drawingml/2006/picture">
                      <pic:pic xmlns:pic="http://schemas.openxmlformats.org/drawingml/2006/picture">
                        <pic:nvPicPr>
                          <pic:cNvPr id="119" name="图片_114"/>
                          <pic:cNvPicPr/>
                        </pic:nvPicPr>
                        <pic:blipFill>
                          <a:blip r:embed="rId42"/>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DA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银鹰／鑫科悦／恒联（相当或更优）</w:t>
            </w:r>
          </w:p>
        </w:tc>
      </w:tr>
      <w:tr w14:paraId="71DBF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EE4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51</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4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单通打荷台</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E7379">
            <w:pPr>
              <w:keepNext w:val="0"/>
              <w:keepLines w:val="0"/>
              <w:widowControl/>
              <w:numPr>
                <w:ilvl w:val="0"/>
                <w:numId w:val="16"/>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层板：≥304-1.2mm不锈钢板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2.柜体：≥304-1.2mm不锈钢板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3.柜门：≥304-1.2mm不锈钢板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4.加强筋：≥1.2mm不锈钢板</w:t>
            </w:r>
          </w:p>
          <w:p w14:paraId="38FF18D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600*800*800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C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A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0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120" name="图片_116"/>
                  <wp:cNvGraphicFramePr/>
                  <a:graphic xmlns:a="http://schemas.openxmlformats.org/drawingml/2006/main">
                    <a:graphicData uri="http://schemas.openxmlformats.org/drawingml/2006/picture">
                      <pic:pic xmlns:pic="http://schemas.openxmlformats.org/drawingml/2006/picture">
                        <pic:nvPicPr>
                          <pic:cNvPr id="120" name="图片_116"/>
                          <pic:cNvPicPr/>
                        </pic:nvPicPr>
                        <pic:blipFill>
                          <a:blip r:embed="rId32"/>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87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6079D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255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52</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8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孔板保温台</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92A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采用≥SUS304/1.2mm优质不锈钢板制造，                                               其他≥1.2mm，下加加强筋；易清洁卫生，                                              立柱Φ38mm*1.2mm不锈钢方管制作，配不锈钢调节脚.                                      电功率≥220V/2KW。配四只≥0.8mm1/1份数盘，深≥150,                                             工作面配可控制电源开关，配一进水阀、一下水阀</w:t>
            </w:r>
          </w:p>
          <w:p w14:paraId="7C88BA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1500*800*800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F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6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4A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121" name="图片_118"/>
                  <wp:cNvGraphicFramePr/>
                  <a:graphic xmlns:a="http://schemas.openxmlformats.org/drawingml/2006/main">
                    <a:graphicData uri="http://schemas.openxmlformats.org/drawingml/2006/picture">
                      <pic:pic xmlns:pic="http://schemas.openxmlformats.org/drawingml/2006/picture">
                        <pic:nvPicPr>
                          <pic:cNvPr id="121" name="图片_118"/>
                          <pic:cNvPicPr/>
                        </pic:nvPicPr>
                        <pic:blipFill>
                          <a:blip r:embed="rId30"/>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0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3388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3BA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53</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3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双门双星盆台</w:t>
            </w:r>
          </w:p>
        </w:tc>
        <w:tc>
          <w:tcPr>
            <w:tcW w:w="6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064AC">
            <w:pPr>
              <w:keepNext w:val="0"/>
              <w:keepLines w:val="0"/>
              <w:widowControl/>
              <w:numPr>
                <w:ilvl w:val="0"/>
                <w:numId w:val="1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台面：≥304-1.2mm不锈钢板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2.水斗：≥304-1.2mm不锈钢板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3.柜体：≥304-1.0mm不锈钢板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4.柜门：≥304-1.0mm不锈钢板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5.加强筋：≥1.2mm不锈钢板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6.台脚：可调节不锈钢重力脚</w:t>
            </w:r>
          </w:p>
          <w:p w14:paraId="0ED9DBC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1200*700*800+100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E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7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D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63500</wp:posOffset>
                  </wp:positionV>
                  <wp:extent cx="835025" cy="835025"/>
                  <wp:effectExtent l="0" t="0" r="3175" b="3175"/>
                  <wp:wrapNone/>
                  <wp:docPr id="123" name="图片_120"/>
                  <wp:cNvGraphicFramePr/>
                  <a:graphic xmlns:a="http://schemas.openxmlformats.org/drawingml/2006/main">
                    <a:graphicData uri="http://schemas.openxmlformats.org/drawingml/2006/picture">
                      <pic:pic xmlns:pic="http://schemas.openxmlformats.org/drawingml/2006/picture">
                        <pic:nvPicPr>
                          <pic:cNvPr id="123" name="图片_120"/>
                          <pic:cNvPicPr/>
                        </pic:nvPicPr>
                        <pic:blipFill>
                          <a:blip r:embed="rId43"/>
                          <a:stretch>
                            <a:fillRect/>
                          </a:stretch>
                        </pic:blipFill>
                        <pic:spPr>
                          <a:xfrm>
                            <a:off x="0" y="0"/>
                            <a:ext cx="835025" cy="8350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11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09903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D83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54</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4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镀锌风管</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2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品牌：厂制品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技术要求：面板≥304-1.2㎜优质镀锌板；管道加强处理，共板法兰、内部密封做防漏处理。外面用密封胶密封。</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D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6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2E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33655</wp:posOffset>
                  </wp:positionH>
                  <wp:positionV relativeFrom="paragraph">
                    <wp:posOffset>111125</wp:posOffset>
                  </wp:positionV>
                  <wp:extent cx="711200" cy="712470"/>
                  <wp:effectExtent l="0" t="0" r="12700" b="11430"/>
                  <wp:wrapNone/>
                  <wp:docPr id="115" name="图片_7"/>
                  <wp:cNvGraphicFramePr/>
                  <a:graphic xmlns:a="http://schemas.openxmlformats.org/drawingml/2006/main">
                    <a:graphicData uri="http://schemas.openxmlformats.org/drawingml/2006/picture">
                      <pic:pic xmlns:pic="http://schemas.openxmlformats.org/drawingml/2006/picture">
                        <pic:nvPicPr>
                          <pic:cNvPr id="115" name="图片_7"/>
                          <pic:cNvPicPr/>
                        </pic:nvPicPr>
                        <pic:blipFill>
                          <a:blip r:embed="rId44"/>
                          <a:stretch>
                            <a:fillRect/>
                          </a:stretch>
                        </pic:blipFill>
                        <pic:spPr>
                          <a:xfrm>
                            <a:off x="0" y="0"/>
                            <a:ext cx="711200" cy="712470"/>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6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6FFA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A94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55</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E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离心风柜</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6F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技术要求：处理风量：≥10000m³/h；—机外噪音：≥77分贝；——设备功率：≥380v/5kw</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0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1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5D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34925</wp:posOffset>
                  </wp:positionH>
                  <wp:positionV relativeFrom="paragraph">
                    <wp:posOffset>76835</wp:posOffset>
                  </wp:positionV>
                  <wp:extent cx="827405" cy="828040"/>
                  <wp:effectExtent l="0" t="0" r="10795" b="10160"/>
                  <wp:wrapNone/>
                  <wp:docPr id="118" name="图片_8"/>
                  <wp:cNvGraphicFramePr/>
                  <a:graphic xmlns:a="http://schemas.openxmlformats.org/drawingml/2006/main">
                    <a:graphicData uri="http://schemas.openxmlformats.org/drawingml/2006/picture">
                      <pic:pic xmlns:pic="http://schemas.openxmlformats.org/drawingml/2006/picture">
                        <pic:nvPicPr>
                          <pic:cNvPr id="118" name="图片_8"/>
                          <pic:cNvPicPr/>
                        </pic:nvPicPr>
                        <pic:blipFill>
                          <a:blip r:embed="rId45"/>
                          <a:stretch>
                            <a:fillRect/>
                          </a:stretch>
                        </pic:blipFill>
                        <pic:spPr>
                          <a:xfrm>
                            <a:off x="0" y="0"/>
                            <a:ext cx="827405" cy="828040"/>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A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德粤／九州／北沃（相当或更优）</w:t>
            </w:r>
          </w:p>
        </w:tc>
      </w:tr>
      <w:tr w14:paraId="25737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F52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56</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2B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降压启动箱</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F7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规格：各风柜配套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技术要求：采用国产品牌正泰电子元件及壳体，该保护器具有缺相、过载、启动三重保护。11kw/2台、4kw/1台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39E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F7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D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250825</wp:posOffset>
                  </wp:positionH>
                  <wp:positionV relativeFrom="paragraph">
                    <wp:posOffset>130810</wp:posOffset>
                  </wp:positionV>
                  <wp:extent cx="378460" cy="542925"/>
                  <wp:effectExtent l="0" t="0" r="2540" b="9525"/>
                  <wp:wrapNone/>
                  <wp:docPr id="111" name="图片_127"/>
                  <wp:cNvGraphicFramePr/>
                  <a:graphic xmlns:a="http://schemas.openxmlformats.org/drawingml/2006/main">
                    <a:graphicData uri="http://schemas.openxmlformats.org/drawingml/2006/picture">
                      <pic:pic xmlns:pic="http://schemas.openxmlformats.org/drawingml/2006/picture">
                        <pic:nvPicPr>
                          <pic:cNvPr id="111" name="图片_127"/>
                          <pic:cNvPicPr/>
                        </pic:nvPicPr>
                        <pic:blipFill>
                          <a:blip r:embed="rId46"/>
                          <a:stretch>
                            <a:fillRect/>
                          </a:stretch>
                        </pic:blipFill>
                        <pic:spPr>
                          <a:xfrm>
                            <a:off x="0" y="0"/>
                            <a:ext cx="378460" cy="5429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2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公牛／正泰／西门子（相当或更优）</w:t>
            </w:r>
          </w:p>
        </w:tc>
      </w:tr>
      <w:tr w14:paraId="059A1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ABD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57</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29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地沟盖</w:t>
            </w:r>
          </w:p>
        </w:tc>
        <w:tc>
          <w:tcPr>
            <w:tcW w:w="6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1A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优质SUS201/2.0不锈钢制成。</w:t>
            </w:r>
          </w:p>
          <w:p w14:paraId="079C40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580*300*25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C6B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14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E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141605</wp:posOffset>
                  </wp:positionH>
                  <wp:positionV relativeFrom="paragraph">
                    <wp:posOffset>53975</wp:posOffset>
                  </wp:positionV>
                  <wp:extent cx="674370" cy="542925"/>
                  <wp:effectExtent l="0" t="0" r="11430" b="9525"/>
                  <wp:wrapNone/>
                  <wp:docPr id="112" name="图片_19"/>
                  <wp:cNvGraphicFramePr/>
                  <a:graphic xmlns:a="http://schemas.openxmlformats.org/drawingml/2006/main">
                    <a:graphicData uri="http://schemas.openxmlformats.org/drawingml/2006/picture">
                      <pic:pic xmlns:pic="http://schemas.openxmlformats.org/drawingml/2006/picture">
                        <pic:nvPicPr>
                          <pic:cNvPr id="112" name="图片_19"/>
                          <pic:cNvPicPr/>
                        </pic:nvPicPr>
                        <pic:blipFill>
                          <a:blip r:embed="rId47"/>
                          <a:stretch>
                            <a:fillRect/>
                          </a:stretch>
                        </pic:blipFill>
                        <pic:spPr>
                          <a:xfrm>
                            <a:off x="0" y="0"/>
                            <a:ext cx="674370" cy="54292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7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0E1CA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D19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58</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52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厨房新风系统</w:t>
            </w:r>
          </w:p>
        </w:tc>
        <w:tc>
          <w:tcPr>
            <w:tcW w:w="6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F0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优质SUS201/2.0不锈钢制成。3KW新风风机</w:t>
            </w:r>
          </w:p>
          <w:p w14:paraId="22AB73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15000*500*500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7A8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DB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F36A">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5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德粤／九州／北沃（相当或更优）</w:t>
            </w:r>
          </w:p>
        </w:tc>
      </w:tr>
      <w:tr w14:paraId="61318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D32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59</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F7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弯头、化头、三通</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D6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材料说明：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1、采用优质不锈钢板,折边成方管状,板厚≥1.2mm,连接部满焊高温胶密封处理，因损耗问题，弯头化头按1.5倍面积计算。</w:t>
            </w:r>
          </w:p>
          <w:p w14:paraId="7F6F64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综合尺寸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A6C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53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8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116840</wp:posOffset>
                  </wp:positionH>
                  <wp:positionV relativeFrom="paragraph">
                    <wp:posOffset>137160</wp:posOffset>
                  </wp:positionV>
                  <wp:extent cx="751840" cy="743585"/>
                  <wp:effectExtent l="0" t="0" r="10160" b="18415"/>
                  <wp:wrapNone/>
                  <wp:docPr id="116" name="图片_2"/>
                  <wp:cNvGraphicFramePr/>
                  <a:graphic xmlns:a="http://schemas.openxmlformats.org/drawingml/2006/main">
                    <a:graphicData uri="http://schemas.openxmlformats.org/drawingml/2006/picture">
                      <pic:pic xmlns:pic="http://schemas.openxmlformats.org/drawingml/2006/picture">
                        <pic:nvPicPr>
                          <pic:cNvPr id="116" name="图片_2"/>
                          <pic:cNvPicPr/>
                        </pic:nvPicPr>
                        <pic:blipFill>
                          <a:blip r:embed="rId48"/>
                          <a:stretch>
                            <a:fillRect/>
                          </a:stretch>
                        </pic:blipFill>
                        <pic:spPr>
                          <a:xfrm>
                            <a:off x="0" y="0"/>
                            <a:ext cx="751840" cy="743585"/>
                          </a:xfrm>
                          <a:prstGeom prst="rect">
                            <a:avLst/>
                          </a:prstGeom>
                          <a:noFill/>
                          <a:ln>
                            <a:noFill/>
                          </a:ln>
                        </pic:spPr>
                      </pic:pic>
                    </a:graphicData>
                  </a:graphic>
                </wp:anchor>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E9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联众/万大/鑫君和（相当或更优）</w:t>
            </w:r>
          </w:p>
        </w:tc>
      </w:tr>
      <w:tr w14:paraId="4F89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4F0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60</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88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四移门碗碟柜</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3706">
            <w:pPr>
              <w:keepNext w:val="0"/>
              <w:keepLines w:val="0"/>
              <w:widowControl/>
              <w:numPr>
                <w:ilvl w:val="0"/>
                <w:numId w:val="1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层板：≥304-1.2mm不锈钢板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2.柜体：≥304-1.0mm不锈钢板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3.移门：≥304-1.0mm不锈钢板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4.门封板≥0.8mm不锈钢板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5.台脚：可调节不锈钢子弹脚</w:t>
            </w:r>
          </w:p>
          <w:p w14:paraId="49516A6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1200*500*1800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328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DA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704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drawing>
                <wp:inline distT="0" distB="0" distL="114300" distR="114300">
                  <wp:extent cx="935355" cy="690880"/>
                  <wp:effectExtent l="0" t="0" r="17145" b="13970"/>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49" cstate="print">
                            <a:extLst>
                              <a:ext uri="{28A0092B-C50C-407E-A947-70E740481C1C}">
                                <a14:useLocalDpi xmlns:a14="http://schemas.microsoft.com/office/drawing/2010/main" val="0"/>
                              </a:ext>
                            </a:extLst>
                          </a:blip>
                          <a:stretch>
                            <a:fillRect/>
                          </a:stretch>
                        </pic:blipFill>
                        <pic:spPr>
                          <a:xfrm>
                            <a:off x="0" y="0"/>
                            <a:ext cx="935355" cy="690880"/>
                          </a:xfrm>
                          <a:prstGeom prst="rect">
                            <a:avLst/>
                          </a:prstGeom>
                        </pic:spPr>
                      </pic:pic>
                    </a:graphicData>
                  </a:graphic>
                </wp:inline>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173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联众/万大/鑫君和</w:t>
            </w:r>
          </w:p>
        </w:tc>
      </w:tr>
      <w:tr w14:paraId="557E5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AEC7">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61</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EA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不锈钢电开水器连底座（步进式）</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0F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水胆容量：≥60L                                                                        产水量：≥80L/h                                                                      功率：≥6000W                                                                   电压：≥380V-50Hz                                                                出水咀：两开净化                                                                                 出水方式 ：触控按键                                                                  内胆材质：304不锈钢                                                          显示器：LCD液晶显示</w:t>
            </w:r>
          </w:p>
          <w:p w14:paraId="123B6F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6kw</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8DA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F3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D59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drawing>
                <wp:inline distT="0" distB="0" distL="114300" distR="114300">
                  <wp:extent cx="946785" cy="1096645"/>
                  <wp:effectExtent l="0" t="0" r="5715" b="8255"/>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50"/>
                          <a:stretch>
                            <a:fillRect/>
                          </a:stretch>
                        </pic:blipFill>
                        <pic:spPr>
                          <a:xfrm>
                            <a:off x="0" y="0"/>
                            <a:ext cx="946785" cy="1096645"/>
                          </a:xfrm>
                          <a:prstGeom prst="rect">
                            <a:avLst/>
                          </a:prstGeom>
                        </pic:spPr>
                      </pic:pic>
                    </a:graphicData>
                  </a:graphic>
                </wp:inline>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D3E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裕特/裕豪/百能泉</w:t>
            </w:r>
          </w:p>
        </w:tc>
      </w:tr>
      <w:tr w14:paraId="7E988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4720">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62</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AE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双层工作台</w:t>
            </w:r>
          </w:p>
        </w:tc>
        <w:tc>
          <w:tcPr>
            <w:tcW w:w="6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44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—采用优质油磨304不锈钢冷轧板制造；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—台面≥1.2mm，加强筋≥1.2mm；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—层板≥1.2mm，加强筋≥1.2mm；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—立柱Φ38×1.2mm不锈钢圆管,配调节脚;                                         —背板高≥100*1.5mm不锈钢板</w:t>
            </w:r>
          </w:p>
          <w:p w14:paraId="4AAE27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600*800*800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905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33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07F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drawing>
                <wp:inline distT="0" distB="0" distL="114300" distR="114300">
                  <wp:extent cx="802005" cy="810260"/>
                  <wp:effectExtent l="0" t="0" r="17145" b="8890"/>
                  <wp:docPr id="18" name="图片 17"/>
                  <wp:cNvGraphicFramePr/>
                  <a:graphic xmlns:a="http://schemas.openxmlformats.org/drawingml/2006/main">
                    <a:graphicData uri="http://schemas.openxmlformats.org/drawingml/2006/picture">
                      <pic:pic xmlns:pic="http://schemas.openxmlformats.org/drawingml/2006/picture">
                        <pic:nvPicPr>
                          <pic:cNvPr id="18" name="图片 17"/>
                          <pic:cNvPicPr/>
                        </pic:nvPicPr>
                        <pic:blipFill>
                          <a:blip r:embed="rId51" cstate="print">
                            <a:extLst>
                              <a:ext uri="{28A0092B-C50C-407E-A947-70E740481C1C}">
                                <a14:useLocalDpi xmlns:a14="http://schemas.microsoft.com/office/drawing/2010/main" val="0"/>
                              </a:ext>
                            </a:extLst>
                          </a:blip>
                          <a:stretch>
                            <a:fillRect/>
                          </a:stretch>
                        </pic:blipFill>
                        <pic:spPr>
                          <a:xfrm>
                            <a:off x="0" y="0"/>
                            <a:ext cx="802005" cy="810260"/>
                          </a:xfrm>
                          <a:prstGeom prst="rect">
                            <a:avLst/>
                          </a:prstGeom>
                        </pic:spPr>
                      </pic:pic>
                    </a:graphicData>
                  </a:graphic>
                </wp:inline>
              </w:drawing>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ED3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联众/万大/鑫君和</w:t>
            </w:r>
          </w:p>
        </w:tc>
      </w:tr>
    </w:tbl>
    <w:p w14:paraId="51F7004C">
      <w:pPr>
        <w:rPr>
          <w:rFonts w:hint="eastAsia" w:ascii="宋体"/>
          <w:b/>
          <w:color w:val="000000" w:themeColor="text1"/>
          <w:kern w:val="0"/>
          <w:sz w:val="36"/>
          <w14:textFill>
            <w14:solidFill>
              <w14:schemeClr w14:val="tx1"/>
            </w14:solidFill>
          </w14:textFill>
        </w:rPr>
        <w:sectPr>
          <w:pgSz w:w="16838" w:h="11906" w:orient="landscape"/>
          <w:pgMar w:top="1417" w:right="1304" w:bottom="1417" w:left="1304" w:header="851" w:footer="992" w:gutter="0"/>
          <w:cols w:space="720" w:num="1"/>
          <w:docGrid w:type="lines" w:linePitch="312" w:charSpace="0"/>
        </w:sectPr>
      </w:pPr>
      <w:r>
        <w:rPr>
          <w:rFonts w:hint="eastAsia" w:ascii="宋体"/>
          <w:b/>
          <w:color w:val="000000" w:themeColor="text1"/>
          <w:kern w:val="0"/>
          <w:sz w:val="36"/>
          <w14:textFill>
            <w14:solidFill>
              <w14:schemeClr w14:val="tx1"/>
            </w14:solidFill>
          </w14:textFill>
        </w:rPr>
        <w:br w:type="page"/>
      </w:r>
    </w:p>
    <w:p w14:paraId="040955E8">
      <w:pPr>
        <w:spacing w:line="312" w:lineRule="auto"/>
        <w:rPr>
          <w:rFonts w:ascii="宋体" w:hAnsi="宋体"/>
          <w:b/>
          <w:color w:val="000000"/>
          <w:sz w:val="20"/>
          <w:szCs w:val="22"/>
        </w:rPr>
      </w:pPr>
      <w:r>
        <w:rPr>
          <w:rFonts w:ascii="宋体" w:hAnsi="宋体"/>
          <w:b/>
          <w:color w:val="000000"/>
          <w:sz w:val="21"/>
        </w:rPr>
        <w:t>特别说明：</w:t>
      </w:r>
    </w:p>
    <w:p w14:paraId="18B534E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hAnsi="宋体" w:cs="宋体"/>
          <w:bCs/>
          <w:color w:val="000000"/>
          <w:szCs w:val="21"/>
        </w:rPr>
      </w:pPr>
      <w:r>
        <w:rPr>
          <w:rFonts w:hint="eastAsia" w:hAnsi="宋体" w:cs="宋体"/>
          <w:bCs/>
          <w:color w:val="000000"/>
          <w:szCs w:val="21"/>
        </w:rPr>
        <w:t>1、实际供货数量以采购人发出的定单为准；</w:t>
      </w:r>
      <w:r>
        <w:rPr>
          <w:rFonts w:hint="eastAsia" w:ascii="宋体" w:hAnsi="宋体" w:eastAsia="宋体" w:cs="宋体"/>
          <w:b w:val="0"/>
          <w:bCs w:val="0"/>
          <w:color w:val="000000"/>
          <w:sz w:val="21"/>
          <w:szCs w:val="21"/>
          <w:lang w:val="en-US" w:eastAsia="zh-CN"/>
        </w:rPr>
        <w:t>当采购数量与实际使用数量不一致时，根据实际使用量供货，合同的最终结算金额按实际使用量乘以成交单价进行计算。中标人须在每个付款节点向采购人提供开具的正规发票。</w:t>
      </w:r>
    </w:p>
    <w:p w14:paraId="708CDF91">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sz w:val="21"/>
          <w:szCs w:val="21"/>
          <w:highlight w:val="none"/>
        </w:rPr>
      </w:pPr>
      <w:r>
        <w:rPr>
          <w:rFonts w:hint="eastAsia" w:ascii="宋体" w:hAnsi="宋体" w:cs="宋体"/>
          <w:b/>
          <w:bCs w:val="0"/>
          <w:color w:val="000000"/>
          <w:sz w:val="21"/>
          <w:szCs w:val="21"/>
          <w:highlight w:val="none"/>
          <w:lang w:val="en-US" w:eastAsia="zh-CN"/>
        </w:rPr>
        <w:t>▲</w:t>
      </w:r>
      <w:r>
        <w:rPr>
          <w:rFonts w:hint="eastAsia" w:ascii="宋体" w:hAnsi="宋体" w:eastAsia="宋体" w:cs="宋体"/>
          <w:b/>
          <w:bCs w:val="0"/>
          <w:color w:val="000000"/>
          <w:sz w:val="21"/>
          <w:szCs w:val="21"/>
          <w:highlight w:val="none"/>
          <w:lang w:val="en-US" w:eastAsia="zh-CN"/>
        </w:rPr>
        <w:t>2</w:t>
      </w:r>
      <w:r>
        <w:rPr>
          <w:rFonts w:hint="eastAsia" w:ascii="宋体" w:hAnsi="宋体" w:eastAsia="宋体" w:cs="宋体"/>
          <w:b/>
          <w:bCs w:val="0"/>
          <w:color w:val="000000"/>
          <w:sz w:val="21"/>
          <w:szCs w:val="21"/>
          <w:highlight w:val="none"/>
        </w:rPr>
        <w:t>、上列采购清单为项目所需设备（货物）的基本配置，供应商提供的设备（货物）应完全符合采购需求的要求，并满足或高于采购清单中提出的技术参数。</w:t>
      </w:r>
    </w:p>
    <w:p w14:paraId="3D9828A7">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color w:val="000000"/>
          <w:sz w:val="21"/>
          <w:szCs w:val="21"/>
          <w:highlight w:val="none"/>
        </w:rPr>
      </w:pPr>
      <w:r>
        <w:rPr>
          <w:rFonts w:hint="eastAsia" w:ascii="宋体" w:hAnsi="宋体" w:cs="宋体"/>
          <w:b/>
          <w:bCs w:val="0"/>
          <w:color w:val="000000"/>
          <w:sz w:val="21"/>
          <w:szCs w:val="21"/>
          <w:highlight w:val="none"/>
          <w:lang w:val="en-US" w:eastAsia="zh-CN"/>
        </w:rPr>
        <w:t>▲</w:t>
      </w:r>
      <w:r>
        <w:rPr>
          <w:rFonts w:hint="eastAsia" w:ascii="宋体" w:hAnsi="宋体" w:eastAsia="宋体" w:cs="宋体"/>
          <w:b/>
          <w:bCs w:val="0"/>
          <w:color w:val="000000"/>
          <w:sz w:val="21"/>
          <w:szCs w:val="21"/>
          <w:highlight w:val="none"/>
          <w:lang w:val="en-US" w:eastAsia="zh-CN"/>
        </w:rPr>
        <w:t>3</w:t>
      </w:r>
      <w:r>
        <w:rPr>
          <w:rFonts w:hint="eastAsia" w:ascii="宋体" w:hAnsi="宋体" w:eastAsia="宋体" w:cs="宋体"/>
          <w:b/>
          <w:bCs w:val="0"/>
          <w:color w:val="000000"/>
          <w:sz w:val="21"/>
          <w:szCs w:val="21"/>
          <w:highlight w:val="none"/>
        </w:rPr>
        <w:t>、规格</w:t>
      </w:r>
      <w:r>
        <w:rPr>
          <w:rFonts w:hint="eastAsia" w:ascii="宋体" w:hAnsi="宋体" w:eastAsia="宋体" w:cs="宋体"/>
          <w:b/>
          <w:bCs w:val="0"/>
          <w:color w:val="000000"/>
          <w:sz w:val="21"/>
          <w:szCs w:val="21"/>
          <w:highlight w:val="none"/>
          <w:lang w:val="en-US" w:eastAsia="zh-CN"/>
        </w:rPr>
        <w:t>/</w:t>
      </w:r>
      <w:r>
        <w:rPr>
          <w:rFonts w:hint="eastAsia" w:ascii="宋体" w:hAnsi="宋体" w:eastAsia="宋体" w:cs="宋体"/>
          <w:b/>
          <w:bCs w:val="0"/>
          <w:color w:val="000000"/>
          <w:sz w:val="21"/>
          <w:szCs w:val="21"/>
          <w:highlight w:val="none"/>
        </w:rPr>
        <w:t>尺寸为参考规格</w:t>
      </w:r>
      <w:r>
        <w:rPr>
          <w:rFonts w:hint="eastAsia" w:ascii="宋体" w:hAnsi="宋体" w:eastAsia="宋体" w:cs="宋体"/>
          <w:b/>
          <w:bCs w:val="0"/>
          <w:color w:val="000000"/>
          <w:sz w:val="21"/>
          <w:szCs w:val="21"/>
          <w:highlight w:val="none"/>
          <w:lang w:val="en-US" w:eastAsia="zh-CN"/>
        </w:rPr>
        <w:t>/</w:t>
      </w:r>
      <w:r>
        <w:rPr>
          <w:rFonts w:hint="eastAsia" w:ascii="宋体" w:hAnsi="宋体" w:eastAsia="宋体" w:cs="宋体"/>
          <w:b/>
          <w:bCs w:val="0"/>
          <w:color w:val="000000"/>
          <w:sz w:val="21"/>
          <w:szCs w:val="21"/>
          <w:highlight w:val="none"/>
        </w:rPr>
        <w:t>尺寸，允许存在偏差，但必须满足技术参数要求。</w:t>
      </w:r>
    </w:p>
    <w:p w14:paraId="04CF728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4、投标人需自行进行现场勘查，根据实际情况进行合理报价，需提供分项报价清单。</w:t>
      </w:r>
    </w:p>
    <w:p w14:paraId="39A1EE4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5、中标人供货时应向采购人提供产品使用说明书、保修卡、第三方机构出具的检验检测报告等必要的有关资料，产品须符合行业质量认证，具有出厂合格证明。</w:t>
      </w:r>
    </w:p>
    <w:p w14:paraId="325009E8">
      <w:pPr>
        <w:spacing w:line="360" w:lineRule="auto"/>
        <w:ind w:firstLine="422" w:firstLineChars="200"/>
        <w:jc w:val="left"/>
        <w:rPr>
          <w:rFonts w:hint="eastAsia" w:hAnsi="宋体" w:eastAsia="宋体" w:cs="宋体"/>
          <w:b/>
          <w:color w:val="auto"/>
          <w:sz w:val="21"/>
          <w:szCs w:val="21"/>
          <w:lang w:val="en-US" w:eastAsia="zh-CN"/>
        </w:rPr>
      </w:pPr>
      <w:r>
        <w:rPr>
          <w:rFonts w:hint="eastAsia" w:hAnsi="宋体" w:cs="宋体"/>
          <w:b/>
          <w:color w:val="auto"/>
          <w:sz w:val="21"/>
          <w:szCs w:val="21"/>
          <w:lang w:val="en-US" w:eastAsia="zh-CN"/>
        </w:rPr>
        <w:t>三</w:t>
      </w:r>
      <w:r>
        <w:rPr>
          <w:rFonts w:hint="eastAsia" w:hAnsi="宋体" w:eastAsia="宋体" w:cs="宋体"/>
          <w:b/>
          <w:color w:val="auto"/>
          <w:sz w:val="21"/>
          <w:szCs w:val="21"/>
          <w:lang w:val="en-US" w:eastAsia="zh-CN"/>
        </w:rPr>
        <w:t>、相关服务要求</w:t>
      </w:r>
    </w:p>
    <w:p w14:paraId="1BF520CD">
      <w:pPr>
        <w:spacing w:line="360" w:lineRule="auto"/>
        <w:ind w:firstLine="422" w:firstLineChars="200"/>
        <w:jc w:val="left"/>
        <w:rPr>
          <w:rFonts w:hint="eastAsia" w:hAnsi="宋体" w:eastAsia="宋体" w:cs="宋体"/>
          <w:b/>
          <w:color w:val="auto"/>
          <w:sz w:val="21"/>
          <w:szCs w:val="21"/>
          <w:lang w:val="en-US" w:eastAsia="zh-CN"/>
        </w:rPr>
      </w:pPr>
      <w:r>
        <w:rPr>
          <w:rFonts w:hint="eastAsia" w:hAnsi="宋体" w:eastAsia="宋体" w:cs="宋体"/>
          <w:b/>
          <w:color w:val="auto"/>
          <w:sz w:val="21"/>
          <w:szCs w:val="21"/>
          <w:lang w:val="en-US" w:eastAsia="zh-CN"/>
        </w:rPr>
        <w:t>（一）技术服务要求：</w:t>
      </w:r>
    </w:p>
    <w:p w14:paraId="7AFB416F">
      <w:pPr>
        <w:pStyle w:val="2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cs="宋体"/>
          <w:bCs/>
          <w:color w:val="auto"/>
          <w:kern w:val="0"/>
          <w:sz w:val="21"/>
          <w:szCs w:val="21"/>
        </w:rPr>
      </w:pPr>
      <w:r>
        <w:rPr>
          <w:rFonts w:hint="eastAsia" w:ascii="宋体" w:hAnsi="宋体" w:eastAsia="宋体" w:cs="宋体"/>
          <w:color w:val="auto"/>
          <w:kern w:val="2"/>
          <w:sz w:val="21"/>
          <w:szCs w:val="21"/>
          <w:lang w:val="en-US" w:eastAsia="zh-CN" w:bidi="ar-SA"/>
        </w:rPr>
        <w:t>1、</w:t>
      </w:r>
      <w:r>
        <w:rPr>
          <w:rFonts w:hint="eastAsia" w:ascii="宋体" w:hAnsi="宋体" w:cs="宋体"/>
          <w:bCs/>
          <w:color w:val="auto"/>
          <w:sz w:val="21"/>
          <w:szCs w:val="21"/>
        </w:rPr>
        <w:t>供应商所投货物必须为原厂原装、全新的、符合国家有关质量标准的产品；</w:t>
      </w:r>
    </w:p>
    <w:p w14:paraId="11F56037">
      <w:pPr>
        <w:pStyle w:val="2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2、</w:t>
      </w:r>
      <w:r>
        <w:rPr>
          <w:rFonts w:hint="eastAsia" w:ascii="宋体" w:hAnsi="宋体" w:cs="宋体"/>
          <w:color w:val="auto"/>
          <w:sz w:val="21"/>
          <w:szCs w:val="21"/>
        </w:rPr>
        <w:t>质量保</w:t>
      </w:r>
      <w:r>
        <w:rPr>
          <w:rFonts w:hint="eastAsia" w:ascii="宋体" w:hAnsi="宋体" w:cs="宋体"/>
          <w:color w:val="auto"/>
          <w:sz w:val="21"/>
          <w:szCs w:val="21"/>
          <w:lang w:val="en-US" w:eastAsia="zh-CN"/>
        </w:rPr>
        <w:t>修</w:t>
      </w:r>
      <w:r>
        <w:rPr>
          <w:rFonts w:hint="eastAsia" w:ascii="宋体" w:hAnsi="宋体" w:cs="宋体"/>
          <w:color w:val="auto"/>
          <w:sz w:val="21"/>
          <w:szCs w:val="21"/>
        </w:rPr>
        <w:t>期自采购人（或其被委托人）在验收报告上签署“验收合格”之日起计算；质量保</w:t>
      </w:r>
      <w:r>
        <w:rPr>
          <w:rFonts w:hint="eastAsia" w:ascii="宋体" w:hAnsi="宋体" w:cs="宋体"/>
          <w:color w:val="auto"/>
          <w:sz w:val="21"/>
          <w:szCs w:val="21"/>
          <w:lang w:val="en-US" w:eastAsia="zh-CN"/>
        </w:rPr>
        <w:t>修</w:t>
      </w:r>
      <w:r>
        <w:rPr>
          <w:rFonts w:hint="eastAsia" w:ascii="宋体" w:hAnsi="宋体" w:cs="宋体"/>
          <w:color w:val="auto"/>
          <w:sz w:val="21"/>
          <w:szCs w:val="21"/>
        </w:rPr>
        <w:t>期内免费维修更换配件（易损件除外）；供应商须提供详细的售后服务承诺及准确有效的服务机构联系方式</w:t>
      </w:r>
      <w:r>
        <w:rPr>
          <w:rFonts w:hint="eastAsia" w:eastAsia="宋体" w:cs="宋体"/>
          <w:color w:val="auto"/>
          <w:sz w:val="21"/>
          <w:szCs w:val="21"/>
          <w:lang w:val="en-US" w:eastAsia="zh-CN"/>
        </w:rPr>
        <w:t>,</w:t>
      </w:r>
      <w:r>
        <w:rPr>
          <w:rFonts w:hint="eastAsia" w:ascii="宋体" w:hAnsi="宋体" w:cs="宋体"/>
          <w:bCs/>
          <w:color w:val="auto"/>
          <w:sz w:val="21"/>
          <w:szCs w:val="21"/>
        </w:rPr>
        <w:t>质保期后应继续提供技术咨询服务。</w:t>
      </w:r>
      <w:r>
        <w:rPr>
          <w:rFonts w:hint="eastAsia" w:ascii="宋体" w:hAnsi="宋体" w:cs="宋体"/>
          <w:bCs/>
          <w:color w:val="auto"/>
          <w:kern w:val="0"/>
          <w:sz w:val="21"/>
          <w:szCs w:val="21"/>
        </w:rPr>
        <w:t>采购内容及设备要对原有设备无缝对接</w:t>
      </w:r>
      <w:r>
        <w:rPr>
          <w:rFonts w:hint="eastAsia" w:cs="宋体"/>
          <w:bCs/>
          <w:color w:val="auto"/>
          <w:kern w:val="0"/>
          <w:sz w:val="21"/>
          <w:szCs w:val="21"/>
          <w:lang w:eastAsia="zh-CN"/>
        </w:rPr>
        <w:t>。</w:t>
      </w:r>
    </w:p>
    <w:p w14:paraId="3476F0A0">
      <w:pPr>
        <w:autoSpaceDE w:val="0"/>
        <w:autoSpaceDN w:val="0"/>
        <w:adjustRightInd w:val="0"/>
        <w:snapToGrid w:val="0"/>
        <w:spacing w:line="360" w:lineRule="auto"/>
        <w:ind w:right="-34" w:rightChars="-16" w:firstLine="420" w:firstLineChars="200"/>
        <w:rPr>
          <w:rFonts w:hint="eastAsia" w:ascii="宋体" w:hAnsi="宋体" w:cs="宋体"/>
          <w:color w:val="auto"/>
          <w:sz w:val="21"/>
          <w:szCs w:val="21"/>
        </w:rPr>
      </w:pPr>
      <w:r>
        <w:rPr>
          <w:rFonts w:hint="eastAsia" w:ascii="宋体" w:hAnsi="宋体" w:eastAsia="宋体" w:cs="宋体"/>
          <w:color w:val="auto"/>
          <w:kern w:val="2"/>
          <w:sz w:val="21"/>
          <w:szCs w:val="21"/>
          <w:lang w:val="en-US" w:eastAsia="zh-CN" w:bidi="ar-SA"/>
        </w:rPr>
        <w:t>3、</w:t>
      </w:r>
      <w:r>
        <w:rPr>
          <w:rFonts w:hint="eastAsia" w:ascii="宋体" w:hAnsi="宋体" w:cs="宋体"/>
          <w:color w:val="auto"/>
          <w:sz w:val="21"/>
          <w:szCs w:val="21"/>
        </w:rPr>
        <w:t>供应商能提供24小时全天候召修服务，接到故障通知后</w:t>
      </w:r>
      <w:r>
        <w:rPr>
          <w:rFonts w:hint="eastAsia" w:ascii="宋体" w:hAnsi="宋体" w:eastAsia="宋体" w:cs="宋体"/>
          <w:color w:val="auto"/>
          <w:sz w:val="21"/>
          <w:szCs w:val="21"/>
          <w:lang w:val="en-US" w:eastAsia="zh-CN"/>
        </w:rPr>
        <w:t>4</w:t>
      </w:r>
      <w:r>
        <w:rPr>
          <w:rFonts w:hint="eastAsia" w:ascii="宋体" w:hAnsi="宋体" w:cs="宋体"/>
          <w:color w:val="auto"/>
          <w:sz w:val="21"/>
          <w:szCs w:val="21"/>
        </w:rPr>
        <w:t>小时以内到达现场履行维修服务义务，12小时解决问题，若不能在48小时内解决，须提供同等性能、同等配置的设备替换，质量保证期内的维修发生的一切费用由供应商承担。</w:t>
      </w:r>
    </w:p>
    <w:p w14:paraId="1A714814">
      <w:pPr>
        <w:autoSpaceDE w:val="0"/>
        <w:autoSpaceDN w:val="0"/>
        <w:adjustRightInd w:val="0"/>
        <w:snapToGrid w:val="0"/>
        <w:spacing w:line="360" w:lineRule="auto"/>
        <w:ind w:right="-34" w:rightChars="-16"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.供应商应结合设备的使用、保养过程，无偿对采购人派出的管理人员进行设备的基本知识、使用、维护保养技术的现场培训，以保证售后设备的良好运行状态；</w:t>
      </w:r>
    </w:p>
    <w:p w14:paraId="5165F12A">
      <w:pPr>
        <w:autoSpaceDE w:val="0"/>
        <w:autoSpaceDN w:val="0"/>
        <w:adjustRightInd w:val="0"/>
        <w:snapToGrid w:val="0"/>
        <w:spacing w:line="360" w:lineRule="auto"/>
        <w:ind w:right="-34" w:rightChars="-16" w:firstLine="420" w:firstLineChars="200"/>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cs="宋体"/>
          <w:color w:val="auto"/>
          <w:kern w:val="0"/>
          <w:sz w:val="21"/>
          <w:szCs w:val="21"/>
        </w:rPr>
        <w:t>.备品备件及耗材要求：该系统所需要的所有配件，中标供应商应常年备货。中标供应商在免费保修期内免费提供保证系统正常运行的全部备件及维护。</w:t>
      </w:r>
    </w:p>
    <w:p w14:paraId="6A2B55A6">
      <w:pPr>
        <w:autoSpaceDE w:val="0"/>
        <w:autoSpaceDN w:val="0"/>
        <w:adjustRightInd w:val="0"/>
        <w:snapToGrid w:val="0"/>
        <w:spacing w:line="360" w:lineRule="auto"/>
        <w:ind w:right="-34" w:rightChars="-16" w:firstLine="211" w:firstLineChars="100"/>
        <w:rPr>
          <w:rFonts w:hint="eastAsia" w:ascii="宋体" w:hAnsi="宋体" w:cs="宋体"/>
          <w:b/>
          <w:color w:val="auto"/>
          <w:sz w:val="21"/>
          <w:szCs w:val="21"/>
        </w:rPr>
      </w:pPr>
      <w:r>
        <w:rPr>
          <w:rFonts w:hint="eastAsia" w:ascii="宋体" w:hAnsi="宋体" w:eastAsia="宋体" w:cs="宋体"/>
          <w:b/>
          <w:bCs/>
          <w:color w:val="auto"/>
          <w:kern w:val="2"/>
          <w:sz w:val="21"/>
          <w:szCs w:val="21"/>
          <w:lang w:val="en-US" w:eastAsia="zh-CN" w:bidi="ar-SA"/>
        </w:rPr>
        <w:t>（二）</w:t>
      </w:r>
      <w:r>
        <w:rPr>
          <w:rFonts w:hint="eastAsia" w:ascii="宋体" w:hAnsi="宋体" w:cs="宋体"/>
          <w:b/>
          <w:color w:val="auto"/>
          <w:sz w:val="21"/>
          <w:szCs w:val="21"/>
        </w:rPr>
        <w:t>培训要求</w:t>
      </w:r>
    </w:p>
    <w:p w14:paraId="7A2DE02C">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设备验收合格后，投标人应对本项目的设备进行现场指导培训。</w:t>
      </w:r>
    </w:p>
    <w:p w14:paraId="3DB3EDA6">
      <w:pPr>
        <w:tabs>
          <w:tab w:val="left" w:pos="8280"/>
        </w:tabs>
        <w:autoSpaceDE w:val="0"/>
        <w:autoSpaceDN w:val="0"/>
        <w:adjustRightInd w:val="0"/>
        <w:spacing w:line="360" w:lineRule="auto"/>
        <w:ind w:right="25" w:firstLine="211" w:firstLineChars="100"/>
        <w:jc w:val="left"/>
        <w:outlineLvl w:val="1"/>
        <w:rPr>
          <w:rFonts w:hint="eastAsia" w:ascii="宋体" w:hAnsi="宋体" w:eastAsia="宋体" w:cs="宋体"/>
          <w:b/>
          <w:bCs/>
          <w:color w:val="auto"/>
          <w:kern w:val="2"/>
          <w:sz w:val="21"/>
          <w:szCs w:val="21"/>
          <w:lang w:val="en-US" w:eastAsia="zh-CN" w:bidi="ar-SA"/>
        </w:rPr>
      </w:pPr>
      <w:r>
        <w:rPr>
          <w:rFonts w:hint="eastAsia" w:ascii="宋体" w:hAnsi="宋体" w:eastAsia="宋体"/>
          <w:b/>
          <w:bCs/>
          <w:color w:val="auto"/>
          <w:sz w:val="21"/>
          <w:szCs w:val="21"/>
          <w:lang w:eastAsia="zh-CN"/>
        </w:rPr>
        <w:t>（三）</w:t>
      </w:r>
      <w:r>
        <w:rPr>
          <w:rFonts w:hint="eastAsia" w:ascii="宋体" w:hAnsi="宋体"/>
          <w:b/>
          <w:bCs/>
          <w:color w:val="auto"/>
          <w:sz w:val="21"/>
          <w:szCs w:val="21"/>
        </w:rPr>
        <w:t>运输、安装与调试要求</w:t>
      </w:r>
    </w:p>
    <w:p w14:paraId="34A89C0A">
      <w:pPr>
        <w:spacing w:line="360" w:lineRule="auto"/>
        <w:ind w:firstLine="420" w:firstLineChars="200"/>
        <w:jc w:val="left"/>
        <w:rPr>
          <w:rFonts w:ascii="宋体"/>
          <w:color w:val="auto"/>
          <w:sz w:val="21"/>
          <w:szCs w:val="21"/>
        </w:rPr>
      </w:pPr>
      <w:r>
        <w:rPr>
          <w:rFonts w:ascii="宋体" w:hAnsi="宋体"/>
          <w:color w:val="auto"/>
          <w:sz w:val="21"/>
          <w:szCs w:val="21"/>
        </w:rPr>
        <w:t>1.</w:t>
      </w:r>
      <w:r>
        <w:rPr>
          <w:rFonts w:hint="eastAsia" w:ascii="宋体" w:hAnsi="宋体"/>
          <w:color w:val="auto"/>
          <w:sz w:val="21"/>
          <w:szCs w:val="21"/>
        </w:rPr>
        <w:t>中标供应商须对送货、安装、调试等工作人员的安全文明施工负责，必须按项目需求及国家有关规范标准进行施工，确保施工现场的安全生产和文明施工；中标供应商在项目施工过程中如造成人员伤亡、财产损失的，有关责任均由中标供应商承担。</w:t>
      </w:r>
    </w:p>
    <w:p w14:paraId="1C55146B">
      <w:pPr>
        <w:spacing w:line="360" w:lineRule="auto"/>
        <w:ind w:firstLine="420" w:firstLineChars="200"/>
        <w:jc w:val="left"/>
        <w:rPr>
          <w:rFonts w:ascii="宋体"/>
          <w:color w:val="auto"/>
          <w:sz w:val="21"/>
          <w:szCs w:val="21"/>
          <w:lang w:val="zh-CN"/>
        </w:rPr>
      </w:pPr>
      <w:r>
        <w:rPr>
          <w:rFonts w:ascii="宋体" w:hAnsi="宋体"/>
          <w:color w:val="auto"/>
          <w:sz w:val="21"/>
          <w:szCs w:val="21"/>
        </w:rPr>
        <w:t>2.</w:t>
      </w:r>
      <w:r>
        <w:rPr>
          <w:rFonts w:hint="eastAsia" w:ascii="宋体" w:hAnsi="宋体"/>
          <w:color w:val="auto"/>
          <w:sz w:val="21"/>
          <w:szCs w:val="21"/>
        </w:rPr>
        <w:t>中标供应商须按国家有关规定及标准完成本次采购的供货、运输、装卸、检验、通过有关部门验收、质保期上门服务等各项工作，并保证产品使用的安全性能与检测结果的可靠性。货物验收过程中，由于质量不合格或运输等原因所造成的一切费用均由中标供应商负责。</w:t>
      </w:r>
    </w:p>
    <w:p w14:paraId="3B134B66">
      <w:pPr>
        <w:tabs>
          <w:tab w:val="left" w:pos="8280"/>
        </w:tabs>
        <w:autoSpaceDE w:val="0"/>
        <w:autoSpaceDN w:val="0"/>
        <w:adjustRightInd w:val="0"/>
        <w:spacing w:line="360" w:lineRule="auto"/>
        <w:ind w:right="25" w:firstLine="211" w:firstLineChars="100"/>
        <w:jc w:val="left"/>
        <w:outlineLvl w:val="1"/>
        <w:rPr>
          <w:rFonts w:hint="eastAsia" w:ascii="宋体" w:hAnsi="宋体" w:eastAsia="宋体" w:cs="Times New Roman"/>
          <w:b/>
          <w:bCs/>
          <w:color w:val="auto"/>
          <w:sz w:val="21"/>
          <w:szCs w:val="21"/>
          <w:lang w:eastAsia="zh-CN"/>
        </w:rPr>
      </w:pPr>
      <w:r>
        <w:rPr>
          <w:rFonts w:hint="eastAsia" w:ascii="宋体" w:hAnsi="宋体" w:eastAsia="宋体" w:cs="Times New Roman"/>
          <w:b/>
          <w:bCs/>
          <w:color w:val="auto"/>
          <w:sz w:val="21"/>
          <w:szCs w:val="21"/>
          <w:lang w:eastAsia="zh-CN"/>
        </w:rPr>
        <w:t>（四）验收标准</w:t>
      </w:r>
    </w:p>
    <w:p w14:paraId="63F9F0ED">
      <w:pPr>
        <w:pStyle w:val="2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1.由采购人负责进行验收。</w:t>
      </w:r>
    </w:p>
    <w:p w14:paraId="099F3ED0">
      <w:pPr>
        <w:pStyle w:val="2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2.验收方式：安装完毕，根据采购人需要，可以委托国家认可的专业检测机构进行检测，费用由中标单位承担。</w:t>
      </w:r>
    </w:p>
    <w:p w14:paraId="5B66BA70">
      <w:pPr>
        <w:pStyle w:val="2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采购人在中标单位履行合同结束后进行检查验收，如果发现成果有质量、技术等问题，中标单位应负责根据合同及采购人的要求采取补足或更换等处理措施，并承担由此发生的一切损失和费用。验收合格后，采购人在验收单上签字并加盖单位公章。</w:t>
      </w:r>
    </w:p>
    <w:p w14:paraId="2894E1DD">
      <w:pPr>
        <w:pStyle w:val="2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4.验收条件及标准：设备技术参数与技术标书一致，性能指标达到或超过规定的标准。技术规范要求中提到的技术资料、工具、备件等已经按规定的数量移交完毕。</w:t>
      </w:r>
    </w:p>
    <w:p w14:paraId="716AB7AF">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如第一次验收未合格，中标单位应找出原因进行更正，并应在第一次验收结束后7个工作日内进行再次验收，中标单位应承担由此而产生的全部费用。如第二次验收仍不能符合合格条件，采购人可拒绝接受全部货物，中标单位负责赔偿一切损失。</w:t>
      </w:r>
    </w:p>
    <w:p w14:paraId="523875EC">
      <w:pPr>
        <w:tabs>
          <w:tab w:val="left" w:pos="8280"/>
        </w:tabs>
        <w:autoSpaceDE w:val="0"/>
        <w:autoSpaceDN w:val="0"/>
        <w:adjustRightInd w:val="0"/>
        <w:spacing w:line="360" w:lineRule="auto"/>
        <w:ind w:right="25" w:firstLine="211" w:firstLineChars="100"/>
        <w:jc w:val="left"/>
        <w:outlineLvl w:val="1"/>
        <w:rPr>
          <w:rFonts w:hint="eastAsia" w:ascii="宋体" w:hAnsi="宋体" w:eastAsia="宋体" w:cs="Times New Roman"/>
          <w:b/>
          <w:bCs/>
          <w:color w:val="auto"/>
          <w:sz w:val="21"/>
          <w:szCs w:val="21"/>
          <w:lang w:eastAsia="zh-CN"/>
        </w:rPr>
      </w:pPr>
      <w:r>
        <w:rPr>
          <w:rFonts w:hint="eastAsia" w:ascii="宋体" w:hAnsi="宋体" w:eastAsia="宋体" w:cs="Times New Roman"/>
          <w:b/>
          <w:bCs/>
          <w:color w:val="auto"/>
          <w:sz w:val="21"/>
          <w:szCs w:val="21"/>
          <w:lang w:eastAsia="zh-CN"/>
        </w:rPr>
        <w:t>五、商务要求</w:t>
      </w:r>
    </w:p>
    <w:p w14:paraId="33A8CD48">
      <w:pPr>
        <w:tabs>
          <w:tab w:val="left" w:pos="8280"/>
        </w:tabs>
        <w:autoSpaceDE w:val="0"/>
        <w:autoSpaceDN w:val="0"/>
        <w:adjustRightInd w:val="0"/>
        <w:spacing w:line="360" w:lineRule="auto"/>
        <w:ind w:right="25" w:firstLine="211" w:firstLineChars="100"/>
        <w:jc w:val="left"/>
        <w:outlineLvl w:val="1"/>
        <w:rPr>
          <w:rFonts w:hint="eastAsia" w:ascii="宋体" w:hAnsi="宋体" w:eastAsia="宋体" w:cs="Times New Roman"/>
          <w:b/>
          <w:bCs/>
          <w:color w:val="auto"/>
          <w:sz w:val="21"/>
          <w:szCs w:val="21"/>
          <w:lang w:eastAsia="zh-CN"/>
        </w:rPr>
      </w:pPr>
      <w:r>
        <w:rPr>
          <w:rFonts w:hint="eastAsia" w:ascii="宋体" w:hAnsi="宋体" w:eastAsia="宋体" w:cs="Times New Roman"/>
          <w:b/>
          <w:bCs/>
          <w:color w:val="auto"/>
          <w:sz w:val="21"/>
          <w:szCs w:val="21"/>
          <w:lang w:eastAsia="zh-CN"/>
        </w:rPr>
        <w:t>1.质保期：</w:t>
      </w:r>
    </w:p>
    <w:p w14:paraId="40130A45">
      <w:pPr>
        <w:pStyle w:val="2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cs="宋体"/>
          <w:b/>
          <w:bCs w:val="0"/>
          <w:color w:val="000000"/>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（1）质保期为2年（免费提供两年内的耗材）。</w:t>
      </w:r>
      <w:r>
        <w:rPr>
          <w:rFonts w:hint="eastAsia" w:ascii="宋体" w:hAnsi="宋体" w:eastAsia="宋体" w:cs="宋体"/>
          <w:color w:val="auto"/>
          <w:kern w:val="2"/>
          <w:sz w:val="21"/>
          <w:szCs w:val="21"/>
          <w:lang w:val="en-US" w:eastAsia="zh-CN" w:bidi="ar-SA"/>
        </w:rPr>
        <w:t>保修期间，提供免费上门维修、更换非人为原因损坏零部件及技术咨询服务。</w:t>
      </w:r>
    </w:p>
    <w:p w14:paraId="01AD75A5">
      <w:pPr>
        <w:pStyle w:val="2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（2）质保期间，仪器一旦出现问题要求</w:t>
      </w:r>
      <w:r>
        <w:rPr>
          <w:rFonts w:hint="eastAsia" w:ascii="宋体" w:hAnsi="宋体" w:cs="宋体"/>
          <w:color w:val="auto"/>
          <w:sz w:val="21"/>
          <w:szCs w:val="21"/>
        </w:rPr>
        <w:t>接到故障通知后</w:t>
      </w:r>
      <w:r>
        <w:rPr>
          <w:rFonts w:hint="eastAsia" w:ascii="宋体" w:hAnsi="宋体" w:eastAsia="宋体" w:cs="宋体"/>
          <w:color w:val="auto"/>
          <w:sz w:val="21"/>
          <w:szCs w:val="21"/>
          <w:lang w:val="en-US" w:eastAsia="zh-CN"/>
        </w:rPr>
        <w:t>4</w:t>
      </w:r>
      <w:r>
        <w:rPr>
          <w:rFonts w:hint="eastAsia" w:ascii="宋体" w:hAnsi="宋体" w:cs="宋体"/>
          <w:color w:val="auto"/>
          <w:sz w:val="21"/>
          <w:szCs w:val="21"/>
        </w:rPr>
        <w:t>小时以内到达现场履行维修服务义务，12小时解决问题</w:t>
      </w:r>
      <w:r>
        <w:rPr>
          <w:rFonts w:hint="eastAsia" w:ascii="宋体" w:hAnsi="宋体" w:eastAsia="宋体" w:cs="宋体"/>
          <w:color w:val="auto"/>
          <w:kern w:val="2"/>
          <w:sz w:val="21"/>
          <w:szCs w:val="21"/>
          <w:lang w:val="en-US" w:eastAsia="zh-CN" w:bidi="ar-SA"/>
        </w:rPr>
        <w:t>，提供免费上门维修、更换非人为原因损坏零部件及技术咨询服务。</w:t>
      </w:r>
    </w:p>
    <w:p w14:paraId="2E98840F">
      <w:pPr>
        <w:pStyle w:val="2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（3）在质保期结束后，保证10年内提供备件、配件及试剂供应。</w:t>
      </w:r>
    </w:p>
    <w:p w14:paraId="61082081">
      <w:pPr>
        <w:spacing w:line="360" w:lineRule="auto"/>
        <w:ind w:firstLine="422"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lang w:val="en-US" w:eastAsia="zh-CN" w:bidi="ar-SA"/>
        </w:rPr>
        <w:t>2.项目工期：</w:t>
      </w:r>
      <w:r>
        <w:rPr>
          <w:rFonts w:hint="eastAsia" w:hAnsi="宋体" w:cs="宋体"/>
          <w:bCs/>
          <w:color w:val="auto"/>
          <w:szCs w:val="21"/>
          <w:lang w:val="en-US" w:eastAsia="zh-CN"/>
        </w:rPr>
        <w:t>合同签订之</w:t>
      </w:r>
      <w:r>
        <w:rPr>
          <w:rFonts w:hint="eastAsia" w:hAnsi="宋体" w:cs="宋体"/>
          <w:bCs/>
          <w:color w:val="auto"/>
          <w:szCs w:val="21"/>
          <w:highlight w:val="none"/>
          <w:lang w:val="en-US" w:eastAsia="zh-CN"/>
        </w:rPr>
        <w:t>日起30天内</w:t>
      </w:r>
      <w:r>
        <w:rPr>
          <w:rFonts w:hint="eastAsia" w:hAnsi="宋体" w:cs="宋体"/>
          <w:bCs/>
          <w:color w:val="auto"/>
          <w:szCs w:val="21"/>
          <w:highlight w:val="none"/>
        </w:rPr>
        <w:t>按采购人要求完成所有产品供货、安装调试</w:t>
      </w:r>
    </w:p>
    <w:p w14:paraId="54EEC4AB">
      <w:pPr>
        <w:spacing w:line="360" w:lineRule="auto"/>
        <w:ind w:firstLine="420" w:firstLineChars="200"/>
        <w:rPr>
          <w:rFonts w:hint="eastAsia" w:hAnsi="宋体" w:cs="宋体"/>
          <w:bCs/>
          <w:color w:val="auto"/>
          <w:szCs w:val="21"/>
        </w:rPr>
        <w:sectPr>
          <w:pgSz w:w="11906" w:h="16838"/>
          <w:pgMar w:top="1304" w:right="1417" w:bottom="1304" w:left="1417" w:header="851" w:footer="992" w:gutter="0"/>
          <w:cols w:space="720" w:num="1"/>
          <w:docGrid w:type="lines" w:linePitch="312" w:charSpace="0"/>
        </w:sectPr>
      </w:pPr>
      <w:r>
        <w:rPr>
          <w:rFonts w:hint="eastAsia" w:hAnsi="宋体" w:cs="宋体"/>
          <w:bCs/>
          <w:color w:val="auto"/>
          <w:szCs w:val="21"/>
          <w:highlight w:val="none"/>
          <w:lang w:val="en-US" w:eastAsia="zh-CN"/>
        </w:rPr>
        <w:t>3.</w:t>
      </w:r>
      <w:r>
        <w:rPr>
          <w:rFonts w:hint="eastAsia" w:hAnsi="宋体" w:cs="宋体"/>
          <w:b/>
          <w:bCs w:val="0"/>
          <w:color w:val="auto"/>
          <w:szCs w:val="21"/>
          <w:highlight w:val="none"/>
          <w:lang w:val="en-US" w:eastAsia="zh-CN"/>
        </w:rPr>
        <w:t>付款条件：</w:t>
      </w:r>
      <w:r>
        <w:rPr>
          <w:rFonts w:hint="eastAsia" w:hAnsi="宋体" w:cs="宋体"/>
          <w:bCs/>
          <w:color w:val="auto"/>
          <w:szCs w:val="21"/>
          <w:highlight w:val="none"/>
          <w:lang w:val="en-US" w:eastAsia="zh-CN"/>
        </w:rPr>
        <w:t>合同签订后，采购人在7个工作日内向中标供</w:t>
      </w:r>
      <w:r>
        <w:rPr>
          <w:rFonts w:hint="eastAsia" w:hAnsi="宋体" w:cs="宋体"/>
          <w:bCs/>
          <w:color w:val="auto"/>
          <w:szCs w:val="21"/>
          <w:lang w:val="en-US" w:eastAsia="zh-CN"/>
        </w:rPr>
        <w:t>应商支付项目预付款，项目预付款为合同金额的30%；安装调试验收合格后15个工作日内付至合同总价的95％；剩余5%，待质保期满后无息退还。质保期以项目验收合格之日起计算</w:t>
      </w:r>
    </w:p>
    <w:p w14:paraId="25E6B5AC">
      <w:pPr>
        <w:tabs>
          <w:tab w:val="left" w:pos="180"/>
          <w:tab w:val="left" w:pos="360"/>
          <w:tab w:val="left" w:pos="540"/>
          <w:tab w:val="left" w:pos="8280"/>
        </w:tabs>
        <w:autoSpaceDE w:val="0"/>
        <w:autoSpaceDN w:val="0"/>
        <w:adjustRightInd w:val="0"/>
        <w:spacing w:line="580" w:lineRule="exact"/>
        <w:ind w:right="23"/>
        <w:jc w:val="both"/>
        <w:rPr>
          <w:rFonts w:hint="eastAsia" w:ascii="宋体"/>
          <w:b/>
          <w:color w:val="000000" w:themeColor="text1"/>
          <w:kern w:val="0"/>
          <w:sz w:val="36"/>
          <w14:textFill>
            <w14:solidFill>
              <w14:schemeClr w14:val="tx1"/>
            </w14:solidFill>
          </w14:textFill>
        </w:rPr>
      </w:pPr>
    </w:p>
    <w:p w14:paraId="2C662085">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r>
        <w:rPr>
          <w:rFonts w:hint="eastAsia" w:ascii="宋体"/>
          <w:b/>
          <w:color w:val="000000" w:themeColor="text1"/>
          <w:kern w:val="0"/>
          <w:sz w:val="36"/>
          <w14:textFill>
            <w14:solidFill>
              <w14:schemeClr w14:val="tx1"/>
            </w14:solidFill>
          </w14:textFill>
        </w:rPr>
        <w:t>第四章  采购合同主要条款</w:t>
      </w:r>
    </w:p>
    <w:p w14:paraId="0F396EE1">
      <w:pPr>
        <w:widowControl/>
        <w:shd w:val="clear" w:color="auto" w:fill="FFFFFF"/>
        <w:spacing w:after="150" w:line="360" w:lineRule="auto"/>
        <w:ind w:firstLine="480"/>
        <w:jc w:val="left"/>
        <w:rPr>
          <w:rFonts w:asciiTheme="minorEastAsia" w:hAnsiTheme="minorEastAsia" w:eastAsiaTheme="minorEastAsia"/>
          <w:szCs w:val="21"/>
        </w:rPr>
      </w:pPr>
    </w:p>
    <w:p w14:paraId="7CBC1761">
      <w:pPr>
        <w:widowControl/>
        <w:shd w:val="clear" w:color="auto" w:fill="FFFFFF"/>
        <w:spacing w:after="150" w:line="360" w:lineRule="auto"/>
        <w:ind w:firstLine="480"/>
        <w:jc w:val="left"/>
        <w:rPr>
          <w:rFonts w:asciiTheme="minorEastAsia" w:hAnsiTheme="minorEastAsia" w:eastAsiaTheme="minorEastAsia"/>
          <w:szCs w:val="21"/>
        </w:rPr>
      </w:pPr>
      <w:r>
        <w:rPr>
          <w:rFonts w:asciiTheme="minorEastAsia" w:hAnsiTheme="minorEastAsia" w:eastAsiaTheme="minorEastAsia"/>
          <w:szCs w:val="21"/>
        </w:rPr>
        <w:t>以下为成交后签定本项目合同的通用条款，成交供应商不得提出实质性的修改，关于专用条款将由采购人与成交供应商结合本项目具体情况协商后签订。</w:t>
      </w:r>
    </w:p>
    <w:p w14:paraId="3AC3A39E">
      <w:pPr>
        <w:pStyle w:val="15"/>
        <w:snapToGrid w:val="0"/>
        <w:spacing w:line="360" w:lineRule="auto"/>
        <w:ind w:firstLine="420" w:firstLineChars="200"/>
        <w:rPr>
          <w:rFonts w:hAnsi="宋体" w:cs="宋体"/>
          <w:szCs w:val="21"/>
        </w:rPr>
      </w:pPr>
      <w:r>
        <w:rPr>
          <w:rFonts w:hint="eastAsia" w:hAnsi="宋体" w:cs="宋体"/>
          <w:szCs w:val="21"/>
        </w:rPr>
        <w:t>项目名称：                                   项目编号：</w:t>
      </w:r>
    </w:p>
    <w:p w14:paraId="1B0D046E">
      <w:pPr>
        <w:pStyle w:val="15"/>
        <w:snapToGrid w:val="0"/>
        <w:spacing w:line="360" w:lineRule="auto"/>
        <w:ind w:firstLine="420" w:firstLineChars="200"/>
        <w:rPr>
          <w:rFonts w:hAnsi="宋体" w:cs="宋体"/>
          <w:szCs w:val="21"/>
        </w:rPr>
      </w:pPr>
      <w:r>
        <w:rPr>
          <w:rFonts w:hint="eastAsia" w:hAnsi="宋体" w:cs="宋体"/>
          <w:szCs w:val="21"/>
        </w:rPr>
        <w:t xml:space="preserve">甲方：（采购单位）                            所在地：                              </w:t>
      </w:r>
    </w:p>
    <w:p w14:paraId="52C223E9">
      <w:pPr>
        <w:pStyle w:val="15"/>
        <w:snapToGrid w:val="0"/>
        <w:spacing w:line="360" w:lineRule="auto"/>
        <w:ind w:firstLine="420" w:firstLineChars="200"/>
        <w:rPr>
          <w:rFonts w:hAnsi="宋体" w:cs="宋体"/>
          <w:szCs w:val="21"/>
        </w:rPr>
      </w:pPr>
      <w:r>
        <w:rPr>
          <w:rFonts w:hint="eastAsia" w:hAnsi="宋体" w:cs="宋体"/>
          <w:szCs w:val="21"/>
        </w:rPr>
        <w:t>乙方：（成交供应商）                          所在地：</w:t>
      </w:r>
    </w:p>
    <w:p w14:paraId="2FF81BC8">
      <w:pPr>
        <w:pStyle w:val="15"/>
        <w:snapToGrid w:val="0"/>
        <w:spacing w:line="360" w:lineRule="auto"/>
        <w:ind w:firstLine="420" w:firstLineChars="200"/>
        <w:rPr>
          <w:rFonts w:hAnsi="宋体" w:cs="宋体"/>
          <w:b/>
          <w:szCs w:val="21"/>
        </w:rPr>
      </w:pPr>
      <w:r>
        <w:rPr>
          <w:rFonts w:hint="eastAsia" w:hAnsi="宋体" w:cs="宋体"/>
          <w:szCs w:val="21"/>
        </w:rPr>
        <w:t>甲、乙双方根据</w:t>
      </w:r>
      <w:r>
        <w:rPr>
          <w:rFonts w:hint="eastAsia" w:hAnsi="宋体" w:cs="宋体"/>
          <w:szCs w:val="21"/>
          <w:u w:val="single"/>
          <w:lang w:eastAsia="zh-CN"/>
        </w:rPr>
        <w:t>欧邦工程管理集团有限公司</w:t>
      </w:r>
      <w:r>
        <w:rPr>
          <w:rFonts w:hint="eastAsia" w:hAnsi="宋体" w:cs="宋体"/>
          <w:szCs w:val="21"/>
        </w:rPr>
        <w:t>关于</w:t>
      </w:r>
      <w:r>
        <w:rPr>
          <w:rFonts w:hint="eastAsia" w:hAnsi="宋体" w:cs="宋体"/>
          <w:color w:val="0000FF"/>
          <w:szCs w:val="21"/>
          <w:u w:val="single"/>
        </w:rPr>
        <w:t xml:space="preserve">   （填写项目编号及项目名称）  </w:t>
      </w:r>
      <w:r>
        <w:rPr>
          <w:rFonts w:hint="eastAsia" w:hAnsi="宋体" w:cs="宋体"/>
          <w:szCs w:val="21"/>
        </w:rPr>
        <w:t>项目竞争性谈判招标的结果，签署本合同。</w:t>
      </w:r>
    </w:p>
    <w:p w14:paraId="19D004BE">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 xml:space="preserve">一、合同文件： </w:t>
      </w:r>
    </w:p>
    <w:p w14:paraId="6D4FCA10">
      <w:pPr>
        <w:spacing w:line="360" w:lineRule="auto"/>
        <w:ind w:firstLine="420" w:firstLineChars="200"/>
        <w:rPr>
          <w:rFonts w:ascii="宋体" w:hAnsi="宋体" w:cs="宋体"/>
          <w:szCs w:val="21"/>
          <w:lang w:val="zh-CN"/>
        </w:rPr>
      </w:pPr>
      <w:r>
        <w:rPr>
          <w:rFonts w:hint="eastAsia" w:ascii="宋体" w:hAnsi="宋体" w:cs="宋体"/>
          <w:szCs w:val="21"/>
          <w:lang w:val="zh-CN"/>
        </w:rPr>
        <w:t>1.合同条款。</w:t>
      </w:r>
    </w:p>
    <w:p w14:paraId="46A07469">
      <w:pPr>
        <w:spacing w:line="360" w:lineRule="auto"/>
        <w:ind w:firstLine="420" w:firstLineChars="200"/>
        <w:rPr>
          <w:rFonts w:ascii="宋体" w:hAnsi="宋体" w:cs="宋体"/>
          <w:szCs w:val="21"/>
          <w:lang w:val="zh-CN"/>
        </w:rPr>
      </w:pPr>
      <w:r>
        <w:rPr>
          <w:rFonts w:hint="eastAsia" w:ascii="宋体" w:hAnsi="宋体" w:cs="宋体"/>
          <w:szCs w:val="21"/>
          <w:lang w:val="zh-CN"/>
        </w:rPr>
        <w:t>2.中标通知书。</w:t>
      </w:r>
    </w:p>
    <w:p w14:paraId="1627B13D">
      <w:pPr>
        <w:spacing w:line="360" w:lineRule="auto"/>
        <w:ind w:firstLine="420" w:firstLineChars="200"/>
        <w:rPr>
          <w:rFonts w:ascii="宋体" w:hAnsi="宋体" w:cs="宋体"/>
          <w:szCs w:val="21"/>
          <w:lang w:val="zh-CN"/>
        </w:rPr>
      </w:pPr>
      <w:r>
        <w:rPr>
          <w:rFonts w:hint="eastAsia" w:ascii="宋体" w:hAnsi="宋体" w:cs="宋体"/>
          <w:szCs w:val="21"/>
          <w:lang w:val="zh-CN"/>
        </w:rPr>
        <w:t>3.更正补充文件。</w:t>
      </w:r>
    </w:p>
    <w:p w14:paraId="219574CC">
      <w:pPr>
        <w:spacing w:line="360" w:lineRule="auto"/>
        <w:ind w:firstLine="420" w:firstLineChars="200"/>
        <w:rPr>
          <w:rFonts w:ascii="宋体" w:hAnsi="宋体" w:cs="宋体"/>
          <w:szCs w:val="21"/>
          <w:lang w:val="zh-CN"/>
        </w:rPr>
      </w:pPr>
      <w:r>
        <w:rPr>
          <w:rFonts w:hint="eastAsia" w:ascii="宋体" w:hAnsi="宋体" w:cs="宋体"/>
          <w:szCs w:val="21"/>
          <w:lang w:val="zh-CN"/>
        </w:rPr>
        <w:t>4.采购文件。</w:t>
      </w:r>
    </w:p>
    <w:p w14:paraId="3F602A61">
      <w:pPr>
        <w:spacing w:line="360" w:lineRule="auto"/>
        <w:ind w:firstLine="420" w:firstLineChars="200"/>
        <w:rPr>
          <w:rFonts w:ascii="宋体" w:hAnsi="宋体" w:cs="宋体"/>
          <w:szCs w:val="21"/>
          <w:lang w:val="zh-CN"/>
        </w:rPr>
      </w:pPr>
      <w:r>
        <w:rPr>
          <w:rFonts w:hint="eastAsia" w:ascii="宋体" w:hAnsi="宋体" w:cs="宋体"/>
          <w:szCs w:val="21"/>
          <w:lang w:val="zh-CN"/>
        </w:rPr>
        <w:t>5.</w:t>
      </w:r>
      <w:r>
        <w:rPr>
          <w:rFonts w:hint="eastAsia" w:hAnsi="宋体" w:cs="宋体"/>
          <w:szCs w:val="21"/>
        </w:rPr>
        <w:t>成交供应商</w:t>
      </w:r>
      <w:r>
        <w:rPr>
          <w:rFonts w:hint="eastAsia" w:ascii="宋体" w:hAnsi="宋体" w:cs="宋体"/>
          <w:szCs w:val="21"/>
        </w:rPr>
        <w:t>投标文件</w:t>
      </w:r>
      <w:r>
        <w:rPr>
          <w:rFonts w:hint="eastAsia" w:ascii="宋体" w:hAnsi="宋体" w:cs="宋体"/>
          <w:szCs w:val="21"/>
          <w:lang w:val="zh-CN"/>
        </w:rPr>
        <w:t>。</w:t>
      </w:r>
    </w:p>
    <w:p w14:paraId="689A35F2">
      <w:pPr>
        <w:spacing w:line="360" w:lineRule="auto"/>
        <w:ind w:firstLine="420" w:firstLineChars="200"/>
        <w:rPr>
          <w:rFonts w:ascii="宋体" w:hAnsi="宋体" w:cs="宋体"/>
          <w:szCs w:val="21"/>
          <w:lang w:val="zh-CN"/>
        </w:rPr>
      </w:pPr>
      <w:r>
        <w:rPr>
          <w:rFonts w:hint="eastAsia" w:ascii="宋体" w:hAnsi="宋体" w:cs="宋体"/>
          <w:szCs w:val="21"/>
          <w:lang w:val="zh-CN"/>
        </w:rPr>
        <w:t>6.其他。</w:t>
      </w:r>
    </w:p>
    <w:p w14:paraId="424ADA17">
      <w:pPr>
        <w:pStyle w:val="15"/>
        <w:snapToGrid w:val="0"/>
        <w:spacing w:line="360" w:lineRule="auto"/>
        <w:ind w:firstLine="420" w:firstLineChars="200"/>
        <w:rPr>
          <w:rFonts w:hAnsi="宋体" w:cs="宋体"/>
          <w:szCs w:val="21"/>
          <w:lang w:val="zh-CN"/>
        </w:rPr>
      </w:pPr>
      <w:r>
        <w:rPr>
          <w:rFonts w:hint="eastAsia" w:hAnsi="宋体" w:cs="宋体"/>
          <w:szCs w:val="21"/>
          <w:lang w:val="zh-CN"/>
        </w:rPr>
        <w:t>上述所指合同文件应认为是互相补充和解释的，但是有模棱两可或互相矛盾之处，以其所列内容顺序为准。</w:t>
      </w:r>
    </w:p>
    <w:p w14:paraId="25AD2990">
      <w:pPr>
        <w:pStyle w:val="15"/>
        <w:snapToGrid w:val="0"/>
        <w:spacing w:line="360" w:lineRule="auto"/>
        <w:ind w:firstLine="422" w:firstLineChars="200"/>
        <w:rPr>
          <w:rFonts w:hAnsi="宋体" w:cs="宋体"/>
          <w:b/>
          <w:szCs w:val="21"/>
        </w:rPr>
      </w:pPr>
      <w:r>
        <w:rPr>
          <w:rFonts w:hint="eastAsia" w:hAnsi="宋体" w:cs="宋体"/>
          <w:b/>
          <w:szCs w:val="21"/>
        </w:rPr>
        <w:t>二、货物内容</w:t>
      </w:r>
    </w:p>
    <w:tbl>
      <w:tblPr>
        <w:tblStyle w:val="27"/>
        <w:tblW w:w="8680" w:type="dxa"/>
        <w:tblInd w:w="0" w:type="dxa"/>
        <w:tblLayout w:type="autofit"/>
        <w:tblCellMar>
          <w:top w:w="0" w:type="dxa"/>
          <w:left w:w="0" w:type="dxa"/>
          <w:bottom w:w="0" w:type="dxa"/>
          <w:right w:w="0" w:type="dxa"/>
        </w:tblCellMar>
      </w:tblPr>
      <w:tblGrid>
        <w:gridCol w:w="540"/>
        <w:gridCol w:w="1484"/>
        <w:gridCol w:w="1275"/>
        <w:gridCol w:w="659"/>
        <w:gridCol w:w="810"/>
        <w:gridCol w:w="1229"/>
        <w:gridCol w:w="1574"/>
        <w:gridCol w:w="1109"/>
      </w:tblGrid>
      <w:tr w14:paraId="6D150C91">
        <w:tblPrEx>
          <w:tblCellMar>
            <w:top w:w="0" w:type="dxa"/>
            <w:left w:w="0" w:type="dxa"/>
            <w:bottom w:w="0" w:type="dxa"/>
            <w:right w:w="0" w:type="dxa"/>
          </w:tblCellMar>
        </w:tblPrEx>
        <w:trPr>
          <w:trHeight w:val="600" w:hRule="atLeast"/>
          <w:tblHeader/>
        </w:trPr>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A8FB794">
            <w:pPr>
              <w:widowControl/>
              <w:snapToGrid w:val="0"/>
              <w:spacing w:line="360" w:lineRule="auto"/>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06042B5">
            <w:pPr>
              <w:widowControl/>
              <w:snapToGrid w:val="0"/>
              <w:spacing w:line="360" w:lineRule="auto"/>
              <w:jc w:val="center"/>
              <w:textAlignment w:val="center"/>
              <w:rPr>
                <w:rFonts w:ascii="宋体" w:hAnsi="宋体" w:cs="宋体"/>
                <w:b/>
                <w:color w:val="000000"/>
                <w:szCs w:val="21"/>
              </w:rPr>
            </w:pPr>
            <w:r>
              <w:rPr>
                <w:rFonts w:hint="eastAsia" w:ascii="宋体" w:hAnsi="宋体" w:cs="宋体"/>
                <w:b/>
                <w:color w:val="000000"/>
                <w:kern w:val="0"/>
                <w:szCs w:val="21"/>
              </w:rPr>
              <w:t>产品名称</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CFA8ECD">
            <w:pPr>
              <w:widowControl/>
              <w:snapToGrid w:val="0"/>
              <w:spacing w:line="360" w:lineRule="auto"/>
              <w:jc w:val="center"/>
              <w:textAlignment w:val="center"/>
              <w:rPr>
                <w:rFonts w:ascii="宋体" w:hAnsi="宋体" w:cs="宋体"/>
                <w:b/>
                <w:color w:val="000000"/>
                <w:szCs w:val="21"/>
              </w:rPr>
            </w:pPr>
            <w:r>
              <w:rPr>
                <w:rFonts w:hint="eastAsia" w:ascii="宋体" w:hAnsi="宋体" w:cs="宋体"/>
                <w:b/>
                <w:color w:val="000000"/>
                <w:kern w:val="0"/>
                <w:szCs w:val="21"/>
              </w:rPr>
              <w:t>规格型号</w:t>
            </w: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86BC74C">
            <w:pPr>
              <w:widowControl/>
              <w:snapToGrid w:val="0"/>
              <w:spacing w:line="360" w:lineRule="auto"/>
              <w:jc w:val="center"/>
              <w:textAlignment w:val="center"/>
              <w:rPr>
                <w:rFonts w:ascii="宋体" w:hAnsi="宋体" w:cs="宋体"/>
                <w:b/>
                <w:color w:val="000000"/>
                <w:szCs w:val="21"/>
              </w:rPr>
            </w:pPr>
            <w:r>
              <w:rPr>
                <w:rFonts w:hint="eastAsia" w:ascii="宋体" w:hAnsi="宋体" w:cs="宋体"/>
                <w:b/>
                <w:color w:val="000000"/>
                <w:kern w:val="0"/>
                <w:szCs w:val="21"/>
              </w:rPr>
              <w:t>单位</w:t>
            </w: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AEE17CB">
            <w:pPr>
              <w:widowControl/>
              <w:snapToGrid w:val="0"/>
              <w:spacing w:line="360" w:lineRule="auto"/>
              <w:jc w:val="center"/>
              <w:textAlignment w:val="center"/>
              <w:rPr>
                <w:rFonts w:ascii="宋体" w:hAnsi="宋体" w:cs="宋体"/>
                <w:b/>
                <w:color w:val="000000"/>
                <w:szCs w:val="21"/>
              </w:rPr>
            </w:pPr>
            <w:r>
              <w:rPr>
                <w:rFonts w:hint="eastAsia" w:ascii="宋体" w:hAnsi="宋体" w:cs="宋体"/>
                <w:b/>
                <w:color w:val="000000"/>
                <w:kern w:val="0"/>
                <w:szCs w:val="21"/>
              </w:rPr>
              <w:t>数量</w:t>
            </w: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12C5B5E">
            <w:pPr>
              <w:widowControl/>
              <w:snapToGrid w:val="0"/>
              <w:spacing w:line="360" w:lineRule="auto"/>
              <w:jc w:val="center"/>
              <w:textAlignment w:val="center"/>
              <w:rPr>
                <w:rFonts w:ascii="宋体" w:hAnsi="宋体" w:cs="宋体"/>
                <w:b/>
                <w:color w:val="000000"/>
                <w:kern w:val="0"/>
                <w:szCs w:val="21"/>
              </w:rPr>
            </w:pPr>
            <w:r>
              <w:rPr>
                <w:rFonts w:hint="eastAsia" w:ascii="宋体" w:hAnsi="宋体" w:cs="宋体"/>
                <w:b/>
                <w:color w:val="000000"/>
                <w:kern w:val="0"/>
                <w:szCs w:val="21"/>
              </w:rPr>
              <w:t>综合单价</w:t>
            </w:r>
          </w:p>
          <w:p w14:paraId="7A07279F">
            <w:pPr>
              <w:widowControl/>
              <w:snapToGrid w:val="0"/>
              <w:spacing w:line="360" w:lineRule="auto"/>
              <w:jc w:val="center"/>
              <w:textAlignment w:val="center"/>
              <w:rPr>
                <w:rFonts w:ascii="宋体" w:hAnsi="宋体" w:cs="宋体"/>
                <w:b/>
                <w:color w:val="000000"/>
                <w:szCs w:val="21"/>
              </w:rPr>
            </w:pPr>
            <w:r>
              <w:rPr>
                <w:rFonts w:hint="eastAsia" w:ascii="宋体" w:hAnsi="宋体" w:cs="宋体"/>
                <w:b/>
                <w:color w:val="000000"/>
                <w:kern w:val="0"/>
                <w:szCs w:val="21"/>
              </w:rPr>
              <w:t>（元）</w:t>
            </w: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BAC678F">
            <w:pPr>
              <w:widowControl/>
              <w:snapToGrid w:val="0"/>
              <w:spacing w:line="360" w:lineRule="auto"/>
              <w:jc w:val="center"/>
              <w:textAlignment w:val="center"/>
              <w:rPr>
                <w:rFonts w:ascii="宋体" w:hAnsi="宋体" w:cs="宋体"/>
                <w:b/>
                <w:color w:val="000000"/>
                <w:szCs w:val="21"/>
              </w:rPr>
            </w:pPr>
            <w:r>
              <w:rPr>
                <w:rFonts w:hint="eastAsia" w:ascii="宋体" w:hAnsi="宋体" w:cs="宋体"/>
                <w:b/>
                <w:color w:val="000000"/>
                <w:kern w:val="0"/>
                <w:szCs w:val="21"/>
              </w:rPr>
              <w:t>合价（元）</w:t>
            </w: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7EB2F93">
            <w:pPr>
              <w:widowControl/>
              <w:snapToGrid w:val="0"/>
              <w:spacing w:line="360" w:lineRule="auto"/>
              <w:jc w:val="center"/>
              <w:textAlignment w:val="center"/>
              <w:rPr>
                <w:rFonts w:ascii="宋体" w:hAnsi="宋体" w:cs="宋体"/>
                <w:b/>
                <w:color w:val="000000"/>
                <w:szCs w:val="21"/>
              </w:rPr>
            </w:pPr>
            <w:r>
              <w:rPr>
                <w:rFonts w:hint="eastAsia" w:ascii="宋体" w:hAnsi="宋体" w:cs="宋体"/>
                <w:b/>
                <w:color w:val="000000"/>
                <w:kern w:val="0"/>
                <w:szCs w:val="21"/>
              </w:rPr>
              <w:t>品牌</w:t>
            </w:r>
          </w:p>
        </w:tc>
      </w:tr>
      <w:tr w14:paraId="1983923B">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08BBD9A">
            <w:pPr>
              <w:widowControl/>
              <w:snapToGrid w:val="0"/>
              <w:spacing w:line="360" w:lineRule="auto"/>
              <w:jc w:val="center"/>
              <w:textAlignment w:val="center"/>
              <w:rPr>
                <w:rFonts w:ascii="宋体" w:hAnsi="宋体" w:cs="宋体"/>
                <w:color w:val="000000"/>
                <w:szCs w:val="21"/>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8E59424">
            <w:pPr>
              <w:widowControl/>
              <w:snapToGrid w:val="0"/>
              <w:spacing w:line="360" w:lineRule="auto"/>
              <w:jc w:val="left"/>
              <w:textAlignment w:val="center"/>
              <w:rPr>
                <w:rFonts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F041E9F">
            <w:pPr>
              <w:widowControl/>
              <w:snapToGrid w:val="0"/>
              <w:spacing w:line="360" w:lineRule="auto"/>
              <w:jc w:val="center"/>
              <w:textAlignment w:val="center"/>
              <w:rPr>
                <w:rFonts w:ascii="宋体" w:hAnsi="宋体" w:cs="宋体"/>
                <w:color w:val="000000"/>
                <w:szCs w:val="21"/>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68EA6F1">
            <w:pPr>
              <w:widowControl/>
              <w:snapToGrid w:val="0"/>
              <w:spacing w:line="360" w:lineRule="auto"/>
              <w:jc w:val="center"/>
              <w:textAlignment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5AFF98">
            <w:pPr>
              <w:widowControl/>
              <w:snapToGrid w:val="0"/>
              <w:spacing w:line="360" w:lineRule="auto"/>
              <w:jc w:val="center"/>
              <w:textAlignment w:val="center"/>
              <w:rPr>
                <w:rFonts w:ascii="宋体" w:hAnsi="宋体" w:cs="宋体"/>
                <w:color w:val="000000"/>
                <w:szCs w:val="21"/>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ECCB39">
            <w:pPr>
              <w:widowControl/>
              <w:snapToGrid w:val="0"/>
              <w:spacing w:line="360" w:lineRule="auto"/>
              <w:jc w:val="center"/>
              <w:textAlignment w:val="center"/>
              <w:rPr>
                <w:rFonts w:ascii="宋体" w:hAnsi="宋体" w:cs="宋体"/>
                <w:color w:val="000000"/>
                <w:szCs w:val="21"/>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D9008A">
            <w:pPr>
              <w:widowControl/>
              <w:snapToGrid w:val="0"/>
              <w:spacing w:line="360" w:lineRule="auto"/>
              <w:jc w:val="center"/>
              <w:textAlignment w:val="center"/>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660FAF3">
            <w:pPr>
              <w:widowControl/>
              <w:snapToGrid w:val="0"/>
              <w:spacing w:line="360" w:lineRule="auto"/>
              <w:jc w:val="center"/>
              <w:textAlignment w:val="center"/>
              <w:rPr>
                <w:rFonts w:ascii="宋体" w:hAnsi="宋体" w:cs="宋体"/>
                <w:color w:val="000000"/>
                <w:szCs w:val="21"/>
              </w:rPr>
            </w:pPr>
          </w:p>
        </w:tc>
      </w:tr>
      <w:tr w14:paraId="116D1609">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B070247">
            <w:pPr>
              <w:widowControl/>
              <w:snapToGrid w:val="0"/>
              <w:spacing w:line="360" w:lineRule="auto"/>
              <w:jc w:val="center"/>
              <w:textAlignment w:val="center"/>
              <w:rPr>
                <w:rFonts w:ascii="宋体" w:hAnsi="宋体" w:cs="宋体"/>
                <w:color w:val="000000"/>
                <w:szCs w:val="21"/>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CC5B375">
            <w:pPr>
              <w:widowControl/>
              <w:snapToGrid w:val="0"/>
              <w:spacing w:line="360" w:lineRule="auto"/>
              <w:jc w:val="left"/>
              <w:textAlignment w:val="center"/>
              <w:rPr>
                <w:rFonts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7683574">
            <w:pPr>
              <w:widowControl/>
              <w:snapToGrid w:val="0"/>
              <w:spacing w:line="360" w:lineRule="auto"/>
              <w:jc w:val="center"/>
              <w:textAlignment w:val="center"/>
              <w:rPr>
                <w:rFonts w:ascii="宋体" w:hAnsi="宋体" w:cs="宋体"/>
                <w:color w:val="000000"/>
                <w:szCs w:val="21"/>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0D2246A">
            <w:pPr>
              <w:widowControl/>
              <w:snapToGrid w:val="0"/>
              <w:spacing w:line="360" w:lineRule="auto"/>
              <w:jc w:val="center"/>
              <w:textAlignment w:val="center"/>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092C865">
            <w:pPr>
              <w:widowControl/>
              <w:snapToGrid w:val="0"/>
              <w:spacing w:line="360" w:lineRule="auto"/>
              <w:jc w:val="center"/>
              <w:textAlignment w:val="center"/>
              <w:rPr>
                <w:rFonts w:ascii="宋体" w:hAnsi="宋体" w:cs="宋体"/>
                <w:color w:val="000000"/>
                <w:szCs w:val="21"/>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519A6C">
            <w:pPr>
              <w:widowControl/>
              <w:snapToGrid w:val="0"/>
              <w:spacing w:line="360" w:lineRule="auto"/>
              <w:jc w:val="center"/>
              <w:textAlignment w:val="center"/>
              <w:rPr>
                <w:rFonts w:ascii="宋体" w:hAnsi="宋体" w:cs="宋体"/>
                <w:color w:val="000000"/>
                <w:szCs w:val="21"/>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8B2EC47">
            <w:pPr>
              <w:widowControl/>
              <w:snapToGrid w:val="0"/>
              <w:spacing w:line="360" w:lineRule="auto"/>
              <w:jc w:val="center"/>
              <w:textAlignment w:val="center"/>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2CD3FA">
            <w:pPr>
              <w:widowControl/>
              <w:snapToGrid w:val="0"/>
              <w:spacing w:line="360" w:lineRule="auto"/>
              <w:jc w:val="center"/>
              <w:textAlignment w:val="center"/>
              <w:rPr>
                <w:rFonts w:ascii="宋体" w:hAnsi="宋体" w:cs="宋体"/>
                <w:color w:val="000000"/>
                <w:szCs w:val="21"/>
              </w:rPr>
            </w:pPr>
          </w:p>
        </w:tc>
      </w:tr>
    </w:tbl>
    <w:p w14:paraId="7BB9DCD3">
      <w:pPr>
        <w:pStyle w:val="15"/>
        <w:snapToGrid w:val="0"/>
        <w:spacing w:line="360" w:lineRule="auto"/>
        <w:ind w:firstLine="422" w:firstLineChars="200"/>
        <w:rPr>
          <w:rFonts w:hAnsi="宋体" w:cs="宋体"/>
          <w:b/>
          <w:szCs w:val="21"/>
        </w:rPr>
      </w:pPr>
      <w:r>
        <w:rPr>
          <w:rFonts w:hint="eastAsia" w:hAnsi="宋体" w:cs="宋体"/>
          <w:b/>
          <w:szCs w:val="21"/>
        </w:rPr>
        <w:t>注：数量按实计算。</w:t>
      </w:r>
    </w:p>
    <w:p w14:paraId="277D1EB3">
      <w:pPr>
        <w:pStyle w:val="15"/>
        <w:snapToGrid w:val="0"/>
        <w:spacing w:line="360" w:lineRule="auto"/>
        <w:ind w:firstLine="422" w:firstLineChars="200"/>
        <w:rPr>
          <w:rFonts w:hAnsi="宋体" w:cs="宋体"/>
          <w:b/>
          <w:szCs w:val="21"/>
        </w:rPr>
      </w:pPr>
      <w:r>
        <w:rPr>
          <w:rFonts w:hint="eastAsia" w:hAnsi="宋体" w:cs="宋体"/>
          <w:b/>
          <w:szCs w:val="21"/>
        </w:rPr>
        <w:t>三、合同金额</w:t>
      </w:r>
    </w:p>
    <w:p w14:paraId="18359A7A">
      <w:pPr>
        <w:pStyle w:val="15"/>
        <w:snapToGrid w:val="0"/>
        <w:spacing w:line="360" w:lineRule="auto"/>
        <w:ind w:firstLine="420" w:firstLineChars="200"/>
        <w:rPr>
          <w:rFonts w:hAnsi="宋体" w:cs="宋体"/>
          <w:szCs w:val="21"/>
        </w:rPr>
      </w:pPr>
      <w:r>
        <w:rPr>
          <w:rFonts w:hint="eastAsia" w:hAnsi="宋体" w:cs="宋体"/>
          <w:szCs w:val="21"/>
        </w:rPr>
        <w:t>本合同金额为（大写）：___________________________元（￥_______________元）人民币。</w:t>
      </w:r>
    </w:p>
    <w:p w14:paraId="134367F6">
      <w:pPr>
        <w:pStyle w:val="15"/>
        <w:snapToGrid w:val="0"/>
        <w:spacing w:line="360" w:lineRule="auto"/>
        <w:ind w:firstLine="422" w:firstLineChars="200"/>
        <w:rPr>
          <w:rFonts w:hAnsi="宋体" w:cs="宋体"/>
          <w:b/>
          <w:szCs w:val="21"/>
        </w:rPr>
      </w:pPr>
      <w:r>
        <w:rPr>
          <w:rFonts w:hint="eastAsia" w:hAnsi="宋体" w:cs="宋体"/>
          <w:b/>
          <w:szCs w:val="21"/>
        </w:rPr>
        <w:t>四、技术资料</w:t>
      </w:r>
    </w:p>
    <w:p w14:paraId="23FCA75A">
      <w:pPr>
        <w:pStyle w:val="15"/>
        <w:snapToGrid w:val="0"/>
        <w:spacing w:line="360" w:lineRule="auto"/>
        <w:ind w:firstLine="420" w:firstLineChars="200"/>
        <w:rPr>
          <w:rFonts w:hAnsi="宋体" w:cs="宋体"/>
          <w:szCs w:val="21"/>
        </w:rPr>
      </w:pPr>
      <w:r>
        <w:rPr>
          <w:rFonts w:hint="eastAsia" w:hAnsi="宋体" w:cs="宋体"/>
          <w:szCs w:val="21"/>
        </w:rPr>
        <w:t>1. 乙方应按采购文件规定的时间向甲方提供使用货物的有关技术资料。</w:t>
      </w:r>
    </w:p>
    <w:p w14:paraId="37502C8B">
      <w:pPr>
        <w:pStyle w:val="15"/>
        <w:snapToGrid w:val="0"/>
        <w:spacing w:line="360" w:lineRule="auto"/>
        <w:ind w:firstLine="420" w:firstLineChars="200"/>
        <w:rPr>
          <w:rFonts w:hAnsi="宋体" w:cs="宋体"/>
          <w:szCs w:val="21"/>
        </w:rPr>
      </w:pPr>
      <w:r>
        <w:rPr>
          <w:rFonts w:hint="eastAsia" w:hAnsi="宋体" w:cs="宋体"/>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F80AA8B">
      <w:pPr>
        <w:pStyle w:val="15"/>
        <w:snapToGrid w:val="0"/>
        <w:spacing w:line="360" w:lineRule="auto"/>
        <w:ind w:firstLine="422" w:firstLineChars="200"/>
        <w:rPr>
          <w:rFonts w:hAnsi="宋体" w:cs="宋体"/>
          <w:b/>
          <w:szCs w:val="21"/>
        </w:rPr>
      </w:pPr>
      <w:r>
        <w:rPr>
          <w:rFonts w:hint="eastAsia" w:hAnsi="宋体" w:cs="宋体"/>
          <w:b/>
          <w:szCs w:val="21"/>
        </w:rPr>
        <w:t>五、知识产权</w:t>
      </w:r>
    </w:p>
    <w:p w14:paraId="67C9BA22">
      <w:pPr>
        <w:pStyle w:val="15"/>
        <w:snapToGrid w:val="0"/>
        <w:spacing w:line="360" w:lineRule="auto"/>
        <w:ind w:firstLine="420" w:firstLineChars="200"/>
        <w:rPr>
          <w:rFonts w:hAnsi="宋体" w:cs="宋体"/>
          <w:szCs w:val="21"/>
        </w:rPr>
      </w:pPr>
      <w:r>
        <w:rPr>
          <w:rFonts w:hint="eastAsia" w:hAnsi="宋体" w:cs="宋体"/>
          <w:szCs w:val="21"/>
        </w:rPr>
        <w:t>1. 乙方应保证所提供的货物或其任何一部分均不会侵犯任何第三方的知识产权。</w:t>
      </w:r>
    </w:p>
    <w:p w14:paraId="53B2C555">
      <w:pPr>
        <w:pStyle w:val="15"/>
        <w:snapToGrid w:val="0"/>
        <w:spacing w:line="360" w:lineRule="auto"/>
        <w:ind w:firstLine="420" w:firstLineChars="200"/>
        <w:rPr>
          <w:rFonts w:hAnsi="宋体" w:cs="宋体"/>
          <w:szCs w:val="21"/>
        </w:rPr>
      </w:pPr>
      <w:r>
        <w:rPr>
          <w:rFonts w:hint="eastAsia" w:hAnsi="宋体" w:cs="宋体"/>
          <w:szCs w:val="21"/>
        </w:rPr>
        <w:t>2. 若侵犯,由乙方赔偿甲方因此遭受的损失（包括但不限于应对及追偿过程中所支付的律师费、差旅费、诉讼费、保全费、鉴定费、评估费等）。</w:t>
      </w:r>
    </w:p>
    <w:p w14:paraId="1DC71997">
      <w:pPr>
        <w:pStyle w:val="15"/>
        <w:snapToGrid w:val="0"/>
        <w:spacing w:line="360" w:lineRule="auto"/>
        <w:ind w:firstLine="422" w:firstLineChars="200"/>
        <w:rPr>
          <w:rFonts w:hAnsi="宋体" w:cs="宋体"/>
          <w:szCs w:val="21"/>
          <w:u w:val="single"/>
        </w:rPr>
      </w:pPr>
      <w:r>
        <w:rPr>
          <w:rFonts w:hint="eastAsia" w:hAnsi="宋体" w:cs="宋体"/>
          <w:b/>
          <w:szCs w:val="21"/>
        </w:rPr>
        <w:t>六、产权担保</w:t>
      </w:r>
    </w:p>
    <w:p w14:paraId="74977EF9">
      <w:pPr>
        <w:pStyle w:val="15"/>
        <w:snapToGrid w:val="0"/>
        <w:spacing w:line="360" w:lineRule="auto"/>
        <w:ind w:firstLine="420" w:firstLineChars="200"/>
        <w:rPr>
          <w:rFonts w:hAnsi="宋体" w:cs="宋体"/>
          <w:szCs w:val="21"/>
          <w:u w:val="single"/>
        </w:rPr>
      </w:pPr>
      <w:r>
        <w:rPr>
          <w:rFonts w:hint="eastAsia" w:hAnsi="宋体" w:cs="宋体"/>
          <w:szCs w:val="21"/>
        </w:rPr>
        <w:t>乙方保证所交付的货物的所有权完全属于乙方且无任何抵押、查封等产权瑕疵。</w:t>
      </w:r>
    </w:p>
    <w:p w14:paraId="4078F83D">
      <w:pPr>
        <w:pStyle w:val="15"/>
        <w:snapToGrid w:val="0"/>
        <w:spacing w:line="360" w:lineRule="auto"/>
        <w:ind w:firstLine="422" w:firstLineChars="200"/>
        <w:rPr>
          <w:rFonts w:hAnsi="宋体" w:cs="宋体"/>
          <w:b/>
          <w:szCs w:val="21"/>
        </w:rPr>
      </w:pPr>
      <w:r>
        <w:rPr>
          <w:rFonts w:hint="eastAsia" w:hAnsi="宋体" w:cs="宋体"/>
          <w:b/>
          <w:szCs w:val="21"/>
        </w:rPr>
        <w:t>七、履约保证金</w:t>
      </w:r>
    </w:p>
    <w:p w14:paraId="4062E14F">
      <w:pPr>
        <w:tabs>
          <w:tab w:val="left" w:pos="1418"/>
        </w:tabs>
        <w:autoSpaceDE w:val="0"/>
        <w:autoSpaceDN w:val="0"/>
        <w:spacing w:line="360" w:lineRule="auto"/>
        <w:ind w:firstLine="420" w:firstLineChars="200"/>
        <w:rPr>
          <w:rFonts w:ascii="宋体" w:hAnsi="宋体" w:cs="宋体"/>
          <w:szCs w:val="21"/>
        </w:rPr>
      </w:pPr>
      <w:r>
        <w:rPr>
          <w:rFonts w:hint="eastAsia" w:ascii="宋体" w:hAnsi="宋体" w:cs="宋体"/>
          <w:szCs w:val="21"/>
        </w:rPr>
        <w:t>本项目履约保证金为合同金额的____%。</w:t>
      </w:r>
      <w:r>
        <w:rPr>
          <w:rFonts w:hint="eastAsia" w:ascii="宋体" w:hAnsi="宋体" w:cs="宋体"/>
          <w:szCs w:val="21"/>
          <w:lang w:val="zh-CN"/>
        </w:rPr>
        <w:t>[履约保证金交至采购人处，在合同约定交货验收合格</w:t>
      </w:r>
      <w:r>
        <w:rPr>
          <w:rFonts w:hint="eastAsia" w:ascii="宋体" w:hAnsi="宋体" w:cs="宋体"/>
          <w:szCs w:val="21"/>
        </w:rPr>
        <w:t>之日起30日</w:t>
      </w:r>
      <w:r>
        <w:rPr>
          <w:rFonts w:hint="eastAsia" w:ascii="宋体" w:hAnsi="宋体" w:cs="宋体"/>
          <w:szCs w:val="21"/>
          <w:lang w:val="zh-CN"/>
        </w:rPr>
        <w:t>内无息退还]</w:t>
      </w:r>
    </w:p>
    <w:p w14:paraId="0ABC6B8E">
      <w:pPr>
        <w:pStyle w:val="15"/>
        <w:snapToGrid w:val="0"/>
        <w:spacing w:line="360" w:lineRule="auto"/>
        <w:ind w:firstLine="422" w:firstLineChars="200"/>
        <w:rPr>
          <w:rFonts w:hAnsi="宋体" w:cs="宋体"/>
          <w:b/>
          <w:szCs w:val="21"/>
        </w:rPr>
      </w:pPr>
      <w:r>
        <w:rPr>
          <w:rFonts w:hint="eastAsia" w:hAnsi="宋体" w:cs="宋体"/>
          <w:b/>
          <w:szCs w:val="21"/>
        </w:rPr>
        <w:t>八、转包或分包</w:t>
      </w:r>
    </w:p>
    <w:p w14:paraId="52FC5A29">
      <w:pPr>
        <w:snapToGrid w:val="0"/>
        <w:spacing w:line="360" w:lineRule="auto"/>
        <w:ind w:firstLine="420" w:firstLineChars="200"/>
        <w:rPr>
          <w:rFonts w:ascii="宋体" w:hAnsi="宋体" w:cs="宋体"/>
          <w:szCs w:val="21"/>
        </w:rPr>
      </w:pPr>
      <w:r>
        <w:rPr>
          <w:rFonts w:hint="eastAsia" w:ascii="宋体" w:hAnsi="宋体" w:cs="宋体"/>
          <w:szCs w:val="21"/>
        </w:rPr>
        <w:t>1. 本合同范围的货物，应由乙方直接供应，不得转让他人供应；</w:t>
      </w:r>
    </w:p>
    <w:p w14:paraId="275B0D78">
      <w:pPr>
        <w:snapToGrid w:val="0"/>
        <w:spacing w:line="360" w:lineRule="auto"/>
        <w:ind w:firstLine="420" w:firstLineChars="200"/>
        <w:rPr>
          <w:rFonts w:ascii="宋体" w:hAnsi="宋体" w:cs="宋体"/>
          <w:szCs w:val="21"/>
        </w:rPr>
      </w:pPr>
      <w:r>
        <w:rPr>
          <w:rFonts w:hint="eastAsia" w:ascii="宋体" w:hAnsi="宋体" w:cs="宋体"/>
          <w:szCs w:val="21"/>
        </w:rPr>
        <w:t>2. 除非得到甲方的书面同意，乙方不得将本合同范围的货物全部或部分分包给他人供应；</w:t>
      </w:r>
    </w:p>
    <w:p w14:paraId="05F832F8">
      <w:pPr>
        <w:snapToGrid w:val="0"/>
        <w:spacing w:line="360" w:lineRule="auto"/>
        <w:ind w:firstLine="420" w:firstLineChars="200"/>
        <w:rPr>
          <w:rFonts w:ascii="宋体" w:hAnsi="宋体" w:cs="宋体"/>
          <w:szCs w:val="21"/>
        </w:rPr>
      </w:pPr>
      <w:r>
        <w:rPr>
          <w:rFonts w:hint="eastAsia" w:ascii="宋体" w:hAnsi="宋体" w:cs="宋体"/>
          <w:szCs w:val="21"/>
        </w:rPr>
        <w:t>3. 如有转让和未经甲方同意的分包行为，甲方有权解除合同，没收履约保证金并追究乙方的违约责任。</w:t>
      </w:r>
    </w:p>
    <w:p w14:paraId="08689276">
      <w:pPr>
        <w:pStyle w:val="15"/>
        <w:snapToGrid w:val="0"/>
        <w:spacing w:line="360" w:lineRule="auto"/>
        <w:ind w:firstLine="422" w:firstLineChars="200"/>
        <w:rPr>
          <w:rFonts w:hAnsi="宋体" w:cs="宋体"/>
          <w:szCs w:val="21"/>
        </w:rPr>
      </w:pPr>
      <w:r>
        <w:rPr>
          <w:rFonts w:hint="eastAsia" w:hAnsi="宋体" w:cs="宋体"/>
          <w:b/>
          <w:szCs w:val="21"/>
        </w:rPr>
        <w:t>九、质保期</w:t>
      </w:r>
    </w:p>
    <w:p w14:paraId="71BE1F6C">
      <w:pPr>
        <w:pStyle w:val="15"/>
        <w:snapToGrid w:val="0"/>
        <w:spacing w:line="360" w:lineRule="auto"/>
        <w:ind w:firstLine="420" w:firstLineChars="200"/>
        <w:rPr>
          <w:rFonts w:hAnsi="宋体" w:cs="宋体"/>
          <w:szCs w:val="21"/>
        </w:rPr>
      </w:pPr>
      <w:r>
        <w:rPr>
          <w:rFonts w:hint="eastAsia" w:hAnsi="宋体" w:cs="宋体"/>
          <w:szCs w:val="21"/>
        </w:rPr>
        <w:t>1.质保期___年。（自交货验收合格之日起计）</w:t>
      </w:r>
    </w:p>
    <w:p w14:paraId="561485D7">
      <w:pPr>
        <w:pStyle w:val="15"/>
        <w:snapToGrid w:val="0"/>
        <w:spacing w:line="360" w:lineRule="auto"/>
        <w:ind w:firstLine="420" w:firstLineChars="200"/>
        <w:rPr>
          <w:rFonts w:hAnsi="宋体" w:cs="宋体"/>
          <w:szCs w:val="21"/>
        </w:rPr>
      </w:pPr>
      <w:r>
        <w:rPr>
          <w:rFonts w:hint="eastAsia" w:hAnsi="宋体" w:cs="宋体"/>
          <w:kern w:val="0"/>
          <w:szCs w:val="21"/>
        </w:rPr>
        <w:t>2.结算金额的</w:t>
      </w:r>
      <w:r>
        <w:rPr>
          <w:rFonts w:hint="eastAsia" w:asciiTheme="minorEastAsia" w:hAnsiTheme="minorEastAsia" w:eastAsiaTheme="minorEastAsia"/>
          <w:szCs w:val="21"/>
        </w:rPr>
        <w:t>5%作为质保金，在质保期满后7个工作日内付清。</w:t>
      </w:r>
    </w:p>
    <w:p w14:paraId="0CFA9324">
      <w:pPr>
        <w:pStyle w:val="15"/>
        <w:snapToGrid w:val="0"/>
        <w:spacing w:line="360" w:lineRule="auto"/>
        <w:ind w:firstLine="422" w:firstLineChars="200"/>
        <w:rPr>
          <w:rFonts w:hAnsi="宋体" w:cs="宋体"/>
          <w:b/>
          <w:szCs w:val="21"/>
        </w:rPr>
      </w:pPr>
      <w:r>
        <w:rPr>
          <w:rFonts w:hint="eastAsia" w:hAnsi="宋体" w:cs="宋体"/>
          <w:b/>
          <w:szCs w:val="21"/>
        </w:rPr>
        <w:t>十、项目工期及实施地点</w:t>
      </w:r>
    </w:p>
    <w:p w14:paraId="5ED248D0">
      <w:pPr>
        <w:pStyle w:val="15"/>
        <w:snapToGrid w:val="0"/>
        <w:spacing w:line="360" w:lineRule="auto"/>
        <w:ind w:firstLine="420" w:firstLineChars="200"/>
        <w:rPr>
          <w:rFonts w:hAnsi="宋体" w:cs="宋体"/>
          <w:bCs/>
          <w:szCs w:val="21"/>
        </w:rPr>
      </w:pPr>
      <w:r>
        <w:rPr>
          <w:rFonts w:hint="eastAsia" w:hAnsi="宋体" w:cs="宋体"/>
          <w:bCs/>
          <w:szCs w:val="21"/>
        </w:rPr>
        <w:t>1. 项目工期：自合同签订之日起</w:t>
      </w:r>
      <w:r>
        <w:rPr>
          <w:rFonts w:hint="eastAsia" w:hAnsi="宋体" w:cs="宋体"/>
          <w:bCs/>
          <w:szCs w:val="21"/>
          <w:u w:val="single"/>
        </w:rPr>
        <w:t xml:space="preserve">    </w:t>
      </w:r>
      <w:r>
        <w:rPr>
          <w:rFonts w:hint="eastAsia" w:hAnsi="宋体" w:cs="宋体"/>
          <w:bCs/>
          <w:szCs w:val="21"/>
        </w:rPr>
        <w:t>个日历天内按采购人要求完成所有产品供货、安装调试</w:t>
      </w:r>
      <w:r>
        <w:rPr>
          <w:rFonts w:hint="eastAsia" w:hAnsi="宋体"/>
          <w:bCs/>
          <w:color w:val="000000"/>
          <w:szCs w:val="21"/>
        </w:rPr>
        <w:t>。</w:t>
      </w:r>
    </w:p>
    <w:p w14:paraId="7584BDC2">
      <w:pPr>
        <w:pStyle w:val="15"/>
        <w:snapToGrid w:val="0"/>
        <w:spacing w:line="360" w:lineRule="auto"/>
        <w:ind w:firstLine="420" w:firstLineChars="200"/>
        <w:rPr>
          <w:rFonts w:hAnsi="宋体" w:cs="宋体"/>
          <w:b/>
          <w:szCs w:val="21"/>
        </w:rPr>
      </w:pPr>
      <w:r>
        <w:rPr>
          <w:rFonts w:hint="eastAsia" w:hAnsi="宋体" w:cs="宋体"/>
          <w:bCs/>
          <w:szCs w:val="21"/>
        </w:rPr>
        <w:t>2. 实施地点：。</w:t>
      </w:r>
    </w:p>
    <w:p w14:paraId="69FADAFE">
      <w:pPr>
        <w:pStyle w:val="15"/>
        <w:snapToGrid w:val="0"/>
        <w:spacing w:line="360" w:lineRule="auto"/>
        <w:ind w:firstLine="422" w:firstLineChars="200"/>
        <w:rPr>
          <w:rFonts w:hAnsi="宋体" w:cs="宋体"/>
          <w:b/>
          <w:szCs w:val="21"/>
        </w:rPr>
      </w:pPr>
      <w:r>
        <w:rPr>
          <w:rFonts w:hint="eastAsia" w:hAnsi="宋体" w:cs="宋体"/>
          <w:b/>
          <w:szCs w:val="21"/>
        </w:rPr>
        <w:t>十一、货款支付</w:t>
      </w:r>
    </w:p>
    <w:p w14:paraId="4DD4FF04">
      <w:pPr>
        <w:pStyle w:val="15"/>
        <w:snapToGrid w:val="0"/>
        <w:spacing w:line="360" w:lineRule="auto"/>
        <w:ind w:firstLine="420" w:firstLineChars="200"/>
        <w:rPr>
          <w:rFonts w:hint="eastAsia" w:hAnsi="Times New Roman" w:eastAsia="宋体"/>
          <w:szCs w:val="21"/>
          <w:lang w:val="zh-CN" w:eastAsia="zh-CN"/>
        </w:rPr>
      </w:pPr>
      <w:r>
        <w:rPr>
          <w:rFonts w:hint="eastAsia" w:ascii="宋体" w:hAnsi="宋体" w:eastAsia="宋体" w:cs="宋体"/>
          <w:bCs/>
          <w:color w:val="auto"/>
          <w:szCs w:val="21"/>
          <w:highlight w:val="none"/>
          <w:lang w:val="zh-CN" w:eastAsia="zh-CN"/>
        </w:rPr>
        <w:t>1.付款方式：</w:t>
      </w:r>
      <w:r>
        <w:rPr>
          <w:rFonts w:hint="eastAsia" w:ascii="宋体" w:hAnsi="宋体" w:eastAsia="宋体" w:cs="宋体"/>
          <w:bCs/>
          <w:color w:val="auto"/>
          <w:szCs w:val="21"/>
          <w:highlight w:val="none"/>
          <w:lang w:val="en-US" w:eastAsia="zh-CN"/>
        </w:rPr>
        <w:t>合同签</w:t>
      </w:r>
      <w:r>
        <w:rPr>
          <w:rFonts w:hint="eastAsia" w:hAnsi="宋体" w:cs="宋体"/>
          <w:bCs/>
          <w:color w:val="auto"/>
          <w:szCs w:val="21"/>
          <w:highlight w:val="none"/>
          <w:lang w:val="en-US" w:eastAsia="zh-CN"/>
        </w:rPr>
        <w:t>订后，采购人在7个工作日内向中标供</w:t>
      </w:r>
      <w:r>
        <w:rPr>
          <w:rFonts w:hint="eastAsia" w:hAnsi="宋体" w:cs="宋体"/>
          <w:bCs/>
          <w:color w:val="auto"/>
          <w:szCs w:val="21"/>
          <w:lang w:val="en-US" w:eastAsia="zh-CN"/>
        </w:rPr>
        <w:t>应商支付项目预付款，项目预付款为合同金额的30%；安装调试验收合格后15个工作日内付至合同总价的95％；剩余5%，待质保期满后无息退还。质保期以项目验收合格之日起计算。</w:t>
      </w:r>
      <w:r>
        <w:rPr>
          <w:rFonts w:hint="eastAsia" w:asciiTheme="minorEastAsia" w:hAnsiTheme="minorEastAsia" w:eastAsiaTheme="minorEastAsia"/>
          <w:szCs w:val="21"/>
          <w:lang w:val="en-US" w:eastAsia="zh-CN"/>
        </w:rPr>
        <w:t xml:space="preserve"> </w:t>
      </w:r>
    </w:p>
    <w:p w14:paraId="2B73D0AA">
      <w:pPr>
        <w:pStyle w:val="15"/>
        <w:snapToGrid w:val="0"/>
        <w:spacing w:line="360" w:lineRule="auto"/>
        <w:ind w:firstLine="420" w:firstLineChars="200"/>
        <w:rPr>
          <w:rFonts w:hAnsi="Times New Roman"/>
          <w:szCs w:val="21"/>
          <w:lang w:val="zh-CN"/>
        </w:rPr>
      </w:pPr>
      <w:r>
        <w:rPr>
          <w:rFonts w:hint="eastAsia" w:hAnsi="Times New Roman"/>
          <w:szCs w:val="21"/>
          <w:lang w:val="zh-CN"/>
        </w:rPr>
        <w:t>2.当采购数量与实际使用数量不一致时，可以由乙方根据实际使用量供货，合同的最终结算金额按实际使用量乘以成交单价进行计算。</w:t>
      </w:r>
    </w:p>
    <w:p w14:paraId="00420309">
      <w:pPr>
        <w:snapToGrid w:val="0"/>
        <w:spacing w:line="360" w:lineRule="auto"/>
        <w:ind w:firstLine="422" w:firstLineChars="200"/>
        <w:rPr>
          <w:rFonts w:ascii="宋体" w:hAnsi="宋体" w:cs="宋体"/>
          <w:b/>
          <w:szCs w:val="21"/>
        </w:rPr>
      </w:pPr>
      <w:r>
        <w:rPr>
          <w:rFonts w:hint="eastAsia" w:ascii="宋体" w:hAnsi="宋体" w:cs="宋体"/>
          <w:b/>
          <w:szCs w:val="21"/>
        </w:rPr>
        <w:t>十二、税费</w:t>
      </w:r>
    </w:p>
    <w:p w14:paraId="3B6278FD">
      <w:pPr>
        <w:snapToGrid w:val="0"/>
        <w:spacing w:line="360" w:lineRule="auto"/>
        <w:ind w:firstLine="420" w:firstLineChars="200"/>
        <w:rPr>
          <w:rFonts w:ascii="宋体" w:hAnsi="宋体" w:cs="宋体"/>
          <w:szCs w:val="21"/>
        </w:rPr>
      </w:pPr>
      <w:r>
        <w:rPr>
          <w:rFonts w:hint="eastAsia" w:ascii="宋体" w:hAnsi="宋体" w:cs="宋体"/>
          <w:szCs w:val="21"/>
        </w:rPr>
        <w:t>本合同执行中相关的一切税费均由乙方负担。</w:t>
      </w:r>
    </w:p>
    <w:p w14:paraId="2D1C0881">
      <w:pPr>
        <w:pStyle w:val="15"/>
        <w:snapToGrid w:val="0"/>
        <w:spacing w:line="360" w:lineRule="auto"/>
        <w:ind w:firstLine="422" w:firstLineChars="200"/>
        <w:rPr>
          <w:rFonts w:hAnsi="宋体" w:cs="宋体"/>
          <w:szCs w:val="21"/>
        </w:rPr>
      </w:pPr>
      <w:r>
        <w:rPr>
          <w:rFonts w:hint="eastAsia" w:hAnsi="宋体" w:cs="宋体"/>
          <w:b/>
          <w:szCs w:val="21"/>
        </w:rPr>
        <w:t>十三、质量保证及售后服务</w:t>
      </w:r>
    </w:p>
    <w:p w14:paraId="0046A5BA">
      <w:pPr>
        <w:pStyle w:val="15"/>
        <w:snapToGrid w:val="0"/>
        <w:spacing w:line="360" w:lineRule="auto"/>
        <w:ind w:firstLine="420" w:firstLineChars="200"/>
        <w:rPr>
          <w:rFonts w:hAnsi="宋体" w:cs="宋体"/>
          <w:szCs w:val="21"/>
        </w:rPr>
      </w:pPr>
      <w:r>
        <w:rPr>
          <w:rFonts w:hint="eastAsia" w:hAnsi="宋体" w:cs="宋体"/>
          <w:szCs w:val="21"/>
        </w:rPr>
        <w:t>1. 乙方应按采购文件规定的货物性能、技术要求、质量标准向甲方提供未经使用的全新产品。</w:t>
      </w:r>
    </w:p>
    <w:p w14:paraId="733D491B">
      <w:pPr>
        <w:pStyle w:val="15"/>
        <w:snapToGrid w:val="0"/>
        <w:spacing w:line="360" w:lineRule="auto"/>
        <w:ind w:firstLine="420" w:firstLineChars="200"/>
        <w:rPr>
          <w:rFonts w:hAnsi="宋体" w:cs="宋体"/>
          <w:szCs w:val="21"/>
        </w:rPr>
      </w:pPr>
      <w:r>
        <w:rPr>
          <w:rFonts w:hint="eastAsia" w:hAnsi="宋体" w:cs="宋体"/>
          <w:szCs w:val="21"/>
        </w:rPr>
        <w:t>2. 乙方提供的货物在质保期内因货物本身的质量问题发生故障，乙方应负责免费更换。对达不到技术要求者，根据实际情况，经双方协商，可按以下办法处理：</w:t>
      </w:r>
    </w:p>
    <w:p w14:paraId="2B43EDF8">
      <w:pPr>
        <w:pStyle w:val="15"/>
        <w:snapToGrid w:val="0"/>
        <w:spacing w:line="360" w:lineRule="auto"/>
        <w:ind w:firstLine="420" w:firstLineChars="200"/>
        <w:rPr>
          <w:rFonts w:hAnsi="宋体" w:cs="宋体"/>
          <w:szCs w:val="21"/>
        </w:rPr>
      </w:pPr>
      <w:r>
        <w:rPr>
          <w:rFonts w:hint="eastAsia" w:hAnsi="宋体" w:cs="宋体"/>
          <w:szCs w:val="21"/>
        </w:rPr>
        <w:t>⑴更换：由乙方承担所发生的全部费用。</w:t>
      </w:r>
    </w:p>
    <w:p w14:paraId="7E4E4FDF">
      <w:pPr>
        <w:pStyle w:val="15"/>
        <w:snapToGrid w:val="0"/>
        <w:spacing w:line="360" w:lineRule="auto"/>
        <w:ind w:firstLine="420" w:firstLineChars="200"/>
        <w:rPr>
          <w:rFonts w:hAnsi="宋体" w:cs="宋体"/>
          <w:szCs w:val="21"/>
        </w:rPr>
      </w:pPr>
      <w:r>
        <w:rPr>
          <w:rFonts w:hint="eastAsia" w:hAnsi="宋体" w:cs="宋体"/>
          <w:szCs w:val="21"/>
        </w:rPr>
        <w:t>⑵贬值处理：由甲乙双方合议定价。</w:t>
      </w:r>
    </w:p>
    <w:p w14:paraId="48045E51">
      <w:pPr>
        <w:pStyle w:val="15"/>
        <w:snapToGrid w:val="0"/>
        <w:spacing w:line="360" w:lineRule="auto"/>
        <w:ind w:firstLine="420" w:firstLineChars="200"/>
        <w:rPr>
          <w:rFonts w:hAnsi="宋体" w:cs="宋体"/>
          <w:szCs w:val="21"/>
        </w:rPr>
      </w:pPr>
      <w:r>
        <w:rPr>
          <w:rFonts w:hint="eastAsia" w:hAnsi="宋体" w:cs="宋体"/>
          <w:szCs w:val="21"/>
        </w:rPr>
        <w:t>⑶退货处理：乙方应退还甲方支付的合同款，同时应承担该货物的直接费用（运输、保险、检验、货款利息及银行手续费等）。</w:t>
      </w:r>
    </w:p>
    <w:p w14:paraId="18B2DC4C">
      <w:pPr>
        <w:pStyle w:val="15"/>
        <w:snapToGrid w:val="0"/>
        <w:spacing w:line="360" w:lineRule="auto"/>
        <w:ind w:firstLine="420" w:firstLineChars="200"/>
        <w:rPr>
          <w:rFonts w:hAnsi="宋体" w:cs="宋体"/>
          <w:szCs w:val="21"/>
        </w:rPr>
      </w:pPr>
      <w:r>
        <w:rPr>
          <w:rFonts w:hint="eastAsia" w:hAnsi="宋体" w:cs="宋体"/>
          <w:szCs w:val="21"/>
        </w:rPr>
        <w:t>3. 如在使用过程中发生质量问题，乙方在接到甲方通知后在小时内到达甲方现场。</w:t>
      </w:r>
    </w:p>
    <w:p w14:paraId="6C6ED443">
      <w:pPr>
        <w:pStyle w:val="15"/>
        <w:snapToGrid w:val="0"/>
        <w:spacing w:line="360" w:lineRule="auto"/>
        <w:ind w:firstLine="420" w:firstLineChars="200"/>
        <w:rPr>
          <w:rFonts w:hAnsi="宋体" w:cs="宋体"/>
          <w:szCs w:val="21"/>
        </w:rPr>
      </w:pPr>
      <w:r>
        <w:rPr>
          <w:rFonts w:hint="eastAsia" w:hAnsi="宋体" w:cs="宋体"/>
          <w:szCs w:val="21"/>
        </w:rPr>
        <w:t>4. 在质保期内，乙方应对货物出现的质量及安全问题负责处理解决并承担一切费用。</w:t>
      </w:r>
    </w:p>
    <w:p w14:paraId="2156F1F7">
      <w:pPr>
        <w:pStyle w:val="15"/>
        <w:numPr>
          <w:ilvl w:val="0"/>
          <w:numId w:val="19"/>
        </w:numPr>
        <w:snapToGrid w:val="0"/>
        <w:spacing w:line="360" w:lineRule="auto"/>
        <w:ind w:firstLine="420" w:firstLineChars="200"/>
        <w:rPr>
          <w:rFonts w:hAnsi="宋体" w:cs="宋体"/>
          <w:szCs w:val="21"/>
        </w:rPr>
      </w:pPr>
      <w:r>
        <w:rPr>
          <w:rFonts w:hint="eastAsia" w:hAnsi="宋体" w:cs="宋体"/>
          <w:szCs w:val="21"/>
        </w:rPr>
        <w:t>上述的货物免费保修期为年，因人为因素出现的故障不在免费保修范围内。超过保修期的机器设备，终生维修，维修时只收部件成本费。</w:t>
      </w:r>
    </w:p>
    <w:p w14:paraId="116DBB92">
      <w:pPr>
        <w:pStyle w:val="15"/>
        <w:snapToGrid w:val="0"/>
        <w:spacing w:line="360" w:lineRule="auto"/>
        <w:ind w:firstLine="422" w:firstLineChars="200"/>
        <w:rPr>
          <w:rFonts w:hAnsi="宋体" w:cs="宋体"/>
          <w:b/>
          <w:szCs w:val="21"/>
        </w:rPr>
      </w:pPr>
      <w:r>
        <w:rPr>
          <w:rFonts w:hint="eastAsia" w:hAnsi="宋体" w:cs="宋体"/>
          <w:b/>
          <w:szCs w:val="21"/>
        </w:rPr>
        <w:t>十四、调试和验收</w:t>
      </w:r>
    </w:p>
    <w:p w14:paraId="4A83621B">
      <w:pPr>
        <w:pStyle w:val="15"/>
        <w:snapToGrid w:val="0"/>
        <w:spacing w:line="360" w:lineRule="auto"/>
        <w:ind w:firstLine="420" w:firstLineChars="200"/>
        <w:jc w:val="left"/>
        <w:rPr>
          <w:rFonts w:hAnsi="宋体" w:cs="宋体"/>
          <w:szCs w:val="21"/>
        </w:rPr>
      </w:pPr>
      <w:r>
        <w:rPr>
          <w:rFonts w:hint="eastAsia" w:hAnsi="宋体" w:cs="宋体"/>
          <w:szCs w:val="21"/>
        </w:rPr>
        <w:t>1. 甲方对乙方提交的货物依据采购文件上的技术规格要求和国家有关质量标准进行现场初步验收，外观、说明书符合采购文件技术要求的，给予签收，初步验收不合格的不予签收。货到后，甲方需在</w:t>
      </w:r>
      <w:r>
        <w:rPr>
          <w:rFonts w:hint="eastAsia" w:hAnsi="宋体" w:cs="宋体"/>
          <w:szCs w:val="21"/>
          <w:u w:val="single"/>
        </w:rPr>
        <w:t>五</w:t>
      </w:r>
      <w:r>
        <w:rPr>
          <w:rFonts w:hint="eastAsia" w:hAnsi="宋体" w:cs="宋体"/>
          <w:szCs w:val="21"/>
        </w:rPr>
        <w:t>个工作日内验收。</w:t>
      </w:r>
    </w:p>
    <w:p w14:paraId="5406ED89">
      <w:pPr>
        <w:pStyle w:val="15"/>
        <w:snapToGrid w:val="0"/>
        <w:spacing w:line="360" w:lineRule="auto"/>
        <w:ind w:firstLine="420" w:firstLineChars="200"/>
        <w:rPr>
          <w:rFonts w:hAnsi="宋体" w:cs="宋体"/>
          <w:szCs w:val="21"/>
        </w:rPr>
      </w:pPr>
      <w:r>
        <w:rPr>
          <w:rFonts w:hint="eastAsia" w:hAnsi="宋体" w:cs="宋体"/>
          <w:szCs w:val="21"/>
        </w:rPr>
        <w:t>2. 乙方交货前应对产品作出全面检查和对验收文件进行整理，并列出清单，作为甲方收货验收和使用的技术条件依据，检验的结果应随货物交甲方。</w:t>
      </w:r>
    </w:p>
    <w:p w14:paraId="6A18A3B8">
      <w:pPr>
        <w:pStyle w:val="15"/>
        <w:snapToGrid w:val="0"/>
        <w:spacing w:line="360" w:lineRule="auto"/>
        <w:ind w:firstLine="420" w:firstLineChars="200"/>
        <w:rPr>
          <w:rFonts w:hAnsi="宋体" w:cs="宋体"/>
          <w:szCs w:val="21"/>
          <w:u w:val="single"/>
        </w:rPr>
      </w:pPr>
      <w:r>
        <w:rPr>
          <w:rFonts w:hint="eastAsia" w:hAnsi="宋体" w:cs="宋体"/>
          <w:szCs w:val="21"/>
        </w:rPr>
        <w:t>3. 甲方对乙方提供的货物在使用前进行调试时，乙方需负责安装并培训甲方的使用操作人员，并协助甲方一起调试，直到符合技术要求，甲方才做最终验收。</w:t>
      </w:r>
    </w:p>
    <w:p w14:paraId="483DB68D">
      <w:pPr>
        <w:pStyle w:val="15"/>
        <w:numPr>
          <w:ilvl w:val="0"/>
          <w:numId w:val="20"/>
        </w:numPr>
        <w:snapToGrid w:val="0"/>
        <w:spacing w:line="360" w:lineRule="auto"/>
        <w:ind w:firstLine="420" w:firstLineChars="200"/>
        <w:rPr>
          <w:rFonts w:hAnsi="宋体" w:cs="宋体"/>
          <w:szCs w:val="21"/>
        </w:rPr>
      </w:pPr>
      <w:r>
        <w:rPr>
          <w:rFonts w:hint="eastAsia" w:hAnsi="宋体" w:cs="宋体"/>
          <w:szCs w:val="21"/>
        </w:rPr>
        <w:t>对技术复杂的货物，甲方应请国家认可的专业检测机构参与初步验收及最终验收，并由其出具质量检测报告。</w:t>
      </w:r>
    </w:p>
    <w:p w14:paraId="41BB732D">
      <w:pPr>
        <w:pStyle w:val="15"/>
        <w:numPr>
          <w:ilvl w:val="0"/>
          <w:numId w:val="20"/>
        </w:numPr>
        <w:snapToGrid w:val="0"/>
        <w:spacing w:line="360" w:lineRule="auto"/>
        <w:ind w:firstLine="420" w:firstLineChars="200"/>
        <w:rPr>
          <w:rFonts w:hAnsi="宋体" w:cs="宋体"/>
          <w:szCs w:val="21"/>
        </w:rPr>
      </w:pPr>
      <w:r>
        <w:rPr>
          <w:rFonts w:hint="eastAsia" w:hAnsi="宋体" w:cs="宋体"/>
          <w:szCs w:val="21"/>
        </w:rPr>
        <w:t>验收时乙方必须在现场，验收完毕后作出验收结果报告；验收费用由甲方负责。</w:t>
      </w:r>
    </w:p>
    <w:p w14:paraId="5FFD0933">
      <w:pPr>
        <w:pStyle w:val="15"/>
        <w:snapToGrid w:val="0"/>
        <w:spacing w:line="360" w:lineRule="auto"/>
        <w:ind w:firstLine="422" w:firstLineChars="200"/>
        <w:rPr>
          <w:rFonts w:hAnsi="宋体" w:cs="宋体"/>
          <w:b/>
          <w:szCs w:val="21"/>
        </w:rPr>
      </w:pPr>
      <w:r>
        <w:rPr>
          <w:rFonts w:hint="eastAsia" w:hAnsi="宋体" w:cs="宋体"/>
          <w:b/>
          <w:szCs w:val="21"/>
        </w:rPr>
        <w:t>十五、货物包装、发运及运输</w:t>
      </w:r>
    </w:p>
    <w:p w14:paraId="58B4B0C4">
      <w:pPr>
        <w:pStyle w:val="15"/>
        <w:snapToGrid w:val="0"/>
        <w:spacing w:line="360" w:lineRule="auto"/>
        <w:ind w:firstLine="420" w:firstLineChars="200"/>
        <w:rPr>
          <w:rFonts w:hAnsi="宋体" w:cs="宋体"/>
          <w:szCs w:val="21"/>
        </w:rPr>
      </w:pPr>
      <w:r>
        <w:rPr>
          <w:rFonts w:hint="eastAsia" w:hAnsi="宋体" w:cs="宋体"/>
          <w:szCs w:val="21"/>
        </w:rPr>
        <w:t>1. 乙方应在货物发运前对其进行满足运输距离、防潮、防震、防锈和防破损装卸等要求包装，以保证货物安全运达甲方指定地点。</w:t>
      </w:r>
    </w:p>
    <w:p w14:paraId="03F08B71">
      <w:pPr>
        <w:pStyle w:val="15"/>
        <w:snapToGrid w:val="0"/>
        <w:spacing w:line="360" w:lineRule="auto"/>
        <w:ind w:firstLine="420" w:firstLineChars="200"/>
        <w:rPr>
          <w:rFonts w:hAnsi="宋体" w:cs="宋体"/>
          <w:szCs w:val="21"/>
        </w:rPr>
      </w:pPr>
      <w:r>
        <w:rPr>
          <w:rFonts w:hint="eastAsia" w:hAnsi="宋体" w:cs="宋体"/>
          <w:szCs w:val="21"/>
        </w:rPr>
        <w:t>2. 使用说明书、质量检验证明书、随配附件和工具以及清单一并附于货物内。</w:t>
      </w:r>
    </w:p>
    <w:p w14:paraId="475AE2B5">
      <w:pPr>
        <w:pStyle w:val="15"/>
        <w:snapToGrid w:val="0"/>
        <w:spacing w:line="360" w:lineRule="auto"/>
        <w:ind w:firstLine="420" w:firstLineChars="200"/>
        <w:rPr>
          <w:rFonts w:hAnsi="宋体" w:cs="宋体"/>
          <w:szCs w:val="21"/>
        </w:rPr>
      </w:pPr>
      <w:r>
        <w:rPr>
          <w:rFonts w:hint="eastAsia" w:hAnsi="宋体" w:cs="宋体"/>
          <w:szCs w:val="21"/>
        </w:rPr>
        <w:t>3. 乙方在货物发运手续办理完毕后24小时内或货到甲方48小时前通知甲方，以准备接货。</w:t>
      </w:r>
    </w:p>
    <w:p w14:paraId="533DBE50">
      <w:pPr>
        <w:pStyle w:val="15"/>
        <w:snapToGrid w:val="0"/>
        <w:spacing w:line="360" w:lineRule="auto"/>
        <w:ind w:firstLine="420" w:firstLineChars="200"/>
        <w:rPr>
          <w:rFonts w:hAnsi="宋体" w:cs="宋体"/>
          <w:szCs w:val="21"/>
        </w:rPr>
      </w:pPr>
      <w:r>
        <w:rPr>
          <w:rFonts w:hint="eastAsia" w:hAnsi="宋体" w:cs="宋体"/>
          <w:szCs w:val="21"/>
        </w:rPr>
        <w:t>4. 货物在交付甲方前发生的风险均由乙方负责。</w:t>
      </w:r>
    </w:p>
    <w:p w14:paraId="30E8B62F">
      <w:pPr>
        <w:pStyle w:val="15"/>
        <w:snapToGrid w:val="0"/>
        <w:spacing w:line="360" w:lineRule="auto"/>
        <w:ind w:firstLine="420" w:firstLineChars="200"/>
        <w:rPr>
          <w:rFonts w:hAnsi="宋体" w:cs="宋体"/>
          <w:szCs w:val="21"/>
        </w:rPr>
      </w:pPr>
      <w:r>
        <w:rPr>
          <w:rFonts w:hint="eastAsia" w:hAnsi="宋体" w:cs="宋体"/>
          <w:szCs w:val="21"/>
        </w:rPr>
        <w:t>5. 货物在规定的交付期限内由乙方送达甲方指定的地点视为交付，乙方同时需通知甲方货物已送达。</w:t>
      </w:r>
    </w:p>
    <w:p w14:paraId="1D25A802">
      <w:pPr>
        <w:pStyle w:val="15"/>
        <w:snapToGrid w:val="0"/>
        <w:spacing w:line="360" w:lineRule="auto"/>
        <w:ind w:firstLine="422" w:firstLineChars="200"/>
        <w:rPr>
          <w:rFonts w:hAnsi="宋体" w:cs="宋体"/>
          <w:b/>
          <w:szCs w:val="21"/>
        </w:rPr>
      </w:pPr>
      <w:r>
        <w:rPr>
          <w:rFonts w:hint="eastAsia" w:hAnsi="宋体" w:cs="宋体"/>
          <w:b/>
          <w:szCs w:val="21"/>
        </w:rPr>
        <w:t>十六、违约责任</w:t>
      </w:r>
    </w:p>
    <w:p w14:paraId="57A61E84">
      <w:pPr>
        <w:pStyle w:val="15"/>
        <w:snapToGrid w:val="0"/>
        <w:spacing w:line="360" w:lineRule="auto"/>
        <w:ind w:firstLine="420" w:firstLineChars="200"/>
        <w:rPr>
          <w:rFonts w:hAnsi="宋体" w:cs="宋体"/>
          <w:szCs w:val="21"/>
        </w:rPr>
      </w:pPr>
      <w:r>
        <w:rPr>
          <w:rFonts w:hint="eastAsia" w:hAnsi="宋体" w:cs="宋体"/>
          <w:szCs w:val="21"/>
        </w:rPr>
        <w:t>1. 甲方无正当理由拒收货物的，甲方向乙方偿付拒收货款总值的</w:t>
      </w:r>
      <w:r>
        <w:rPr>
          <w:rFonts w:hint="eastAsia" w:hAnsi="宋体" w:cs="宋体"/>
          <w:szCs w:val="21"/>
          <w:u w:val="single"/>
        </w:rPr>
        <w:t>百分之五</w:t>
      </w:r>
      <w:r>
        <w:rPr>
          <w:rFonts w:hint="eastAsia" w:hAnsi="宋体" w:cs="宋体"/>
          <w:szCs w:val="21"/>
        </w:rPr>
        <w:t>违约金。</w:t>
      </w:r>
    </w:p>
    <w:p w14:paraId="0109F2FE">
      <w:pPr>
        <w:pStyle w:val="15"/>
        <w:snapToGrid w:val="0"/>
        <w:spacing w:line="360" w:lineRule="auto"/>
        <w:ind w:firstLine="420" w:firstLineChars="200"/>
        <w:rPr>
          <w:rFonts w:hAnsi="宋体" w:cs="宋体"/>
          <w:szCs w:val="21"/>
        </w:rPr>
      </w:pPr>
      <w:r>
        <w:rPr>
          <w:rFonts w:hint="eastAsia" w:hAnsi="宋体" w:cs="宋体"/>
          <w:szCs w:val="21"/>
        </w:rPr>
        <w:t>2. 甲方无故逾期验收和办理货款支付手续的,甲方应按逾期付款总额每日</w:t>
      </w:r>
      <w:r>
        <w:rPr>
          <w:rFonts w:hint="eastAsia" w:hAnsi="宋体" w:cs="宋体"/>
          <w:szCs w:val="21"/>
          <w:u w:val="single"/>
        </w:rPr>
        <w:t>万分之五</w:t>
      </w:r>
      <w:r>
        <w:rPr>
          <w:rFonts w:hint="eastAsia" w:hAnsi="宋体" w:cs="宋体"/>
          <w:szCs w:val="21"/>
        </w:rPr>
        <w:t>向乙方支付违约金。</w:t>
      </w:r>
    </w:p>
    <w:p w14:paraId="42282245">
      <w:pPr>
        <w:pStyle w:val="15"/>
        <w:snapToGrid w:val="0"/>
        <w:spacing w:line="360" w:lineRule="auto"/>
        <w:ind w:firstLine="420" w:firstLineChars="200"/>
        <w:rPr>
          <w:rFonts w:hAnsi="宋体" w:cs="宋体"/>
          <w:szCs w:val="21"/>
        </w:rPr>
      </w:pPr>
      <w:r>
        <w:rPr>
          <w:rFonts w:hint="eastAsia" w:hAnsi="宋体" w:cs="宋体"/>
          <w:szCs w:val="21"/>
        </w:rPr>
        <w:t>3. 乙方逾期交付货物的，乙方应按逾期交货总额每日</w:t>
      </w:r>
      <w:r>
        <w:rPr>
          <w:rFonts w:hint="eastAsia" w:hAnsi="宋体" w:cs="宋体"/>
          <w:szCs w:val="21"/>
          <w:u w:val="single"/>
        </w:rPr>
        <w:t>千分之六</w:t>
      </w:r>
      <w:r>
        <w:rPr>
          <w:rFonts w:hint="eastAsia" w:hAnsi="宋体" w:cs="宋体"/>
          <w:szCs w:val="21"/>
        </w:rPr>
        <w:t>向甲方支付违约金，由甲方从待付货款中扣除。逾期超过约定日期</w:t>
      </w:r>
      <w:r>
        <w:rPr>
          <w:rFonts w:hint="eastAsia" w:hAnsi="宋体" w:cs="宋体"/>
          <w:szCs w:val="21"/>
          <w:u w:val="single"/>
        </w:rPr>
        <w:t>1</w:t>
      </w:r>
      <w:r>
        <w:rPr>
          <w:rFonts w:hAnsi="宋体" w:cs="宋体"/>
          <w:szCs w:val="21"/>
          <w:u w:val="single"/>
        </w:rPr>
        <w:t>0</w:t>
      </w:r>
      <w:r>
        <w:rPr>
          <w:rFonts w:hint="eastAsia" w:hAnsi="宋体" w:cs="宋体"/>
          <w:szCs w:val="21"/>
          <w:u w:val="single"/>
        </w:rPr>
        <w:t>个</w:t>
      </w:r>
      <w:r>
        <w:rPr>
          <w:rFonts w:hint="eastAsia" w:hAnsi="宋体" w:cs="宋体"/>
          <w:szCs w:val="21"/>
        </w:rPr>
        <w:t>工作日不能交货的，甲方可解除本合同。乙方因逾期交货或因其他违约行为导致甲方解除合同的，乙方应向甲方支付合同总值</w:t>
      </w:r>
      <w:r>
        <w:rPr>
          <w:rFonts w:hint="eastAsia" w:hAnsi="宋体" w:cs="宋体"/>
          <w:szCs w:val="21"/>
          <w:u w:val="single"/>
        </w:rPr>
        <w:t>5%</w:t>
      </w:r>
      <w:r>
        <w:rPr>
          <w:rFonts w:hint="eastAsia" w:hAnsi="宋体" w:cs="宋体"/>
          <w:szCs w:val="21"/>
        </w:rPr>
        <w:t xml:space="preserve">的违约金，如造成甲方损失超过违约金的，超出部分由乙方继续承担赔偿责任。 </w:t>
      </w:r>
    </w:p>
    <w:p w14:paraId="70C74FBF">
      <w:pPr>
        <w:pStyle w:val="15"/>
        <w:snapToGrid w:val="0"/>
        <w:spacing w:line="360" w:lineRule="auto"/>
        <w:ind w:firstLine="420" w:firstLineChars="200"/>
        <w:rPr>
          <w:rFonts w:hAnsi="宋体" w:cs="宋体"/>
          <w:szCs w:val="21"/>
        </w:rPr>
      </w:pPr>
      <w:r>
        <w:rPr>
          <w:rFonts w:hint="eastAsia" w:hAnsi="宋体" w:cs="宋体"/>
          <w:szCs w:val="21"/>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20CAE1AD">
      <w:pPr>
        <w:pStyle w:val="15"/>
        <w:snapToGrid w:val="0"/>
        <w:spacing w:line="360" w:lineRule="auto"/>
        <w:ind w:firstLine="420" w:firstLineChars="200"/>
        <w:rPr>
          <w:rFonts w:hAnsi="宋体" w:cs="宋体"/>
          <w:szCs w:val="21"/>
        </w:rPr>
      </w:pPr>
      <w:r>
        <w:rPr>
          <w:rFonts w:hint="eastAsia" w:hAnsi="宋体" w:cs="宋体"/>
          <w:szCs w:val="21"/>
        </w:rPr>
        <w:t>5. 若发生纠纷，由违约方赔偿守约方因纠纷所支付的费用（包括但不限于律师费、差旅费、诉讼费、保全费、鉴定费、评估费等）。</w:t>
      </w:r>
    </w:p>
    <w:p w14:paraId="02DBBFB5">
      <w:pPr>
        <w:pStyle w:val="15"/>
        <w:snapToGrid w:val="0"/>
        <w:spacing w:line="360" w:lineRule="auto"/>
        <w:ind w:firstLine="422" w:firstLineChars="200"/>
        <w:rPr>
          <w:rFonts w:hAnsi="宋体" w:cs="宋体"/>
          <w:b/>
          <w:szCs w:val="21"/>
        </w:rPr>
      </w:pPr>
      <w:r>
        <w:rPr>
          <w:rFonts w:hint="eastAsia" w:hAnsi="宋体" w:cs="宋体"/>
          <w:b/>
          <w:szCs w:val="21"/>
        </w:rPr>
        <w:t>十七、不可抗力事件处理</w:t>
      </w:r>
    </w:p>
    <w:p w14:paraId="40D14531">
      <w:pPr>
        <w:pStyle w:val="15"/>
        <w:snapToGrid w:val="0"/>
        <w:spacing w:line="360" w:lineRule="auto"/>
        <w:ind w:firstLine="420" w:firstLineChars="200"/>
        <w:rPr>
          <w:rFonts w:hAnsi="宋体" w:cs="宋体"/>
          <w:szCs w:val="21"/>
        </w:rPr>
      </w:pPr>
      <w:r>
        <w:rPr>
          <w:rFonts w:hint="eastAsia" w:hAnsi="宋体" w:cs="宋体"/>
          <w:szCs w:val="21"/>
        </w:rPr>
        <w:t>1. 在合同有效期内，任何一方因不可抗力事件导致不能履行合同，则合同履行期可延长，其延长期与不可抗力影响期相同。</w:t>
      </w:r>
    </w:p>
    <w:p w14:paraId="6F13489E">
      <w:pPr>
        <w:pStyle w:val="15"/>
        <w:snapToGrid w:val="0"/>
        <w:spacing w:line="360" w:lineRule="auto"/>
        <w:ind w:firstLine="420" w:firstLineChars="200"/>
        <w:rPr>
          <w:rFonts w:hAnsi="宋体" w:cs="宋体"/>
          <w:szCs w:val="21"/>
        </w:rPr>
      </w:pPr>
      <w:r>
        <w:rPr>
          <w:rFonts w:hint="eastAsia" w:hAnsi="宋体" w:cs="宋体"/>
          <w:szCs w:val="21"/>
        </w:rPr>
        <w:t>2. 不可抗力事件发生后，应立即通知对方，并寄送有关权威机构出具的证明。</w:t>
      </w:r>
    </w:p>
    <w:p w14:paraId="7C9C2A53">
      <w:pPr>
        <w:pStyle w:val="15"/>
        <w:snapToGrid w:val="0"/>
        <w:spacing w:line="360" w:lineRule="auto"/>
        <w:ind w:firstLine="420" w:firstLineChars="200"/>
        <w:rPr>
          <w:rFonts w:hAnsi="宋体" w:cs="宋体"/>
          <w:szCs w:val="21"/>
        </w:rPr>
      </w:pPr>
      <w:r>
        <w:rPr>
          <w:rFonts w:hint="eastAsia" w:hAnsi="宋体" w:cs="宋体"/>
          <w:szCs w:val="21"/>
        </w:rPr>
        <w:t>3. 不可抗力事件延续120天以上，双方应通过友好协商，确定是否继续履行合同。</w:t>
      </w:r>
    </w:p>
    <w:p w14:paraId="463E2579">
      <w:pPr>
        <w:pStyle w:val="15"/>
        <w:snapToGrid w:val="0"/>
        <w:spacing w:line="360" w:lineRule="auto"/>
        <w:ind w:firstLine="422" w:firstLineChars="200"/>
        <w:rPr>
          <w:rFonts w:hAnsi="宋体" w:cs="宋体"/>
          <w:b/>
          <w:szCs w:val="21"/>
        </w:rPr>
      </w:pPr>
      <w:r>
        <w:rPr>
          <w:rFonts w:hint="eastAsia" w:hAnsi="宋体" w:cs="宋体"/>
          <w:b/>
          <w:szCs w:val="21"/>
        </w:rPr>
        <w:t>十八、解决争议的方法</w:t>
      </w:r>
    </w:p>
    <w:p w14:paraId="0EB18427">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 如双方在履行合同时发生纠纷，应协商解决；协商不成时，可提请政府采购管理部门调解；调解不成的通过方式解决（两种解决方式只能择其一）：</w:t>
      </w:r>
    </w:p>
    <w:p w14:paraId="142B9F01">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⑴ 提交</w:t>
      </w:r>
      <w:r>
        <w:rPr>
          <w:rFonts w:hint="eastAsia" w:ascii="宋体" w:hAnsi="宋体" w:cs="宋体"/>
          <w:szCs w:val="21"/>
          <w:u w:val="single"/>
        </w:rPr>
        <w:t>台州</w:t>
      </w:r>
      <w:r>
        <w:rPr>
          <w:rFonts w:hint="eastAsia" w:ascii="宋体" w:hAnsi="宋体" w:cs="宋体"/>
          <w:kern w:val="0"/>
          <w:szCs w:val="21"/>
        </w:rPr>
        <w:t xml:space="preserve">仲裁委员会仲裁。 </w:t>
      </w:r>
    </w:p>
    <w:p w14:paraId="1F41711E">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⑵ 依法向人民法院提起诉讼。 </w:t>
      </w:r>
    </w:p>
    <w:p w14:paraId="0E619EDD">
      <w:pPr>
        <w:pStyle w:val="15"/>
        <w:tabs>
          <w:tab w:val="left" w:pos="5790"/>
        </w:tabs>
        <w:snapToGrid w:val="0"/>
        <w:spacing w:line="360" w:lineRule="auto"/>
        <w:ind w:firstLine="422" w:firstLineChars="200"/>
        <w:rPr>
          <w:rFonts w:hAnsi="宋体" w:cs="宋体"/>
          <w:b/>
          <w:szCs w:val="21"/>
        </w:rPr>
      </w:pPr>
      <w:r>
        <w:rPr>
          <w:rFonts w:hint="eastAsia" w:hAnsi="宋体" w:cs="宋体"/>
          <w:b/>
          <w:szCs w:val="21"/>
        </w:rPr>
        <w:t>十九、合同生效及其它</w:t>
      </w:r>
      <w:r>
        <w:rPr>
          <w:rFonts w:hint="eastAsia" w:hAnsi="宋体" w:cs="宋体"/>
          <w:b/>
          <w:szCs w:val="21"/>
        </w:rPr>
        <w:tab/>
      </w:r>
    </w:p>
    <w:p w14:paraId="23EB5E50">
      <w:pPr>
        <w:pStyle w:val="10"/>
        <w:widowControl/>
        <w:spacing w:line="360" w:lineRule="auto"/>
        <w:ind w:firstLine="420" w:firstLineChars="200"/>
        <w:rPr>
          <w:rFonts w:ascii="宋体" w:hAnsi="宋体" w:cs="宋体"/>
          <w:sz w:val="21"/>
          <w:szCs w:val="21"/>
        </w:rPr>
      </w:pPr>
      <w:r>
        <w:rPr>
          <w:rFonts w:hint="eastAsia" w:ascii="宋体" w:hAnsi="宋体" w:cs="宋体"/>
          <w:sz w:val="21"/>
          <w:szCs w:val="21"/>
        </w:rPr>
        <w:t>1. 合同经双方法定代表人或授权代表签字并加盖单位公章后生效。</w:t>
      </w:r>
    </w:p>
    <w:p w14:paraId="35B3A175">
      <w:pPr>
        <w:pStyle w:val="10"/>
        <w:widowControl/>
        <w:spacing w:line="360" w:lineRule="auto"/>
        <w:ind w:firstLine="420" w:firstLineChars="200"/>
        <w:rPr>
          <w:rFonts w:ascii="宋体" w:hAnsi="宋体" w:cs="宋体"/>
          <w:sz w:val="21"/>
          <w:szCs w:val="21"/>
        </w:rPr>
      </w:pPr>
      <w:r>
        <w:rPr>
          <w:rFonts w:hint="eastAsia" w:ascii="宋体" w:hAnsi="宋体" w:cs="宋体"/>
          <w:sz w:val="21"/>
          <w:szCs w:val="21"/>
        </w:rPr>
        <w:t>2. 本合同未尽事宜，遵照《中华人民共和国民法典》有关条文执行。</w:t>
      </w:r>
    </w:p>
    <w:p w14:paraId="64D41040">
      <w:pPr>
        <w:pStyle w:val="10"/>
        <w:widowControl/>
        <w:spacing w:line="360" w:lineRule="auto"/>
        <w:ind w:firstLine="420" w:firstLineChars="200"/>
        <w:rPr>
          <w:rFonts w:ascii="宋体" w:hAnsi="宋体" w:cs="宋体"/>
          <w:sz w:val="21"/>
          <w:szCs w:val="21"/>
        </w:rPr>
      </w:pPr>
      <w:r>
        <w:rPr>
          <w:rFonts w:hint="eastAsia" w:ascii="宋体" w:hAnsi="宋体" w:cs="宋体"/>
          <w:sz w:val="21"/>
          <w:szCs w:val="21"/>
        </w:rPr>
        <w:t>3. 本合同一式六份。甲、乙双方各执二份，采购组织机构及同级监管部门各执一份。本项目未尽事宜以采购文件、投标文件及澄清文件等为准。</w:t>
      </w:r>
    </w:p>
    <w:p w14:paraId="3D42549F">
      <w:pPr>
        <w:spacing w:before="60" w:after="60" w:line="360" w:lineRule="auto"/>
        <w:ind w:firstLine="420" w:firstLineChars="200"/>
        <w:rPr>
          <w:rFonts w:ascii="宋体" w:hAnsi="宋体" w:cs="宋体"/>
          <w:szCs w:val="21"/>
        </w:rPr>
      </w:pPr>
    </w:p>
    <w:p w14:paraId="754D76B2">
      <w:pPr>
        <w:spacing w:before="60" w:after="60" w:line="360" w:lineRule="auto"/>
        <w:rPr>
          <w:rFonts w:ascii="宋体" w:hAnsi="宋体" w:cs="宋体"/>
          <w:szCs w:val="21"/>
        </w:rPr>
      </w:pPr>
    </w:p>
    <w:p w14:paraId="63D568F0">
      <w:pPr>
        <w:spacing w:before="60" w:after="60" w:line="360" w:lineRule="auto"/>
        <w:rPr>
          <w:rFonts w:ascii="宋体" w:hAnsi="宋体" w:cs="宋体"/>
          <w:szCs w:val="21"/>
        </w:rPr>
      </w:pPr>
      <w:r>
        <w:rPr>
          <w:rFonts w:hint="eastAsia" w:ascii="宋体" w:hAnsi="宋体" w:cs="宋体"/>
          <w:szCs w:val="21"/>
        </w:rPr>
        <w:t>甲方（公章）                                     乙方（公章）</w:t>
      </w:r>
    </w:p>
    <w:p w14:paraId="635B4AD0">
      <w:pPr>
        <w:spacing w:before="60" w:after="60" w:line="360" w:lineRule="auto"/>
        <w:rPr>
          <w:rFonts w:ascii="宋体" w:hAnsi="宋体" w:cs="宋体"/>
          <w:szCs w:val="21"/>
        </w:rPr>
      </w:pPr>
      <w:r>
        <w:rPr>
          <w:rFonts w:hint="eastAsia" w:ascii="宋体" w:hAnsi="宋体" w:cs="宋体"/>
          <w:szCs w:val="21"/>
        </w:rPr>
        <w:t xml:space="preserve">法定代表人或授权代表：                           法定代表人或授权代表：                               </w:t>
      </w:r>
    </w:p>
    <w:p w14:paraId="727DFCCC">
      <w:pPr>
        <w:spacing w:before="60" w:after="60" w:line="360" w:lineRule="auto"/>
        <w:rPr>
          <w:rFonts w:ascii="宋体" w:hAnsi="宋体" w:cs="宋体"/>
          <w:szCs w:val="21"/>
        </w:rPr>
      </w:pPr>
      <w:r>
        <w:rPr>
          <w:rFonts w:hint="eastAsia" w:ascii="宋体" w:hAnsi="宋体" w:cs="宋体"/>
          <w:szCs w:val="21"/>
        </w:rPr>
        <w:t>联系电话：                                       联系电话：</w:t>
      </w:r>
    </w:p>
    <w:p w14:paraId="2305F066">
      <w:pPr>
        <w:spacing w:before="60" w:after="60" w:line="360" w:lineRule="auto"/>
        <w:rPr>
          <w:rFonts w:ascii="宋体" w:hAnsi="宋体" w:cs="宋体"/>
          <w:szCs w:val="21"/>
        </w:rPr>
      </w:pPr>
      <w:r>
        <w:rPr>
          <w:rFonts w:hint="eastAsia" w:ascii="宋体" w:hAnsi="宋体" w:cs="宋体"/>
          <w:szCs w:val="21"/>
        </w:rPr>
        <w:t>开户银行：                                       开户银行：</w:t>
      </w:r>
    </w:p>
    <w:p w14:paraId="1AD06A30">
      <w:pPr>
        <w:spacing w:before="60" w:after="60" w:line="360" w:lineRule="auto"/>
        <w:rPr>
          <w:rFonts w:ascii="宋体" w:hAnsi="宋体" w:cs="宋体"/>
          <w:szCs w:val="21"/>
        </w:rPr>
      </w:pPr>
      <w:r>
        <w:rPr>
          <w:rFonts w:hint="eastAsia" w:ascii="宋体" w:hAnsi="宋体" w:cs="宋体"/>
          <w:szCs w:val="21"/>
        </w:rPr>
        <w:t>帐号：                                           帐号：</w:t>
      </w:r>
    </w:p>
    <w:p w14:paraId="76C77B27">
      <w:pPr>
        <w:spacing w:before="60" w:after="60" w:line="360" w:lineRule="auto"/>
        <w:rPr>
          <w:rFonts w:ascii="宋体" w:hAnsi="宋体" w:cs="宋体"/>
          <w:szCs w:val="21"/>
        </w:rPr>
      </w:pPr>
      <w:r>
        <w:rPr>
          <w:rFonts w:hint="eastAsia" w:ascii="宋体" w:hAnsi="宋体" w:cs="宋体"/>
          <w:szCs w:val="21"/>
        </w:rPr>
        <w:t>地址及邮编：                                     地址及邮编：</w:t>
      </w:r>
    </w:p>
    <w:p w14:paraId="381075D7">
      <w:pPr>
        <w:spacing w:line="360" w:lineRule="auto"/>
        <w:ind w:firstLine="5145" w:firstLineChars="2450"/>
        <w:rPr>
          <w:rFonts w:asciiTheme="minorEastAsia" w:hAnsiTheme="minorEastAsia" w:eastAsiaTheme="minorEastAsia"/>
          <w:sz w:val="24"/>
        </w:rPr>
      </w:pPr>
      <w:r>
        <w:rPr>
          <w:rFonts w:hint="eastAsia" w:hAnsi="宋体" w:cs="宋体"/>
          <w:szCs w:val="21"/>
        </w:rPr>
        <w:t>签订日期：    年   月   日</w:t>
      </w:r>
    </w:p>
    <w:p w14:paraId="30D1027B">
      <w:pPr>
        <w:spacing w:line="360" w:lineRule="auto"/>
        <w:rPr>
          <w:rFonts w:asciiTheme="minorEastAsia" w:hAnsiTheme="minorEastAsia" w:eastAsiaTheme="minorEastAsia"/>
          <w:color w:val="FF0000"/>
          <w:sz w:val="24"/>
        </w:rPr>
      </w:pPr>
    </w:p>
    <w:p w14:paraId="00D19FE0">
      <w:pPr>
        <w:spacing w:line="360" w:lineRule="auto"/>
        <w:rPr>
          <w:rFonts w:asciiTheme="minorEastAsia" w:hAnsiTheme="minorEastAsia" w:eastAsiaTheme="minorEastAsia"/>
          <w:sz w:val="24"/>
        </w:rPr>
      </w:pPr>
    </w:p>
    <w:p w14:paraId="6406E431">
      <w:pPr>
        <w:spacing w:line="360" w:lineRule="auto"/>
        <w:jc w:val="center"/>
        <w:rPr>
          <w:rFonts w:asciiTheme="majorEastAsia" w:hAnsiTheme="majorEastAsia" w:eastAsiaTheme="majorEastAsia"/>
          <w:b/>
          <w:color w:val="000000" w:themeColor="text1"/>
          <w:kern w:val="0"/>
          <w:sz w:val="36"/>
          <w:szCs w:val="36"/>
          <w14:textFill>
            <w14:solidFill>
              <w14:schemeClr w14:val="tx1"/>
            </w14:solidFill>
          </w14:textFill>
        </w:rPr>
      </w:pPr>
      <w:r>
        <w:rPr>
          <w:rFonts w:hint="eastAsia" w:asciiTheme="majorEastAsia" w:hAnsiTheme="majorEastAsia" w:eastAsiaTheme="majorEastAsia"/>
          <w:b/>
          <w:color w:val="000000" w:themeColor="text1"/>
          <w:sz w:val="36"/>
          <w:szCs w:val="36"/>
          <w14:textFill>
            <w14:solidFill>
              <w14:schemeClr w14:val="tx1"/>
            </w14:solidFill>
          </w14:textFill>
        </w:rPr>
        <w:t>第五章  谈判响应文件格式附件</w:t>
      </w:r>
    </w:p>
    <w:p w14:paraId="73426B29">
      <w:pPr>
        <w:rPr>
          <w:rFonts w:ascii="宋体" w:hAnsi="宋体"/>
          <w:b/>
          <w:kern w:val="0"/>
          <w:sz w:val="28"/>
          <w:szCs w:val="28"/>
        </w:rPr>
      </w:pPr>
      <w:r>
        <w:rPr>
          <w:rFonts w:hint="eastAsia" w:ascii="宋体" w:hAnsi="宋体"/>
          <w:b/>
          <w:kern w:val="0"/>
          <w:sz w:val="28"/>
          <w:szCs w:val="28"/>
        </w:rPr>
        <w:t>附件1                              　　　          正/副本</w:t>
      </w:r>
    </w:p>
    <w:p w14:paraId="4E8D866B">
      <w:pPr>
        <w:snapToGrid w:val="0"/>
        <w:spacing w:beforeLines="50" w:after="50" w:line="360" w:lineRule="auto"/>
        <w:rPr>
          <w:rFonts w:ascii="宋体" w:hAnsi="宋体"/>
          <w:b/>
          <w:sz w:val="24"/>
        </w:rPr>
      </w:pPr>
    </w:p>
    <w:p w14:paraId="421FBD4B">
      <w:pPr>
        <w:spacing w:after="100" w:afterAutospacing="1" w:line="800" w:lineRule="exact"/>
        <w:ind w:right="-108"/>
        <w:jc w:val="center"/>
        <w:rPr>
          <w:rFonts w:ascii="宋体" w:hAnsi="宋体"/>
          <w:b/>
          <w:spacing w:val="40"/>
          <w:sz w:val="24"/>
        </w:rPr>
      </w:pPr>
      <w:r>
        <w:rPr>
          <w:rFonts w:hint="eastAsia" w:ascii="宋体" w:hAnsi="宋体" w:cs="宋体"/>
          <w:sz w:val="36"/>
          <w:szCs w:val="36"/>
          <w:lang w:eastAsia="zh-CN"/>
        </w:rPr>
        <w:t>神仙居仙侠演艺餐厅厨房设备采购（非政府采购类）</w:t>
      </w:r>
      <w:r>
        <w:rPr>
          <w:rFonts w:hint="eastAsia" w:ascii="宋体" w:hAnsi="宋体"/>
          <w:color w:val="000000"/>
          <w:sz w:val="36"/>
          <w:szCs w:val="36"/>
        </w:rPr>
        <w:t>项目编号：</w:t>
      </w:r>
      <w:r>
        <w:rPr>
          <w:rFonts w:hint="eastAsia" w:ascii="宋体" w:hAnsi="宋体" w:cs="宋体"/>
          <w:sz w:val="36"/>
          <w:szCs w:val="36"/>
          <w:lang w:eastAsia="zh-CN"/>
        </w:rPr>
        <w:t>OBXJ(采购)-24070</w:t>
      </w:r>
    </w:p>
    <w:p w14:paraId="0E5785E6">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谈</w:t>
      </w:r>
    </w:p>
    <w:p w14:paraId="70AE7E54">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判</w:t>
      </w:r>
    </w:p>
    <w:p w14:paraId="42AAD160">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14:paraId="0A6C8D8F">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14:paraId="1F111FA6">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14:paraId="673A8FCE">
      <w:pPr>
        <w:spacing w:after="100" w:afterAutospacing="1"/>
        <w:ind w:right="-108"/>
        <w:jc w:val="center"/>
        <w:rPr>
          <w:rFonts w:ascii="宋体" w:hAnsi="宋体"/>
          <w:b/>
          <w:spacing w:val="40"/>
          <w:sz w:val="48"/>
          <w:szCs w:val="48"/>
        </w:rPr>
      </w:pPr>
      <w:r>
        <w:rPr>
          <w:rFonts w:hint="eastAsia" w:ascii="宋体" w:hAnsi="宋体"/>
          <w:b/>
          <w:spacing w:val="40"/>
          <w:sz w:val="72"/>
          <w:szCs w:val="72"/>
        </w:rPr>
        <w:t>件</w:t>
      </w:r>
    </w:p>
    <w:p w14:paraId="24B72EAA">
      <w:pPr>
        <w:spacing w:line="600" w:lineRule="exact"/>
        <w:ind w:right="532" w:firstLine="640" w:firstLineChars="200"/>
        <w:rPr>
          <w:rFonts w:ascii="宋体" w:hAnsi="宋体"/>
          <w:sz w:val="32"/>
          <w:szCs w:val="32"/>
        </w:rPr>
      </w:pPr>
      <w:r>
        <w:rPr>
          <w:rFonts w:hint="eastAsia" w:ascii="宋体" w:hAnsi="宋体"/>
          <w:sz w:val="32"/>
          <w:szCs w:val="32"/>
        </w:rPr>
        <w:t>单位全称（公章）：</w:t>
      </w:r>
    </w:p>
    <w:p w14:paraId="4D31FDBD">
      <w:pPr>
        <w:spacing w:line="600" w:lineRule="exact"/>
        <w:ind w:right="532" w:firstLine="640" w:firstLineChars="200"/>
        <w:rPr>
          <w:rFonts w:ascii="宋体" w:hAnsi="宋体"/>
          <w:sz w:val="32"/>
          <w:szCs w:val="32"/>
        </w:rPr>
      </w:pPr>
      <w:r>
        <w:rPr>
          <w:rFonts w:hint="eastAsia" w:ascii="宋体" w:hAnsi="宋体"/>
          <w:sz w:val="32"/>
          <w:szCs w:val="32"/>
        </w:rPr>
        <w:t>地    址：</w:t>
      </w:r>
    </w:p>
    <w:p w14:paraId="30158D2C">
      <w:pPr>
        <w:spacing w:line="600" w:lineRule="exact"/>
        <w:ind w:right="532" w:firstLine="640" w:firstLineChars="200"/>
        <w:rPr>
          <w:rFonts w:ascii="宋体" w:hAnsi="宋体"/>
          <w:sz w:val="32"/>
          <w:szCs w:val="32"/>
        </w:rPr>
      </w:pPr>
      <w:r>
        <w:rPr>
          <w:rFonts w:hint="eastAsia" w:ascii="宋体" w:hAnsi="宋体"/>
          <w:sz w:val="32"/>
          <w:szCs w:val="32"/>
        </w:rPr>
        <w:t>时    间：</w:t>
      </w:r>
    </w:p>
    <w:p w14:paraId="161E245B">
      <w:pPr>
        <w:rPr>
          <w:rFonts w:ascii="宋体" w:hAnsi="宋体" w:cs="宋体"/>
          <w:b/>
          <w:kern w:val="0"/>
          <w:sz w:val="24"/>
        </w:rPr>
      </w:pPr>
    </w:p>
    <w:p w14:paraId="7885128C">
      <w:pPr>
        <w:rPr>
          <w:rFonts w:ascii="宋体" w:hAnsi="宋体" w:cs="宋体"/>
          <w:b/>
          <w:kern w:val="0"/>
          <w:sz w:val="24"/>
        </w:rPr>
      </w:pPr>
    </w:p>
    <w:p w14:paraId="58FF9240">
      <w:pPr>
        <w:rPr>
          <w:rFonts w:hint="eastAsia" w:ascii="宋体" w:hAnsi="宋体" w:cs="宋体"/>
          <w:b/>
          <w:kern w:val="0"/>
          <w:sz w:val="24"/>
        </w:rPr>
      </w:pPr>
    </w:p>
    <w:p w14:paraId="61A1FA99">
      <w:pPr>
        <w:rPr>
          <w:rFonts w:hint="eastAsia" w:ascii="宋体" w:hAnsi="宋体" w:cs="宋体"/>
          <w:b/>
          <w:kern w:val="0"/>
          <w:sz w:val="24"/>
        </w:rPr>
      </w:pPr>
    </w:p>
    <w:p w14:paraId="48E33F9E">
      <w:pPr>
        <w:rPr>
          <w:rFonts w:hint="eastAsia" w:ascii="宋体" w:hAnsi="宋体" w:cs="宋体"/>
          <w:b/>
          <w:kern w:val="0"/>
          <w:sz w:val="24"/>
        </w:rPr>
      </w:pPr>
    </w:p>
    <w:p w14:paraId="235DA9C8">
      <w:pPr>
        <w:rPr>
          <w:rFonts w:ascii="宋体" w:hAnsi="宋体"/>
          <w:b/>
          <w:sz w:val="28"/>
        </w:rPr>
      </w:pPr>
      <w:r>
        <w:rPr>
          <w:rFonts w:hint="eastAsia" w:ascii="宋体" w:hAnsi="宋体" w:cs="宋体"/>
          <w:b/>
          <w:kern w:val="0"/>
          <w:sz w:val="24"/>
        </w:rPr>
        <w:t xml:space="preserve">附件1： </w:t>
      </w:r>
      <w:r>
        <w:rPr>
          <w:rFonts w:hint="eastAsia" w:ascii="宋体" w:hAnsi="宋体"/>
          <w:b/>
          <w:kern w:val="0"/>
          <w:sz w:val="28"/>
          <w:szCs w:val="28"/>
        </w:rPr>
        <w:t xml:space="preserve">                             　　　         </w:t>
      </w:r>
    </w:p>
    <w:p w14:paraId="4E16F59D">
      <w:pPr>
        <w:adjustRightInd w:val="0"/>
        <w:snapToGrid w:val="0"/>
        <w:spacing w:line="360" w:lineRule="auto"/>
        <w:jc w:val="center"/>
        <w:rPr>
          <w:rFonts w:ascii="宋体" w:hAnsi="宋体"/>
          <w:b/>
          <w:kern w:val="0"/>
          <w:sz w:val="32"/>
          <w:szCs w:val="32"/>
        </w:rPr>
      </w:pPr>
      <w:r>
        <w:rPr>
          <w:rFonts w:hint="eastAsia" w:ascii="宋体" w:hAnsi="宋体"/>
          <w:b/>
          <w:kern w:val="0"/>
          <w:sz w:val="32"/>
          <w:szCs w:val="32"/>
        </w:rPr>
        <w:t>投标函</w:t>
      </w:r>
    </w:p>
    <w:p w14:paraId="61B53CDC">
      <w:pPr>
        <w:adjustRightInd w:val="0"/>
        <w:snapToGrid w:val="0"/>
        <w:spacing w:line="480" w:lineRule="auto"/>
        <w:rPr>
          <w:rFonts w:ascii="宋体" w:hAnsi="宋体" w:cs="宋体"/>
          <w:szCs w:val="20"/>
        </w:rPr>
      </w:pPr>
      <w:r>
        <w:rPr>
          <w:rFonts w:hint="eastAsia" w:ascii="宋体" w:hAnsi="宋体" w:cs="宋体"/>
          <w:szCs w:val="20"/>
          <w:u w:val="single"/>
          <w:lang w:eastAsia="zh-CN"/>
        </w:rPr>
        <w:t>浙江神仙居体育发展有限公司</w:t>
      </w:r>
      <w:r>
        <w:rPr>
          <w:rFonts w:hint="eastAsia" w:ascii="宋体" w:hAnsi="宋体" w:cs="宋体"/>
          <w:szCs w:val="20"/>
        </w:rPr>
        <w:t>：</w:t>
      </w:r>
    </w:p>
    <w:p w14:paraId="238238B3">
      <w:pPr>
        <w:adjustRightInd w:val="0"/>
        <w:snapToGrid w:val="0"/>
        <w:spacing w:line="480" w:lineRule="auto"/>
        <w:ind w:firstLine="411" w:firstLineChars="196"/>
        <w:rPr>
          <w:rFonts w:ascii="宋体" w:hAnsi="宋体" w:cs="宋体"/>
          <w:szCs w:val="20"/>
        </w:rPr>
      </w:pPr>
      <w:r>
        <w:rPr>
          <w:rFonts w:hint="eastAsia" w:ascii="宋体" w:hAnsi="宋体" w:cs="宋体"/>
          <w:szCs w:val="20"/>
        </w:rPr>
        <w:t>（供应商全称）参加贵方组织的</w:t>
      </w:r>
      <w:r>
        <w:rPr>
          <w:rFonts w:hint="eastAsia" w:ascii="宋体" w:hAnsi="宋体" w:cs="宋体"/>
          <w:szCs w:val="20"/>
          <w:u w:val="single"/>
        </w:rPr>
        <w:t xml:space="preserve"> </w:t>
      </w:r>
      <w:r>
        <w:rPr>
          <w:rFonts w:hint="eastAsia" w:ascii="宋体" w:hAnsi="宋体" w:cs="宋体"/>
          <w:szCs w:val="20"/>
          <w:u w:val="single"/>
          <w:lang w:eastAsia="zh-CN"/>
        </w:rPr>
        <w:t>神仙居仙侠演艺餐厅厨房设备采购（非政府采购类）</w:t>
      </w:r>
      <w:r>
        <w:rPr>
          <w:rFonts w:hint="eastAsia" w:ascii="宋体" w:hAnsi="宋体" w:cs="宋体"/>
          <w:szCs w:val="20"/>
        </w:rPr>
        <w:t>（项目名称）</w:t>
      </w:r>
      <w:r>
        <w:rPr>
          <w:rFonts w:hint="eastAsia" w:ascii="宋体" w:hAnsi="宋体" w:cs="宋体"/>
          <w:szCs w:val="20"/>
          <w:u w:val="single"/>
          <w:lang w:eastAsia="zh-CN"/>
        </w:rPr>
        <w:t>OBXJ（采购）-24070</w:t>
      </w:r>
      <w:r>
        <w:rPr>
          <w:rFonts w:hint="eastAsia" w:ascii="宋体" w:hAnsi="宋体" w:cs="宋体"/>
          <w:szCs w:val="20"/>
        </w:rPr>
        <w:t>（项目编号）谈判的有关活动，并对此项目进行谈判。为此我方：</w:t>
      </w:r>
    </w:p>
    <w:p w14:paraId="168BF02C">
      <w:pPr>
        <w:adjustRightInd w:val="0"/>
        <w:snapToGrid w:val="0"/>
        <w:spacing w:line="480" w:lineRule="auto"/>
        <w:ind w:firstLine="420" w:firstLineChars="200"/>
        <w:rPr>
          <w:rFonts w:ascii="宋体" w:hAnsi="宋体" w:cs="宋体"/>
          <w:szCs w:val="21"/>
        </w:rPr>
      </w:pPr>
      <w:r>
        <w:rPr>
          <w:rFonts w:hint="eastAsia" w:ascii="宋体" w:hAnsi="宋体" w:cs="宋体"/>
          <w:szCs w:val="21"/>
        </w:rPr>
        <w:t>1、承诺在供应商</w:t>
      </w:r>
      <w:r>
        <w:rPr>
          <w:rFonts w:hint="eastAsia" w:ascii="宋体" w:hAnsi="宋体" w:cs="宋体"/>
          <w:kern w:val="44"/>
          <w:szCs w:val="21"/>
        </w:rPr>
        <w:t>须知</w:t>
      </w:r>
      <w:r>
        <w:rPr>
          <w:rFonts w:hint="eastAsia" w:ascii="宋体" w:hAnsi="宋体" w:cs="宋体"/>
          <w:szCs w:val="21"/>
        </w:rPr>
        <w:t>规定的投标截止日起遵守本响应文件中的承诺，且在投标有效期满之前均具有约束力。</w:t>
      </w:r>
    </w:p>
    <w:p w14:paraId="43B80568">
      <w:pPr>
        <w:adjustRightInd w:val="0"/>
        <w:snapToGrid w:val="0"/>
        <w:spacing w:line="480" w:lineRule="auto"/>
        <w:ind w:firstLine="420" w:firstLineChars="200"/>
        <w:rPr>
          <w:rFonts w:ascii="宋体" w:hAnsi="宋体" w:cs="宋体"/>
          <w:szCs w:val="21"/>
        </w:rPr>
      </w:pPr>
      <w:r>
        <w:rPr>
          <w:rFonts w:hint="eastAsia" w:ascii="宋体" w:hAnsi="宋体" w:cs="宋体"/>
          <w:szCs w:val="21"/>
        </w:rPr>
        <w:t>2、承诺已经具备《中华人民共和国政府采购法》中规定的参加政府采购活动的供应商应当具备的条件及采购人规定的特定条件。</w:t>
      </w:r>
    </w:p>
    <w:p w14:paraId="58C10F7A">
      <w:pPr>
        <w:adjustRightInd w:val="0"/>
        <w:snapToGrid w:val="0"/>
        <w:spacing w:line="480" w:lineRule="auto"/>
        <w:ind w:firstLine="420" w:firstLineChars="200"/>
        <w:rPr>
          <w:rFonts w:ascii="宋体" w:hAnsi="宋体" w:cs="宋体"/>
          <w:szCs w:val="21"/>
        </w:rPr>
      </w:pPr>
      <w:r>
        <w:rPr>
          <w:rFonts w:hint="eastAsia" w:ascii="宋体" w:hAnsi="宋体" w:cs="宋体"/>
          <w:szCs w:val="21"/>
        </w:rPr>
        <w:t>3、已详细审核全部竞争性谈判文件，包括竞争性谈判文件补充（如果有）、参考资料及有关附件，确认无误。</w:t>
      </w:r>
    </w:p>
    <w:p w14:paraId="0954F570">
      <w:pPr>
        <w:adjustRightInd w:val="0"/>
        <w:snapToGrid w:val="0"/>
        <w:spacing w:line="480" w:lineRule="auto"/>
        <w:ind w:firstLine="420" w:firstLineChars="200"/>
        <w:rPr>
          <w:rFonts w:ascii="宋体" w:hAnsi="宋体" w:cs="宋体"/>
          <w:szCs w:val="21"/>
        </w:rPr>
      </w:pPr>
      <w:r>
        <w:rPr>
          <w:rFonts w:hint="eastAsia" w:ascii="宋体" w:hAnsi="宋体" w:cs="宋体"/>
          <w:szCs w:val="21"/>
        </w:rPr>
        <w:t>4、提供</w:t>
      </w:r>
      <w:r>
        <w:rPr>
          <w:rFonts w:hint="eastAsia" w:ascii="宋体" w:hAnsi="宋体" w:cs="宋体"/>
          <w:kern w:val="44"/>
          <w:szCs w:val="21"/>
        </w:rPr>
        <w:t>供应商须知</w:t>
      </w:r>
      <w:r>
        <w:rPr>
          <w:rFonts w:hint="eastAsia" w:ascii="宋体" w:hAnsi="宋体" w:cs="宋体"/>
          <w:szCs w:val="21"/>
        </w:rPr>
        <w:t>规定的全部响应文件。</w:t>
      </w:r>
    </w:p>
    <w:p w14:paraId="733886BD">
      <w:pPr>
        <w:adjustRightInd w:val="0"/>
        <w:snapToGrid w:val="0"/>
        <w:spacing w:line="480" w:lineRule="auto"/>
        <w:ind w:firstLine="420" w:firstLineChars="200"/>
        <w:rPr>
          <w:rFonts w:ascii="宋体" w:hAnsi="宋体" w:cs="宋体"/>
        </w:rPr>
      </w:pPr>
      <w:r>
        <w:rPr>
          <w:rFonts w:hint="eastAsia" w:ascii="宋体" w:hAnsi="宋体" w:cs="宋体"/>
          <w:szCs w:val="21"/>
        </w:rPr>
        <w:t>5、投标</w:t>
      </w:r>
      <w:r>
        <w:rPr>
          <w:rFonts w:hint="eastAsia" w:ascii="宋体" w:hAnsi="宋体" w:cs="宋体"/>
        </w:rPr>
        <w:t>报价详见《首次报价一览表》。</w:t>
      </w:r>
    </w:p>
    <w:p w14:paraId="02634827">
      <w:pPr>
        <w:adjustRightInd w:val="0"/>
        <w:snapToGrid w:val="0"/>
        <w:spacing w:line="480" w:lineRule="auto"/>
        <w:ind w:firstLine="420" w:firstLineChars="200"/>
        <w:rPr>
          <w:rFonts w:ascii="宋体" w:hAnsi="宋体" w:cs="宋体"/>
          <w:szCs w:val="21"/>
        </w:rPr>
      </w:pPr>
      <w:r>
        <w:rPr>
          <w:rFonts w:hint="eastAsia" w:ascii="宋体" w:hAnsi="宋体" w:cs="宋体"/>
          <w:szCs w:val="21"/>
        </w:rPr>
        <w:t>6、保证遵守竞争性谈判文件中的其他有关规定。</w:t>
      </w:r>
    </w:p>
    <w:p w14:paraId="472F4727">
      <w:pPr>
        <w:adjustRightInd w:val="0"/>
        <w:snapToGrid w:val="0"/>
        <w:spacing w:line="480" w:lineRule="auto"/>
        <w:ind w:firstLine="420" w:firstLineChars="200"/>
        <w:rPr>
          <w:rFonts w:ascii="宋体" w:hAnsi="宋体" w:cs="宋体"/>
          <w:szCs w:val="21"/>
        </w:rPr>
      </w:pPr>
      <w:r>
        <w:rPr>
          <w:rFonts w:hint="eastAsia" w:ascii="宋体" w:hAnsi="宋体" w:cs="宋体"/>
          <w:szCs w:val="21"/>
        </w:rPr>
        <w:t>7、完全理解不一定接受最低价成交。</w:t>
      </w:r>
    </w:p>
    <w:p w14:paraId="1401085C">
      <w:pPr>
        <w:adjustRightInd w:val="0"/>
        <w:snapToGrid w:val="0"/>
        <w:spacing w:line="480" w:lineRule="auto"/>
        <w:ind w:firstLine="420" w:firstLineChars="200"/>
        <w:rPr>
          <w:rFonts w:ascii="宋体" w:hAnsi="宋体" w:cs="宋体"/>
          <w:szCs w:val="21"/>
        </w:rPr>
      </w:pPr>
      <w:r>
        <w:rPr>
          <w:rFonts w:hint="eastAsia" w:ascii="宋体" w:hAnsi="宋体" w:cs="宋体"/>
          <w:szCs w:val="21"/>
        </w:rPr>
        <w:t>8、愿意向贵方提供任何与该项目投标有关的数据、情况和技术资料。若贵方需要，愿意提供我方做出的一切承诺的证明材料。</w:t>
      </w:r>
    </w:p>
    <w:p w14:paraId="1ECBB25C">
      <w:pPr>
        <w:adjustRightInd w:val="0"/>
        <w:snapToGrid w:val="0"/>
        <w:spacing w:line="480" w:lineRule="auto"/>
        <w:ind w:firstLine="420" w:firstLineChars="200"/>
        <w:rPr>
          <w:rFonts w:ascii="宋体" w:hAnsi="宋体" w:cs="宋体"/>
          <w:szCs w:val="21"/>
        </w:rPr>
      </w:pPr>
      <w:r>
        <w:rPr>
          <w:rFonts w:hint="eastAsia" w:ascii="宋体" w:hAnsi="宋体" w:cs="宋体"/>
          <w:szCs w:val="21"/>
        </w:rPr>
        <w:t>9、保证忠实地执行双方所签订的合同，并承担合同规定的责任和义务。</w:t>
      </w:r>
    </w:p>
    <w:p w14:paraId="1A8CE83B">
      <w:pPr>
        <w:adjustRightInd w:val="0"/>
        <w:snapToGrid w:val="0"/>
        <w:spacing w:line="480" w:lineRule="auto"/>
        <w:ind w:firstLine="420" w:firstLineChars="200"/>
        <w:rPr>
          <w:rFonts w:ascii="宋体" w:hAnsi="宋体" w:cs="宋体"/>
          <w:szCs w:val="21"/>
        </w:rPr>
      </w:pPr>
      <w:r>
        <w:rPr>
          <w:rFonts w:hint="eastAsia" w:ascii="宋体" w:hAnsi="宋体" w:cs="宋体"/>
          <w:szCs w:val="21"/>
        </w:rPr>
        <w:t>10、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4D04663">
      <w:pPr>
        <w:adjustRightInd w:val="0"/>
        <w:snapToGrid w:val="0"/>
        <w:spacing w:line="480" w:lineRule="auto"/>
        <w:ind w:firstLine="420" w:firstLineChars="200"/>
        <w:rPr>
          <w:rFonts w:ascii="宋体" w:hAnsi="宋体" w:cs="宋体"/>
          <w:szCs w:val="21"/>
        </w:rPr>
      </w:pPr>
      <w:r>
        <w:rPr>
          <w:rFonts w:hint="eastAsia" w:ascii="宋体" w:hAnsi="宋体" w:cs="宋体"/>
          <w:szCs w:val="21"/>
        </w:rPr>
        <w:t>a）提供虚假材料谋取中标、成交的；</w:t>
      </w:r>
    </w:p>
    <w:p w14:paraId="13181083">
      <w:pPr>
        <w:adjustRightInd w:val="0"/>
        <w:snapToGrid w:val="0"/>
        <w:spacing w:line="480" w:lineRule="auto"/>
        <w:ind w:firstLine="420" w:firstLineChars="200"/>
        <w:rPr>
          <w:rFonts w:ascii="宋体" w:hAnsi="宋体" w:cs="宋体"/>
          <w:szCs w:val="21"/>
        </w:rPr>
      </w:pPr>
      <w:r>
        <w:rPr>
          <w:rFonts w:hint="eastAsia" w:ascii="宋体" w:hAnsi="宋体" w:cs="宋体"/>
          <w:szCs w:val="21"/>
        </w:rPr>
        <w:t>b）采取不正当手段诋毁、排挤其他供应商的；</w:t>
      </w:r>
    </w:p>
    <w:p w14:paraId="2944E94E">
      <w:pPr>
        <w:adjustRightInd w:val="0"/>
        <w:snapToGrid w:val="0"/>
        <w:spacing w:line="480" w:lineRule="auto"/>
        <w:ind w:firstLine="420" w:firstLineChars="200"/>
        <w:rPr>
          <w:rFonts w:ascii="宋体" w:hAnsi="宋体" w:cs="宋体"/>
          <w:szCs w:val="21"/>
        </w:rPr>
      </w:pPr>
      <w:r>
        <w:rPr>
          <w:rFonts w:hint="eastAsia" w:ascii="宋体" w:hAnsi="宋体" w:cs="宋体"/>
          <w:szCs w:val="21"/>
        </w:rPr>
        <w:t>c）与采购人、其它供应商或者采购代理机构恶意串通的；</w:t>
      </w:r>
    </w:p>
    <w:p w14:paraId="4C7E00C4">
      <w:pPr>
        <w:adjustRightInd w:val="0"/>
        <w:snapToGrid w:val="0"/>
        <w:spacing w:line="480" w:lineRule="auto"/>
        <w:ind w:firstLine="420" w:firstLineChars="200"/>
        <w:rPr>
          <w:rFonts w:ascii="宋体" w:hAnsi="宋体" w:cs="宋体"/>
          <w:szCs w:val="21"/>
        </w:rPr>
      </w:pPr>
      <w:r>
        <w:rPr>
          <w:rFonts w:hint="eastAsia" w:ascii="宋体" w:hAnsi="宋体" w:cs="宋体"/>
          <w:szCs w:val="21"/>
        </w:rPr>
        <w:t>d）向采购人、采购代理机构行贿或者提供其他不正当利益的；</w:t>
      </w:r>
    </w:p>
    <w:p w14:paraId="3AC81EFA">
      <w:pPr>
        <w:adjustRightInd w:val="0"/>
        <w:snapToGrid w:val="0"/>
        <w:spacing w:line="480" w:lineRule="auto"/>
        <w:ind w:firstLine="420" w:firstLineChars="200"/>
        <w:rPr>
          <w:rFonts w:ascii="宋体" w:hAnsi="宋体" w:cs="宋体"/>
          <w:szCs w:val="21"/>
        </w:rPr>
      </w:pPr>
      <w:r>
        <w:rPr>
          <w:rFonts w:hint="eastAsia" w:ascii="宋体" w:hAnsi="宋体" w:cs="宋体"/>
          <w:szCs w:val="21"/>
        </w:rPr>
        <w:t>e）在招标采购过程中与采购人进行协商谈判的；</w:t>
      </w:r>
    </w:p>
    <w:p w14:paraId="6CA79EDF">
      <w:pPr>
        <w:adjustRightInd w:val="0"/>
        <w:snapToGrid w:val="0"/>
        <w:spacing w:line="480" w:lineRule="auto"/>
        <w:ind w:firstLine="420" w:firstLineChars="200"/>
        <w:rPr>
          <w:rFonts w:ascii="宋体" w:hAnsi="宋体" w:cs="宋体"/>
          <w:szCs w:val="21"/>
        </w:rPr>
      </w:pPr>
      <w:r>
        <w:rPr>
          <w:rFonts w:hint="eastAsia" w:ascii="宋体" w:hAnsi="宋体" w:cs="宋体"/>
          <w:szCs w:val="21"/>
        </w:rPr>
        <w:t>f）拒绝有关部门监督检查或提供虚假情况的。</w:t>
      </w:r>
    </w:p>
    <w:p w14:paraId="6098B402">
      <w:pPr>
        <w:adjustRightInd w:val="0"/>
        <w:snapToGrid w:val="0"/>
        <w:spacing w:line="480" w:lineRule="auto"/>
        <w:ind w:firstLine="420" w:firstLineChars="200"/>
        <w:rPr>
          <w:rFonts w:ascii="宋体" w:hAnsi="宋体" w:cs="宋体"/>
          <w:szCs w:val="21"/>
        </w:rPr>
      </w:pPr>
      <w:r>
        <w:rPr>
          <w:rFonts w:hint="eastAsia" w:ascii="宋体" w:hAnsi="宋体" w:cs="宋体"/>
          <w:szCs w:val="21"/>
        </w:rPr>
        <w:t>供应商有前款第a）至f）项情形之一的，中标、成交无效。</w:t>
      </w:r>
    </w:p>
    <w:p w14:paraId="5DCD0055">
      <w:pPr>
        <w:adjustRightInd w:val="0"/>
        <w:snapToGrid w:val="0"/>
        <w:spacing w:line="480" w:lineRule="auto"/>
        <w:ind w:firstLine="420" w:firstLineChars="200"/>
        <w:rPr>
          <w:rFonts w:ascii="宋体" w:hAnsi="宋体" w:cs="宋体"/>
          <w:szCs w:val="21"/>
        </w:rPr>
      </w:pPr>
      <w:r>
        <w:rPr>
          <w:rFonts w:hint="eastAsia" w:ascii="宋体" w:hAnsi="宋体" w:cs="宋体"/>
          <w:szCs w:val="21"/>
        </w:rPr>
        <w:t>11、本响应文件的有效期为</w:t>
      </w:r>
      <w:r>
        <w:rPr>
          <w:rFonts w:hint="eastAsia" w:ascii="宋体" w:hAnsi="宋体" w:cs="宋体"/>
        </w:rPr>
        <w:t>自投标截止时间起120天。</w:t>
      </w:r>
    </w:p>
    <w:p w14:paraId="3581455D">
      <w:pPr>
        <w:adjustRightInd w:val="0"/>
        <w:snapToGrid w:val="0"/>
        <w:spacing w:line="480" w:lineRule="auto"/>
        <w:ind w:firstLine="420" w:firstLineChars="200"/>
        <w:rPr>
          <w:rFonts w:ascii="宋体" w:hAnsi="宋体" w:cs="宋体"/>
          <w:szCs w:val="21"/>
        </w:rPr>
      </w:pPr>
      <w:r>
        <w:rPr>
          <w:rFonts w:hint="eastAsia" w:ascii="宋体" w:hAnsi="宋体" w:cs="宋体"/>
          <w:szCs w:val="21"/>
        </w:rPr>
        <w:t>12、其他承诺：</w:t>
      </w:r>
    </w:p>
    <w:p w14:paraId="6CA11306">
      <w:pPr>
        <w:adjustRightInd w:val="0"/>
        <w:snapToGrid w:val="0"/>
        <w:spacing w:line="480" w:lineRule="auto"/>
        <w:ind w:firstLine="422" w:firstLineChars="200"/>
        <w:rPr>
          <w:rFonts w:ascii="宋体" w:hAnsi="宋体" w:cs="宋体"/>
          <w:b/>
          <w:szCs w:val="21"/>
        </w:rPr>
      </w:pPr>
      <w:r>
        <w:rPr>
          <w:rFonts w:hint="eastAsia" w:ascii="宋体" w:hAnsi="宋体" w:cs="宋体"/>
          <w:b/>
          <w:szCs w:val="21"/>
        </w:rPr>
        <w:t>a）投标有效期内不撤回响应文件；</w:t>
      </w:r>
    </w:p>
    <w:p w14:paraId="63BBB6F5">
      <w:pPr>
        <w:adjustRightInd w:val="0"/>
        <w:snapToGrid w:val="0"/>
        <w:spacing w:line="480" w:lineRule="auto"/>
        <w:ind w:firstLine="422" w:firstLineChars="200"/>
        <w:rPr>
          <w:rFonts w:ascii="宋体" w:hAnsi="宋体" w:cs="宋体"/>
          <w:szCs w:val="21"/>
        </w:rPr>
      </w:pPr>
      <w:r>
        <w:rPr>
          <w:rFonts w:hint="eastAsia" w:ascii="宋体" w:hAnsi="宋体" w:cs="宋体"/>
          <w:b/>
          <w:szCs w:val="21"/>
        </w:rPr>
        <w:t>b）中标或者成交后，按谈判文件规定的采购代理服务费标准，承诺在签订合同前向采购代理机构支付采购代理服务费。</w:t>
      </w:r>
    </w:p>
    <w:p w14:paraId="5A634730">
      <w:pPr>
        <w:adjustRightInd w:val="0"/>
        <w:snapToGrid w:val="0"/>
        <w:spacing w:line="480" w:lineRule="auto"/>
        <w:ind w:firstLine="420" w:firstLineChars="200"/>
        <w:rPr>
          <w:rFonts w:ascii="宋体" w:hAnsi="宋体" w:cs="宋体"/>
          <w:szCs w:val="21"/>
        </w:rPr>
      </w:pPr>
    </w:p>
    <w:p w14:paraId="2DF167F8">
      <w:pPr>
        <w:adjustRightInd w:val="0"/>
        <w:snapToGrid w:val="0"/>
        <w:spacing w:line="480" w:lineRule="auto"/>
        <w:ind w:firstLine="480"/>
        <w:rPr>
          <w:rFonts w:ascii="宋体" w:hAnsi="宋体" w:cs="宋体"/>
          <w:b/>
          <w:szCs w:val="20"/>
        </w:rPr>
      </w:pPr>
      <w:r>
        <w:rPr>
          <w:rFonts w:hint="eastAsia" w:ascii="宋体" w:hAnsi="宋体" w:cs="宋体"/>
          <w:b/>
          <w:szCs w:val="20"/>
        </w:rPr>
        <w:t>谈判供应商（盖单位公章）：</w:t>
      </w:r>
    </w:p>
    <w:p w14:paraId="13D15A52">
      <w:pPr>
        <w:adjustRightInd w:val="0"/>
        <w:snapToGrid w:val="0"/>
        <w:spacing w:line="480" w:lineRule="auto"/>
        <w:ind w:firstLine="480"/>
        <w:rPr>
          <w:rFonts w:ascii="宋体" w:hAnsi="宋体" w:cs="宋体"/>
          <w:b/>
          <w:szCs w:val="20"/>
        </w:rPr>
      </w:pPr>
    </w:p>
    <w:p w14:paraId="3B8A832D">
      <w:pPr>
        <w:adjustRightInd w:val="0"/>
        <w:snapToGrid w:val="0"/>
        <w:spacing w:line="480" w:lineRule="auto"/>
        <w:ind w:firstLine="5938" w:firstLineChars="2828"/>
        <w:rPr>
          <w:rFonts w:ascii="宋体" w:hAnsi="宋体" w:cs="宋体"/>
          <w:bCs/>
          <w:szCs w:val="20"/>
        </w:rPr>
      </w:pPr>
      <w:r>
        <w:rPr>
          <w:rFonts w:hint="eastAsia" w:ascii="宋体" w:hAnsi="宋体" w:cs="宋体"/>
          <w:bCs/>
          <w:szCs w:val="20"/>
        </w:rPr>
        <w:t>日期：</w:t>
      </w:r>
      <w:r>
        <w:rPr>
          <w:rFonts w:hint="eastAsia" w:ascii="宋体" w:hAnsi="宋体" w:cs="宋体"/>
          <w:bCs/>
          <w:szCs w:val="20"/>
          <w:lang w:eastAsia="zh-CN"/>
        </w:rPr>
        <w:t>2024年</w:t>
      </w:r>
      <w:r>
        <w:rPr>
          <w:rFonts w:hint="eastAsia" w:ascii="宋体" w:hAnsi="宋体" w:cs="宋体"/>
          <w:bCs/>
          <w:szCs w:val="20"/>
        </w:rPr>
        <w:t xml:space="preserve">  月   日</w:t>
      </w:r>
    </w:p>
    <w:p w14:paraId="6B02FF6C">
      <w:pPr>
        <w:adjustRightInd w:val="0"/>
        <w:snapToGrid w:val="0"/>
        <w:spacing w:line="480" w:lineRule="auto"/>
        <w:ind w:firstLine="480"/>
        <w:rPr>
          <w:rFonts w:ascii="宋体" w:hAnsi="宋体" w:cs="宋体"/>
          <w:szCs w:val="20"/>
        </w:rPr>
      </w:pPr>
      <w:r>
        <w:rPr>
          <w:rFonts w:hint="eastAsia" w:ascii="宋体" w:hAnsi="宋体" w:cs="宋体"/>
          <w:szCs w:val="20"/>
        </w:rPr>
        <w:t>单位地址：</w:t>
      </w:r>
    </w:p>
    <w:p w14:paraId="4ACE4316">
      <w:pPr>
        <w:adjustRightInd w:val="0"/>
        <w:snapToGrid w:val="0"/>
        <w:spacing w:line="480" w:lineRule="auto"/>
        <w:ind w:firstLine="480"/>
        <w:rPr>
          <w:rFonts w:ascii="宋体" w:hAnsi="宋体" w:cs="宋体"/>
          <w:szCs w:val="20"/>
        </w:rPr>
      </w:pPr>
      <w:r>
        <w:rPr>
          <w:rFonts w:hint="eastAsia" w:ascii="宋体" w:hAnsi="宋体" w:cs="宋体"/>
          <w:szCs w:val="20"/>
        </w:rPr>
        <w:t>邮编：电话：传真：</w:t>
      </w:r>
    </w:p>
    <w:p w14:paraId="0FA5BC2B">
      <w:pPr>
        <w:snapToGrid w:val="0"/>
        <w:spacing w:beforeLines="50" w:after="50" w:line="400" w:lineRule="exact"/>
        <w:rPr>
          <w:rFonts w:ascii="宋体" w:hAnsi="宋体" w:cs="宋体"/>
          <w:kern w:val="0"/>
          <w:sz w:val="24"/>
        </w:rPr>
      </w:pPr>
    </w:p>
    <w:p w14:paraId="4F1D85E6">
      <w:pPr>
        <w:rPr>
          <w:rFonts w:ascii="宋体" w:hAnsi="宋体" w:cs="宋体"/>
          <w:b/>
          <w:kern w:val="0"/>
          <w:sz w:val="24"/>
        </w:rPr>
      </w:pPr>
    </w:p>
    <w:p w14:paraId="7B6356E2">
      <w:pPr>
        <w:rPr>
          <w:rFonts w:ascii="宋体" w:hAnsi="宋体" w:cs="宋体"/>
          <w:b/>
          <w:kern w:val="0"/>
          <w:sz w:val="24"/>
        </w:rPr>
      </w:pPr>
    </w:p>
    <w:p w14:paraId="63326661">
      <w:pPr>
        <w:rPr>
          <w:rFonts w:ascii="宋体" w:hAnsi="宋体" w:cs="宋体"/>
          <w:b/>
          <w:kern w:val="0"/>
          <w:sz w:val="24"/>
        </w:rPr>
      </w:pPr>
    </w:p>
    <w:p w14:paraId="20988174">
      <w:pPr>
        <w:rPr>
          <w:rFonts w:ascii="宋体" w:hAnsi="宋体" w:cs="宋体"/>
          <w:b/>
          <w:kern w:val="0"/>
          <w:sz w:val="24"/>
        </w:rPr>
      </w:pPr>
    </w:p>
    <w:p w14:paraId="7BCD04E8">
      <w:pPr>
        <w:rPr>
          <w:rFonts w:ascii="宋体" w:hAnsi="宋体" w:cs="宋体"/>
          <w:b/>
          <w:kern w:val="0"/>
          <w:sz w:val="24"/>
        </w:rPr>
      </w:pPr>
    </w:p>
    <w:p w14:paraId="17CC572E">
      <w:pPr>
        <w:rPr>
          <w:rFonts w:ascii="宋体" w:hAnsi="宋体" w:cs="宋体"/>
          <w:b/>
          <w:kern w:val="0"/>
          <w:sz w:val="24"/>
        </w:rPr>
      </w:pPr>
    </w:p>
    <w:p w14:paraId="32E406F8">
      <w:pPr>
        <w:rPr>
          <w:rFonts w:ascii="宋体" w:hAnsi="宋体" w:cs="宋体"/>
          <w:b/>
          <w:kern w:val="0"/>
          <w:sz w:val="24"/>
        </w:rPr>
      </w:pPr>
    </w:p>
    <w:p w14:paraId="4B882FD5">
      <w:pPr>
        <w:rPr>
          <w:rFonts w:ascii="宋体" w:hAnsi="宋体" w:cs="宋体"/>
          <w:b/>
          <w:kern w:val="0"/>
          <w:sz w:val="24"/>
        </w:rPr>
      </w:pPr>
    </w:p>
    <w:p w14:paraId="78B7E983">
      <w:pPr>
        <w:rPr>
          <w:rFonts w:ascii="宋体" w:hAnsi="宋体" w:cs="宋体"/>
          <w:b/>
          <w:kern w:val="0"/>
          <w:sz w:val="24"/>
        </w:rPr>
      </w:pPr>
    </w:p>
    <w:p w14:paraId="63C10A88">
      <w:pPr>
        <w:rPr>
          <w:rFonts w:ascii="宋体" w:hAnsi="宋体" w:cs="宋体"/>
          <w:b/>
          <w:kern w:val="0"/>
          <w:sz w:val="24"/>
        </w:rPr>
      </w:pPr>
    </w:p>
    <w:p w14:paraId="1ED53598">
      <w:pPr>
        <w:rPr>
          <w:rFonts w:ascii="宋体" w:hAnsi="宋体" w:cs="宋体"/>
          <w:b/>
          <w:kern w:val="0"/>
          <w:sz w:val="24"/>
        </w:rPr>
      </w:pPr>
    </w:p>
    <w:p w14:paraId="178F2E9E">
      <w:pPr>
        <w:rPr>
          <w:rFonts w:ascii="宋体" w:hAnsi="宋体" w:cs="宋体"/>
          <w:b/>
          <w:kern w:val="0"/>
          <w:sz w:val="24"/>
        </w:rPr>
      </w:pPr>
    </w:p>
    <w:p w14:paraId="3499CAF6">
      <w:pPr>
        <w:rPr>
          <w:rFonts w:ascii="宋体" w:hAnsi="宋体" w:cs="宋体"/>
          <w:b/>
          <w:kern w:val="0"/>
          <w:sz w:val="24"/>
        </w:rPr>
      </w:pPr>
    </w:p>
    <w:p w14:paraId="2A43AF23">
      <w:pPr>
        <w:rPr>
          <w:rFonts w:ascii="宋体" w:hAnsi="宋体" w:cs="宋体"/>
          <w:b/>
          <w:kern w:val="0"/>
          <w:sz w:val="24"/>
        </w:rPr>
      </w:pPr>
    </w:p>
    <w:p w14:paraId="5B6BB845">
      <w:pPr>
        <w:rPr>
          <w:rFonts w:ascii="宋体" w:hAnsi="宋体" w:cs="宋体"/>
          <w:b/>
          <w:kern w:val="0"/>
          <w:sz w:val="24"/>
        </w:rPr>
      </w:pPr>
    </w:p>
    <w:p w14:paraId="03F33EF6">
      <w:pPr>
        <w:rPr>
          <w:rFonts w:ascii="宋体" w:hAnsi="宋体" w:cs="宋体"/>
          <w:b/>
          <w:kern w:val="0"/>
          <w:sz w:val="24"/>
        </w:rPr>
      </w:pPr>
    </w:p>
    <w:p w14:paraId="127CD1C4">
      <w:pPr>
        <w:rPr>
          <w:rFonts w:ascii="宋体" w:hAnsi="宋体" w:cs="宋体"/>
          <w:b/>
          <w:kern w:val="0"/>
          <w:sz w:val="24"/>
        </w:rPr>
      </w:pPr>
    </w:p>
    <w:p w14:paraId="72133642">
      <w:pPr>
        <w:rPr>
          <w:rFonts w:ascii="宋体" w:hAnsi="宋体" w:cs="宋体"/>
          <w:b/>
          <w:kern w:val="0"/>
          <w:sz w:val="24"/>
        </w:rPr>
      </w:pPr>
    </w:p>
    <w:p w14:paraId="30287209">
      <w:pPr>
        <w:rPr>
          <w:rFonts w:ascii="宋体" w:hAnsi="宋体" w:cs="宋体"/>
          <w:b/>
          <w:kern w:val="0"/>
          <w:sz w:val="24"/>
        </w:rPr>
      </w:pPr>
    </w:p>
    <w:p w14:paraId="2BD3FB34">
      <w:pPr>
        <w:rPr>
          <w:rFonts w:hint="eastAsia" w:ascii="宋体" w:hAnsi="宋体" w:cs="宋体"/>
          <w:b/>
          <w:kern w:val="0"/>
          <w:sz w:val="24"/>
        </w:rPr>
      </w:pPr>
    </w:p>
    <w:p w14:paraId="7C70A787">
      <w:pPr>
        <w:rPr>
          <w:rFonts w:ascii="宋体" w:hAnsi="宋体" w:cs="宋体"/>
          <w:b/>
          <w:kern w:val="0"/>
          <w:sz w:val="24"/>
        </w:rPr>
      </w:pPr>
      <w:r>
        <w:rPr>
          <w:rFonts w:hint="eastAsia" w:ascii="宋体" w:hAnsi="宋体" w:cs="宋体"/>
          <w:b/>
          <w:kern w:val="0"/>
          <w:sz w:val="24"/>
        </w:rPr>
        <w:t>附件2：</w:t>
      </w:r>
    </w:p>
    <w:p w14:paraId="1868E645">
      <w:pPr>
        <w:spacing w:line="360" w:lineRule="auto"/>
        <w:ind w:firstLine="321" w:firstLineChars="100"/>
        <w:jc w:val="center"/>
        <w:rPr>
          <w:rFonts w:ascii="Calibri" w:hAnsi="Calibri"/>
          <w:b/>
          <w:color w:val="000000"/>
          <w:sz w:val="32"/>
          <w:szCs w:val="32"/>
          <w:lang w:val="zh-CN"/>
        </w:rPr>
      </w:pPr>
      <w:r>
        <w:rPr>
          <w:rFonts w:hint="eastAsia" w:ascii="Calibri" w:hAnsi="Calibri"/>
          <w:b/>
          <w:color w:val="000000"/>
          <w:sz w:val="32"/>
          <w:szCs w:val="32"/>
          <w:lang w:val="zh-CN"/>
        </w:rPr>
        <w:t>授权委托书</w:t>
      </w:r>
    </w:p>
    <w:p w14:paraId="2D6E197E">
      <w:pPr>
        <w:pStyle w:val="15"/>
        <w:spacing w:line="500" w:lineRule="exact"/>
        <w:ind w:left="240" w:hanging="240" w:hangingChars="100"/>
        <w:rPr>
          <w:rFonts w:hAnsi="宋体"/>
          <w:sz w:val="24"/>
        </w:rPr>
      </w:pPr>
      <w:r>
        <w:rPr>
          <w:rFonts w:hint="eastAsia" w:hAnsi="宋体"/>
          <w:sz w:val="24"/>
          <w:lang w:eastAsia="zh-CN"/>
        </w:rPr>
        <w:t>欧邦工程管理集团有限公司</w:t>
      </w:r>
      <w:r>
        <w:rPr>
          <w:rFonts w:hAnsi="宋体"/>
          <w:sz w:val="24"/>
        </w:rPr>
        <w:t>：</w:t>
      </w:r>
    </w:p>
    <w:p w14:paraId="11F6522F">
      <w:pPr>
        <w:pStyle w:val="15"/>
        <w:snapToGrid w:val="0"/>
        <w:spacing w:line="500" w:lineRule="exact"/>
        <w:ind w:firstLine="480" w:firstLineChars="200"/>
        <w:jc w:val="left"/>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cs="宋体"/>
          <w:kern w:val="0"/>
          <w:sz w:val="24"/>
          <w:u w:val="single"/>
          <w:lang w:eastAsia="zh-CN"/>
        </w:rPr>
        <w:t>神仙居仙侠演艺餐厅厨房设备采购（非政府采购类）</w:t>
      </w:r>
      <w:r>
        <w:rPr>
          <w:rFonts w:hint="eastAsia" w:hAnsi="宋体" w:cs="宋体"/>
          <w:kern w:val="0"/>
          <w:sz w:val="24"/>
        </w:rPr>
        <w:t>（编号：</w:t>
      </w:r>
      <w:r>
        <w:rPr>
          <w:rFonts w:hint="eastAsia" w:hAnsi="宋体" w:cs="宋体"/>
          <w:kern w:val="0"/>
          <w:sz w:val="24"/>
          <w:u w:val="single"/>
          <w:lang w:eastAsia="zh-CN"/>
        </w:rPr>
        <w:t>OBXJ（采购）-24070</w:t>
      </w:r>
      <w:r>
        <w:rPr>
          <w:rFonts w:hint="eastAsia" w:hAnsi="宋体" w:cs="宋体"/>
          <w:kern w:val="0"/>
          <w:sz w:val="24"/>
        </w:rPr>
        <w:t>）</w:t>
      </w:r>
      <w:r>
        <w:rPr>
          <w:rFonts w:hAnsi="宋体"/>
          <w:sz w:val="24"/>
        </w:rPr>
        <w:t>的采购活动，并代表我方全权办理针对上述项目的</w:t>
      </w:r>
      <w:r>
        <w:rPr>
          <w:rFonts w:hint="eastAsia" w:hAnsi="宋体"/>
          <w:sz w:val="24"/>
        </w:rPr>
        <w:t>谈判</w:t>
      </w:r>
      <w:r>
        <w:rPr>
          <w:rFonts w:hAnsi="宋体"/>
          <w:sz w:val="24"/>
        </w:rPr>
        <w:t>、签约等具体事务和签署相关文件。</w:t>
      </w:r>
      <w:r>
        <w:rPr>
          <w:rFonts w:hint="eastAsia" w:hAnsi="宋体"/>
          <w:sz w:val="24"/>
        </w:rPr>
        <w:t>我方对全权代表的签字事项负全部责任。</w:t>
      </w:r>
    </w:p>
    <w:p w14:paraId="7F13CDF2">
      <w:pPr>
        <w:pStyle w:val="15"/>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12A5770B">
      <w:pPr>
        <w:pStyle w:val="15"/>
        <w:spacing w:line="500" w:lineRule="exact"/>
        <w:ind w:left="139" w:leftChars="66" w:firstLine="480" w:firstLineChars="200"/>
        <w:rPr>
          <w:rFonts w:hAnsi="宋体"/>
          <w:sz w:val="24"/>
        </w:rPr>
      </w:pPr>
      <w:r>
        <w:rPr>
          <w:rFonts w:hint="eastAsia" w:hAnsi="宋体"/>
          <w:sz w:val="24"/>
        </w:rPr>
        <w:t>全权代表无转委托权，特此委托。</w:t>
      </w:r>
    </w:p>
    <w:p w14:paraId="26F5A388">
      <w:pPr>
        <w:spacing w:line="360" w:lineRule="auto"/>
        <w:rPr>
          <w:sz w:val="24"/>
        </w:rPr>
      </w:pPr>
    </w:p>
    <w:p w14:paraId="0DB30829">
      <w:pPr>
        <w:spacing w:line="360" w:lineRule="auto"/>
        <w:rPr>
          <w:sz w:val="24"/>
        </w:rPr>
      </w:pPr>
      <w:r>
        <w:rPr>
          <w:rFonts w:hint="eastAsia" w:ascii="宋体"/>
          <w:sz w:val="24"/>
        </w:rPr>
        <w:t>法定代表人签字或盖章：</w:t>
      </w:r>
    </w:p>
    <w:p w14:paraId="4D30AE08">
      <w:pPr>
        <w:spacing w:line="360" w:lineRule="auto"/>
        <w:rPr>
          <w:sz w:val="24"/>
        </w:rPr>
      </w:pPr>
    </w:p>
    <w:p w14:paraId="74983179">
      <w:pPr>
        <w:spacing w:line="360" w:lineRule="auto"/>
        <w:rPr>
          <w:sz w:val="24"/>
        </w:rPr>
      </w:pPr>
      <w:r>
        <w:rPr>
          <w:rFonts w:hint="eastAsia" w:ascii="宋体"/>
          <w:sz w:val="24"/>
        </w:rPr>
        <w:t xml:space="preserve">谈判供应商（盖章）：                        </w:t>
      </w:r>
      <w:r>
        <w:rPr>
          <w:rFonts w:hint="eastAsia" w:ascii="宋体" w:hAnsi="宋体" w:cs="FangSong_GB2312"/>
          <w:kern w:val="0"/>
          <w:sz w:val="24"/>
          <w:lang w:val="zh-CN"/>
        </w:rPr>
        <w:t>日期：</w:t>
      </w:r>
      <w:r>
        <w:rPr>
          <w:rFonts w:hint="eastAsia" w:ascii="宋体" w:hAnsi="宋体" w:cs="FangSong_GB2312"/>
          <w:kern w:val="0"/>
          <w:sz w:val="24"/>
          <w:lang w:eastAsia="zh-CN"/>
        </w:rPr>
        <w:t>2024年</w:t>
      </w:r>
      <w:r>
        <w:rPr>
          <w:rFonts w:hint="eastAsia" w:ascii="宋体" w:hAnsi="宋体" w:cs="FangSong_GB2312"/>
          <w:kern w:val="0"/>
          <w:sz w:val="24"/>
          <w:lang w:val="zh-CN"/>
        </w:rPr>
        <w:t xml:space="preserve">  月   日</w:t>
      </w:r>
    </w:p>
    <w:p w14:paraId="23DBF32F">
      <w:pPr>
        <w:spacing w:line="360" w:lineRule="auto"/>
        <w:rPr>
          <w:b/>
          <w:sz w:val="24"/>
        </w:rPr>
      </w:pPr>
      <w:r>
        <w:rPr>
          <w:rFonts w:hint="eastAsia" w:ascii="宋体"/>
          <w:b/>
          <w:sz w:val="24"/>
        </w:rPr>
        <w:t>附：</w:t>
      </w: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EC2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14:paraId="5666402D">
            <w:pPr>
              <w:spacing w:line="360" w:lineRule="auto"/>
              <w:rPr>
                <w:rFonts w:ascii="宋体"/>
                <w:b/>
                <w:sz w:val="24"/>
              </w:rPr>
            </w:pPr>
          </w:p>
          <w:p w14:paraId="6A1D3C2A">
            <w:pPr>
              <w:spacing w:line="360" w:lineRule="auto"/>
              <w:ind w:firstLine="361" w:firstLineChars="150"/>
              <w:rPr>
                <w:rFonts w:ascii="宋体"/>
                <w:b/>
                <w:sz w:val="24"/>
              </w:rPr>
            </w:pPr>
            <w:r>
              <w:rPr>
                <w:rFonts w:hint="eastAsia" w:ascii="宋体"/>
                <w:b/>
                <w:sz w:val="24"/>
              </w:rPr>
              <w:t>法定代表身份证复印件粘帖处</w:t>
            </w:r>
          </w:p>
        </w:tc>
      </w:tr>
    </w:tbl>
    <w:p w14:paraId="0A84EEC5">
      <w:pPr>
        <w:spacing w:line="360" w:lineRule="auto"/>
        <w:rPr>
          <w:sz w:val="24"/>
        </w:rPr>
      </w:pPr>
      <w:r>
        <w:rPr>
          <w:rFonts w:hint="eastAsia" w:ascii="宋体"/>
          <w:sz w:val="24"/>
        </w:rPr>
        <w:t xml:space="preserve">法定代表人姓名：                                 </w:t>
      </w:r>
    </w:p>
    <w:p w14:paraId="77266525">
      <w:pPr>
        <w:spacing w:line="360" w:lineRule="auto"/>
        <w:rPr>
          <w:sz w:val="24"/>
        </w:rPr>
      </w:pPr>
      <w:r>
        <w:rPr>
          <w:rFonts w:hint="eastAsia" w:ascii="宋体"/>
          <w:sz w:val="24"/>
        </w:rPr>
        <w:t>传真：</w:t>
      </w:r>
    </w:p>
    <w:p w14:paraId="400226E0">
      <w:pPr>
        <w:spacing w:line="360" w:lineRule="auto"/>
        <w:rPr>
          <w:rFonts w:ascii="宋体"/>
          <w:sz w:val="24"/>
        </w:rPr>
      </w:pPr>
      <w:r>
        <w:rPr>
          <w:rFonts w:hint="eastAsia" w:ascii="宋体"/>
          <w:sz w:val="24"/>
        </w:rPr>
        <w:t>电话：</w:t>
      </w:r>
    </w:p>
    <w:p w14:paraId="6B206EC7">
      <w:pPr>
        <w:spacing w:line="360" w:lineRule="auto"/>
        <w:rPr>
          <w:sz w:val="24"/>
        </w:rPr>
      </w:pPr>
      <w:r>
        <w:rPr>
          <w:rFonts w:hint="eastAsia" w:ascii="宋体"/>
          <w:sz w:val="24"/>
        </w:rPr>
        <w:t>详细通讯地址：</w:t>
      </w:r>
    </w:p>
    <w:p w14:paraId="1EA24280">
      <w:pPr>
        <w:spacing w:line="360" w:lineRule="auto"/>
        <w:rPr>
          <w:b/>
          <w:sz w:val="24"/>
        </w:rPr>
      </w:pPr>
      <w:r>
        <w:rPr>
          <w:rFonts w:hint="eastAsia" w:ascii="宋体"/>
          <w:sz w:val="24"/>
        </w:rPr>
        <w:t>邮政编码：</w:t>
      </w: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9E0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44ECEDB">
            <w:pPr>
              <w:spacing w:line="360" w:lineRule="auto"/>
              <w:rPr>
                <w:rFonts w:ascii="宋体"/>
                <w:b/>
                <w:sz w:val="24"/>
              </w:rPr>
            </w:pPr>
          </w:p>
          <w:p w14:paraId="7F3070F0">
            <w:pPr>
              <w:spacing w:line="360" w:lineRule="auto"/>
              <w:ind w:firstLine="361" w:firstLineChars="150"/>
              <w:rPr>
                <w:rFonts w:ascii="宋体"/>
                <w:b/>
                <w:sz w:val="24"/>
              </w:rPr>
            </w:pPr>
            <w:r>
              <w:rPr>
                <w:rFonts w:hint="eastAsia" w:ascii="宋体"/>
                <w:b/>
                <w:sz w:val="24"/>
              </w:rPr>
              <w:t>全权代表身份证复印件粘帖处</w:t>
            </w:r>
          </w:p>
        </w:tc>
      </w:tr>
    </w:tbl>
    <w:p w14:paraId="7A5BF704">
      <w:pPr>
        <w:spacing w:line="360" w:lineRule="auto"/>
        <w:rPr>
          <w:rFonts w:ascii="宋体"/>
          <w:sz w:val="24"/>
        </w:rPr>
      </w:pPr>
      <w:r>
        <w:rPr>
          <w:rFonts w:hint="eastAsia" w:ascii="宋体"/>
          <w:sz w:val="24"/>
        </w:rPr>
        <w:t xml:space="preserve">全权代表姓名：       </w:t>
      </w:r>
    </w:p>
    <w:p w14:paraId="64B2FDCC">
      <w:pPr>
        <w:spacing w:line="360" w:lineRule="auto"/>
        <w:rPr>
          <w:sz w:val="24"/>
        </w:rPr>
      </w:pPr>
      <w:r>
        <w:rPr>
          <w:rFonts w:hint="eastAsia" w:ascii="宋体"/>
          <w:sz w:val="24"/>
        </w:rPr>
        <w:t xml:space="preserve">职务：                           </w:t>
      </w:r>
    </w:p>
    <w:p w14:paraId="12AA0EB0">
      <w:pPr>
        <w:spacing w:line="360" w:lineRule="auto"/>
        <w:rPr>
          <w:sz w:val="24"/>
        </w:rPr>
      </w:pPr>
      <w:r>
        <w:rPr>
          <w:rFonts w:hint="eastAsia" w:ascii="宋体"/>
          <w:sz w:val="24"/>
        </w:rPr>
        <w:t>传真：</w:t>
      </w:r>
    </w:p>
    <w:p w14:paraId="5CF71B34">
      <w:pPr>
        <w:spacing w:line="360" w:lineRule="auto"/>
        <w:rPr>
          <w:rFonts w:ascii="宋体"/>
          <w:sz w:val="24"/>
        </w:rPr>
      </w:pPr>
      <w:r>
        <w:rPr>
          <w:rFonts w:hint="eastAsia" w:ascii="宋体"/>
          <w:sz w:val="24"/>
        </w:rPr>
        <w:t>电话：</w:t>
      </w:r>
    </w:p>
    <w:p w14:paraId="0A76CF59">
      <w:pPr>
        <w:spacing w:line="360" w:lineRule="auto"/>
        <w:rPr>
          <w:sz w:val="24"/>
        </w:rPr>
      </w:pPr>
      <w:r>
        <w:rPr>
          <w:rFonts w:hint="eastAsia" w:ascii="宋体"/>
          <w:sz w:val="24"/>
        </w:rPr>
        <w:t>详细通讯地址：</w:t>
      </w:r>
    </w:p>
    <w:p w14:paraId="7E8F69FF">
      <w:pPr>
        <w:spacing w:line="360" w:lineRule="auto"/>
        <w:rPr>
          <w:rFonts w:ascii="宋体" w:hAnsi="宋体"/>
          <w:kern w:val="0"/>
          <w:sz w:val="24"/>
        </w:rPr>
      </w:pPr>
      <w:r>
        <w:rPr>
          <w:rFonts w:hint="eastAsia" w:ascii="宋体"/>
          <w:sz w:val="24"/>
        </w:rPr>
        <w:t>邮政编码：</w:t>
      </w:r>
    </w:p>
    <w:p w14:paraId="06A155E3">
      <w:pPr>
        <w:rPr>
          <w:rFonts w:ascii="宋体" w:hAnsi="宋体" w:cs="宋体"/>
          <w:b/>
          <w:kern w:val="0"/>
          <w:sz w:val="24"/>
        </w:rPr>
      </w:pPr>
      <w:r>
        <w:rPr>
          <w:rFonts w:hint="eastAsia"/>
          <w:b/>
          <w:color w:val="000000"/>
          <w:sz w:val="28"/>
        </w:rPr>
        <w:br w:type="page"/>
      </w:r>
      <w:r>
        <w:rPr>
          <w:rFonts w:hint="eastAsia" w:ascii="宋体" w:hAnsi="宋体" w:cs="宋体"/>
          <w:b/>
          <w:kern w:val="0"/>
          <w:sz w:val="24"/>
        </w:rPr>
        <w:t>附件3：</w:t>
      </w:r>
    </w:p>
    <w:p w14:paraId="377076B7">
      <w:pPr>
        <w:pStyle w:val="5"/>
        <w:spacing w:line="360" w:lineRule="auto"/>
        <w:ind w:firstLine="0"/>
        <w:jc w:val="center"/>
        <w:rPr>
          <w:rFonts w:ascii="宋体" w:hAnsi="宋体" w:cs="宋体"/>
          <w:b/>
          <w:sz w:val="24"/>
          <w:szCs w:val="24"/>
          <w:lang w:val="zh-CN"/>
        </w:rPr>
      </w:pPr>
      <w:bookmarkStart w:id="3" w:name="_Toc51489575"/>
      <w:r>
        <w:rPr>
          <w:rFonts w:hint="eastAsia" w:ascii="宋体" w:hAnsi="宋体" w:cs="宋体"/>
          <w:b/>
          <w:sz w:val="32"/>
          <w:szCs w:val="32"/>
          <w:lang w:val="zh-CN"/>
        </w:rPr>
        <w:t>依法缴纳税收及社会保障资金的承诺</w:t>
      </w:r>
      <w:bookmarkEnd w:id="3"/>
      <w:r>
        <w:rPr>
          <w:rFonts w:hint="eastAsia" w:ascii="宋体" w:hAnsi="宋体" w:cs="宋体"/>
          <w:b/>
          <w:sz w:val="32"/>
          <w:szCs w:val="32"/>
          <w:lang w:val="zh-CN"/>
        </w:rPr>
        <w:t>函</w:t>
      </w:r>
    </w:p>
    <w:p w14:paraId="15BE922A">
      <w:pPr>
        <w:pStyle w:val="15"/>
        <w:spacing w:before="60" w:after="60" w:line="480" w:lineRule="auto"/>
        <w:rPr>
          <w:rFonts w:hAnsi="宋体" w:cs="宋体"/>
          <w:sz w:val="24"/>
          <w:u w:val="single"/>
        </w:rPr>
      </w:pPr>
    </w:p>
    <w:p w14:paraId="189E7B3A">
      <w:pPr>
        <w:pStyle w:val="15"/>
        <w:spacing w:before="60" w:after="60" w:line="480" w:lineRule="auto"/>
        <w:rPr>
          <w:rFonts w:hAnsi="宋体" w:cs="宋体"/>
          <w:b/>
          <w:bCs/>
          <w:color w:val="000000"/>
          <w:kern w:val="0"/>
          <w:sz w:val="32"/>
          <w:szCs w:val="32"/>
          <w:lang w:val="zh-CN"/>
        </w:rPr>
      </w:pPr>
      <w:r>
        <w:rPr>
          <w:rFonts w:hint="eastAsia" w:hAnsi="宋体" w:cs="宋体"/>
          <w:sz w:val="24"/>
          <w:u w:val="single"/>
          <w:lang w:eastAsia="zh-CN"/>
        </w:rPr>
        <w:t>浙江神仙居体育发展有限公司</w:t>
      </w:r>
      <w:r>
        <w:rPr>
          <w:rFonts w:hint="eastAsia" w:hAnsi="宋体" w:cs="宋体"/>
          <w:b/>
          <w:bCs/>
          <w:sz w:val="24"/>
          <w:u w:val="single"/>
        </w:rPr>
        <w:t>：</w:t>
      </w:r>
    </w:p>
    <w:p w14:paraId="4205A7EB">
      <w:pPr>
        <w:spacing w:line="480" w:lineRule="auto"/>
        <w:ind w:firstLine="480" w:firstLineChars="200"/>
        <w:jc w:val="left"/>
        <w:rPr>
          <w:rFonts w:ascii="宋体" w:hAnsi="宋体" w:cs="宋体"/>
          <w:color w:val="000000"/>
          <w:sz w:val="24"/>
        </w:rPr>
      </w:pPr>
      <w:r>
        <w:rPr>
          <w:rFonts w:hint="eastAsia" w:ascii="宋体" w:hAnsi="宋体" w:cs="宋体"/>
          <w:color w:val="000000"/>
          <w:sz w:val="24"/>
        </w:rPr>
        <w:t>我公司作为本次采购项目的供应商，参加</w:t>
      </w:r>
      <w:r>
        <w:rPr>
          <w:rFonts w:hint="eastAsia" w:hAnsi="宋体" w:cs="宋体"/>
          <w:sz w:val="24"/>
          <w:u w:val="single"/>
          <w:lang w:eastAsia="zh-CN"/>
        </w:rPr>
        <w:t>神仙居仙侠演艺餐厅厨房设备采购（非政府采购类）</w:t>
      </w:r>
      <w:r>
        <w:rPr>
          <w:rFonts w:hint="eastAsia" w:hAnsi="宋体" w:cs="宋体"/>
          <w:kern w:val="0"/>
          <w:sz w:val="24"/>
        </w:rPr>
        <w:t>；</w:t>
      </w:r>
      <w:r>
        <w:rPr>
          <w:rFonts w:hint="eastAsia" w:hAnsi="宋体" w:cs="宋体"/>
          <w:sz w:val="24"/>
          <w:u w:val="single"/>
        </w:rPr>
        <w:t>（编号：</w:t>
      </w:r>
      <w:r>
        <w:rPr>
          <w:rFonts w:hint="eastAsia" w:ascii="宋体" w:hAnsi="宋体" w:cs="宋体"/>
          <w:kern w:val="0"/>
          <w:sz w:val="24"/>
          <w:u w:val="single"/>
          <w:lang w:eastAsia="zh-CN"/>
        </w:rPr>
        <w:t>OBXJ（采购）-24070</w:t>
      </w:r>
      <w:r>
        <w:rPr>
          <w:rFonts w:hint="eastAsia" w:hAnsi="宋体" w:cs="宋体"/>
          <w:sz w:val="24"/>
          <w:u w:val="single"/>
        </w:rPr>
        <w:t>）的谈判活动</w:t>
      </w:r>
      <w:r>
        <w:rPr>
          <w:rFonts w:hint="eastAsia" w:ascii="宋体" w:hAnsi="宋体" w:cs="宋体"/>
          <w:color w:val="000000"/>
          <w:sz w:val="24"/>
        </w:rPr>
        <w:t>，现郑重承诺：</w:t>
      </w:r>
    </w:p>
    <w:p w14:paraId="01EC0F01">
      <w:pPr>
        <w:spacing w:line="480" w:lineRule="auto"/>
        <w:ind w:firstLine="480" w:firstLineChars="200"/>
        <w:jc w:val="left"/>
        <w:rPr>
          <w:rFonts w:ascii="宋体" w:hAnsi="宋体" w:cs="宋体"/>
          <w:color w:val="000000"/>
          <w:sz w:val="24"/>
        </w:rPr>
      </w:pPr>
      <w:r>
        <w:rPr>
          <w:rFonts w:hint="eastAsia" w:ascii="宋体" w:hAnsi="宋体" w:cs="宋体"/>
          <w:color w:val="000000"/>
          <w:sz w:val="24"/>
        </w:rPr>
        <w:t>我公司已依法缴纳税收及社会保障资金，符合参与政府采购活动的资格条件，不存在税收缴纳、社会保障等方面的失信记录。</w:t>
      </w:r>
    </w:p>
    <w:p w14:paraId="17EAB589">
      <w:pPr>
        <w:spacing w:line="480" w:lineRule="auto"/>
        <w:ind w:firstLine="480" w:firstLineChars="200"/>
        <w:jc w:val="left"/>
        <w:rPr>
          <w:rFonts w:ascii="宋体" w:hAnsi="宋体" w:cs="宋体"/>
          <w:color w:val="000000"/>
          <w:sz w:val="24"/>
        </w:rPr>
      </w:pPr>
      <w:r>
        <w:rPr>
          <w:rFonts w:hint="eastAsia" w:ascii="宋体" w:hAnsi="宋体" w:cs="宋体"/>
          <w:color w:val="000000"/>
          <w:sz w:val="24"/>
        </w:rPr>
        <w:t>如本公司对以上条款提供虚假承诺，愿承担一切法律责任。</w:t>
      </w:r>
    </w:p>
    <w:p w14:paraId="30C53947">
      <w:pPr>
        <w:pStyle w:val="5"/>
        <w:spacing w:line="480" w:lineRule="auto"/>
        <w:ind w:firstLine="0"/>
        <w:jc w:val="center"/>
        <w:rPr>
          <w:rFonts w:ascii="宋体" w:hAnsi="宋体" w:cs="宋体"/>
          <w:b/>
          <w:sz w:val="24"/>
          <w:szCs w:val="24"/>
          <w:lang w:val="zh-CN"/>
        </w:rPr>
      </w:pPr>
    </w:p>
    <w:p w14:paraId="4491C29F">
      <w:pPr>
        <w:widowControl/>
        <w:spacing w:line="480" w:lineRule="auto"/>
        <w:ind w:right="-154"/>
        <w:jc w:val="center"/>
        <w:rPr>
          <w:rFonts w:ascii="宋体"/>
          <w:b/>
          <w:sz w:val="24"/>
        </w:rPr>
      </w:pPr>
    </w:p>
    <w:p w14:paraId="20368042">
      <w:pPr>
        <w:widowControl/>
        <w:spacing w:line="480" w:lineRule="auto"/>
        <w:ind w:right="-154"/>
        <w:jc w:val="center"/>
        <w:rPr>
          <w:rFonts w:ascii="宋体"/>
          <w:b/>
          <w:sz w:val="24"/>
          <w:lang w:val="zh-CN"/>
        </w:rPr>
      </w:pPr>
      <w:r>
        <w:rPr>
          <w:rFonts w:ascii="宋体"/>
          <w:bCs/>
          <w:sz w:val="24"/>
        </w:rPr>
        <w:t>谈判供应商（盖章）：</w:t>
      </w:r>
    </w:p>
    <w:p w14:paraId="23039099">
      <w:pPr>
        <w:widowControl/>
        <w:spacing w:line="480" w:lineRule="auto"/>
        <w:ind w:right="-154"/>
        <w:jc w:val="right"/>
        <w:rPr>
          <w:rFonts w:ascii="宋体"/>
          <w:b/>
          <w:sz w:val="24"/>
          <w:lang w:val="zh-CN"/>
        </w:rPr>
      </w:pPr>
    </w:p>
    <w:p w14:paraId="53C54823">
      <w:pPr>
        <w:widowControl/>
        <w:spacing w:line="480" w:lineRule="auto"/>
        <w:ind w:right="-154"/>
        <w:jc w:val="right"/>
        <w:rPr>
          <w:rFonts w:ascii="宋体"/>
          <w:kern w:val="0"/>
          <w:sz w:val="24"/>
        </w:rPr>
      </w:pPr>
    </w:p>
    <w:p w14:paraId="2488916F">
      <w:pPr>
        <w:pStyle w:val="5"/>
        <w:spacing w:line="480" w:lineRule="auto"/>
        <w:ind w:firstLine="0"/>
        <w:jc w:val="right"/>
        <w:rPr>
          <w:rFonts w:ascii="宋体"/>
          <w:sz w:val="24"/>
        </w:rPr>
      </w:pPr>
      <w:r>
        <w:rPr>
          <w:rFonts w:ascii="宋体"/>
          <w:sz w:val="24"/>
        </w:rPr>
        <w:t xml:space="preserve"> 日期：</w:t>
      </w:r>
      <w:r>
        <w:rPr>
          <w:rFonts w:hint="eastAsia" w:ascii="宋体"/>
          <w:sz w:val="24"/>
          <w:lang w:eastAsia="zh-CN"/>
        </w:rPr>
        <w:t>2024年</w:t>
      </w:r>
      <w:r>
        <w:rPr>
          <w:rFonts w:ascii="宋体"/>
          <w:sz w:val="24"/>
        </w:rPr>
        <w:t xml:space="preserve">   月  日</w:t>
      </w:r>
    </w:p>
    <w:p w14:paraId="0DA5D0EF">
      <w:pPr>
        <w:pStyle w:val="15"/>
        <w:spacing w:before="156" w:after="156" w:line="360" w:lineRule="auto"/>
        <w:ind w:firstLine="5481" w:firstLineChars="1950"/>
        <w:rPr>
          <w:rFonts w:hAnsi="宋体" w:cs="Arial"/>
          <w:b/>
          <w:color w:val="000000"/>
          <w:sz w:val="28"/>
          <w:szCs w:val="28"/>
        </w:rPr>
        <w:sectPr>
          <w:pgSz w:w="11906" w:h="16838"/>
          <w:pgMar w:top="1304" w:right="1417" w:bottom="1304" w:left="1417" w:header="851" w:footer="992" w:gutter="0"/>
          <w:cols w:space="720" w:num="1"/>
          <w:docGrid w:type="lines" w:linePitch="312" w:charSpace="0"/>
        </w:sectPr>
      </w:pPr>
    </w:p>
    <w:p w14:paraId="2940FBE3">
      <w:pPr>
        <w:pStyle w:val="5"/>
        <w:spacing w:line="360" w:lineRule="auto"/>
        <w:ind w:firstLine="0"/>
        <w:jc w:val="left"/>
        <w:rPr>
          <w:rFonts w:ascii="宋体" w:hAnsi="宋体" w:cs="宋体"/>
          <w:b/>
          <w:sz w:val="24"/>
          <w:szCs w:val="24"/>
        </w:rPr>
      </w:pPr>
      <w:r>
        <w:rPr>
          <w:rFonts w:hint="eastAsia" w:ascii="宋体" w:hAnsi="宋体" w:cs="宋体"/>
          <w:b/>
          <w:sz w:val="24"/>
          <w:szCs w:val="24"/>
          <w:lang w:val="zh-CN"/>
        </w:rPr>
        <w:t>附件</w:t>
      </w:r>
      <w:r>
        <w:rPr>
          <w:rFonts w:hint="eastAsia" w:ascii="宋体" w:hAnsi="宋体" w:cs="宋体"/>
          <w:b/>
          <w:sz w:val="24"/>
          <w:szCs w:val="24"/>
        </w:rPr>
        <w:t>4：</w:t>
      </w:r>
    </w:p>
    <w:p w14:paraId="2B2AC238">
      <w:pPr>
        <w:pStyle w:val="5"/>
        <w:spacing w:line="360" w:lineRule="auto"/>
        <w:ind w:firstLine="0"/>
        <w:jc w:val="center"/>
        <w:rPr>
          <w:rFonts w:ascii="宋体" w:hAnsi="宋体" w:cs="宋体"/>
          <w:b/>
          <w:sz w:val="32"/>
          <w:szCs w:val="32"/>
        </w:rPr>
      </w:pPr>
      <w:r>
        <w:rPr>
          <w:rFonts w:hint="eastAsia" w:ascii="宋体" w:hAnsi="宋体" w:cs="宋体"/>
          <w:b/>
          <w:sz w:val="32"/>
          <w:szCs w:val="32"/>
          <w:lang w:val="zh-CN"/>
        </w:rPr>
        <w:t>具有良好的商业信誉、健全的财务状况承诺函</w:t>
      </w:r>
    </w:p>
    <w:p w14:paraId="3CE6608C">
      <w:pPr>
        <w:pStyle w:val="15"/>
        <w:spacing w:before="60" w:after="60" w:line="500" w:lineRule="exact"/>
        <w:rPr>
          <w:rFonts w:hAnsi="宋体" w:cs="宋体"/>
          <w:sz w:val="24"/>
          <w:u w:val="single"/>
        </w:rPr>
      </w:pPr>
    </w:p>
    <w:p w14:paraId="28856484">
      <w:pPr>
        <w:pStyle w:val="15"/>
        <w:spacing w:before="60" w:after="60" w:line="480" w:lineRule="auto"/>
        <w:rPr>
          <w:rFonts w:hAnsi="宋体" w:cs="宋体"/>
          <w:b/>
          <w:bCs/>
          <w:sz w:val="24"/>
          <w:u w:val="single"/>
        </w:rPr>
      </w:pPr>
      <w:r>
        <w:rPr>
          <w:rFonts w:hint="eastAsia" w:hAnsi="宋体" w:cs="宋体"/>
          <w:sz w:val="24"/>
          <w:u w:val="single"/>
          <w:lang w:eastAsia="zh-CN"/>
        </w:rPr>
        <w:t>浙江神仙居体育发展有限公司</w:t>
      </w:r>
      <w:r>
        <w:rPr>
          <w:rFonts w:hint="eastAsia" w:hAnsi="宋体" w:cs="宋体"/>
          <w:b/>
          <w:bCs/>
          <w:sz w:val="24"/>
          <w:u w:val="single"/>
        </w:rPr>
        <w:t>：</w:t>
      </w:r>
    </w:p>
    <w:p w14:paraId="5D006465">
      <w:pPr>
        <w:pStyle w:val="15"/>
        <w:spacing w:before="60" w:after="60" w:line="480" w:lineRule="auto"/>
        <w:ind w:firstLine="480" w:firstLineChars="200"/>
        <w:rPr>
          <w:rFonts w:hAnsi="宋体" w:cs="宋体"/>
          <w:sz w:val="24"/>
        </w:rPr>
      </w:pPr>
      <w:r>
        <w:rPr>
          <w:rFonts w:hint="eastAsia" w:hAnsi="宋体" w:cs="宋体"/>
          <w:sz w:val="24"/>
        </w:rPr>
        <w:t>我方参与的</w:t>
      </w:r>
      <w:r>
        <w:rPr>
          <w:rFonts w:hint="eastAsia" w:hAnsi="宋体" w:cs="宋体"/>
          <w:sz w:val="24"/>
          <w:u w:val="single"/>
        </w:rPr>
        <w:t xml:space="preserve"> </w:t>
      </w:r>
      <w:r>
        <w:rPr>
          <w:rFonts w:hint="eastAsia" w:hAnsi="宋体" w:cs="宋体"/>
          <w:sz w:val="24"/>
          <w:u w:val="single"/>
          <w:lang w:eastAsia="zh-CN"/>
        </w:rPr>
        <w:t>神仙居仙侠演艺餐厅厨房设备采购（非政府采购类）</w:t>
      </w:r>
      <w:r>
        <w:rPr>
          <w:rFonts w:hint="eastAsia" w:hAnsi="宋体" w:cs="宋体"/>
          <w:kern w:val="0"/>
          <w:sz w:val="24"/>
        </w:rPr>
        <w:t xml:space="preserve">； </w:t>
      </w:r>
      <w:r>
        <w:rPr>
          <w:rFonts w:hint="eastAsia" w:hAnsi="宋体" w:cs="宋体"/>
          <w:sz w:val="24"/>
          <w:u w:val="single"/>
        </w:rPr>
        <w:t>（编号：</w:t>
      </w:r>
      <w:r>
        <w:rPr>
          <w:rFonts w:hint="eastAsia" w:hAnsi="宋体" w:cs="宋体"/>
          <w:kern w:val="0"/>
          <w:sz w:val="24"/>
          <w:u w:val="single"/>
          <w:lang w:eastAsia="zh-CN"/>
        </w:rPr>
        <w:t>OBXJ（采购）-24070</w:t>
      </w:r>
      <w:r>
        <w:rPr>
          <w:rFonts w:hint="eastAsia" w:hAnsi="宋体" w:cs="宋体"/>
          <w:sz w:val="24"/>
          <w:u w:val="single"/>
        </w:rPr>
        <w:t>）</w:t>
      </w:r>
      <w:r>
        <w:rPr>
          <w:rFonts w:hint="eastAsia" w:hAnsi="宋体" w:cs="宋体"/>
          <w:sz w:val="24"/>
        </w:rPr>
        <w:t xml:space="preserve"> 的谈判活动，我方郑重承诺，没有处于被责令停产、财产被接管、冻结或破产状态，具有足够的流动资金，有能力履行合同。具有良好的商业信誉、健全的财务状况。如有虚假，愿承担一切法律责任。</w:t>
      </w:r>
    </w:p>
    <w:p w14:paraId="7BE18F87">
      <w:pPr>
        <w:pStyle w:val="15"/>
        <w:spacing w:before="60" w:after="60" w:line="480" w:lineRule="auto"/>
        <w:ind w:firstLine="480" w:firstLineChars="200"/>
        <w:rPr>
          <w:rFonts w:hAnsi="宋体" w:cs="宋体"/>
          <w:sz w:val="24"/>
        </w:rPr>
      </w:pPr>
    </w:p>
    <w:p w14:paraId="29F81FCD">
      <w:pPr>
        <w:pStyle w:val="15"/>
        <w:spacing w:before="60" w:after="60" w:line="480" w:lineRule="auto"/>
        <w:ind w:firstLine="480" w:firstLineChars="200"/>
        <w:rPr>
          <w:rFonts w:hAnsi="宋体" w:cs="宋体"/>
          <w:sz w:val="24"/>
        </w:rPr>
      </w:pPr>
      <w:r>
        <w:rPr>
          <w:rFonts w:hint="eastAsia" w:hAnsi="宋体" w:cs="宋体"/>
          <w:sz w:val="24"/>
        </w:rPr>
        <w:t>特此承诺！</w:t>
      </w:r>
    </w:p>
    <w:p w14:paraId="0CD28E53">
      <w:pPr>
        <w:pStyle w:val="15"/>
        <w:spacing w:before="60" w:after="60" w:line="480" w:lineRule="auto"/>
        <w:ind w:firstLine="480" w:firstLineChars="200"/>
        <w:rPr>
          <w:rFonts w:hAnsi="宋体" w:cs="宋体"/>
          <w:sz w:val="24"/>
        </w:rPr>
      </w:pPr>
    </w:p>
    <w:p w14:paraId="368A1146">
      <w:pPr>
        <w:widowControl/>
        <w:spacing w:line="480" w:lineRule="auto"/>
        <w:ind w:right="-154"/>
        <w:jc w:val="center"/>
        <w:rPr>
          <w:rFonts w:ascii="宋体"/>
          <w:b/>
          <w:sz w:val="24"/>
          <w:lang w:val="zh-CN"/>
        </w:rPr>
      </w:pPr>
      <w:r>
        <w:rPr>
          <w:rFonts w:hint="eastAsia"/>
          <w:bCs/>
          <w:sz w:val="24"/>
        </w:rPr>
        <w:t xml:space="preserve">  谈判供应商（盖章）：</w:t>
      </w:r>
    </w:p>
    <w:p w14:paraId="4CBA1F5D">
      <w:pPr>
        <w:widowControl/>
        <w:spacing w:line="480" w:lineRule="auto"/>
        <w:ind w:right="-154"/>
        <w:jc w:val="right"/>
        <w:rPr>
          <w:rFonts w:ascii="宋体"/>
          <w:b/>
          <w:sz w:val="24"/>
          <w:lang w:val="zh-CN"/>
        </w:rPr>
      </w:pPr>
    </w:p>
    <w:p w14:paraId="5FB9D9EA">
      <w:pPr>
        <w:widowControl/>
        <w:spacing w:line="480" w:lineRule="auto"/>
        <w:ind w:right="-154"/>
        <w:jc w:val="right"/>
        <w:rPr>
          <w:kern w:val="0"/>
          <w:sz w:val="24"/>
        </w:rPr>
      </w:pPr>
    </w:p>
    <w:p w14:paraId="3C5C85A3">
      <w:pPr>
        <w:pStyle w:val="5"/>
        <w:spacing w:line="480" w:lineRule="auto"/>
        <w:ind w:firstLine="0"/>
        <w:jc w:val="right"/>
        <w:rPr>
          <w:sz w:val="24"/>
        </w:rPr>
      </w:pPr>
      <w:r>
        <w:rPr>
          <w:sz w:val="24"/>
        </w:rPr>
        <w:t>日期：</w:t>
      </w:r>
      <w:r>
        <w:rPr>
          <w:rFonts w:hint="eastAsia" w:ascii="宋体" w:hAnsi="宋体" w:cs="宋体"/>
          <w:sz w:val="24"/>
          <w:lang w:eastAsia="zh-CN"/>
        </w:rPr>
        <w:t>2024年</w:t>
      </w:r>
      <w:r>
        <w:rPr>
          <w:sz w:val="24"/>
        </w:rPr>
        <w:t xml:space="preserve">   月  </w:t>
      </w:r>
      <w:r>
        <w:rPr>
          <w:rFonts w:hint="eastAsia"/>
          <w:sz w:val="24"/>
        </w:rPr>
        <w:t>日</w:t>
      </w:r>
    </w:p>
    <w:p w14:paraId="7FA7782B">
      <w:pPr>
        <w:pStyle w:val="5"/>
        <w:spacing w:line="360" w:lineRule="auto"/>
        <w:ind w:firstLine="0"/>
        <w:jc w:val="center"/>
        <w:rPr>
          <w:sz w:val="24"/>
        </w:rPr>
      </w:pPr>
    </w:p>
    <w:p w14:paraId="7F634DBE">
      <w:pPr>
        <w:pStyle w:val="5"/>
        <w:spacing w:line="360" w:lineRule="auto"/>
        <w:ind w:firstLine="0"/>
        <w:jc w:val="center"/>
        <w:rPr>
          <w:sz w:val="24"/>
        </w:rPr>
      </w:pPr>
    </w:p>
    <w:p w14:paraId="02C09845">
      <w:pPr>
        <w:pStyle w:val="5"/>
        <w:spacing w:line="360" w:lineRule="auto"/>
        <w:ind w:firstLine="0"/>
        <w:jc w:val="center"/>
        <w:rPr>
          <w:sz w:val="24"/>
        </w:rPr>
      </w:pPr>
    </w:p>
    <w:p w14:paraId="64D11EE9">
      <w:pPr>
        <w:pStyle w:val="5"/>
        <w:spacing w:line="360" w:lineRule="auto"/>
        <w:ind w:firstLine="0"/>
        <w:jc w:val="center"/>
        <w:rPr>
          <w:sz w:val="24"/>
        </w:rPr>
      </w:pPr>
    </w:p>
    <w:p w14:paraId="3EE216EB">
      <w:pPr>
        <w:pStyle w:val="5"/>
        <w:spacing w:line="360" w:lineRule="auto"/>
        <w:ind w:firstLine="0"/>
        <w:jc w:val="center"/>
        <w:rPr>
          <w:sz w:val="24"/>
        </w:rPr>
      </w:pPr>
    </w:p>
    <w:p w14:paraId="26756487">
      <w:pPr>
        <w:pStyle w:val="5"/>
        <w:spacing w:line="360" w:lineRule="auto"/>
        <w:ind w:firstLine="0"/>
        <w:jc w:val="center"/>
        <w:rPr>
          <w:sz w:val="24"/>
        </w:rPr>
      </w:pPr>
    </w:p>
    <w:p w14:paraId="7463085B">
      <w:pPr>
        <w:pStyle w:val="5"/>
        <w:spacing w:line="360" w:lineRule="auto"/>
        <w:ind w:firstLine="0"/>
        <w:jc w:val="center"/>
        <w:rPr>
          <w:sz w:val="24"/>
        </w:rPr>
      </w:pPr>
    </w:p>
    <w:p w14:paraId="1EA56404">
      <w:pPr>
        <w:pStyle w:val="5"/>
        <w:spacing w:line="360" w:lineRule="auto"/>
        <w:ind w:firstLine="0"/>
        <w:jc w:val="center"/>
        <w:rPr>
          <w:sz w:val="24"/>
        </w:rPr>
      </w:pPr>
    </w:p>
    <w:p w14:paraId="13D50560">
      <w:pPr>
        <w:pStyle w:val="5"/>
        <w:spacing w:line="360" w:lineRule="auto"/>
        <w:ind w:firstLine="0"/>
        <w:jc w:val="center"/>
        <w:rPr>
          <w:sz w:val="24"/>
        </w:rPr>
      </w:pPr>
    </w:p>
    <w:p w14:paraId="0EEB6B46">
      <w:pPr>
        <w:pStyle w:val="5"/>
        <w:spacing w:line="360" w:lineRule="auto"/>
        <w:ind w:firstLine="0"/>
        <w:jc w:val="center"/>
        <w:rPr>
          <w:sz w:val="24"/>
        </w:rPr>
      </w:pPr>
    </w:p>
    <w:p w14:paraId="2018B5B7">
      <w:pPr>
        <w:pStyle w:val="5"/>
        <w:spacing w:line="360" w:lineRule="auto"/>
        <w:ind w:firstLine="0"/>
        <w:jc w:val="left"/>
        <w:rPr>
          <w:rFonts w:ascii="宋体" w:hAnsi="宋体" w:cs="宋体"/>
          <w:b/>
          <w:sz w:val="24"/>
          <w:szCs w:val="24"/>
        </w:rPr>
      </w:pPr>
      <w:r>
        <w:rPr>
          <w:rFonts w:hint="eastAsia" w:ascii="宋体" w:hAnsi="宋体" w:cs="宋体"/>
          <w:b/>
          <w:sz w:val="24"/>
          <w:szCs w:val="24"/>
          <w:lang w:val="zh-CN"/>
        </w:rPr>
        <w:t>附件</w:t>
      </w:r>
      <w:r>
        <w:rPr>
          <w:rFonts w:hint="eastAsia" w:ascii="宋体" w:hAnsi="宋体" w:cs="宋体"/>
          <w:b/>
          <w:sz w:val="24"/>
          <w:szCs w:val="24"/>
        </w:rPr>
        <w:t>5</w:t>
      </w:r>
      <w:r>
        <w:rPr>
          <w:rFonts w:hint="eastAsia" w:ascii="宋体" w:hAnsi="宋体" w:cs="宋体"/>
          <w:b/>
          <w:sz w:val="24"/>
          <w:szCs w:val="24"/>
          <w:lang w:val="zh-CN"/>
        </w:rPr>
        <w:t>：</w:t>
      </w:r>
    </w:p>
    <w:p w14:paraId="6F000E65">
      <w:pPr>
        <w:pStyle w:val="5"/>
        <w:spacing w:line="360" w:lineRule="auto"/>
        <w:ind w:firstLine="0"/>
        <w:jc w:val="center"/>
        <w:rPr>
          <w:rFonts w:ascii="FangSong_GB2312" w:hAnsi="宋体" w:eastAsia="FangSong_GB2312"/>
          <w:b/>
          <w:sz w:val="32"/>
          <w:szCs w:val="32"/>
        </w:rPr>
      </w:pPr>
      <w:r>
        <w:rPr>
          <w:rFonts w:hint="eastAsia" w:ascii="宋体" w:hAnsi="宋体" w:cs="宋体"/>
          <w:b/>
          <w:sz w:val="32"/>
          <w:szCs w:val="32"/>
        </w:rPr>
        <w:t>具有履行合同所必需设备和专业技术能力的承诺函</w:t>
      </w:r>
    </w:p>
    <w:p w14:paraId="3F12B6B5">
      <w:pPr>
        <w:pStyle w:val="15"/>
        <w:spacing w:before="60" w:after="60" w:line="480" w:lineRule="auto"/>
        <w:rPr>
          <w:rFonts w:hAnsi="宋体" w:cs="宋体"/>
          <w:b/>
          <w:bCs/>
          <w:sz w:val="24"/>
          <w:u w:val="single"/>
        </w:rPr>
      </w:pPr>
      <w:r>
        <w:rPr>
          <w:rFonts w:hint="eastAsia" w:hAnsi="宋体" w:cs="宋体"/>
          <w:sz w:val="24"/>
          <w:u w:val="single"/>
          <w:lang w:eastAsia="zh-CN"/>
        </w:rPr>
        <w:t>浙江神仙居体育发展有限公司</w:t>
      </w:r>
      <w:r>
        <w:rPr>
          <w:rFonts w:hint="eastAsia" w:hAnsi="宋体" w:cs="宋体"/>
          <w:b/>
          <w:bCs/>
          <w:sz w:val="24"/>
          <w:u w:val="single"/>
        </w:rPr>
        <w:t>：</w:t>
      </w:r>
    </w:p>
    <w:p w14:paraId="351073A9">
      <w:pPr>
        <w:pStyle w:val="15"/>
        <w:spacing w:before="60" w:after="60" w:line="480" w:lineRule="auto"/>
        <w:ind w:firstLine="480" w:firstLineChars="200"/>
        <w:rPr>
          <w:rFonts w:hAnsi="宋体" w:cs="宋体"/>
          <w:sz w:val="24"/>
        </w:rPr>
      </w:pPr>
      <w:r>
        <w:rPr>
          <w:rFonts w:hint="eastAsia" w:hAnsi="宋体" w:cs="宋体"/>
          <w:sz w:val="24"/>
        </w:rPr>
        <w:t>我方参与的</w:t>
      </w:r>
      <w:r>
        <w:rPr>
          <w:rFonts w:hint="eastAsia" w:hAnsi="宋体" w:cs="宋体"/>
          <w:sz w:val="24"/>
          <w:u w:val="single"/>
        </w:rPr>
        <w:t xml:space="preserve"> </w:t>
      </w:r>
      <w:r>
        <w:rPr>
          <w:rFonts w:hint="eastAsia" w:hAnsi="宋体" w:cs="宋体"/>
          <w:sz w:val="24"/>
          <w:u w:val="single"/>
          <w:lang w:eastAsia="zh-CN"/>
        </w:rPr>
        <w:t>神仙居仙侠演艺餐厅厨房设备采购（非政府采购类）</w:t>
      </w:r>
      <w:r>
        <w:rPr>
          <w:rFonts w:hint="eastAsia" w:hAnsi="宋体" w:cs="宋体"/>
          <w:kern w:val="0"/>
          <w:sz w:val="24"/>
        </w:rPr>
        <w:t xml:space="preserve">； </w:t>
      </w:r>
      <w:r>
        <w:rPr>
          <w:rFonts w:hint="eastAsia" w:hAnsi="宋体" w:cs="宋体"/>
          <w:sz w:val="24"/>
          <w:u w:val="single"/>
        </w:rPr>
        <w:t>（编号：</w:t>
      </w:r>
      <w:r>
        <w:rPr>
          <w:rFonts w:hint="eastAsia" w:hAnsi="宋体" w:cs="宋体"/>
          <w:kern w:val="0"/>
          <w:sz w:val="24"/>
          <w:u w:val="single"/>
          <w:lang w:eastAsia="zh-CN"/>
        </w:rPr>
        <w:t>OBXJ（采购）-24070</w:t>
      </w:r>
      <w:r>
        <w:rPr>
          <w:rFonts w:hint="eastAsia" w:hAnsi="宋体" w:cs="宋体"/>
          <w:sz w:val="24"/>
          <w:u w:val="single"/>
        </w:rPr>
        <w:t xml:space="preserve">） </w:t>
      </w:r>
      <w:r>
        <w:rPr>
          <w:rFonts w:hint="eastAsia" w:hAnsi="宋体" w:cs="宋体"/>
          <w:sz w:val="24"/>
        </w:rPr>
        <w:t xml:space="preserve"> 的谈判活动，我方郑重承诺，我方承诺具有履行合同所必需设备和专业技术能力。如有虚假，采购组织机构可取消我方任何资格（谈判/中标/签订合同），我方对此无任何异议。</w:t>
      </w:r>
    </w:p>
    <w:p w14:paraId="1E620DFC">
      <w:pPr>
        <w:pStyle w:val="15"/>
        <w:spacing w:before="60" w:after="60" w:line="480" w:lineRule="auto"/>
        <w:ind w:firstLine="480" w:firstLineChars="200"/>
        <w:rPr>
          <w:rFonts w:hAnsi="宋体" w:cs="宋体"/>
          <w:sz w:val="24"/>
        </w:rPr>
      </w:pPr>
    </w:p>
    <w:p w14:paraId="16C1ECF9">
      <w:pPr>
        <w:pStyle w:val="15"/>
        <w:spacing w:before="60" w:after="60" w:line="480" w:lineRule="auto"/>
        <w:ind w:firstLine="480" w:firstLineChars="200"/>
        <w:rPr>
          <w:rFonts w:hAnsi="宋体" w:cs="宋体"/>
          <w:sz w:val="24"/>
        </w:rPr>
      </w:pPr>
      <w:r>
        <w:rPr>
          <w:rFonts w:hint="eastAsia" w:hAnsi="宋体" w:cs="宋体"/>
          <w:sz w:val="24"/>
        </w:rPr>
        <w:t>特此承诺！</w:t>
      </w:r>
    </w:p>
    <w:p w14:paraId="0C798D3A">
      <w:pPr>
        <w:pStyle w:val="15"/>
        <w:spacing w:before="60" w:after="60" w:line="480" w:lineRule="auto"/>
        <w:ind w:firstLine="480" w:firstLineChars="200"/>
        <w:rPr>
          <w:rFonts w:hAnsi="宋体" w:cs="宋体"/>
          <w:sz w:val="24"/>
        </w:rPr>
      </w:pPr>
    </w:p>
    <w:p w14:paraId="57CFD527">
      <w:pPr>
        <w:widowControl/>
        <w:spacing w:line="480" w:lineRule="auto"/>
        <w:ind w:right="-154"/>
        <w:jc w:val="center"/>
        <w:rPr>
          <w:rFonts w:ascii="宋体"/>
          <w:b/>
          <w:sz w:val="24"/>
          <w:lang w:val="zh-CN"/>
        </w:rPr>
      </w:pPr>
      <w:r>
        <w:rPr>
          <w:rFonts w:hint="eastAsia"/>
          <w:bCs/>
          <w:sz w:val="24"/>
        </w:rPr>
        <w:t>谈判供应商（盖章）：</w:t>
      </w:r>
    </w:p>
    <w:p w14:paraId="7D54EB7E">
      <w:pPr>
        <w:widowControl/>
        <w:spacing w:line="480" w:lineRule="auto"/>
        <w:ind w:right="-154"/>
        <w:jc w:val="right"/>
        <w:rPr>
          <w:rFonts w:ascii="宋体"/>
          <w:b/>
          <w:sz w:val="24"/>
          <w:lang w:val="zh-CN"/>
        </w:rPr>
      </w:pPr>
    </w:p>
    <w:p w14:paraId="13BA7E07">
      <w:pPr>
        <w:widowControl/>
        <w:spacing w:line="480" w:lineRule="auto"/>
        <w:ind w:right="-154"/>
        <w:jc w:val="right"/>
        <w:rPr>
          <w:kern w:val="0"/>
          <w:sz w:val="24"/>
        </w:rPr>
      </w:pPr>
    </w:p>
    <w:p w14:paraId="6DFE258E">
      <w:pPr>
        <w:spacing w:line="480" w:lineRule="auto"/>
        <w:jc w:val="right"/>
        <w:rPr>
          <w:sz w:val="24"/>
        </w:rPr>
      </w:pPr>
      <w:r>
        <w:rPr>
          <w:sz w:val="24"/>
        </w:rPr>
        <w:t>日期：</w:t>
      </w:r>
      <w:r>
        <w:rPr>
          <w:rFonts w:hint="eastAsia" w:ascii="宋体" w:hAnsi="宋体" w:cs="宋体"/>
          <w:sz w:val="24"/>
          <w:lang w:eastAsia="zh-CN"/>
        </w:rPr>
        <w:t>2024年</w:t>
      </w:r>
      <w:r>
        <w:rPr>
          <w:rFonts w:hint="eastAsia" w:ascii="宋体" w:hAnsi="宋体" w:cs="宋体"/>
          <w:sz w:val="24"/>
        </w:rPr>
        <w:t xml:space="preserve">   </w:t>
      </w:r>
      <w:r>
        <w:rPr>
          <w:sz w:val="24"/>
        </w:rPr>
        <w:t xml:space="preserve">月  </w:t>
      </w:r>
      <w:r>
        <w:rPr>
          <w:rFonts w:hint="eastAsia"/>
          <w:sz w:val="24"/>
        </w:rPr>
        <w:t>日</w:t>
      </w:r>
    </w:p>
    <w:p w14:paraId="2E2E7490">
      <w:pPr>
        <w:spacing w:line="480" w:lineRule="auto"/>
        <w:jc w:val="left"/>
        <w:rPr>
          <w:rFonts w:hAnsi="宋体" w:cs="宋体"/>
          <w:b/>
          <w:bCs/>
          <w:sz w:val="24"/>
          <w:lang w:val="zh-CN"/>
        </w:rPr>
      </w:pPr>
      <w:r>
        <w:rPr>
          <w:rFonts w:hint="eastAsia"/>
          <w:b/>
          <w:color w:val="000000"/>
          <w:sz w:val="28"/>
        </w:rPr>
        <w:br w:type="page"/>
      </w:r>
      <w:r>
        <w:rPr>
          <w:rFonts w:hint="eastAsia" w:ascii="宋体" w:hAnsi="宋体" w:cs="宋体"/>
          <w:b/>
          <w:sz w:val="24"/>
          <w:lang w:val="zh-CN"/>
        </w:rPr>
        <w:t>附件</w:t>
      </w:r>
      <w:r>
        <w:rPr>
          <w:rFonts w:hint="eastAsia" w:cs="宋体"/>
          <w:b/>
          <w:sz w:val="24"/>
        </w:rPr>
        <w:t>6</w:t>
      </w:r>
      <w:r>
        <w:rPr>
          <w:rFonts w:hint="eastAsia" w:ascii="宋体" w:hAnsi="宋体" w:cs="宋体"/>
          <w:b/>
          <w:sz w:val="24"/>
          <w:lang w:val="zh-CN"/>
        </w:rPr>
        <w:t xml:space="preserve">：   </w:t>
      </w:r>
    </w:p>
    <w:p w14:paraId="6044DF8E">
      <w:pPr>
        <w:pStyle w:val="15"/>
        <w:adjustRightInd w:val="0"/>
        <w:snapToGrid w:val="0"/>
        <w:spacing w:before="120" w:after="120"/>
        <w:jc w:val="center"/>
        <w:rPr>
          <w:rFonts w:hAnsi="宋体" w:cs="宋体"/>
          <w:b/>
          <w:bCs/>
          <w:sz w:val="30"/>
          <w:szCs w:val="30"/>
        </w:rPr>
      </w:pPr>
      <w:r>
        <w:rPr>
          <w:rFonts w:hint="eastAsia" w:hAnsi="宋体" w:cs="宋体"/>
          <w:b/>
          <w:bCs/>
          <w:sz w:val="30"/>
          <w:szCs w:val="30"/>
          <w:lang w:val="zh-CN"/>
        </w:rPr>
        <w:t>无重大违法记录声明书</w:t>
      </w:r>
    </w:p>
    <w:p w14:paraId="070CBDF6">
      <w:pPr>
        <w:spacing w:line="480" w:lineRule="auto"/>
        <w:jc w:val="left"/>
        <w:rPr>
          <w:rFonts w:ascii="宋体" w:hAnsi="宋体" w:cs="宋体"/>
          <w:sz w:val="24"/>
        </w:rPr>
      </w:pPr>
    </w:p>
    <w:p w14:paraId="635CA991">
      <w:pPr>
        <w:spacing w:line="480" w:lineRule="auto"/>
        <w:jc w:val="left"/>
        <w:rPr>
          <w:rFonts w:ascii="宋体" w:hAnsi="宋体" w:cs="宋体"/>
          <w:sz w:val="24"/>
        </w:rPr>
      </w:pPr>
      <w:r>
        <w:rPr>
          <w:rFonts w:hint="eastAsia" w:ascii="宋体" w:hAnsi="宋体" w:cs="宋体"/>
          <w:sz w:val="24"/>
          <w:lang w:eastAsia="zh-CN"/>
        </w:rPr>
        <w:t>浙江神仙居体育发展有限公司</w:t>
      </w:r>
      <w:r>
        <w:rPr>
          <w:rFonts w:hint="eastAsia" w:ascii="宋体" w:hAnsi="宋体" w:cs="宋体"/>
          <w:sz w:val="24"/>
        </w:rPr>
        <w:t>：</w:t>
      </w:r>
    </w:p>
    <w:p w14:paraId="179291A5">
      <w:pPr>
        <w:spacing w:line="480" w:lineRule="auto"/>
        <w:ind w:firstLine="480" w:firstLineChars="200"/>
        <w:jc w:val="left"/>
        <w:rPr>
          <w:rFonts w:ascii="宋体" w:hAnsi="宋体" w:cs="宋体"/>
          <w:sz w:val="24"/>
        </w:rPr>
      </w:pPr>
      <w:r>
        <w:rPr>
          <w:rFonts w:hint="eastAsia" w:ascii="宋体" w:hAnsi="宋体" w:cs="宋体"/>
          <w:sz w:val="24"/>
        </w:rPr>
        <w:t>我方郑重声明：我方参加本项目谈判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41CB3F9A">
      <w:pPr>
        <w:spacing w:line="480" w:lineRule="auto"/>
        <w:ind w:firstLine="480" w:firstLineChars="200"/>
        <w:jc w:val="left"/>
        <w:rPr>
          <w:rFonts w:ascii="宋体" w:hAnsi="宋体" w:cs="宋体"/>
          <w:spacing w:val="6"/>
          <w:sz w:val="24"/>
        </w:rPr>
      </w:pPr>
      <w:r>
        <w:rPr>
          <w:rFonts w:hint="eastAsia" w:ascii="宋体" w:hAnsi="宋体" w:cs="宋体"/>
          <w:sz w:val="24"/>
        </w:rPr>
        <w:t>特此声明。</w:t>
      </w:r>
    </w:p>
    <w:p w14:paraId="7D8264D4">
      <w:pPr>
        <w:pStyle w:val="15"/>
        <w:spacing w:line="480" w:lineRule="auto"/>
        <w:jc w:val="center"/>
        <w:rPr>
          <w:rFonts w:hAnsi="宋体" w:cs="宋体"/>
          <w:sz w:val="24"/>
        </w:rPr>
      </w:pPr>
    </w:p>
    <w:p w14:paraId="0106C9E5">
      <w:pPr>
        <w:spacing w:line="480" w:lineRule="auto"/>
        <w:ind w:firstLine="4320" w:firstLineChars="1800"/>
        <w:jc w:val="left"/>
        <w:rPr>
          <w:rFonts w:ascii="宋体" w:hAnsi="宋体" w:cs="宋体"/>
          <w:szCs w:val="21"/>
          <w:lang w:val="zh-CN"/>
        </w:rPr>
      </w:pPr>
      <w:r>
        <w:rPr>
          <w:rFonts w:hint="eastAsia" w:ascii="宋体" w:hAnsi="宋体" w:cs="宋体"/>
          <w:sz w:val="24"/>
        </w:rPr>
        <w:t xml:space="preserve">                                                                              </w:t>
      </w:r>
      <w:r>
        <w:rPr>
          <w:rFonts w:hint="eastAsia"/>
          <w:sz w:val="24"/>
        </w:rPr>
        <w:t>谈判供应商（盖章）：</w:t>
      </w:r>
    </w:p>
    <w:p w14:paraId="20905757">
      <w:pPr>
        <w:pStyle w:val="3"/>
        <w:spacing w:beforeLines="100" w:after="0" w:line="480" w:lineRule="auto"/>
        <w:rPr>
          <w:rFonts w:ascii="Times New Roman" w:hAnsi="Times New Roman" w:eastAsia="宋体"/>
          <w:b w:val="0"/>
          <w:bCs w:val="0"/>
          <w:sz w:val="24"/>
          <w:szCs w:val="24"/>
          <w:lang w:val="zh-CN"/>
        </w:rPr>
      </w:pPr>
      <w:r>
        <w:rPr>
          <w:rFonts w:hint="eastAsia" w:ascii="Times New Roman" w:hAnsi="Times New Roman" w:eastAsia="宋体"/>
          <w:b w:val="0"/>
          <w:bCs w:val="0"/>
          <w:sz w:val="24"/>
          <w:szCs w:val="24"/>
        </w:rPr>
        <w:t xml:space="preserve">   日  期：</w:t>
      </w:r>
      <w:r>
        <w:rPr>
          <w:rFonts w:hint="eastAsia" w:ascii="宋体" w:hAnsi="宋体" w:eastAsia="宋体" w:cs="宋体"/>
          <w:b w:val="0"/>
          <w:bCs w:val="0"/>
          <w:sz w:val="24"/>
          <w:szCs w:val="24"/>
          <w:lang w:eastAsia="zh-CN"/>
        </w:rPr>
        <w:t>2024年</w:t>
      </w:r>
      <w:r>
        <w:rPr>
          <w:rFonts w:hint="eastAsia" w:ascii="宋体" w:hAnsi="宋体" w:eastAsia="宋体" w:cs="宋体"/>
          <w:b w:val="0"/>
          <w:bCs w:val="0"/>
          <w:sz w:val="24"/>
          <w:szCs w:val="24"/>
        </w:rPr>
        <w:t xml:space="preserve">   </w:t>
      </w:r>
      <w:r>
        <w:rPr>
          <w:rFonts w:hint="eastAsia" w:ascii="Times New Roman" w:hAnsi="Times New Roman" w:eastAsia="宋体"/>
          <w:b w:val="0"/>
          <w:bCs w:val="0"/>
          <w:sz w:val="24"/>
          <w:szCs w:val="24"/>
        </w:rPr>
        <w:t xml:space="preserve"> 月    日</w:t>
      </w:r>
    </w:p>
    <w:p w14:paraId="6CE2D978">
      <w:pPr>
        <w:pStyle w:val="15"/>
        <w:adjustRightInd w:val="0"/>
        <w:snapToGrid w:val="0"/>
        <w:spacing w:line="360" w:lineRule="auto"/>
        <w:jc w:val="center"/>
        <w:rPr>
          <w:rFonts w:hAnsi="宋体"/>
          <w:b/>
          <w:color w:val="000000"/>
          <w:sz w:val="32"/>
          <w:szCs w:val="32"/>
        </w:rPr>
      </w:pPr>
    </w:p>
    <w:p w14:paraId="5E80468A">
      <w:pPr>
        <w:pStyle w:val="15"/>
        <w:adjustRightInd w:val="0"/>
        <w:snapToGrid w:val="0"/>
        <w:spacing w:line="360" w:lineRule="auto"/>
        <w:jc w:val="center"/>
        <w:rPr>
          <w:rFonts w:hAnsi="宋体"/>
          <w:b/>
          <w:color w:val="000000"/>
          <w:sz w:val="32"/>
          <w:szCs w:val="32"/>
        </w:rPr>
      </w:pPr>
    </w:p>
    <w:p w14:paraId="442A2F92">
      <w:pPr>
        <w:pStyle w:val="15"/>
        <w:adjustRightInd w:val="0"/>
        <w:snapToGrid w:val="0"/>
        <w:spacing w:line="360" w:lineRule="auto"/>
        <w:jc w:val="center"/>
        <w:rPr>
          <w:rFonts w:hAnsi="宋体"/>
          <w:b/>
          <w:color w:val="000000"/>
          <w:sz w:val="32"/>
          <w:szCs w:val="32"/>
        </w:rPr>
      </w:pPr>
    </w:p>
    <w:p w14:paraId="29A2106D">
      <w:pPr>
        <w:pStyle w:val="15"/>
        <w:adjustRightInd w:val="0"/>
        <w:snapToGrid w:val="0"/>
        <w:spacing w:line="360" w:lineRule="auto"/>
        <w:jc w:val="center"/>
        <w:rPr>
          <w:rFonts w:hAnsi="宋体"/>
          <w:b/>
          <w:color w:val="000000"/>
          <w:sz w:val="32"/>
          <w:szCs w:val="32"/>
        </w:rPr>
      </w:pPr>
    </w:p>
    <w:p w14:paraId="79ECE5A0">
      <w:pPr>
        <w:pStyle w:val="15"/>
        <w:adjustRightInd w:val="0"/>
        <w:snapToGrid w:val="0"/>
        <w:spacing w:line="360" w:lineRule="auto"/>
        <w:jc w:val="center"/>
        <w:rPr>
          <w:rFonts w:hAnsi="宋体"/>
          <w:b/>
          <w:color w:val="000000"/>
          <w:sz w:val="32"/>
          <w:szCs w:val="32"/>
        </w:rPr>
      </w:pPr>
    </w:p>
    <w:p w14:paraId="26962799">
      <w:pPr>
        <w:pStyle w:val="15"/>
        <w:adjustRightInd w:val="0"/>
        <w:snapToGrid w:val="0"/>
        <w:spacing w:line="360" w:lineRule="auto"/>
        <w:jc w:val="center"/>
        <w:rPr>
          <w:rFonts w:hAnsi="宋体"/>
          <w:b/>
          <w:color w:val="000000"/>
          <w:sz w:val="32"/>
          <w:szCs w:val="32"/>
        </w:rPr>
      </w:pPr>
    </w:p>
    <w:p w14:paraId="6CF62962">
      <w:pPr>
        <w:pStyle w:val="15"/>
        <w:adjustRightInd w:val="0"/>
        <w:snapToGrid w:val="0"/>
        <w:spacing w:line="360" w:lineRule="auto"/>
        <w:jc w:val="center"/>
        <w:rPr>
          <w:rFonts w:hAnsi="宋体"/>
          <w:b/>
          <w:color w:val="000000"/>
          <w:sz w:val="32"/>
          <w:szCs w:val="32"/>
        </w:rPr>
      </w:pPr>
    </w:p>
    <w:p w14:paraId="53876723">
      <w:pPr>
        <w:pStyle w:val="15"/>
        <w:adjustRightInd w:val="0"/>
        <w:snapToGrid w:val="0"/>
        <w:spacing w:line="360" w:lineRule="auto"/>
        <w:jc w:val="center"/>
        <w:rPr>
          <w:rFonts w:hAnsi="宋体"/>
          <w:b/>
          <w:color w:val="000000"/>
          <w:sz w:val="32"/>
          <w:szCs w:val="32"/>
        </w:rPr>
      </w:pPr>
    </w:p>
    <w:p w14:paraId="707C7910">
      <w:pPr>
        <w:pStyle w:val="36"/>
        <w:shd w:val="clear" w:color="auto" w:fill="FFFFFF"/>
        <w:spacing w:before="0" w:beforeAutospacing="0" w:after="0" w:afterAutospacing="0" w:line="360" w:lineRule="auto"/>
        <w:jc w:val="center"/>
        <w:rPr>
          <w:b/>
          <w:sz w:val="32"/>
          <w:szCs w:val="32"/>
        </w:rPr>
      </w:pPr>
    </w:p>
    <w:p w14:paraId="618D11EF">
      <w:pPr>
        <w:snapToGrid w:val="0"/>
        <w:spacing w:before="50" w:after="50" w:line="360" w:lineRule="auto"/>
        <w:rPr>
          <w:rFonts w:ascii="宋体" w:hAnsi="宋体"/>
          <w:b/>
          <w:sz w:val="32"/>
          <w:szCs w:val="32"/>
        </w:rPr>
      </w:pPr>
      <w:r>
        <w:rPr>
          <w:rFonts w:hint="eastAsia" w:ascii="宋体" w:hAnsi="宋体" w:cs="宋体"/>
          <w:b/>
          <w:sz w:val="24"/>
        </w:rPr>
        <w:t>附件</w:t>
      </w:r>
      <w:r>
        <w:rPr>
          <w:rFonts w:hint="eastAsia" w:ascii="宋体" w:hAnsi="宋体" w:cs="宋体"/>
          <w:b/>
          <w:sz w:val="24"/>
          <w:lang w:val="en-US" w:eastAsia="zh-CN"/>
        </w:rPr>
        <w:t>7</w:t>
      </w:r>
      <w:r>
        <w:rPr>
          <w:rFonts w:hint="eastAsia" w:ascii="宋体" w:hAnsi="宋体" w:cs="宋体"/>
          <w:b/>
          <w:sz w:val="24"/>
        </w:rPr>
        <w:t>：</w:t>
      </w:r>
    </w:p>
    <w:p w14:paraId="3DDA76E0">
      <w:pPr>
        <w:pStyle w:val="2"/>
      </w:pPr>
    </w:p>
    <w:p w14:paraId="344EC9C0">
      <w:pPr>
        <w:pStyle w:val="36"/>
        <w:spacing w:before="0" w:beforeAutospacing="0" w:after="0" w:afterAutospacing="0" w:line="360" w:lineRule="auto"/>
        <w:jc w:val="center"/>
        <w:rPr>
          <w:b/>
          <w:bCs/>
          <w:color w:val="000000"/>
          <w:spacing w:val="21"/>
          <w:sz w:val="32"/>
          <w:szCs w:val="32"/>
        </w:rPr>
      </w:pPr>
      <w:r>
        <w:rPr>
          <w:rFonts w:hint="eastAsia"/>
          <w:b/>
          <w:color w:val="000000"/>
          <w:sz w:val="32"/>
          <w:szCs w:val="32"/>
        </w:rPr>
        <w:t>投标</w:t>
      </w:r>
      <w:r>
        <w:rPr>
          <w:rFonts w:hint="eastAsia"/>
          <w:b/>
          <w:bCs/>
          <w:color w:val="000000"/>
          <w:spacing w:val="21"/>
          <w:sz w:val="32"/>
          <w:szCs w:val="32"/>
        </w:rPr>
        <w:t>人基本情况表</w:t>
      </w:r>
    </w:p>
    <w:p w14:paraId="54110249">
      <w:pPr>
        <w:pStyle w:val="36"/>
        <w:spacing w:before="0" w:beforeAutospacing="0" w:after="0" w:afterAutospacing="0" w:line="360" w:lineRule="auto"/>
        <w:jc w:val="center"/>
        <w:rPr>
          <w:b/>
          <w:bCs/>
          <w:color w:val="000000"/>
          <w:spacing w:val="21"/>
          <w:sz w:val="32"/>
          <w:szCs w:val="32"/>
        </w:rPr>
      </w:pPr>
    </w:p>
    <w:tbl>
      <w:tblPr>
        <w:tblStyle w:val="27"/>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8"/>
        <w:gridCol w:w="1166"/>
        <w:gridCol w:w="1843"/>
        <w:gridCol w:w="1381"/>
        <w:gridCol w:w="1205"/>
        <w:gridCol w:w="1545"/>
        <w:gridCol w:w="1455"/>
      </w:tblGrid>
      <w:tr w14:paraId="2400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exact"/>
          <w:jc w:val="center"/>
        </w:trPr>
        <w:tc>
          <w:tcPr>
            <w:tcW w:w="1318" w:type="dxa"/>
            <w:noWrap w:val="0"/>
            <w:vAlign w:val="center"/>
          </w:tcPr>
          <w:p w14:paraId="4B0B6DB5">
            <w:pPr>
              <w:pStyle w:val="36"/>
              <w:spacing w:line="240" w:lineRule="exact"/>
              <w:jc w:val="center"/>
              <w:rPr>
                <w:bCs/>
                <w:color w:val="000000"/>
                <w:sz w:val="21"/>
                <w:szCs w:val="21"/>
              </w:rPr>
            </w:pPr>
            <w:r>
              <w:rPr>
                <w:rFonts w:hint="eastAsia"/>
                <w:bCs/>
                <w:color w:val="000000"/>
                <w:sz w:val="21"/>
                <w:szCs w:val="21"/>
              </w:rPr>
              <w:t>企业名称</w:t>
            </w:r>
          </w:p>
        </w:tc>
        <w:tc>
          <w:tcPr>
            <w:tcW w:w="5595" w:type="dxa"/>
            <w:gridSpan w:val="4"/>
            <w:noWrap w:val="0"/>
            <w:vAlign w:val="center"/>
          </w:tcPr>
          <w:p w14:paraId="4F19C920">
            <w:pPr>
              <w:pStyle w:val="36"/>
              <w:spacing w:line="240" w:lineRule="exact"/>
              <w:jc w:val="center"/>
              <w:rPr>
                <w:bCs/>
                <w:color w:val="000000"/>
                <w:sz w:val="21"/>
                <w:szCs w:val="21"/>
              </w:rPr>
            </w:pPr>
          </w:p>
        </w:tc>
        <w:tc>
          <w:tcPr>
            <w:tcW w:w="1545" w:type="dxa"/>
            <w:noWrap w:val="0"/>
            <w:vAlign w:val="center"/>
          </w:tcPr>
          <w:p w14:paraId="4790CA52">
            <w:pPr>
              <w:pStyle w:val="36"/>
              <w:spacing w:line="240" w:lineRule="exact"/>
              <w:jc w:val="center"/>
              <w:rPr>
                <w:bCs/>
                <w:color w:val="000000"/>
                <w:sz w:val="21"/>
                <w:szCs w:val="21"/>
              </w:rPr>
            </w:pPr>
            <w:r>
              <w:rPr>
                <w:rFonts w:hint="eastAsia"/>
                <w:bCs/>
                <w:color w:val="000000"/>
                <w:sz w:val="21"/>
                <w:szCs w:val="21"/>
              </w:rPr>
              <w:t>法人代表</w:t>
            </w:r>
          </w:p>
        </w:tc>
        <w:tc>
          <w:tcPr>
            <w:tcW w:w="1455" w:type="dxa"/>
            <w:noWrap w:val="0"/>
            <w:vAlign w:val="center"/>
          </w:tcPr>
          <w:p w14:paraId="339D2B0A">
            <w:pPr>
              <w:pStyle w:val="36"/>
              <w:spacing w:line="240" w:lineRule="exact"/>
              <w:jc w:val="center"/>
              <w:rPr>
                <w:bCs/>
                <w:color w:val="000000"/>
                <w:sz w:val="21"/>
                <w:szCs w:val="21"/>
              </w:rPr>
            </w:pPr>
          </w:p>
        </w:tc>
      </w:tr>
      <w:tr w14:paraId="2C21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jc w:val="center"/>
        </w:trPr>
        <w:tc>
          <w:tcPr>
            <w:tcW w:w="1318" w:type="dxa"/>
            <w:noWrap w:val="0"/>
            <w:vAlign w:val="center"/>
          </w:tcPr>
          <w:p w14:paraId="756CE2A5">
            <w:pPr>
              <w:pStyle w:val="36"/>
              <w:spacing w:line="240" w:lineRule="exact"/>
              <w:jc w:val="center"/>
              <w:rPr>
                <w:bCs/>
                <w:color w:val="000000"/>
                <w:sz w:val="21"/>
                <w:szCs w:val="21"/>
              </w:rPr>
            </w:pPr>
            <w:r>
              <w:rPr>
                <w:rFonts w:hint="eastAsia"/>
                <w:bCs/>
                <w:color w:val="000000"/>
                <w:sz w:val="21"/>
                <w:szCs w:val="21"/>
              </w:rPr>
              <w:t>地址</w:t>
            </w:r>
          </w:p>
        </w:tc>
        <w:tc>
          <w:tcPr>
            <w:tcW w:w="5595" w:type="dxa"/>
            <w:gridSpan w:val="4"/>
            <w:tcBorders>
              <w:bottom w:val="single" w:color="auto" w:sz="4" w:space="0"/>
            </w:tcBorders>
            <w:noWrap w:val="0"/>
            <w:vAlign w:val="center"/>
          </w:tcPr>
          <w:p w14:paraId="0CDC7649">
            <w:pPr>
              <w:pStyle w:val="36"/>
              <w:spacing w:line="240" w:lineRule="exact"/>
              <w:jc w:val="center"/>
              <w:rPr>
                <w:bCs/>
                <w:color w:val="000000"/>
                <w:sz w:val="21"/>
                <w:szCs w:val="21"/>
              </w:rPr>
            </w:pPr>
          </w:p>
        </w:tc>
        <w:tc>
          <w:tcPr>
            <w:tcW w:w="1545" w:type="dxa"/>
            <w:noWrap w:val="0"/>
            <w:vAlign w:val="center"/>
          </w:tcPr>
          <w:p w14:paraId="437ADAE3">
            <w:pPr>
              <w:pStyle w:val="36"/>
              <w:spacing w:line="240" w:lineRule="exact"/>
              <w:jc w:val="center"/>
              <w:rPr>
                <w:bCs/>
                <w:color w:val="000000"/>
                <w:sz w:val="21"/>
                <w:szCs w:val="21"/>
              </w:rPr>
            </w:pPr>
            <w:r>
              <w:rPr>
                <w:rFonts w:hint="eastAsia"/>
                <w:bCs/>
                <w:color w:val="000000"/>
                <w:sz w:val="21"/>
                <w:szCs w:val="21"/>
              </w:rPr>
              <w:t>企业性质</w:t>
            </w:r>
          </w:p>
        </w:tc>
        <w:tc>
          <w:tcPr>
            <w:tcW w:w="1455" w:type="dxa"/>
            <w:noWrap w:val="0"/>
            <w:vAlign w:val="center"/>
          </w:tcPr>
          <w:p w14:paraId="20FC0EE0">
            <w:pPr>
              <w:pStyle w:val="36"/>
              <w:spacing w:line="240" w:lineRule="exact"/>
              <w:jc w:val="center"/>
              <w:rPr>
                <w:bCs/>
                <w:color w:val="000000"/>
                <w:sz w:val="21"/>
                <w:szCs w:val="21"/>
              </w:rPr>
            </w:pPr>
          </w:p>
        </w:tc>
      </w:tr>
      <w:tr w14:paraId="3FAD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exact"/>
          <w:jc w:val="center"/>
        </w:trPr>
        <w:tc>
          <w:tcPr>
            <w:tcW w:w="1318" w:type="dxa"/>
            <w:vMerge w:val="restart"/>
            <w:noWrap w:val="0"/>
            <w:vAlign w:val="center"/>
          </w:tcPr>
          <w:p w14:paraId="1530F4A3">
            <w:pPr>
              <w:pStyle w:val="36"/>
              <w:spacing w:line="240" w:lineRule="exact"/>
              <w:jc w:val="center"/>
              <w:rPr>
                <w:bCs/>
                <w:color w:val="000000"/>
                <w:sz w:val="21"/>
                <w:szCs w:val="21"/>
              </w:rPr>
            </w:pPr>
            <w:r>
              <w:rPr>
                <w:rFonts w:hint="eastAsia"/>
                <w:bCs/>
                <w:color w:val="000000"/>
                <w:sz w:val="21"/>
                <w:szCs w:val="21"/>
              </w:rPr>
              <w:t>联系人姓名</w:t>
            </w:r>
          </w:p>
        </w:tc>
        <w:tc>
          <w:tcPr>
            <w:tcW w:w="1166" w:type="dxa"/>
            <w:vMerge w:val="restart"/>
            <w:tcBorders>
              <w:top w:val="nil"/>
            </w:tcBorders>
            <w:noWrap w:val="0"/>
            <w:vAlign w:val="center"/>
          </w:tcPr>
          <w:p w14:paraId="1C4BF13D">
            <w:pPr>
              <w:pStyle w:val="36"/>
              <w:spacing w:line="240" w:lineRule="exact"/>
              <w:jc w:val="center"/>
              <w:rPr>
                <w:bCs/>
                <w:color w:val="000000"/>
                <w:sz w:val="21"/>
                <w:szCs w:val="21"/>
              </w:rPr>
            </w:pPr>
          </w:p>
        </w:tc>
        <w:tc>
          <w:tcPr>
            <w:tcW w:w="1843" w:type="dxa"/>
            <w:tcBorders>
              <w:top w:val="nil"/>
              <w:bottom w:val="single" w:color="auto" w:sz="4" w:space="0"/>
            </w:tcBorders>
            <w:noWrap w:val="0"/>
            <w:vAlign w:val="center"/>
          </w:tcPr>
          <w:p w14:paraId="1B665355">
            <w:pPr>
              <w:pStyle w:val="36"/>
              <w:spacing w:line="240" w:lineRule="exact"/>
              <w:jc w:val="center"/>
              <w:rPr>
                <w:bCs/>
                <w:color w:val="000000"/>
                <w:sz w:val="21"/>
                <w:szCs w:val="21"/>
              </w:rPr>
            </w:pPr>
            <w:r>
              <w:rPr>
                <w:rFonts w:hint="eastAsia"/>
                <w:bCs/>
                <w:color w:val="000000"/>
                <w:sz w:val="21"/>
                <w:szCs w:val="21"/>
              </w:rPr>
              <w:t>固定电话</w:t>
            </w:r>
          </w:p>
        </w:tc>
        <w:tc>
          <w:tcPr>
            <w:tcW w:w="2586" w:type="dxa"/>
            <w:gridSpan w:val="2"/>
            <w:tcBorders>
              <w:top w:val="nil"/>
              <w:bottom w:val="single" w:color="auto" w:sz="4" w:space="0"/>
            </w:tcBorders>
            <w:noWrap w:val="0"/>
            <w:vAlign w:val="center"/>
          </w:tcPr>
          <w:p w14:paraId="10CF9AD7">
            <w:pPr>
              <w:pStyle w:val="36"/>
              <w:spacing w:line="240" w:lineRule="exact"/>
              <w:jc w:val="center"/>
              <w:rPr>
                <w:bCs/>
                <w:color w:val="000000"/>
                <w:sz w:val="21"/>
                <w:szCs w:val="21"/>
              </w:rPr>
            </w:pPr>
          </w:p>
        </w:tc>
        <w:tc>
          <w:tcPr>
            <w:tcW w:w="1545" w:type="dxa"/>
            <w:vMerge w:val="restart"/>
            <w:noWrap w:val="0"/>
            <w:vAlign w:val="center"/>
          </w:tcPr>
          <w:p w14:paraId="4D39C67E">
            <w:pPr>
              <w:pStyle w:val="36"/>
              <w:spacing w:before="0" w:beforeAutospacing="0" w:after="0" w:afterAutospacing="0" w:line="240" w:lineRule="exact"/>
              <w:jc w:val="center"/>
              <w:rPr>
                <w:bCs/>
                <w:color w:val="000000"/>
                <w:sz w:val="21"/>
                <w:szCs w:val="21"/>
              </w:rPr>
            </w:pPr>
            <w:r>
              <w:rPr>
                <w:rFonts w:hint="eastAsia"/>
                <w:bCs/>
                <w:color w:val="000000"/>
                <w:sz w:val="21"/>
                <w:szCs w:val="21"/>
              </w:rPr>
              <w:t>传真</w:t>
            </w:r>
          </w:p>
        </w:tc>
        <w:tc>
          <w:tcPr>
            <w:tcW w:w="1455" w:type="dxa"/>
            <w:vMerge w:val="restart"/>
            <w:noWrap w:val="0"/>
            <w:vAlign w:val="center"/>
          </w:tcPr>
          <w:p w14:paraId="24B79F50">
            <w:pPr>
              <w:pStyle w:val="36"/>
              <w:spacing w:line="240" w:lineRule="exact"/>
              <w:jc w:val="center"/>
              <w:rPr>
                <w:bCs/>
                <w:color w:val="000000"/>
                <w:sz w:val="21"/>
                <w:szCs w:val="21"/>
              </w:rPr>
            </w:pPr>
          </w:p>
        </w:tc>
      </w:tr>
      <w:tr w14:paraId="3674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exact"/>
          <w:jc w:val="center"/>
        </w:trPr>
        <w:tc>
          <w:tcPr>
            <w:tcW w:w="1318" w:type="dxa"/>
            <w:vMerge w:val="continue"/>
            <w:tcBorders>
              <w:bottom w:val="single" w:color="auto" w:sz="4" w:space="0"/>
            </w:tcBorders>
            <w:noWrap w:val="0"/>
            <w:vAlign w:val="center"/>
          </w:tcPr>
          <w:p w14:paraId="121559ED">
            <w:pPr>
              <w:pStyle w:val="36"/>
              <w:spacing w:line="240" w:lineRule="exact"/>
              <w:ind w:left="420"/>
              <w:jc w:val="center"/>
              <w:rPr>
                <w:bCs/>
                <w:color w:val="000000"/>
                <w:sz w:val="21"/>
                <w:szCs w:val="21"/>
              </w:rPr>
            </w:pPr>
          </w:p>
        </w:tc>
        <w:tc>
          <w:tcPr>
            <w:tcW w:w="1166" w:type="dxa"/>
            <w:vMerge w:val="continue"/>
            <w:tcBorders>
              <w:bottom w:val="single" w:color="auto" w:sz="4" w:space="0"/>
            </w:tcBorders>
            <w:noWrap w:val="0"/>
            <w:vAlign w:val="center"/>
          </w:tcPr>
          <w:p w14:paraId="3DE01C64">
            <w:pPr>
              <w:pStyle w:val="36"/>
              <w:spacing w:line="240" w:lineRule="exact"/>
              <w:jc w:val="center"/>
              <w:rPr>
                <w:bCs/>
                <w:color w:val="000000"/>
                <w:sz w:val="21"/>
                <w:szCs w:val="21"/>
              </w:rPr>
            </w:pPr>
          </w:p>
        </w:tc>
        <w:tc>
          <w:tcPr>
            <w:tcW w:w="1843" w:type="dxa"/>
            <w:tcBorders>
              <w:bottom w:val="single" w:color="auto" w:sz="4" w:space="0"/>
            </w:tcBorders>
            <w:noWrap w:val="0"/>
            <w:vAlign w:val="center"/>
          </w:tcPr>
          <w:p w14:paraId="41315D49">
            <w:pPr>
              <w:pStyle w:val="36"/>
              <w:spacing w:line="240" w:lineRule="exact"/>
              <w:jc w:val="center"/>
              <w:rPr>
                <w:bCs/>
                <w:color w:val="000000"/>
                <w:sz w:val="21"/>
                <w:szCs w:val="21"/>
              </w:rPr>
            </w:pPr>
            <w:r>
              <w:rPr>
                <w:rFonts w:hint="eastAsia"/>
                <w:bCs/>
                <w:color w:val="000000"/>
                <w:sz w:val="21"/>
                <w:szCs w:val="21"/>
              </w:rPr>
              <w:t>手机</w:t>
            </w:r>
          </w:p>
        </w:tc>
        <w:tc>
          <w:tcPr>
            <w:tcW w:w="2586" w:type="dxa"/>
            <w:gridSpan w:val="2"/>
            <w:tcBorders>
              <w:bottom w:val="single" w:color="auto" w:sz="4" w:space="0"/>
            </w:tcBorders>
            <w:noWrap w:val="0"/>
            <w:vAlign w:val="center"/>
          </w:tcPr>
          <w:p w14:paraId="7683FAAB">
            <w:pPr>
              <w:pStyle w:val="36"/>
              <w:spacing w:line="240" w:lineRule="exact"/>
              <w:jc w:val="center"/>
              <w:rPr>
                <w:bCs/>
                <w:color w:val="000000"/>
                <w:sz w:val="21"/>
                <w:szCs w:val="21"/>
              </w:rPr>
            </w:pPr>
          </w:p>
        </w:tc>
        <w:tc>
          <w:tcPr>
            <w:tcW w:w="1545" w:type="dxa"/>
            <w:vMerge w:val="continue"/>
            <w:noWrap w:val="0"/>
            <w:vAlign w:val="center"/>
          </w:tcPr>
          <w:p w14:paraId="0CBCCF74">
            <w:pPr>
              <w:pStyle w:val="36"/>
              <w:spacing w:line="240" w:lineRule="exact"/>
              <w:jc w:val="center"/>
              <w:rPr>
                <w:bCs/>
                <w:color w:val="000000"/>
                <w:sz w:val="21"/>
                <w:szCs w:val="21"/>
              </w:rPr>
            </w:pPr>
          </w:p>
        </w:tc>
        <w:tc>
          <w:tcPr>
            <w:tcW w:w="1455" w:type="dxa"/>
            <w:vMerge w:val="continue"/>
            <w:noWrap w:val="0"/>
            <w:vAlign w:val="center"/>
          </w:tcPr>
          <w:p w14:paraId="65900E3A">
            <w:pPr>
              <w:pStyle w:val="36"/>
              <w:spacing w:line="240" w:lineRule="exact"/>
              <w:jc w:val="center"/>
              <w:rPr>
                <w:bCs/>
                <w:color w:val="000000"/>
                <w:sz w:val="21"/>
                <w:szCs w:val="21"/>
              </w:rPr>
            </w:pPr>
          </w:p>
        </w:tc>
      </w:tr>
      <w:tr w14:paraId="7799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exact"/>
          <w:jc w:val="center"/>
        </w:trPr>
        <w:tc>
          <w:tcPr>
            <w:tcW w:w="1318" w:type="dxa"/>
            <w:vMerge w:val="restart"/>
            <w:noWrap w:val="0"/>
            <w:vAlign w:val="center"/>
          </w:tcPr>
          <w:p w14:paraId="0E59FC0C">
            <w:pPr>
              <w:pStyle w:val="36"/>
              <w:spacing w:line="240" w:lineRule="exact"/>
              <w:jc w:val="center"/>
              <w:rPr>
                <w:bCs/>
                <w:color w:val="000000"/>
                <w:sz w:val="21"/>
                <w:szCs w:val="21"/>
              </w:rPr>
            </w:pPr>
            <w:r>
              <w:rPr>
                <w:rFonts w:hint="eastAsia"/>
                <w:bCs/>
                <w:color w:val="000000"/>
                <w:sz w:val="21"/>
                <w:szCs w:val="21"/>
              </w:rPr>
              <w:t>企业概况</w:t>
            </w:r>
          </w:p>
        </w:tc>
        <w:tc>
          <w:tcPr>
            <w:tcW w:w="1166" w:type="dxa"/>
            <w:tcBorders>
              <w:top w:val="nil"/>
            </w:tcBorders>
            <w:noWrap w:val="0"/>
            <w:vAlign w:val="center"/>
          </w:tcPr>
          <w:p w14:paraId="3106A722">
            <w:pPr>
              <w:pStyle w:val="36"/>
              <w:spacing w:line="240" w:lineRule="exact"/>
              <w:jc w:val="center"/>
              <w:rPr>
                <w:bCs/>
                <w:color w:val="000000"/>
                <w:sz w:val="21"/>
                <w:szCs w:val="21"/>
              </w:rPr>
            </w:pPr>
            <w:r>
              <w:rPr>
                <w:rFonts w:hint="eastAsia"/>
                <w:bCs/>
                <w:color w:val="000000"/>
                <w:sz w:val="21"/>
                <w:szCs w:val="21"/>
              </w:rPr>
              <w:t>职工人数</w:t>
            </w:r>
          </w:p>
        </w:tc>
        <w:tc>
          <w:tcPr>
            <w:tcW w:w="1843" w:type="dxa"/>
            <w:tcBorders>
              <w:top w:val="nil"/>
            </w:tcBorders>
            <w:noWrap w:val="0"/>
            <w:vAlign w:val="center"/>
          </w:tcPr>
          <w:p w14:paraId="600AC0DE">
            <w:pPr>
              <w:pStyle w:val="36"/>
              <w:spacing w:line="240" w:lineRule="exact"/>
              <w:jc w:val="center"/>
              <w:rPr>
                <w:bCs/>
                <w:color w:val="000000"/>
                <w:sz w:val="21"/>
                <w:szCs w:val="21"/>
              </w:rPr>
            </w:pPr>
          </w:p>
        </w:tc>
        <w:tc>
          <w:tcPr>
            <w:tcW w:w="1381" w:type="dxa"/>
            <w:tcBorders>
              <w:top w:val="nil"/>
            </w:tcBorders>
            <w:noWrap w:val="0"/>
            <w:vAlign w:val="center"/>
          </w:tcPr>
          <w:p w14:paraId="783DF5B1">
            <w:pPr>
              <w:pStyle w:val="36"/>
              <w:spacing w:before="0" w:beforeAutospacing="0" w:after="0" w:afterAutospacing="0" w:line="240" w:lineRule="exact"/>
              <w:jc w:val="center"/>
              <w:rPr>
                <w:bCs/>
                <w:color w:val="000000"/>
                <w:sz w:val="21"/>
                <w:szCs w:val="21"/>
              </w:rPr>
            </w:pPr>
            <w:r>
              <w:rPr>
                <w:rFonts w:hint="eastAsia"/>
                <w:bCs/>
                <w:color w:val="000000"/>
                <w:sz w:val="21"/>
                <w:szCs w:val="21"/>
              </w:rPr>
              <w:t>具备大专以上学历人数</w:t>
            </w:r>
          </w:p>
        </w:tc>
        <w:tc>
          <w:tcPr>
            <w:tcW w:w="1205" w:type="dxa"/>
            <w:tcBorders>
              <w:top w:val="nil"/>
            </w:tcBorders>
            <w:noWrap w:val="0"/>
            <w:vAlign w:val="center"/>
          </w:tcPr>
          <w:p w14:paraId="45376103">
            <w:pPr>
              <w:pStyle w:val="36"/>
              <w:spacing w:line="240" w:lineRule="exact"/>
              <w:jc w:val="center"/>
              <w:rPr>
                <w:bCs/>
                <w:color w:val="000000"/>
                <w:sz w:val="21"/>
                <w:szCs w:val="21"/>
              </w:rPr>
            </w:pPr>
          </w:p>
        </w:tc>
        <w:tc>
          <w:tcPr>
            <w:tcW w:w="1545" w:type="dxa"/>
            <w:noWrap w:val="0"/>
            <w:vAlign w:val="center"/>
          </w:tcPr>
          <w:p w14:paraId="6FF33697">
            <w:pPr>
              <w:pStyle w:val="36"/>
              <w:spacing w:line="240" w:lineRule="exact"/>
              <w:jc w:val="center"/>
              <w:rPr>
                <w:bCs/>
                <w:color w:val="000000"/>
                <w:sz w:val="21"/>
                <w:szCs w:val="21"/>
              </w:rPr>
            </w:pPr>
            <w:r>
              <w:rPr>
                <w:rFonts w:hint="eastAsia"/>
                <w:bCs/>
                <w:color w:val="000000"/>
                <w:sz w:val="21"/>
                <w:szCs w:val="21"/>
              </w:rPr>
              <w:t>国家授予技术职称人数</w:t>
            </w:r>
          </w:p>
        </w:tc>
        <w:tc>
          <w:tcPr>
            <w:tcW w:w="1455" w:type="dxa"/>
            <w:noWrap w:val="0"/>
            <w:vAlign w:val="center"/>
          </w:tcPr>
          <w:p w14:paraId="6787D531">
            <w:pPr>
              <w:pStyle w:val="36"/>
              <w:spacing w:line="240" w:lineRule="exact"/>
              <w:jc w:val="center"/>
              <w:rPr>
                <w:bCs/>
                <w:color w:val="000000"/>
                <w:sz w:val="21"/>
                <w:szCs w:val="21"/>
              </w:rPr>
            </w:pPr>
          </w:p>
        </w:tc>
      </w:tr>
      <w:tr w14:paraId="75A0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1318" w:type="dxa"/>
            <w:vMerge w:val="continue"/>
            <w:noWrap w:val="0"/>
            <w:vAlign w:val="center"/>
          </w:tcPr>
          <w:p w14:paraId="6D2F7492">
            <w:pPr>
              <w:pStyle w:val="36"/>
              <w:spacing w:line="240" w:lineRule="exact"/>
              <w:ind w:left="420"/>
              <w:jc w:val="center"/>
              <w:rPr>
                <w:bCs/>
                <w:color w:val="000000"/>
                <w:sz w:val="21"/>
                <w:szCs w:val="21"/>
              </w:rPr>
            </w:pPr>
          </w:p>
        </w:tc>
        <w:tc>
          <w:tcPr>
            <w:tcW w:w="1166" w:type="dxa"/>
            <w:noWrap w:val="0"/>
            <w:vAlign w:val="center"/>
          </w:tcPr>
          <w:p w14:paraId="1A5BCAEE">
            <w:pPr>
              <w:pStyle w:val="36"/>
              <w:spacing w:line="240" w:lineRule="exact"/>
              <w:jc w:val="center"/>
              <w:rPr>
                <w:bCs/>
                <w:color w:val="000000"/>
                <w:sz w:val="21"/>
                <w:szCs w:val="21"/>
              </w:rPr>
            </w:pPr>
            <w:r>
              <w:rPr>
                <w:rFonts w:hint="eastAsia"/>
                <w:bCs/>
                <w:color w:val="000000"/>
                <w:sz w:val="21"/>
                <w:szCs w:val="21"/>
              </w:rPr>
              <w:t>占地面积</w:t>
            </w:r>
          </w:p>
        </w:tc>
        <w:tc>
          <w:tcPr>
            <w:tcW w:w="1843" w:type="dxa"/>
            <w:noWrap w:val="0"/>
            <w:vAlign w:val="center"/>
          </w:tcPr>
          <w:p w14:paraId="1F0AFD4D">
            <w:pPr>
              <w:pStyle w:val="36"/>
              <w:spacing w:line="240" w:lineRule="exact"/>
              <w:jc w:val="center"/>
              <w:rPr>
                <w:bCs/>
                <w:color w:val="000000"/>
                <w:sz w:val="21"/>
                <w:szCs w:val="21"/>
              </w:rPr>
            </w:pPr>
          </w:p>
        </w:tc>
        <w:tc>
          <w:tcPr>
            <w:tcW w:w="1381" w:type="dxa"/>
            <w:noWrap w:val="0"/>
            <w:vAlign w:val="center"/>
          </w:tcPr>
          <w:p w14:paraId="3FB05A36">
            <w:pPr>
              <w:pStyle w:val="36"/>
              <w:spacing w:line="240" w:lineRule="exact"/>
              <w:jc w:val="center"/>
              <w:rPr>
                <w:bCs/>
                <w:color w:val="000000"/>
                <w:sz w:val="21"/>
                <w:szCs w:val="21"/>
              </w:rPr>
            </w:pPr>
            <w:r>
              <w:rPr>
                <w:rFonts w:hint="eastAsia"/>
                <w:bCs/>
                <w:color w:val="000000"/>
                <w:sz w:val="21"/>
                <w:szCs w:val="21"/>
              </w:rPr>
              <w:t>建筑面积</w:t>
            </w:r>
          </w:p>
        </w:tc>
        <w:tc>
          <w:tcPr>
            <w:tcW w:w="1205" w:type="dxa"/>
            <w:noWrap w:val="0"/>
            <w:vAlign w:val="center"/>
          </w:tcPr>
          <w:p w14:paraId="71F7DEF4">
            <w:pPr>
              <w:pStyle w:val="36"/>
              <w:spacing w:before="0" w:beforeAutospacing="0" w:after="0" w:afterAutospacing="0" w:line="240" w:lineRule="exact"/>
              <w:ind w:firstLine="315" w:firstLineChars="150"/>
              <w:rPr>
                <w:bCs/>
                <w:color w:val="000000"/>
                <w:sz w:val="21"/>
                <w:szCs w:val="21"/>
              </w:rPr>
            </w:pPr>
            <w:r>
              <w:rPr>
                <w:rFonts w:hint="eastAsia"/>
                <w:bCs/>
                <w:color w:val="000000"/>
                <w:sz w:val="21"/>
                <w:szCs w:val="21"/>
              </w:rPr>
              <w:t>平方米</w:t>
            </w:r>
          </w:p>
          <w:p w14:paraId="14801FFF">
            <w:pPr>
              <w:pStyle w:val="36"/>
              <w:spacing w:before="0" w:beforeAutospacing="0" w:after="0" w:afterAutospacing="0" w:line="240" w:lineRule="exact"/>
              <w:ind w:firstLine="420"/>
              <w:rPr>
                <w:bCs/>
                <w:color w:val="000000"/>
                <w:sz w:val="21"/>
                <w:szCs w:val="21"/>
              </w:rPr>
            </w:pPr>
          </w:p>
          <w:p w14:paraId="6CD69818">
            <w:pPr>
              <w:pStyle w:val="36"/>
              <w:spacing w:before="0" w:beforeAutospacing="0" w:after="0" w:afterAutospacing="0" w:line="240" w:lineRule="exact"/>
              <w:jc w:val="center"/>
              <w:rPr>
                <w:bCs/>
                <w:color w:val="000000"/>
                <w:sz w:val="21"/>
                <w:szCs w:val="21"/>
              </w:rPr>
            </w:pPr>
            <w:r>
              <w:rPr>
                <w:rFonts w:hint="eastAsia"/>
                <w:bCs/>
                <w:color w:val="000000"/>
                <w:sz w:val="21"/>
                <w:szCs w:val="21"/>
              </w:rPr>
              <w:t>□自有</w:t>
            </w:r>
          </w:p>
          <w:p w14:paraId="714022DD">
            <w:pPr>
              <w:pStyle w:val="36"/>
              <w:spacing w:before="0" w:beforeAutospacing="0" w:after="0" w:afterAutospacing="0" w:line="240" w:lineRule="exact"/>
              <w:jc w:val="center"/>
              <w:rPr>
                <w:bCs/>
                <w:color w:val="000000"/>
                <w:sz w:val="21"/>
                <w:szCs w:val="21"/>
              </w:rPr>
            </w:pPr>
            <w:r>
              <w:rPr>
                <w:rFonts w:hint="eastAsia"/>
                <w:bCs/>
                <w:color w:val="000000"/>
                <w:sz w:val="21"/>
                <w:szCs w:val="21"/>
              </w:rPr>
              <w:t>□租賃</w:t>
            </w:r>
          </w:p>
        </w:tc>
        <w:tc>
          <w:tcPr>
            <w:tcW w:w="1545" w:type="dxa"/>
            <w:noWrap w:val="0"/>
            <w:vAlign w:val="center"/>
          </w:tcPr>
          <w:p w14:paraId="73C1FBE2">
            <w:pPr>
              <w:pStyle w:val="36"/>
              <w:spacing w:line="240" w:lineRule="exact"/>
              <w:jc w:val="center"/>
              <w:rPr>
                <w:bCs/>
                <w:color w:val="000000"/>
                <w:sz w:val="21"/>
                <w:szCs w:val="21"/>
              </w:rPr>
            </w:pPr>
            <w:r>
              <w:rPr>
                <w:rFonts w:hint="eastAsia"/>
                <w:bCs/>
                <w:color w:val="000000"/>
                <w:sz w:val="21"/>
                <w:szCs w:val="21"/>
              </w:rPr>
              <w:t>生产经营场所及场所的设施与设备</w:t>
            </w:r>
          </w:p>
        </w:tc>
        <w:tc>
          <w:tcPr>
            <w:tcW w:w="1455" w:type="dxa"/>
            <w:noWrap w:val="0"/>
            <w:vAlign w:val="center"/>
          </w:tcPr>
          <w:p w14:paraId="02B003A4">
            <w:pPr>
              <w:pStyle w:val="36"/>
              <w:spacing w:before="0" w:beforeAutospacing="0" w:after="0" w:afterAutospacing="0" w:line="240" w:lineRule="exact"/>
              <w:jc w:val="center"/>
              <w:rPr>
                <w:bCs/>
                <w:color w:val="000000"/>
                <w:sz w:val="21"/>
                <w:szCs w:val="21"/>
              </w:rPr>
            </w:pPr>
          </w:p>
        </w:tc>
      </w:tr>
      <w:tr w14:paraId="691E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exact"/>
          <w:jc w:val="center"/>
        </w:trPr>
        <w:tc>
          <w:tcPr>
            <w:tcW w:w="1318" w:type="dxa"/>
            <w:vMerge w:val="continue"/>
            <w:noWrap w:val="0"/>
            <w:vAlign w:val="center"/>
          </w:tcPr>
          <w:p w14:paraId="715F426E">
            <w:pPr>
              <w:pStyle w:val="36"/>
              <w:spacing w:line="240" w:lineRule="exact"/>
              <w:ind w:left="420"/>
              <w:jc w:val="center"/>
              <w:rPr>
                <w:bCs/>
                <w:color w:val="000000"/>
                <w:sz w:val="21"/>
                <w:szCs w:val="21"/>
              </w:rPr>
            </w:pPr>
          </w:p>
        </w:tc>
        <w:tc>
          <w:tcPr>
            <w:tcW w:w="1166" w:type="dxa"/>
            <w:noWrap w:val="0"/>
            <w:vAlign w:val="center"/>
          </w:tcPr>
          <w:p w14:paraId="5ECD039E">
            <w:pPr>
              <w:pStyle w:val="36"/>
              <w:spacing w:line="240" w:lineRule="exact"/>
              <w:jc w:val="center"/>
              <w:rPr>
                <w:bCs/>
                <w:color w:val="000000"/>
                <w:sz w:val="21"/>
                <w:szCs w:val="21"/>
              </w:rPr>
            </w:pPr>
            <w:r>
              <w:rPr>
                <w:rFonts w:hint="eastAsia"/>
                <w:bCs/>
                <w:color w:val="000000"/>
                <w:sz w:val="21"/>
                <w:szCs w:val="21"/>
              </w:rPr>
              <w:t>注册资金</w:t>
            </w:r>
          </w:p>
        </w:tc>
        <w:tc>
          <w:tcPr>
            <w:tcW w:w="1843" w:type="dxa"/>
            <w:noWrap w:val="0"/>
            <w:vAlign w:val="center"/>
          </w:tcPr>
          <w:p w14:paraId="7EB2CBB2">
            <w:pPr>
              <w:pStyle w:val="36"/>
              <w:spacing w:line="240" w:lineRule="exact"/>
              <w:jc w:val="center"/>
              <w:rPr>
                <w:bCs/>
                <w:color w:val="000000"/>
                <w:sz w:val="21"/>
                <w:szCs w:val="21"/>
              </w:rPr>
            </w:pPr>
          </w:p>
        </w:tc>
        <w:tc>
          <w:tcPr>
            <w:tcW w:w="1381" w:type="dxa"/>
            <w:noWrap w:val="0"/>
            <w:vAlign w:val="center"/>
          </w:tcPr>
          <w:p w14:paraId="2FC78874">
            <w:pPr>
              <w:pStyle w:val="36"/>
              <w:spacing w:line="240" w:lineRule="exact"/>
              <w:ind w:left="-46" w:leftChars="-22" w:right="-53" w:rightChars="-25"/>
              <w:jc w:val="center"/>
              <w:rPr>
                <w:bCs/>
                <w:color w:val="000000"/>
                <w:sz w:val="21"/>
                <w:szCs w:val="21"/>
              </w:rPr>
            </w:pPr>
            <w:r>
              <w:rPr>
                <w:rFonts w:hint="eastAsia"/>
                <w:bCs/>
                <w:color w:val="000000"/>
                <w:sz w:val="21"/>
                <w:szCs w:val="21"/>
              </w:rPr>
              <w:t>注册发证机关</w:t>
            </w:r>
          </w:p>
        </w:tc>
        <w:tc>
          <w:tcPr>
            <w:tcW w:w="1205" w:type="dxa"/>
            <w:noWrap w:val="0"/>
            <w:vAlign w:val="center"/>
          </w:tcPr>
          <w:p w14:paraId="77634E37">
            <w:pPr>
              <w:pStyle w:val="36"/>
              <w:spacing w:line="240" w:lineRule="exact"/>
              <w:jc w:val="center"/>
              <w:rPr>
                <w:bCs/>
                <w:color w:val="000000"/>
                <w:sz w:val="21"/>
                <w:szCs w:val="21"/>
              </w:rPr>
            </w:pPr>
          </w:p>
        </w:tc>
        <w:tc>
          <w:tcPr>
            <w:tcW w:w="1545" w:type="dxa"/>
            <w:noWrap w:val="0"/>
            <w:vAlign w:val="center"/>
          </w:tcPr>
          <w:p w14:paraId="3F0BB549">
            <w:pPr>
              <w:pStyle w:val="36"/>
              <w:spacing w:line="240" w:lineRule="exact"/>
              <w:ind w:left="-15" w:leftChars="-7"/>
              <w:jc w:val="center"/>
              <w:rPr>
                <w:bCs/>
                <w:color w:val="000000"/>
                <w:sz w:val="21"/>
                <w:szCs w:val="21"/>
              </w:rPr>
            </w:pPr>
            <w:r>
              <w:rPr>
                <w:rFonts w:hint="eastAsia"/>
                <w:bCs/>
                <w:color w:val="000000"/>
                <w:sz w:val="21"/>
                <w:szCs w:val="21"/>
              </w:rPr>
              <w:t>公司成立时间</w:t>
            </w:r>
          </w:p>
        </w:tc>
        <w:tc>
          <w:tcPr>
            <w:tcW w:w="1455" w:type="dxa"/>
            <w:noWrap w:val="0"/>
            <w:vAlign w:val="center"/>
          </w:tcPr>
          <w:p w14:paraId="2BF7E77D">
            <w:pPr>
              <w:pStyle w:val="36"/>
              <w:spacing w:line="240" w:lineRule="exact"/>
              <w:jc w:val="center"/>
              <w:rPr>
                <w:bCs/>
                <w:color w:val="000000"/>
                <w:sz w:val="21"/>
                <w:szCs w:val="21"/>
              </w:rPr>
            </w:pPr>
          </w:p>
        </w:tc>
      </w:tr>
      <w:tr w14:paraId="6A32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exact"/>
          <w:jc w:val="center"/>
        </w:trPr>
        <w:tc>
          <w:tcPr>
            <w:tcW w:w="1318" w:type="dxa"/>
            <w:vMerge w:val="continue"/>
            <w:noWrap w:val="0"/>
            <w:vAlign w:val="center"/>
          </w:tcPr>
          <w:p w14:paraId="2A133005">
            <w:pPr>
              <w:pStyle w:val="36"/>
              <w:spacing w:line="240" w:lineRule="exact"/>
              <w:ind w:left="420"/>
              <w:jc w:val="center"/>
              <w:rPr>
                <w:bCs/>
                <w:color w:val="000000"/>
                <w:sz w:val="21"/>
                <w:szCs w:val="21"/>
              </w:rPr>
            </w:pPr>
          </w:p>
        </w:tc>
        <w:tc>
          <w:tcPr>
            <w:tcW w:w="1166" w:type="dxa"/>
            <w:noWrap w:val="0"/>
            <w:vAlign w:val="center"/>
          </w:tcPr>
          <w:p w14:paraId="395DA60D">
            <w:pPr>
              <w:pStyle w:val="36"/>
              <w:spacing w:line="240" w:lineRule="exact"/>
              <w:jc w:val="center"/>
              <w:rPr>
                <w:bCs/>
                <w:color w:val="000000"/>
                <w:sz w:val="21"/>
                <w:szCs w:val="21"/>
              </w:rPr>
            </w:pPr>
            <w:r>
              <w:rPr>
                <w:rFonts w:hint="eastAsia"/>
                <w:bCs/>
                <w:color w:val="000000"/>
                <w:sz w:val="21"/>
                <w:szCs w:val="21"/>
              </w:rPr>
              <w:t>核准经营范围</w:t>
            </w:r>
          </w:p>
        </w:tc>
        <w:tc>
          <w:tcPr>
            <w:tcW w:w="7429" w:type="dxa"/>
            <w:gridSpan w:val="5"/>
            <w:noWrap w:val="0"/>
            <w:vAlign w:val="center"/>
          </w:tcPr>
          <w:p w14:paraId="3AE21C10">
            <w:pPr>
              <w:pStyle w:val="36"/>
              <w:spacing w:line="240" w:lineRule="exact"/>
              <w:ind w:left="420"/>
              <w:jc w:val="center"/>
              <w:rPr>
                <w:bCs/>
                <w:color w:val="000000"/>
                <w:sz w:val="21"/>
                <w:szCs w:val="21"/>
              </w:rPr>
            </w:pPr>
          </w:p>
        </w:tc>
      </w:tr>
      <w:tr w14:paraId="3400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318" w:type="dxa"/>
            <w:vMerge w:val="continue"/>
            <w:noWrap w:val="0"/>
            <w:vAlign w:val="center"/>
          </w:tcPr>
          <w:p w14:paraId="7EE14E61">
            <w:pPr>
              <w:pStyle w:val="36"/>
              <w:spacing w:line="240" w:lineRule="exact"/>
              <w:ind w:left="420"/>
              <w:jc w:val="center"/>
              <w:rPr>
                <w:bCs/>
                <w:color w:val="000000"/>
                <w:sz w:val="21"/>
                <w:szCs w:val="21"/>
              </w:rPr>
            </w:pPr>
          </w:p>
        </w:tc>
        <w:tc>
          <w:tcPr>
            <w:tcW w:w="8595" w:type="dxa"/>
            <w:gridSpan w:val="6"/>
            <w:noWrap w:val="0"/>
            <w:vAlign w:val="center"/>
          </w:tcPr>
          <w:p w14:paraId="5584F3BD">
            <w:pPr>
              <w:pStyle w:val="36"/>
              <w:spacing w:line="240" w:lineRule="exact"/>
              <w:rPr>
                <w:bCs/>
                <w:color w:val="000000"/>
                <w:sz w:val="21"/>
                <w:szCs w:val="21"/>
              </w:rPr>
            </w:pPr>
            <w:r>
              <w:rPr>
                <w:rFonts w:hint="eastAsia"/>
                <w:bCs/>
                <w:color w:val="000000"/>
                <w:sz w:val="21"/>
                <w:szCs w:val="21"/>
              </w:rPr>
              <w:t>发展历程及主要荣誉：</w:t>
            </w:r>
          </w:p>
        </w:tc>
      </w:tr>
    </w:tbl>
    <w:p w14:paraId="6702423C">
      <w:pPr>
        <w:spacing w:line="360" w:lineRule="auto"/>
        <w:rPr>
          <w:color w:val="000000"/>
          <w:sz w:val="24"/>
        </w:rPr>
      </w:pPr>
    </w:p>
    <w:p w14:paraId="54DA8137">
      <w:pPr>
        <w:spacing w:line="360" w:lineRule="auto"/>
        <w:rPr>
          <w:color w:val="000000"/>
          <w:sz w:val="24"/>
        </w:rPr>
      </w:pPr>
    </w:p>
    <w:p w14:paraId="56EB0C59">
      <w:pPr>
        <w:spacing w:line="360" w:lineRule="auto"/>
        <w:ind w:firstLine="424" w:firstLineChars="177"/>
        <w:jc w:val="center"/>
        <w:rPr>
          <w:color w:val="000000"/>
          <w:sz w:val="24"/>
          <w:u w:val="single"/>
        </w:rPr>
      </w:pPr>
      <w:r>
        <w:rPr>
          <w:rFonts w:hint="eastAsia" w:ascii="宋体" w:hAnsi="宋体"/>
          <w:color w:val="000000"/>
          <w:sz w:val="24"/>
          <w:lang w:val="en-US" w:eastAsia="zh-CN"/>
        </w:rPr>
        <w:t>谈判</w:t>
      </w:r>
      <w:r>
        <w:rPr>
          <w:rFonts w:hint="eastAsia" w:ascii="宋体" w:hAnsi="宋体"/>
          <w:color w:val="000000"/>
          <w:sz w:val="24"/>
        </w:rPr>
        <w:t>供应商名称（</w:t>
      </w:r>
      <w:r>
        <w:rPr>
          <w:rFonts w:hint="eastAsia" w:hAnsi="宋体"/>
          <w:sz w:val="24"/>
          <w:lang w:val="zh-CN"/>
        </w:rPr>
        <w:t>盖单位章</w:t>
      </w:r>
      <w:r>
        <w:rPr>
          <w:rFonts w:hint="eastAsia" w:ascii="宋体" w:hAnsi="宋体"/>
          <w:color w:val="000000"/>
          <w:sz w:val="24"/>
        </w:rPr>
        <w:t>）</w:t>
      </w:r>
      <w:r>
        <w:rPr>
          <w:rFonts w:hint="eastAsia"/>
          <w:color w:val="000000"/>
          <w:sz w:val="24"/>
        </w:rPr>
        <w:t>：</w:t>
      </w:r>
    </w:p>
    <w:p w14:paraId="6C08E2BD">
      <w:pPr>
        <w:spacing w:line="360" w:lineRule="auto"/>
        <w:ind w:left="420"/>
        <w:jc w:val="center"/>
        <w:rPr>
          <w:color w:val="000000"/>
          <w:sz w:val="24"/>
        </w:rPr>
      </w:pPr>
    </w:p>
    <w:p w14:paraId="37FC5348">
      <w:pPr>
        <w:spacing w:line="360" w:lineRule="auto"/>
        <w:ind w:firstLine="424" w:firstLineChars="177"/>
        <w:jc w:val="center"/>
        <w:rPr>
          <w:color w:val="000000"/>
          <w:sz w:val="24"/>
        </w:rPr>
      </w:pPr>
      <w:r>
        <w:rPr>
          <w:rFonts w:hint="eastAsia" w:ascii="Arial" w:hAnsi="Arial" w:cs="Arial"/>
          <w:color w:val="000000"/>
          <w:sz w:val="24"/>
        </w:rPr>
        <w:t>法定代表人</w:t>
      </w:r>
      <w:r>
        <w:rPr>
          <w:rFonts w:hint="eastAsia"/>
          <w:color w:val="000000"/>
          <w:sz w:val="24"/>
          <w:lang w:val="zh-CN"/>
        </w:rPr>
        <w:t>(</w:t>
      </w:r>
      <w:r>
        <w:rPr>
          <w:rFonts w:hint="eastAsia"/>
          <w:color w:val="000000"/>
          <w:sz w:val="24"/>
        </w:rPr>
        <w:t>签字或盖章</w:t>
      </w:r>
      <w:r>
        <w:rPr>
          <w:rFonts w:hint="eastAsia"/>
          <w:color w:val="000000"/>
          <w:sz w:val="24"/>
          <w:lang w:val="zh-CN"/>
        </w:rPr>
        <w:t>)或授权委托人(签字)：</w:t>
      </w:r>
    </w:p>
    <w:p w14:paraId="0761B405">
      <w:pPr>
        <w:spacing w:line="360" w:lineRule="auto"/>
        <w:ind w:firstLine="435"/>
        <w:jc w:val="center"/>
        <w:rPr>
          <w:color w:val="000000"/>
          <w:sz w:val="24"/>
        </w:rPr>
      </w:pPr>
    </w:p>
    <w:p w14:paraId="11DCD6C5">
      <w:pPr>
        <w:pStyle w:val="36"/>
        <w:spacing w:before="0" w:beforeAutospacing="0" w:after="0" w:afterAutospacing="0" w:line="360" w:lineRule="auto"/>
        <w:ind w:firstLine="424" w:firstLineChars="177"/>
        <w:jc w:val="center"/>
        <w:rPr>
          <w:b/>
          <w:bCs/>
          <w:color w:val="000000"/>
          <w:spacing w:val="11"/>
        </w:rPr>
      </w:pPr>
      <w:r>
        <w:rPr>
          <w:rFonts w:hint="eastAsia"/>
          <w:color w:val="000000"/>
        </w:rPr>
        <w:t>日 期：</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14:paraId="1F6163E1">
      <w:pPr>
        <w:jc w:val="center"/>
        <w:rPr>
          <w:rFonts w:hint="eastAsia"/>
        </w:rPr>
        <w:sectPr>
          <w:pgSz w:w="11906" w:h="16838"/>
          <w:pgMar w:top="1440" w:right="1587" w:bottom="1440" w:left="1587" w:header="851" w:footer="992" w:gutter="0"/>
          <w:cols w:space="720" w:num="1"/>
          <w:docGrid w:type="lines" w:linePitch="312" w:charSpace="0"/>
        </w:sectPr>
      </w:pPr>
    </w:p>
    <w:p w14:paraId="38215B42">
      <w:pPr>
        <w:rPr>
          <w:rFonts w:ascii="宋体"/>
          <w:b/>
          <w:sz w:val="24"/>
          <w:lang w:val="zh-CN"/>
        </w:rPr>
      </w:pPr>
      <w:r>
        <w:rPr>
          <w:rFonts w:hint="eastAsia" w:ascii="宋体"/>
          <w:b/>
          <w:sz w:val="24"/>
          <w:lang w:val="zh-CN"/>
        </w:rPr>
        <w:t>附件</w:t>
      </w:r>
      <w:r>
        <w:rPr>
          <w:rFonts w:hint="eastAsia" w:ascii="宋体"/>
          <w:b/>
          <w:sz w:val="24"/>
          <w:lang w:val="en-US" w:eastAsia="zh-CN"/>
        </w:rPr>
        <w:t>8</w:t>
      </w:r>
      <w:r>
        <w:rPr>
          <w:rFonts w:hint="eastAsia" w:ascii="宋体"/>
          <w:b/>
          <w:sz w:val="24"/>
          <w:lang w:val="zh-CN"/>
        </w:rPr>
        <w:t>：</w:t>
      </w:r>
    </w:p>
    <w:p w14:paraId="7A47C6B9">
      <w:pPr>
        <w:spacing w:afterLines="100" w:line="600" w:lineRule="exact"/>
        <w:ind w:firstLine="723"/>
        <w:jc w:val="center"/>
        <w:rPr>
          <w:rFonts w:ascii="宋体" w:hAnsi="宋体"/>
          <w:b/>
          <w:kern w:val="0"/>
          <w:sz w:val="32"/>
          <w:szCs w:val="32"/>
        </w:rPr>
      </w:pPr>
      <w:r>
        <w:rPr>
          <w:rFonts w:hint="eastAsia" w:ascii="宋体" w:hAnsi="宋体"/>
          <w:b/>
          <w:kern w:val="0"/>
          <w:sz w:val="32"/>
          <w:szCs w:val="32"/>
        </w:rPr>
        <w:t>商务响应承诺函</w:t>
      </w:r>
    </w:p>
    <w:p w14:paraId="750C8737">
      <w:pPr>
        <w:snapToGrid w:val="0"/>
        <w:spacing w:line="480" w:lineRule="auto"/>
        <w:rPr>
          <w:rFonts w:ascii="宋体" w:hAnsi="宋体"/>
          <w:sz w:val="24"/>
        </w:rPr>
      </w:pPr>
      <w:r>
        <w:rPr>
          <w:rFonts w:hint="eastAsia" w:ascii="宋体" w:hAnsi="宋体"/>
          <w:kern w:val="0"/>
          <w:sz w:val="24"/>
          <w:lang w:eastAsia="zh-CN"/>
        </w:rPr>
        <w:t>浙江神仙居体育发展有限公司</w:t>
      </w:r>
      <w:r>
        <w:rPr>
          <w:rFonts w:hint="eastAsia" w:ascii="宋体" w:hAnsi="宋体"/>
          <w:kern w:val="0"/>
          <w:sz w:val="24"/>
        </w:rPr>
        <w:t>：</w:t>
      </w:r>
    </w:p>
    <w:p w14:paraId="55B13E79">
      <w:pPr>
        <w:pStyle w:val="10"/>
        <w:adjustRightInd w:val="0"/>
        <w:snapToGrid w:val="0"/>
        <w:spacing w:line="480" w:lineRule="auto"/>
        <w:ind w:firstLine="482"/>
        <w:rPr>
          <w:rFonts w:hAnsi="宋体"/>
        </w:rPr>
      </w:pPr>
      <w:r>
        <w:rPr>
          <w:rFonts w:hint="eastAsia" w:hAnsi="宋体"/>
        </w:rPr>
        <w:t>本公司参加</w:t>
      </w:r>
      <w:r>
        <w:rPr>
          <w:rFonts w:hint="eastAsia"/>
          <w:u w:val="single" w:color="000000"/>
          <w:lang w:eastAsia="zh-CN"/>
        </w:rPr>
        <w:t>神仙居仙侠演艺餐厅厨房设备采购（非政府采购类）</w:t>
      </w:r>
      <w:r>
        <w:rPr>
          <w:rFonts w:hint="eastAsia" w:hAnsi="宋体"/>
        </w:rPr>
        <w:t>的采购活动，现承诺我公司完全响应采购文件中要求的所有商务响应条款。</w:t>
      </w:r>
    </w:p>
    <w:p w14:paraId="662350D2">
      <w:pPr>
        <w:adjustRightInd w:val="0"/>
        <w:snapToGrid w:val="0"/>
        <w:spacing w:line="480" w:lineRule="auto"/>
        <w:ind w:firstLine="482"/>
        <w:jc w:val="left"/>
        <w:rPr>
          <w:rFonts w:ascii="宋体" w:hAnsi="宋体" w:cs="宋体"/>
          <w:sz w:val="24"/>
        </w:rPr>
      </w:pPr>
      <w:r>
        <w:rPr>
          <w:rFonts w:hint="eastAsia" w:ascii="宋体" w:hAnsi="宋体" w:cs="宋体"/>
          <w:sz w:val="24"/>
        </w:rPr>
        <w:t>如本公司对以上内容虚假承诺，愿承担一切法律责任。</w:t>
      </w:r>
    </w:p>
    <w:p w14:paraId="0C11FDA1">
      <w:pPr>
        <w:pStyle w:val="10"/>
        <w:spacing w:line="480" w:lineRule="auto"/>
        <w:ind w:firstLine="480"/>
      </w:pPr>
    </w:p>
    <w:p w14:paraId="60597F32">
      <w:pPr>
        <w:pStyle w:val="10"/>
        <w:spacing w:line="480" w:lineRule="auto"/>
        <w:ind w:firstLine="480"/>
      </w:pPr>
    </w:p>
    <w:p w14:paraId="345E74C5">
      <w:pPr>
        <w:snapToGrid w:val="0"/>
        <w:spacing w:line="480" w:lineRule="auto"/>
        <w:ind w:firstLine="480"/>
        <w:jc w:val="left"/>
        <w:rPr>
          <w:rFonts w:ascii="宋体" w:hAnsi="宋体" w:cs="宋体"/>
          <w:sz w:val="24"/>
        </w:rPr>
      </w:pPr>
      <w:r>
        <w:rPr>
          <w:rFonts w:hint="eastAsia" w:ascii="宋体" w:hAnsi="宋体" w:cs="宋体"/>
          <w:sz w:val="24"/>
        </w:rPr>
        <w:t xml:space="preserve">                              承诺人 (盖单位章)： </w:t>
      </w:r>
    </w:p>
    <w:p w14:paraId="0EC41489">
      <w:pPr>
        <w:pStyle w:val="10"/>
        <w:spacing w:line="480" w:lineRule="auto"/>
        <w:ind w:firstLine="480"/>
        <w:jc w:val="center"/>
        <w:rPr>
          <w:rFonts w:hAnsi="宋体" w:cs="宋体"/>
          <w:bCs/>
        </w:rPr>
      </w:pPr>
    </w:p>
    <w:p w14:paraId="38CAAFBA">
      <w:pPr>
        <w:pStyle w:val="15"/>
        <w:spacing w:line="480" w:lineRule="auto"/>
        <w:jc w:val="center"/>
        <w:rPr>
          <w:rFonts w:hAnsi="宋体"/>
          <w:sz w:val="24"/>
          <w:lang w:val="zh-CN"/>
        </w:rPr>
      </w:pPr>
      <w:r>
        <w:rPr>
          <w:rFonts w:hint="eastAsia" w:hAnsi="宋体" w:cs="宋体"/>
          <w:bCs/>
          <w:sz w:val="24"/>
        </w:rPr>
        <w:t xml:space="preserve">      日　期：</w:t>
      </w:r>
    </w:p>
    <w:p w14:paraId="5BE9FC91">
      <w:pPr>
        <w:rPr>
          <w:rFonts w:ascii="宋体"/>
          <w:sz w:val="24"/>
        </w:rPr>
      </w:pPr>
    </w:p>
    <w:p w14:paraId="72BDE809">
      <w:pPr>
        <w:rPr>
          <w:rFonts w:hAnsi="宋体"/>
          <w:b/>
          <w:sz w:val="24"/>
        </w:rPr>
      </w:pPr>
      <w:r>
        <w:rPr>
          <w:rFonts w:ascii="宋体"/>
          <w:sz w:val="24"/>
        </w:rPr>
        <w:br w:type="page"/>
      </w:r>
      <w:r>
        <w:rPr>
          <w:rFonts w:hint="eastAsia" w:hAnsi="宋体"/>
          <w:b/>
          <w:sz w:val="24"/>
        </w:rPr>
        <w:t>附件</w:t>
      </w:r>
      <w:r>
        <w:rPr>
          <w:rFonts w:hint="eastAsia" w:hAnsi="宋体"/>
          <w:b/>
          <w:sz w:val="24"/>
          <w:lang w:val="en-US" w:eastAsia="zh-CN"/>
        </w:rPr>
        <w:t>9</w:t>
      </w:r>
      <w:r>
        <w:rPr>
          <w:rFonts w:hint="eastAsia" w:hAnsi="宋体"/>
          <w:b/>
          <w:sz w:val="24"/>
        </w:rPr>
        <w:t>：</w:t>
      </w:r>
    </w:p>
    <w:p w14:paraId="67D0B88E">
      <w:pPr>
        <w:pStyle w:val="15"/>
        <w:spacing w:line="360" w:lineRule="auto"/>
        <w:jc w:val="center"/>
        <w:outlineLvl w:val="1"/>
        <w:rPr>
          <w:rFonts w:hAnsi="宋体"/>
          <w:b/>
          <w:sz w:val="24"/>
        </w:rPr>
      </w:pPr>
      <w:r>
        <w:rPr>
          <w:rFonts w:hint="eastAsia" w:hAnsi="宋体" w:cs="宋体"/>
          <w:b/>
          <w:sz w:val="32"/>
          <w:szCs w:val="32"/>
        </w:rPr>
        <w:t>技术响应表</w:t>
      </w:r>
    </w:p>
    <w:tbl>
      <w:tblPr>
        <w:tblStyle w:val="27"/>
        <w:tblW w:w="92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626"/>
        <w:gridCol w:w="1320"/>
        <w:gridCol w:w="1638"/>
        <w:gridCol w:w="1667"/>
        <w:gridCol w:w="1321"/>
        <w:gridCol w:w="1017"/>
      </w:tblGrid>
      <w:tr w14:paraId="097C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0" w:type="dxa"/>
            <w:vAlign w:val="center"/>
          </w:tcPr>
          <w:p w14:paraId="536E922D">
            <w:pPr>
              <w:spacing w:line="360" w:lineRule="auto"/>
              <w:jc w:val="center"/>
              <w:rPr>
                <w:rFonts w:ascii="宋体" w:hAnsi="宋体" w:cs="宋体"/>
                <w:b/>
                <w:sz w:val="24"/>
              </w:rPr>
            </w:pPr>
            <w:r>
              <w:rPr>
                <w:rFonts w:hint="eastAsia" w:ascii="宋体" w:hAnsi="宋体" w:cs="宋体"/>
                <w:b/>
                <w:sz w:val="24"/>
              </w:rPr>
              <w:t>序号</w:t>
            </w:r>
          </w:p>
        </w:tc>
        <w:tc>
          <w:tcPr>
            <w:tcW w:w="1626" w:type="dxa"/>
            <w:vAlign w:val="center"/>
          </w:tcPr>
          <w:p w14:paraId="301AAE38">
            <w:pPr>
              <w:spacing w:line="360" w:lineRule="auto"/>
              <w:jc w:val="center"/>
              <w:rPr>
                <w:rFonts w:ascii="宋体" w:hAnsi="宋体" w:cs="宋体"/>
                <w:b/>
                <w:sz w:val="24"/>
              </w:rPr>
            </w:pPr>
            <w:r>
              <w:rPr>
                <w:rFonts w:hint="eastAsia" w:ascii="宋体" w:hAnsi="宋体" w:cs="宋体"/>
                <w:b/>
                <w:sz w:val="24"/>
              </w:rPr>
              <w:t>产品名称</w:t>
            </w:r>
          </w:p>
        </w:tc>
        <w:tc>
          <w:tcPr>
            <w:tcW w:w="1320" w:type="dxa"/>
            <w:vAlign w:val="center"/>
          </w:tcPr>
          <w:p w14:paraId="6AFB92FD">
            <w:pPr>
              <w:spacing w:line="360" w:lineRule="auto"/>
              <w:ind w:left="52"/>
              <w:jc w:val="center"/>
              <w:rPr>
                <w:rFonts w:ascii="宋体" w:hAnsi="宋体" w:cs="宋体"/>
                <w:b/>
                <w:sz w:val="24"/>
              </w:rPr>
            </w:pPr>
            <w:r>
              <w:rPr>
                <w:rFonts w:hint="eastAsia" w:ascii="宋体" w:hAnsi="宋体" w:cs="宋体"/>
                <w:b/>
                <w:sz w:val="24"/>
              </w:rPr>
              <w:t>规格型号及功能要求</w:t>
            </w:r>
          </w:p>
        </w:tc>
        <w:tc>
          <w:tcPr>
            <w:tcW w:w="1638" w:type="dxa"/>
            <w:vAlign w:val="center"/>
          </w:tcPr>
          <w:p w14:paraId="239C3CE8">
            <w:pPr>
              <w:spacing w:line="360" w:lineRule="auto"/>
              <w:ind w:left="152"/>
              <w:jc w:val="center"/>
              <w:rPr>
                <w:rFonts w:ascii="宋体" w:hAnsi="宋体" w:cs="宋体"/>
                <w:b/>
                <w:sz w:val="24"/>
              </w:rPr>
            </w:pPr>
            <w:r>
              <w:rPr>
                <w:rFonts w:hint="eastAsia" w:ascii="宋体" w:hAnsi="宋体" w:cs="宋体"/>
                <w:b/>
                <w:sz w:val="24"/>
              </w:rPr>
              <w:t>招标参数</w:t>
            </w:r>
          </w:p>
        </w:tc>
        <w:tc>
          <w:tcPr>
            <w:tcW w:w="1667" w:type="dxa"/>
            <w:vAlign w:val="center"/>
          </w:tcPr>
          <w:p w14:paraId="5CAE7B6D">
            <w:pPr>
              <w:spacing w:line="360" w:lineRule="auto"/>
              <w:jc w:val="center"/>
              <w:rPr>
                <w:rFonts w:ascii="宋体" w:hAnsi="宋体" w:cs="宋体"/>
                <w:b/>
                <w:sz w:val="24"/>
              </w:rPr>
            </w:pPr>
            <w:r>
              <w:rPr>
                <w:rFonts w:hint="eastAsia" w:ascii="宋体" w:hAnsi="宋体" w:cs="宋体"/>
                <w:b/>
                <w:sz w:val="24"/>
              </w:rPr>
              <w:t>投标参数</w:t>
            </w:r>
          </w:p>
        </w:tc>
        <w:tc>
          <w:tcPr>
            <w:tcW w:w="1321" w:type="dxa"/>
            <w:vAlign w:val="center"/>
          </w:tcPr>
          <w:p w14:paraId="6E414606">
            <w:pPr>
              <w:spacing w:line="360" w:lineRule="auto"/>
              <w:jc w:val="center"/>
              <w:rPr>
                <w:rFonts w:ascii="宋体" w:hAnsi="宋体" w:cs="宋体"/>
                <w:b/>
                <w:sz w:val="24"/>
              </w:rPr>
            </w:pPr>
            <w:r>
              <w:rPr>
                <w:rFonts w:hint="eastAsia" w:ascii="宋体" w:hAnsi="宋体" w:cs="宋体"/>
                <w:b/>
                <w:sz w:val="24"/>
              </w:rPr>
              <w:t>偏离情况</w:t>
            </w:r>
          </w:p>
        </w:tc>
        <w:tc>
          <w:tcPr>
            <w:tcW w:w="1017" w:type="dxa"/>
            <w:vAlign w:val="center"/>
          </w:tcPr>
          <w:p w14:paraId="2ED57C1E">
            <w:pPr>
              <w:spacing w:line="360" w:lineRule="auto"/>
              <w:jc w:val="center"/>
              <w:rPr>
                <w:rFonts w:ascii="宋体" w:hAnsi="宋体" w:cs="宋体"/>
                <w:b/>
                <w:sz w:val="24"/>
              </w:rPr>
            </w:pPr>
            <w:r>
              <w:rPr>
                <w:rFonts w:hint="eastAsia" w:ascii="宋体" w:hAnsi="宋体" w:cs="宋体"/>
                <w:b/>
                <w:sz w:val="24"/>
              </w:rPr>
              <w:t>备注</w:t>
            </w:r>
          </w:p>
        </w:tc>
      </w:tr>
      <w:tr w14:paraId="1651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70" w:type="dxa"/>
            <w:vAlign w:val="center"/>
          </w:tcPr>
          <w:p w14:paraId="1F391B38">
            <w:pPr>
              <w:spacing w:line="360" w:lineRule="auto"/>
              <w:rPr>
                <w:rFonts w:ascii="宋体" w:hAnsi="宋体" w:cs="宋体"/>
                <w:sz w:val="24"/>
              </w:rPr>
            </w:pPr>
          </w:p>
        </w:tc>
        <w:tc>
          <w:tcPr>
            <w:tcW w:w="1626" w:type="dxa"/>
            <w:vAlign w:val="center"/>
          </w:tcPr>
          <w:p w14:paraId="64C8268D">
            <w:pPr>
              <w:spacing w:line="360" w:lineRule="auto"/>
              <w:rPr>
                <w:rFonts w:ascii="宋体" w:hAnsi="宋体" w:cs="宋体"/>
                <w:sz w:val="24"/>
              </w:rPr>
            </w:pPr>
          </w:p>
        </w:tc>
        <w:tc>
          <w:tcPr>
            <w:tcW w:w="1320" w:type="dxa"/>
            <w:vAlign w:val="center"/>
          </w:tcPr>
          <w:p w14:paraId="1E285BA4">
            <w:pPr>
              <w:spacing w:line="360" w:lineRule="auto"/>
              <w:rPr>
                <w:rFonts w:ascii="宋体" w:hAnsi="宋体" w:cs="宋体"/>
                <w:sz w:val="24"/>
              </w:rPr>
            </w:pPr>
          </w:p>
        </w:tc>
        <w:tc>
          <w:tcPr>
            <w:tcW w:w="1638" w:type="dxa"/>
            <w:vAlign w:val="center"/>
          </w:tcPr>
          <w:p w14:paraId="6B56606E">
            <w:pPr>
              <w:spacing w:line="360" w:lineRule="auto"/>
              <w:rPr>
                <w:rFonts w:ascii="宋体" w:hAnsi="宋体" w:cs="宋体"/>
                <w:sz w:val="24"/>
              </w:rPr>
            </w:pPr>
          </w:p>
        </w:tc>
        <w:tc>
          <w:tcPr>
            <w:tcW w:w="1667" w:type="dxa"/>
            <w:vAlign w:val="center"/>
          </w:tcPr>
          <w:p w14:paraId="3BF37149">
            <w:pPr>
              <w:spacing w:line="360" w:lineRule="auto"/>
              <w:rPr>
                <w:rFonts w:ascii="宋体" w:hAnsi="宋体" w:cs="宋体"/>
                <w:sz w:val="24"/>
              </w:rPr>
            </w:pPr>
          </w:p>
        </w:tc>
        <w:tc>
          <w:tcPr>
            <w:tcW w:w="1321" w:type="dxa"/>
            <w:vAlign w:val="center"/>
          </w:tcPr>
          <w:p w14:paraId="0CEF71F0">
            <w:pPr>
              <w:spacing w:line="360" w:lineRule="auto"/>
              <w:rPr>
                <w:rFonts w:ascii="宋体" w:hAnsi="宋体" w:cs="宋体"/>
                <w:sz w:val="24"/>
              </w:rPr>
            </w:pPr>
          </w:p>
        </w:tc>
        <w:tc>
          <w:tcPr>
            <w:tcW w:w="1017" w:type="dxa"/>
            <w:vAlign w:val="center"/>
          </w:tcPr>
          <w:p w14:paraId="5453FF00">
            <w:pPr>
              <w:spacing w:line="360" w:lineRule="auto"/>
              <w:rPr>
                <w:rFonts w:ascii="宋体" w:hAnsi="宋体" w:cs="宋体"/>
                <w:sz w:val="24"/>
              </w:rPr>
            </w:pPr>
          </w:p>
        </w:tc>
      </w:tr>
      <w:tr w14:paraId="4543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0" w:type="dxa"/>
            <w:vAlign w:val="center"/>
          </w:tcPr>
          <w:p w14:paraId="7796F03B">
            <w:pPr>
              <w:spacing w:line="360" w:lineRule="auto"/>
              <w:rPr>
                <w:rFonts w:ascii="宋体" w:hAnsi="宋体" w:cs="宋体"/>
                <w:sz w:val="24"/>
              </w:rPr>
            </w:pPr>
          </w:p>
        </w:tc>
        <w:tc>
          <w:tcPr>
            <w:tcW w:w="1626" w:type="dxa"/>
            <w:vAlign w:val="center"/>
          </w:tcPr>
          <w:p w14:paraId="518DDBB7">
            <w:pPr>
              <w:spacing w:line="360" w:lineRule="auto"/>
              <w:rPr>
                <w:rFonts w:ascii="宋体" w:hAnsi="宋体" w:cs="宋体"/>
                <w:sz w:val="24"/>
              </w:rPr>
            </w:pPr>
          </w:p>
        </w:tc>
        <w:tc>
          <w:tcPr>
            <w:tcW w:w="1320" w:type="dxa"/>
            <w:vAlign w:val="center"/>
          </w:tcPr>
          <w:p w14:paraId="019E9A28">
            <w:pPr>
              <w:spacing w:line="360" w:lineRule="auto"/>
              <w:rPr>
                <w:rFonts w:ascii="宋体" w:hAnsi="宋体" w:cs="宋体"/>
                <w:sz w:val="24"/>
              </w:rPr>
            </w:pPr>
          </w:p>
        </w:tc>
        <w:tc>
          <w:tcPr>
            <w:tcW w:w="1638" w:type="dxa"/>
            <w:vAlign w:val="center"/>
          </w:tcPr>
          <w:p w14:paraId="0EAA9EED">
            <w:pPr>
              <w:spacing w:line="360" w:lineRule="auto"/>
              <w:rPr>
                <w:rFonts w:ascii="宋体" w:hAnsi="宋体" w:cs="宋体"/>
                <w:sz w:val="24"/>
              </w:rPr>
            </w:pPr>
          </w:p>
        </w:tc>
        <w:tc>
          <w:tcPr>
            <w:tcW w:w="1667" w:type="dxa"/>
            <w:vAlign w:val="center"/>
          </w:tcPr>
          <w:p w14:paraId="7938EE0E">
            <w:pPr>
              <w:spacing w:line="360" w:lineRule="auto"/>
              <w:rPr>
                <w:rFonts w:ascii="宋体" w:hAnsi="宋体" w:cs="宋体"/>
                <w:sz w:val="24"/>
              </w:rPr>
            </w:pPr>
          </w:p>
        </w:tc>
        <w:tc>
          <w:tcPr>
            <w:tcW w:w="1321" w:type="dxa"/>
            <w:vAlign w:val="center"/>
          </w:tcPr>
          <w:p w14:paraId="46B61955">
            <w:pPr>
              <w:spacing w:line="360" w:lineRule="auto"/>
              <w:rPr>
                <w:rFonts w:ascii="宋体" w:hAnsi="宋体" w:cs="宋体"/>
                <w:sz w:val="24"/>
              </w:rPr>
            </w:pPr>
          </w:p>
        </w:tc>
        <w:tc>
          <w:tcPr>
            <w:tcW w:w="1017" w:type="dxa"/>
            <w:vAlign w:val="center"/>
          </w:tcPr>
          <w:p w14:paraId="478C06A5">
            <w:pPr>
              <w:spacing w:line="360" w:lineRule="auto"/>
              <w:rPr>
                <w:rFonts w:ascii="宋体" w:hAnsi="宋体" w:cs="宋体"/>
                <w:sz w:val="24"/>
              </w:rPr>
            </w:pPr>
          </w:p>
        </w:tc>
      </w:tr>
      <w:tr w14:paraId="7FA5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70" w:type="dxa"/>
            <w:vAlign w:val="center"/>
          </w:tcPr>
          <w:p w14:paraId="096AB47F">
            <w:pPr>
              <w:spacing w:line="360" w:lineRule="auto"/>
              <w:rPr>
                <w:rFonts w:ascii="宋体" w:hAnsi="宋体" w:cs="宋体"/>
                <w:sz w:val="24"/>
              </w:rPr>
            </w:pPr>
          </w:p>
        </w:tc>
        <w:tc>
          <w:tcPr>
            <w:tcW w:w="1626" w:type="dxa"/>
            <w:vAlign w:val="center"/>
          </w:tcPr>
          <w:p w14:paraId="2A077605">
            <w:pPr>
              <w:spacing w:line="360" w:lineRule="auto"/>
              <w:rPr>
                <w:rFonts w:ascii="宋体" w:hAnsi="宋体" w:cs="宋体"/>
                <w:sz w:val="24"/>
              </w:rPr>
            </w:pPr>
          </w:p>
        </w:tc>
        <w:tc>
          <w:tcPr>
            <w:tcW w:w="1320" w:type="dxa"/>
            <w:vAlign w:val="center"/>
          </w:tcPr>
          <w:p w14:paraId="0DBA2276">
            <w:pPr>
              <w:spacing w:line="360" w:lineRule="auto"/>
              <w:rPr>
                <w:rFonts w:ascii="宋体" w:hAnsi="宋体" w:cs="宋体"/>
                <w:sz w:val="24"/>
              </w:rPr>
            </w:pPr>
          </w:p>
        </w:tc>
        <w:tc>
          <w:tcPr>
            <w:tcW w:w="1638" w:type="dxa"/>
            <w:vAlign w:val="center"/>
          </w:tcPr>
          <w:p w14:paraId="559F525E">
            <w:pPr>
              <w:spacing w:line="360" w:lineRule="auto"/>
              <w:rPr>
                <w:rFonts w:ascii="宋体" w:hAnsi="宋体" w:cs="宋体"/>
                <w:sz w:val="24"/>
              </w:rPr>
            </w:pPr>
          </w:p>
        </w:tc>
        <w:tc>
          <w:tcPr>
            <w:tcW w:w="1667" w:type="dxa"/>
            <w:vAlign w:val="center"/>
          </w:tcPr>
          <w:p w14:paraId="5FCB8CBB">
            <w:pPr>
              <w:spacing w:line="360" w:lineRule="auto"/>
              <w:rPr>
                <w:rFonts w:ascii="宋体" w:hAnsi="宋体" w:cs="宋体"/>
                <w:sz w:val="24"/>
              </w:rPr>
            </w:pPr>
          </w:p>
        </w:tc>
        <w:tc>
          <w:tcPr>
            <w:tcW w:w="1321" w:type="dxa"/>
            <w:vAlign w:val="center"/>
          </w:tcPr>
          <w:p w14:paraId="2E4D1A0D">
            <w:pPr>
              <w:spacing w:line="360" w:lineRule="auto"/>
              <w:rPr>
                <w:rFonts w:ascii="宋体" w:hAnsi="宋体" w:cs="宋体"/>
                <w:sz w:val="24"/>
              </w:rPr>
            </w:pPr>
          </w:p>
        </w:tc>
        <w:tc>
          <w:tcPr>
            <w:tcW w:w="1017" w:type="dxa"/>
            <w:vAlign w:val="center"/>
          </w:tcPr>
          <w:p w14:paraId="03E4E0CF">
            <w:pPr>
              <w:spacing w:line="360" w:lineRule="auto"/>
              <w:rPr>
                <w:rFonts w:ascii="宋体" w:hAnsi="宋体" w:cs="宋体"/>
                <w:sz w:val="24"/>
              </w:rPr>
            </w:pPr>
          </w:p>
        </w:tc>
      </w:tr>
      <w:tr w14:paraId="3F8B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70" w:type="dxa"/>
            <w:vAlign w:val="center"/>
          </w:tcPr>
          <w:p w14:paraId="1EBE2038">
            <w:pPr>
              <w:spacing w:line="360" w:lineRule="auto"/>
              <w:rPr>
                <w:rFonts w:ascii="宋体" w:hAnsi="宋体" w:cs="宋体"/>
                <w:sz w:val="24"/>
              </w:rPr>
            </w:pPr>
          </w:p>
        </w:tc>
        <w:tc>
          <w:tcPr>
            <w:tcW w:w="1626" w:type="dxa"/>
            <w:vAlign w:val="center"/>
          </w:tcPr>
          <w:p w14:paraId="3F4213C1">
            <w:pPr>
              <w:spacing w:line="360" w:lineRule="auto"/>
              <w:rPr>
                <w:rFonts w:ascii="宋体" w:hAnsi="宋体" w:cs="宋体"/>
                <w:sz w:val="24"/>
              </w:rPr>
            </w:pPr>
          </w:p>
        </w:tc>
        <w:tc>
          <w:tcPr>
            <w:tcW w:w="1320" w:type="dxa"/>
            <w:vAlign w:val="center"/>
          </w:tcPr>
          <w:p w14:paraId="705C9112">
            <w:pPr>
              <w:spacing w:line="360" w:lineRule="auto"/>
              <w:rPr>
                <w:rFonts w:ascii="宋体" w:hAnsi="宋体" w:cs="宋体"/>
                <w:sz w:val="24"/>
              </w:rPr>
            </w:pPr>
          </w:p>
        </w:tc>
        <w:tc>
          <w:tcPr>
            <w:tcW w:w="1638" w:type="dxa"/>
            <w:vAlign w:val="center"/>
          </w:tcPr>
          <w:p w14:paraId="48B6D558">
            <w:pPr>
              <w:spacing w:line="360" w:lineRule="auto"/>
              <w:rPr>
                <w:rFonts w:ascii="宋体" w:hAnsi="宋体" w:cs="宋体"/>
                <w:sz w:val="24"/>
              </w:rPr>
            </w:pPr>
          </w:p>
        </w:tc>
        <w:tc>
          <w:tcPr>
            <w:tcW w:w="1667" w:type="dxa"/>
            <w:vAlign w:val="center"/>
          </w:tcPr>
          <w:p w14:paraId="75DD89CA">
            <w:pPr>
              <w:spacing w:line="360" w:lineRule="auto"/>
              <w:rPr>
                <w:rFonts w:ascii="宋体" w:hAnsi="宋体" w:cs="宋体"/>
                <w:sz w:val="24"/>
              </w:rPr>
            </w:pPr>
          </w:p>
        </w:tc>
        <w:tc>
          <w:tcPr>
            <w:tcW w:w="1321" w:type="dxa"/>
            <w:vAlign w:val="center"/>
          </w:tcPr>
          <w:p w14:paraId="3DC45FA7">
            <w:pPr>
              <w:spacing w:line="360" w:lineRule="auto"/>
              <w:rPr>
                <w:rFonts w:ascii="宋体" w:hAnsi="宋体" w:cs="宋体"/>
                <w:sz w:val="24"/>
              </w:rPr>
            </w:pPr>
          </w:p>
        </w:tc>
        <w:tc>
          <w:tcPr>
            <w:tcW w:w="1017" w:type="dxa"/>
            <w:vAlign w:val="center"/>
          </w:tcPr>
          <w:p w14:paraId="60B6ABC2">
            <w:pPr>
              <w:spacing w:line="360" w:lineRule="auto"/>
              <w:rPr>
                <w:rFonts w:ascii="宋体" w:hAnsi="宋体" w:cs="宋体"/>
                <w:sz w:val="24"/>
              </w:rPr>
            </w:pPr>
          </w:p>
        </w:tc>
      </w:tr>
      <w:tr w14:paraId="41CB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70" w:type="dxa"/>
            <w:vAlign w:val="center"/>
          </w:tcPr>
          <w:p w14:paraId="0ED36509">
            <w:pPr>
              <w:spacing w:line="360" w:lineRule="auto"/>
              <w:rPr>
                <w:rFonts w:ascii="宋体" w:hAnsi="宋体" w:cs="宋体"/>
                <w:sz w:val="24"/>
              </w:rPr>
            </w:pPr>
          </w:p>
        </w:tc>
        <w:tc>
          <w:tcPr>
            <w:tcW w:w="1626" w:type="dxa"/>
            <w:vAlign w:val="center"/>
          </w:tcPr>
          <w:p w14:paraId="713D50DF">
            <w:pPr>
              <w:spacing w:line="360" w:lineRule="auto"/>
              <w:rPr>
                <w:rFonts w:ascii="宋体" w:hAnsi="宋体" w:cs="宋体"/>
                <w:sz w:val="24"/>
              </w:rPr>
            </w:pPr>
          </w:p>
        </w:tc>
        <w:tc>
          <w:tcPr>
            <w:tcW w:w="1320" w:type="dxa"/>
            <w:vAlign w:val="center"/>
          </w:tcPr>
          <w:p w14:paraId="0462BA11">
            <w:pPr>
              <w:spacing w:line="360" w:lineRule="auto"/>
              <w:rPr>
                <w:rFonts w:ascii="宋体" w:hAnsi="宋体" w:cs="宋体"/>
                <w:sz w:val="24"/>
              </w:rPr>
            </w:pPr>
          </w:p>
        </w:tc>
        <w:tc>
          <w:tcPr>
            <w:tcW w:w="1638" w:type="dxa"/>
            <w:vAlign w:val="center"/>
          </w:tcPr>
          <w:p w14:paraId="1AB6F2E4">
            <w:pPr>
              <w:spacing w:line="360" w:lineRule="auto"/>
              <w:rPr>
                <w:rFonts w:ascii="宋体" w:hAnsi="宋体" w:cs="宋体"/>
                <w:sz w:val="24"/>
              </w:rPr>
            </w:pPr>
          </w:p>
        </w:tc>
        <w:tc>
          <w:tcPr>
            <w:tcW w:w="1667" w:type="dxa"/>
            <w:vAlign w:val="center"/>
          </w:tcPr>
          <w:p w14:paraId="41BE084F">
            <w:pPr>
              <w:spacing w:line="360" w:lineRule="auto"/>
              <w:rPr>
                <w:rFonts w:ascii="宋体" w:hAnsi="宋体" w:cs="宋体"/>
                <w:sz w:val="24"/>
              </w:rPr>
            </w:pPr>
          </w:p>
        </w:tc>
        <w:tc>
          <w:tcPr>
            <w:tcW w:w="1321" w:type="dxa"/>
            <w:vAlign w:val="center"/>
          </w:tcPr>
          <w:p w14:paraId="73D8BD97">
            <w:pPr>
              <w:spacing w:line="360" w:lineRule="auto"/>
              <w:rPr>
                <w:rFonts w:ascii="宋体" w:hAnsi="宋体" w:cs="宋体"/>
                <w:sz w:val="24"/>
              </w:rPr>
            </w:pPr>
          </w:p>
        </w:tc>
        <w:tc>
          <w:tcPr>
            <w:tcW w:w="1017" w:type="dxa"/>
            <w:vAlign w:val="center"/>
          </w:tcPr>
          <w:p w14:paraId="1DF72FF0">
            <w:pPr>
              <w:spacing w:line="360" w:lineRule="auto"/>
              <w:rPr>
                <w:rFonts w:ascii="宋体" w:hAnsi="宋体" w:cs="宋体"/>
                <w:sz w:val="24"/>
              </w:rPr>
            </w:pPr>
          </w:p>
        </w:tc>
      </w:tr>
      <w:tr w14:paraId="69AB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70" w:type="dxa"/>
            <w:vAlign w:val="center"/>
          </w:tcPr>
          <w:p w14:paraId="632D55EA">
            <w:pPr>
              <w:spacing w:line="360" w:lineRule="auto"/>
              <w:rPr>
                <w:rFonts w:ascii="宋体" w:hAnsi="宋体" w:cs="宋体"/>
                <w:sz w:val="24"/>
              </w:rPr>
            </w:pPr>
          </w:p>
        </w:tc>
        <w:tc>
          <w:tcPr>
            <w:tcW w:w="1626" w:type="dxa"/>
            <w:vAlign w:val="center"/>
          </w:tcPr>
          <w:p w14:paraId="5786175A">
            <w:pPr>
              <w:spacing w:line="360" w:lineRule="auto"/>
              <w:rPr>
                <w:rFonts w:ascii="宋体" w:hAnsi="宋体" w:cs="宋体"/>
                <w:sz w:val="24"/>
              </w:rPr>
            </w:pPr>
          </w:p>
        </w:tc>
        <w:tc>
          <w:tcPr>
            <w:tcW w:w="1320" w:type="dxa"/>
            <w:vAlign w:val="center"/>
          </w:tcPr>
          <w:p w14:paraId="1331AF7E">
            <w:pPr>
              <w:spacing w:line="360" w:lineRule="auto"/>
              <w:rPr>
                <w:rFonts w:ascii="宋体" w:hAnsi="宋体" w:cs="宋体"/>
                <w:sz w:val="24"/>
              </w:rPr>
            </w:pPr>
          </w:p>
        </w:tc>
        <w:tc>
          <w:tcPr>
            <w:tcW w:w="1638" w:type="dxa"/>
            <w:vAlign w:val="center"/>
          </w:tcPr>
          <w:p w14:paraId="52FBCACD">
            <w:pPr>
              <w:spacing w:line="360" w:lineRule="auto"/>
              <w:rPr>
                <w:rFonts w:ascii="宋体" w:hAnsi="宋体" w:cs="宋体"/>
                <w:sz w:val="24"/>
              </w:rPr>
            </w:pPr>
          </w:p>
        </w:tc>
        <w:tc>
          <w:tcPr>
            <w:tcW w:w="1667" w:type="dxa"/>
            <w:vAlign w:val="center"/>
          </w:tcPr>
          <w:p w14:paraId="67420F78">
            <w:pPr>
              <w:spacing w:line="360" w:lineRule="auto"/>
              <w:rPr>
                <w:rFonts w:ascii="宋体" w:hAnsi="宋体" w:cs="宋体"/>
                <w:sz w:val="24"/>
              </w:rPr>
            </w:pPr>
          </w:p>
        </w:tc>
        <w:tc>
          <w:tcPr>
            <w:tcW w:w="1321" w:type="dxa"/>
            <w:vAlign w:val="center"/>
          </w:tcPr>
          <w:p w14:paraId="1B0B9EBD">
            <w:pPr>
              <w:spacing w:line="360" w:lineRule="auto"/>
              <w:rPr>
                <w:rFonts w:ascii="宋体" w:hAnsi="宋体" w:cs="宋体"/>
                <w:sz w:val="24"/>
              </w:rPr>
            </w:pPr>
          </w:p>
        </w:tc>
        <w:tc>
          <w:tcPr>
            <w:tcW w:w="1017" w:type="dxa"/>
            <w:vAlign w:val="center"/>
          </w:tcPr>
          <w:p w14:paraId="241050E9">
            <w:pPr>
              <w:spacing w:line="360" w:lineRule="auto"/>
              <w:rPr>
                <w:rFonts w:ascii="宋体" w:hAnsi="宋体" w:cs="宋体"/>
                <w:sz w:val="24"/>
              </w:rPr>
            </w:pPr>
          </w:p>
        </w:tc>
      </w:tr>
      <w:tr w14:paraId="7160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0" w:type="dxa"/>
            <w:vAlign w:val="center"/>
          </w:tcPr>
          <w:p w14:paraId="0A361D7A">
            <w:pPr>
              <w:spacing w:line="360" w:lineRule="auto"/>
              <w:rPr>
                <w:rFonts w:ascii="宋体" w:hAnsi="宋体" w:cs="宋体"/>
                <w:sz w:val="24"/>
              </w:rPr>
            </w:pPr>
          </w:p>
        </w:tc>
        <w:tc>
          <w:tcPr>
            <w:tcW w:w="1626" w:type="dxa"/>
            <w:vAlign w:val="center"/>
          </w:tcPr>
          <w:p w14:paraId="781D1F7F">
            <w:pPr>
              <w:spacing w:line="360" w:lineRule="auto"/>
              <w:rPr>
                <w:rFonts w:ascii="宋体" w:hAnsi="宋体" w:cs="宋体"/>
                <w:sz w:val="24"/>
              </w:rPr>
            </w:pPr>
          </w:p>
        </w:tc>
        <w:tc>
          <w:tcPr>
            <w:tcW w:w="1320" w:type="dxa"/>
            <w:vAlign w:val="center"/>
          </w:tcPr>
          <w:p w14:paraId="775036F5">
            <w:pPr>
              <w:spacing w:line="360" w:lineRule="auto"/>
              <w:rPr>
                <w:rFonts w:ascii="宋体" w:hAnsi="宋体" w:cs="宋体"/>
                <w:sz w:val="24"/>
              </w:rPr>
            </w:pPr>
          </w:p>
        </w:tc>
        <w:tc>
          <w:tcPr>
            <w:tcW w:w="1638" w:type="dxa"/>
            <w:vAlign w:val="center"/>
          </w:tcPr>
          <w:p w14:paraId="53D2D644">
            <w:pPr>
              <w:spacing w:line="360" w:lineRule="auto"/>
              <w:rPr>
                <w:rFonts w:ascii="宋体" w:hAnsi="宋体" w:cs="宋体"/>
                <w:sz w:val="24"/>
              </w:rPr>
            </w:pPr>
          </w:p>
        </w:tc>
        <w:tc>
          <w:tcPr>
            <w:tcW w:w="1667" w:type="dxa"/>
            <w:vAlign w:val="center"/>
          </w:tcPr>
          <w:p w14:paraId="13141187">
            <w:pPr>
              <w:spacing w:line="360" w:lineRule="auto"/>
              <w:rPr>
                <w:rFonts w:ascii="宋体" w:hAnsi="宋体" w:cs="宋体"/>
                <w:sz w:val="24"/>
              </w:rPr>
            </w:pPr>
          </w:p>
        </w:tc>
        <w:tc>
          <w:tcPr>
            <w:tcW w:w="1321" w:type="dxa"/>
            <w:vAlign w:val="center"/>
          </w:tcPr>
          <w:p w14:paraId="47F35BF6">
            <w:pPr>
              <w:spacing w:line="360" w:lineRule="auto"/>
              <w:rPr>
                <w:rFonts w:ascii="宋体" w:hAnsi="宋体" w:cs="宋体"/>
                <w:sz w:val="24"/>
              </w:rPr>
            </w:pPr>
          </w:p>
        </w:tc>
        <w:tc>
          <w:tcPr>
            <w:tcW w:w="1017" w:type="dxa"/>
            <w:vAlign w:val="center"/>
          </w:tcPr>
          <w:p w14:paraId="79F005CE">
            <w:pPr>
              <w:spacing w:line="360" w:lineRule="auto"/>
              <w:rPr>
                <w:rFonts w:ascii="宋体" w:hAnsi="宋体" w:cs="宋体"/>
                <w:sz w:val="24"/>
              </w:rPr>
            </w:pPr>
          </w:p>
        </w:tc>
      </w:tr>
    </w:tbl>
    <w:p w14:paraId="26856E76">
      <w:pPr>
        <w:pStyle w:val="37"/>
        <w:tabs>
          <w:tab w:val="left" w:pos="360"/>
        </w:tabs>
        <w:spacing w:line="360" w:lineRule="auto"/>
        <w:ind w:right="84" w:rightChars="40"/>
        <w:rPr>
          <w:rFonts w:ascii="宋体" w:hAnsi="宋体" w:cs="宋体"/>
          <w:b/>
          <w:sz w:val="24"/>
          <w:szCs w:val="24"/>
        </w:rPr>
      </w:pPr>
      <w:r>
        <w:rPr>
          <w:rFonts w:hint="eastAsia" w:ascii="宋体" w:hAnsi="宋体" w:cs="宋体"/>
          <w:b/>
          <w:sz w:val="24"/>
          <w:szCs w:val="24"/>
        </w:rPr>
        <w:t>要求：</w:t>
      </w:r>
    </w:p>
    <w:p w14:paraId="568DACFB">
      <w:pPr>
        <w:pStyle w:val="37"/>
        <w:ind w:right="84" w:rightChars="40" w:firstLine="420" w:firstLineChars="200"/>
        <w:rPr>
          <w:rFonts w:ascii="宋体" w:hAnsi="宋体" w:cs="宋体"/>
          <w:szCs w:val="21"/>
        </w:rPr>
      </w:pPr>
      <w:r>
        <w:rPr>
          <w:rFonts w:hint="eastAsia" w:ascii="宋体" w:hAnsi="宋体" w:cs="宋体"/>
          <w:szCs w:val="21"/>
        </w:rPr>
        <w:t>1.谈判供应商应根据本采购文件采购需求内容（包括但不限于采购文件采购内容），按实填写投标产品的性能指标、服务指标等内容，并在“偏离情况”栏注明“正偏离”、“负偏离”或“无偏离”。</w:t>
      </w:r>
    </w:p>
    <w:p w14:paraId="50B16BEF">
      <w:pPr>
        <w:pStyle w:val="37"/>
        <w:ind w:right="84" w:rightChars="40" w:firstLine="420" w:firstLineChars="200"/>
        <w:rPr>
          <w:rFonts w:ascii="宋体" w:hAnsi="宋体" w:cs="宋体"/>
          <w:szCs w:val="21"/>
        </w:rPr>
      </w:pPr>
      <w:r>
        <w:rPr>
          <w:rFonts w:hint="eastAsia" w:ascii="宋体" w:hAnsi="宋体" w:cs="宋体"/>
          <w:szCs w:val="21"/>
        </w:rPr>
        <w:t>2.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0DA3A6A7">
      <w:pPr>
        <w:pStyle w:val="15"/>
        <w:spacing w:line="560" w:lineRule="exact"/>
        <w:jc w:val="center"/>
        <w:rPr>
          <w:rFonts w:hAnsi="宋体"/>
          <w:sz w:val="24"/>
          <w:lang w:val="zh-CN"/>
        </w:rPr>
      </w:pPr>
      <w:r>
        <w:rPr>
          <w:rFonts w:hint="eastAsia" w:hAnsi="宋体"/>
          <w:sz w:val="24"/>
        </w:rPr>
        <w:t>谈判</w:t>
      </w:r>
      <w:r>
        <w:rPr>
          <w:rFonts w:hint="eastAsia" w:hAnsi="宋体"/>
          <w:sz w:val="24"/>
          <w:lang w:val="zh-CN"/>
        </w:rPr>
        <w:t>供应商（盖单位章）：</w:t>
      </w:r>
    </w:p>
    <w:p w14:paraId="30C634E5">
      <w:pPr>
        <w:pStyle w:val="15"/>
        <w:spacing w:line="560" w:lineRule="exact"/>
        <w:ind w:firstLine="5760" w:firstLineChars="2400"/>
        <w:jc w:val="center"/>
        <w:rPr>
          <w:rFonts w:hAnsi="宋体"/>
          <w:sz w:val="24"/>
          <w:lang w:val="zh-CN"/>
        </w:rPr>
      </w:pPr>
    </w:p>
    <w:p w14:paraId="6C8BC0B3">
      <w:pPr>
        <w:pStyle w:val="15"/>
        <w:spacing w:line="560" w:lineRule="exact"/>
        <w:ind w:firstLine="5760" w:firstLineChars="2400"/>
        <w:jc w:val="center"/>
        <w:rPr>
          <w:rFonts w:hAnsi="宋体"/>
          <w:sz w:val="24"/>
          <w:lang w:val="zh-CN"/>
        </w:rPr>
      </w:pPr>
    </w:p>
    <w:p w14:paraId="7E89A7EE">
      <w:pPr>
        <w:pStyle w:val="15"/>
        <w:spacing w:line="560" w:lineRule="exact"/>
        <w:jc w:val="center"/>
        <w:rPr>
          <w:rFonts w:hAnsi="宋体"/>
          <w:sz w:val="24"/>
          <w:lang w:val="zh-CN"/>
        </w:rPr>
      </w:pPr>
      <w:r>
        <w:rPr>
          <w:rFonts w:hint="eastAsia" w:hAnsi="宋体"/>
          <w:sz w:val="24"/>
          <w:lang w:val="zh-CN"/>
        </w:rPr>
        <w:t>法定代表人或委托代理人（盖章或签字）：</w:t>
      </w:r>
    </w:p>
    <w:p w14:paraId="0CCE5163">
      <w:pPr>
        <w:pStyle w:val="15"/>
        <w:spacing w:line="560" w:lineRule="exact"/>
        <w:ind w:firstLine="3600" w:firstLineChars="1500"/>
        <w:jc w:val="center"/>
        <w:rPr>
          <w:rFonts w:hAnsi="宋体"/>
          <w:sz w:val="24"/>
          <w:lang w:val="zh-CN"/>
        </w:rPr>
      </w:pPr>
    </w:p>
    <w:p w14:paraId="6660F75E">
      <w:pPr>
        <w:pStyle w:val="15"/>
        <w:spacing w:line="560" w:lineRule="exact"/>
        <w:ind w:firstLine="3600" w:firstLineChars="1500"/>
        <w:jc w:val="center"/>
        <w:rPr>
          <w:rFonts w:hAnsi="宋体"/>
          <w:sz w:val="24"/>
          <w:lang w:val="zh-CN"/>
        </w:rPr>
      </w:pPr>
    </w:p>
    <w:p w14:paraId="33D1A0CB">
      <w:pPr>
        <w:pStyle w:val="15"/>
        <w:spacing w:line="560" w:lineRule="exact"/>
        <w:jc w:val="center"/>
        <w:rPr>
          <w:rFonts w:hAnsi="宋体"/>
          <w:sz w:val="24"/>
          <w:lang w:val="zh-CN"/>
        </w:rPr>
      </w:pPr>
      <w:r>
        <w:rPr>
          <w:rFonts w:hint="eastAsia" w:hAnsi="宋体"/>
          <w:sz w:val="24"/>
          <w:lang w:val="zh-CN"/>
        </w:rPr>
        <w:t>日期：</w:t>
      </w:r>
    </w:p>
    <w:p w14:paraId="60079116">
      <w:pPr>
        <w:spacing w:line="360" w:lineRule="auto"/>
        <w:ind w:firstLine="435"/>
        <w:rPr>
          <w:rFonts w:ascii="宋体" w:hAnsi="宋体"/>
          <w:b/>
          <w:color w:val="000000"/>
          <w:sz w:val="28"/>
        </w:rPr>
      </w:pPr>
    </w:p>
    <w:p w14:paraId="52484275">
      <w:pPr>
        <w:spacing w:line="360" w:lineRule="auto"/>
        <w:rPr>
          <w:rFonts w:ascii="宋体" w:hAnsi="宋体"/>
          <w:b/>
          <w:color w:val="000000"/>
          <w:sz w:val="28"/>
        </w:rPr>
      </w:pPr>
    </w:p>
    <w:p w14:paraId="3F139F94">
      <w:pPr>
        <w:snapToGrid w:val="0"/>
        <w:spacing w:before="50" w:after="50" w:line="360" w:lineRule="auto"/>
        <w:rPr>
          <w:rFonts w:hint="eastAsia" w:ascii="宋体" w:hAnsi="宋体" w:cs="宋体"/>
          <w:b/>
          <w:sz w:val="24"/>
        </w:rPr>
      </w:pPr>
    </w:p>
    <w:p w14:paraId="50A4F060">
      <w:pPr>
        <w:snapToGrid w:val="0"/>
        <w:spacing w:before="50" w:after="50" w:line="360" w:lineRule="auto"/>
        <w:rPr>
          <w:rFonts w:ascii="宋体" w:hAnsi="宋体"/>
          <w:b/>
          <w:sz w:val="32"/>
          <w:szCs w:val="32"/>
          <w:highlight w:val="none"/>
        </w:rPr>
      </w:pPr>
      <w:r>
        <w:rPr>
          <w:rFonts w:hint="eastAsia" w:ascii="宋体" w:hAnsi="宋体" w:cs="宋体"/>
          <w:b/>
          <w:sz w:val="24"/>
          <w:highlight w:val="none"/>
        </w:rPr>
        <w:t>附件</w:t>
      </w:r>
      <w:r>
        <w:rPr>
          <w:rFonts w:hint="eastAsia" w:ascii="宋体" w:hAnsi="宋体" w:cs="宋体"/>
          <w:b/>
          <w:sz w:val="24"/>
          <w:highlight w:val="none"/>
          <w:lang w:val="en-US" w:eastAsia="zh-CN"/>
        </w:rPr>
        <w:t>10</w:t>
      </w:r>
      <w:r>
        <w:rPr>
          <w:rFonts w:hint="eastAsia" w:ascii="宋体" w:hAnsi="宋体" w:cs="宋体"/>
          <w:b/>
          <w:sz w:val="24"/>
          <w:highlight w:val="none"/>
        </w:rPr>
        <w:t>：</w:t>
      </w:r>
    </w:p>
    <w:p w14:paraId="6E39B7E0">
      <w:pPr>
        <w:spacing w:line="360" w:lineRule="atLeast"/>
        <w:jc w:val="center"/>
        <w:rPr>
          <w:rFonts w:ascii="宋体" w:hAnsi="宋体"/>
          <w:b/>
          <w:color w:val="33CCCC"/>
          <w:sz w:val="30"/>
          <w:szCs w:val="30"/>
        </w:rPr>
      </w:pPr>
      <w:r>
        <w:rPr>
          <w:rFonts w:hint="eastAsia" w:ascii="宋体" w:hAnsi="宋体"/>
          <w:b/>
          <w:sz w:val="30"/>
          <w:szCs w:val="30"/>
        </w:rPr>
        <w:t>首次报价一览表</w:t>
      </w:r>
    </w:p>
    <w:p w14:paraId="5A9811F2">
      <w:pPr>
        <w:rPr>
          <w:rFonts w:ascii="宋体" w:hAnsi="宋体"/>
        </w:rPr>
      </w:pPr>
    </w:p>
    <w:tbl>
      <w:tblPr>
        <w:tblStyle w:val="27"/>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23"/>
        <w:gridCol w:w="1134"/>
        <w:gridCol w:w="2925"/>
        <w:gridCol w:w="1375"/>
      </w:tblGrid>
      <w:tr w14:paraId="352E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3923" w:type="dxa"/>
            <w:vMerge w:val="restart"/>
            <w:vAlign w:val="center"/>
          </w:tcPr>
          <w:p w14:paraId="4318C867">
            <w:pPr>
              <w:snapToGrid w:val="0"/>
              <w:spacing w:before="50" w:after="50" w:line="360" w:lineRule="auto"/>
              <w:ind w:right="-617" w:rightChars="-294"/>
              <w:jc w:val="left"/>
              <w:rPr>
                <w:rFonts w:hAnsi="宋体"/>
                <w:b/>
                <w:color w:val="000000"/>
                <w:sz w:val="21"/>
                <w:szCs w:val="21"/>
              </w:rPr>
            </w:pPr>
            <w:r>
              <w:rPr>
                <w:rFonts w:hAnsi="宋体"/>
                <w:b/>
                <w:color w:val="000000"/>
                <w:sz w:val="21"/>
                <w:szCs w:val="21"/>
              </w:rPr>
              <w:t>项目编号：</w:t>
            </w:r>
            <w:r>
              <w:rPr>
                <w:rFonts w:hint="eastAsia" w:hAnsi="宋体"/>
                <w:b/>
                <w:color w:val="000000"/>
                <w:sz w:val="21"/>
                <w:szCs w:val="21"/>
                <w:lang w:eastAsia="zh-CN"/>
              </w:rPr>
              <w:t>OBXJ(采购)-24070</w:t>
            </w:r>
            <w:r>
              <w:rPr>
                <w:rFonts w:hAnsi="宋体"/>
                <w:b/>
                <w:color w:val="000000"/>
                <w:sz w:val="21"/>
                <w:szCs w:val="21"/>
              </w:rPr>
              <w:t>项目名称：</w:t>
            </w:r>
          </w:p>
          <w:p w14:paraId="5145C7DB">
            <w:pPr>
              <w:snapToGrid w:val="0"/>
              <w:spacing w:before="50" w:after="50" w:line="360" w:lineRule="auto"/>
              <w:ind w:right="-617" w:rightChars="-294"/>
              <w:jc w:val="left"/>
              <w:rPr>
                <w:rFonts w:hint="eastAsia" w:hAnsi="宋体"/>
                <w:b/>
                <w:color w:val="000000"/>
                <w:sz w:val="21"/>
                <w:szCs w:val="21"/>
                <w:lang w:eastAsia="zh-CN"/>
              </w:rPr>
            </w:pPr>
            <w:r>
              <w:rPr>
                <w:rFonts w:hint="eastAsia" w:hAnsi="宋体"/>
                <w:b/>
                <w:color w:val="000000"/>
                <w:sz w:val="21"/>
                <w:szCs w:val="21"/>
                <w:lang w:eastAsia="zh-CN"/>
              </w:rPr>
              <w:t>神仙居仙侠演艺餐厅厨房设备采购</w:t>
            </w:r>
          </w:p>
          <w:p w14:paraId="5B2B4E7D">
            <w:pPr>
              <w:snapToGrid w:val="0"/>
              <w:spacing w:before="50" w:after="50" w:line="360" w:lineRule="auto"/>
              <w:ind w:right="-617" w:rightChars="-294"/>
              <w:jc w:val="left"/>
              <w:rPr>
                <w:rFonts w:ascii="宋体" w:hAnsi="宋体" w:cs="宋体"/>
                <w:sz w:val="24"/>
              </w:rPr>
            </w:pPr>
            <w:r>
              <w:rPr>
                <w:rFonts w:hint="eastAsia" w:hAnsi="宋体"/>
                <w:b/>
                <w:color w:val="000000"/>
                <w:sz w:val="21"/>
                <w:szCs w:val="21"/>
                <w:lang w:eastAsia="zh-CN"/>
              </w:rPr>
              <w:t>（非政府采购类））</w:t>
            </w:r>
            <w:r>
              <w:rPr>
                <w:rFonts w:hint="eastAsia" w:ascii="宋体" w:hAnsi="宋体" w:cs="宋体"/>
                <w:b/>
                <w:bCs/>
                <w:sz w:val="21"/>
                <w:szCs w:val="21"/>
              </w:rPr>
              <w:t>谈判总报价（元）</w:t>
            </w:r>
          </w:p>
        </w:tc>
        <w:tc>
          <w:tcPr>
            <w:tcW w:w="1134" w:type="dxa"/>
            <w:vAlign w:val="center"/>
          </w:tcPr>
          <w:p w14:paraId="13FED1E1">
            <w:pPr>
              <w:snapToGrid w:val="0"/>
              <w:spacing w:before="50" w:after="50" w:line="360" w:lineRule="auto"/>
              <w:ind w:right="-617" w:rightChars="-294"/>
              <w:rPr>
                <w:rFonts w:ascii="宋体" w:hAnsi="宋体" w:cs="宋体"/>
                <w:sz w:val="24"/>
              </w:rPr>
            </w:pPr>
            <w:r>
              <w:rPr>
                <w:rFonts w:hint="eastAsia" w:ascii="宋体" w:hAnsi="宋体" w:cs="宋体"/>
                <w:b/>
                <w:bCs/>
                <w:sz w:val="24"/>
              </w:rPr>
              <w:t>大写：</w:t>
            </w:r>
          </w:p>
        </w:tc>
        <w:tc>
          <w:tcPr>
            <w:tcW w:w="2925" w:type="dxa"/>
            <w:vAlign w:val="center"/>
          </w:tcPr>
          <w:p w14:paraId="79293966">
            <w:pPr>
              <w:snapToGrid w:val="0"/>
              <w:spacing w:before="50" w:after="50" w:line="360" w:lineRule="auto"/>
              <w:ind w:right="-617" w:rightChars="-294"/>
              <w:jc w:val="left"/>
              <w:rPr>
                <w:rFonts w:ascii="宋体" w:hAnsi="宋体" w:cs="宋体"/>
                <w:sz w:val="24"/>
              </w:rPr>
            </w:pPr>
            <w:r>
              <w:rPr>
                <w:rFonts w:hint="eastAsia" w:ascii="宋体" w:hAnsi="宋体" w:cs="宋体"/>
                <w:b/>
                <w:bCs/>
                <w:sz w:val="24"/>
              </w:rPr>
              <w:t>¥：</w:t>
            </w:r>
          </w:p>
        </w:tc>
        <w:tc>
          <w:tcPr>
            <w:tcW w:w="1375" w:type="dxa"/>
            <w:vAlign w:val="center"/>
          </w:tcPr>
          <w:p w14:paraId="3496CD2B">
            <w:pPr>
              <w:snapToGrid w:val="0"/>
              <w:spacing w:before="50" w:after="50" w:line="360" w:lineRule="auto"/>
              <w:ind w:right="-617" w:rightChars="-294" w:firstLine="482" w:firstLineChars="200"/>
              <w:jc w:val="both"/>
              <w:rPr>
                <w:rFonts w:hint="eastAsia" w:ascii="宋体" w:hAnsi="宋体" w:eastAsia="宋体" w:cs="宋体"/>
                <w:b/>
                <w:bCs/>
                <w:sz w:val="24"/>
                <w:lang w:val="en-US" w:eastAsia="zh-CN"/>
              </w:rPr>
            </w:pPr>
            <w:r>
              <w:rPr>
                <w:rFonts w:hint="eastAsia" w:ascii="宋体" w:hAnsi="宋体" w:cs="宋体"/>
                <w:b/>
                <w:bCs/>
                <w:sz w:val="24"/>
                <w:lang w:val="en-US" w:eastAsia="zh-CN"/>
              </w:rPr>
              <w:t>备注</w:t>
            </w:r>
          </w:p>
        </w:tc>
      </w:tr>
      <w:tr w14:paraId="1687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3923" w:type="dxa"/>
            <w:vMerge w:val="continue"/>
            <w:vAlign w:val="center"/>
          </w:tcPr>
          <w:p w14:paraId="4212F55A">
            <w:pPr>
              <w:snapToGrid w:val="0"/>
              <w:spacing w:before="50" w:after="50" w:line="360" w:lineRule="auto"/>
              <w:ind w:right="-617" w:rightChars="-294"/>
              <w:jc w:val="center"/>
              <w:rPr>
                <w:rFonts w:ascii="宋体" w:hAnsi="宋体" w:cs="宋体"/>
                <w:sz w:val="24"/>
              </w:rPr>
            </w:pPr>
          </w:p>
        </w:tc>
        <w:tc>
          <w:tcPr>
            <w:tcW w:w="1134" w:type="dxa"/>
            <w:vAlign w:val="center"/>
          </w:tcPr>
          <w:p w14:paraId="4FEB1CF4">
            <w:pPr>
              <w:snapToGrid w:val="0"/>
              <w:spacing w:before="50" w:after="50" w:line="360" w:lineRule="auto"/>
              <w:ind w:right="-617" w:rightChars="-294"/>
              <w:rPr>
                <w:rFonts w:ascii="宋体" w:hAnsi="宋体" w:cs="宋体"/>
                <w:sz w:val="24"/>
                <w:u w:val="single"/>
              </w:rPr>
            </w:pPr>
            <w:r>
              <w:rPr>
                <w:rFonts w:hint="eastAsia" w:ascii="宋体" w:hAnsi="宋体" w:cs="宋体"/>
                <w:b/>
                <w:bCs/>
                <w:sz w:val="24"/>
              </w:rPr>
              <w:t>小写</w:t>
            </w:r>
          </w:p>
        </w:tc>
        <w:tc>
          <w:tcPr>
            <w:tcW w:w="2925" w:type="dxa"/>
            <w:vAlign w:val="center"/>
          </w:tcPr>
          <w:p w14:paraId="3ABF4430">
            <w:pPr>
              <w:snapToGrid w:val="0"/>
              <w:spacing w:before="50" w:after="50" w:line="360" w:lineRule="auto"/>
              <w:ind w:right="-617" w:rightChars="-294"/>
              <w:jc w:val="left"/>
              <w:rPr>
                <w:rFonts w:ascii="宋体" w:hAnsi="宋体" w:cs="宋体"/>
                <w:sz w:val="24"/>
                <w:u w:val="single"/>
              </w:rPr>
            </w:pPr>
            <w:r>
              <w:rPr>
                <w:rFonts w:hint="eastAsia" w:ascii="宋体" w:hAnsi="宋体" w:cs="宋体"/>
                <w:b/>
                <w:bCs/>
                <w:sz w:val="24"/>
              </w:rPr>
              <w:t>¥：</w:t>
            </w:r>
          </w:p>
        </w:tc>
        <w:tc>
          <w:tcPr>
            <w:tcW w:w="1375" w:type="dxa"/>
            <w:vAlign w:val="center"/>
          </w:tcPr>
          <w:p w14:paraId="0B78B4A9">
            <w:pPr>
              <w:snapToGrid w:val="0"/>
              <w:spacing w:before="50" w:after="50" w:line="360" w:lineRule="auto"/>
              <w:ind w:right="-617" w:rightChars="-294"/>
              <w:jc w:val="left"/>
              <w:rPr>
                <w:rFonts w:hint="eastAsia" w:ascii="宋体"/>
                <w:b/>
                <w:bCs/>
                <w:szCs w:val="21"/>
                <w:lang w:eastAsia="zh-CN"/>
              </w:rPr>
            </w:pPr>
            <w:r>
              <w:rPr>
                <w:rFonts w:hint="eastAsia" w:ascii="宋体"/>
                <w:b/>
                <w:bCs/>
                <w:szCs w:val="21"/>
                <w:lang w:eastAsia="zh-CN"/>
              </w:rPr>
              <w:t>包含上山搬运</w:t>
            </w:r>
          </w:p>
          <w:p w14:paraId="1780C122">
            <w:pPr>
              <w:snapToGrid w:val="0"/>
              <w:spacing w:before="50" w:after="50" w:line="360" w:lineRule="auto"/>
              <w:ind w:right="-617" w:rightChars="-294"/>
              <w:jc w:val="left"/>
              <w:rPr>
                <w:rFonts w:hint="eastAsia" w:ascii="宋体" w:hAnsi="宋体" w:cs="宋体"/>
                <w:b/>
                <w:bCs/>
                <w:sz w:val="24"/>
              </w:rPr>
            </w:pPr>
            <w:r>
              <w:rPr>
                <w:rFonts w:hint="eastAsia" w:ascii="宋体"/>
                <w:b/>
                <w:bCs/>
                <w:szCs w:val="21"/>
                <w:lang w:eastAsia="zh-CN"/>
              </w:rPr>
              <w:t>等一切费用</w:t>
            </w:r>
          </w:p>
        </w:tc>
      </w:tr>
    </w:tbl>
    <w:p w14:paraId="22336EBA">
      <w:pPr>
        <w:spacing w:line="360" w:lineRule="auto"/>
        <w:rPr>
          <w:rFonts w:ascii="宋体" w:hAnsi="宋体"/>
          <w:b/>
          <w:szCs w:val="21"/>
        </w:rPr>
      </w:pPr>
      <w:r>
        <w:rPr>
          <w:rFonts w:hint="eastAsia" w:ascii="宋体" w:hAnsi="宋体"/>
          <w:b/>
          <w:szCs w:val="21"/>
        </w:rPr>
        <w:t>注：</w:t>
      </w:r>
    </w:p>
    <w:p w14:paraId="1F952E53">
      <w:pPr>
        <w:pStyle w:val="5"/>
        <w:spacing w:line="360" w:lineRule="auto"/>
        <w:ind w:firstLineChars="200"/>
        <w:rPr>
          <w:rFonts w:ascii="宋体" w:hAnsi="宋体" w:cs="宋体"/>
          <w:kern w:val="0"/>
          <w:szCs w:val="21"/>
        </w:rPr>
      </w:pPr>
      <w:r>
        <w:rPr>
          <w:rFonts w:hint="eastAsia" w:ascii="宋体" w:hAnsi="宋体" w:cs="宋体"/>
          <w:kern w:val="0"/>
          <w:szCs w:val="21"/>
        </w:rPr>
        <w:t>1.投标报价是完全履行招标内容及要求的价格体现，报价中须包括但不限于货款、标准附件、备品备件、专用工具、包装、运输、装卸、保险、税金、货到就位以及安装、调试、培训、保修、售后服务、保险费、安全生产费、维护与拆除、承包人驻地建设、</w:t>
      </w:r>
      <w:r>
        <w:rPr>
          <w:rFonts w:hint="eastAsia" w:ascii="宋体" w:hAnsi="宋体" w:cs="宋体"/>
          <w:b/>
          <w:bCs/>
          <w:kern w:val="0"/>
          <w:szCs w:val="21"/>
          <w:highlight w:val="none"/>
        </w:rPr>
        <w:t>采购代理费</w:t>
      </w:r>
      <w:r>
        <w:rPr>
          <w:rFonts w:hint="eastAsia" w:ascii="宋体" w:hAnsi="宋体" w:cs="宋体"/>
          <w:b/>
          <w:bCs/>
          <w:kern w:val="0"/>
          <w:szCs w:val="21"/>
          <w:highlight w:val="none"/>
          <w:lang w:eastAsia="zh-CN"/>
        </w:rPr>
        <w:t>、</w:t>
      </w:r>
      <w:r>
        <w:rPr>
          <w:rFonts w:hint="eastAsia" w:ascii="宋体" w:hAnsi="宋体" w:cs="宋体"/>
          <w:b/>
          <w:bCs/>
          <w:kern w:val="0"/>
          <w:szCs w:val="21"/>
          <w:highlight w:val="none"/>
          <w:lang w:val="en-US" w:eastAsia="zh-CN"/>
        </w:rPr>
        <w:t>二次深化设计费、</w:t>
      </w:r>
      <w:r>
        <w:rPr>
          <w:rFonts w:hint="eastAsia" w:ascii="宋体"/>
          <w:b/>
          <w:bCs/>
          <w:szCs w:val="21"/>
          <w:lang w:eastAsia="zh-CN"/>
        </w:rPr>
        <w:t>包含上山搬运等一切费用、</w:t>
      </w:r>
      <w:r>
        <w:rPr>
          <w:rFonts w:hint="eastAsia" w:ascii="宋体" w:hAnsi="宋体" w:cs="宋体"/>
          <w:kern w:val="0"/>
          <w:szCs w:val="21"/>
          <w:highlight w:val="none"/>
        </w:rPr>
        <w:t>完成合同所需的一切</w:t>
      </w:r>
      <w:r>
        <w:rPr>
          <w:rFonts w:hint="eastAsia" w:ascii="宋体" w:hAnsi="宋体" w:cs="宋体"/>
          <w:kern w:val="0"/>
          <w:szCs w:val="21"/>
        </w:rPr>
        <w:t>本身和不可缺的所有工作开支、政策性文件规定及合同包含的所有风险、责任等各项全部费用并承担一切风险责任。谈判供应商在总价中应充分考虑作业期间成本投入的市场风险、政策性调整及其他不可预见因素，今后不再作调整</w:t>
      </w:r>
      <w:r>
        <w:rPr>
          <w:rFonts w:hint="eastAsia" w:ascii="宋体" w:hAnsi="宋体" w:cs="宋体"/>
          <w:bCs/>
          <w:kern w:val="0"/>
          <w:szCs w:val="21"/>
        </w:rPr>
        <w:t>，如果谈判供应商在工作中出现任务遗漏，均由成交供应商免费提</w:t>
      </w:r>
      <w:r>
        <w:rPr>
          <w:rFonts w:hint="eastAsia" w:ascii="宋体" w:hAnsi="宋体" w:cs="宋体"/>
          <w:kern w:val="0"/>
          <w:szCs w:val="21"/>
        </w:rPr>
        <w:t>供，采购人将不再支付任何费用。</w:t>
      </w:r>
    </w:p>
    <w:p w14:paraId="74FFE323">
      <w:pPr>
        <w:spacing w:line="360" w:lineRule="auto"/>
        <w:ind w:firstLine="420" w:firstLineChars="200"/>
        <w:rPr>
          <w:rFonts w:ascii="宋体" w:hAnsi="宋体"/>
          <w:szCs w:val="21"/>
        </w:rPr>
      </w:pPr>
      <w:r>
        <w:rPr>
          <w:rFonts w:hint="eastAsia" w:ascii="宋体" w:hAnsi="宋体" w:cs="宋体"/>
          <w:kern w:val="0"/>
          <w:szCs w:val="21"/>
        </w:rPr>
        <w:t>2.报价一经涂改，应在涂改处加盖单位公章，或者由法定代表人或全权代表签字或盖章，否则作无效标处理。</w:t>
      </w:r>
    </w:p>
    <w:p w14:paraId="0F50F19C">
      <w:pPr>
        <w:spacing w:line="320" w:lineRule="exact"/>
        <w:ind w:left="420"/>
        <w:rPr>
          <w:rFonts w:ascii="宋体" w:hAnsi="宋体"/>
          <w:sz w:val="24"/>
        </w:rPr>
      </w:pPr>
    </w:p>
    <w:p w14:paraId="41EBC659">
      <w:pPr>
        <w:widowControl/>
        <w:ind w:right="-154"/>
        <w:jc w:val="right"/>
        <w:rPr>
          <w:rFonts w:ascii="宋体"/>
          <w:bCs/>
          <w:sz w:val="24"/>
          <w:lang w:val="zh-CN"/>
        </w:rPr>
      </w:pPr>
      <w:r>
        <w:rPr>
          <w:rFonts w:hint="eastAsia"/>
          <w:bCs/>
          <w:sz w:val="24"/>
        </w:rPr>
        <w:t>谈判供应商（盖章）：</w:t>
      </w:r>
    </w:p>
    <w:p w14:paraId="500AD6E8">
      <w:pPr>
        <w:widowControl/>
        <w:ind w:right="-154"/>
        <w:jc w:val="left"/>
        <w:rPr>
          <w:rFonts w:ascii="宋体"/>
          <w:b/>
          <w:sz w:val="24"/>
          <w:lang w:val="zh-CN"/>
        </w:rPr>
      </w:pPr>
    </w:p>
    <w:p w14:paraId="51FAC164">
      <w:pPr>
        <w:widowControl/>
        <w:ind w:right="-154"/>
        <w:jc w:val="right"/>
        <w:rPr>
          <w:kern w:val="0"/>
          <w:sz w:val="24"/>
        </w:rPr>
      </w:pPr>
    </w:p>
    <w:p w14:paraId="057822D7">
      <w:pPr>
        <w:spacing w:line="320" w:lineRule="exact"/>
        <w:ind w:firstLine="435"/>
        <w:jc w:val="right"/>
        <w:rPr>
          <w:sz w:val="24"/>
        </w:rPr>
      </w:pPr>
      <w:r>
        <w:rPr>
          <w:sz w:val="24"/>
        </w:rPr>
        <w:t>日期：</w:t>
      </w:r>
      <w:r>
        <w:rPr>
          <w:rFonts w:hint="eastAsia" w:ascii="宋体" w:hAnsi="宋体" w:cs="宋体"/>
          <w:sz w:val="24"/>
          <w:lang w:eastAsia="zh-CN"/>
        </w:rPr>
        <w:t>2024年</w:t>
      </w:r>
      <w:r>
        <w:rPr>
          <w:rFonts w:hint="eastAsia" w:ascii="宋体" w:hAnsi="宋体" w:cs="宋体"/>
          <w:sz w:val="24"/>
        </w:rPr>
        <w:t xml:space="preserve">  </w:t>
      </w:r>
      <w:r>
        <w:rPr>
          <w:sz w:val="24"/>
        </w:rPr>
        <w:t xml:space="preserve"> 月  </w:t>
      </w:r>
      <w:r>
        <w:rPr>
          <w:rFonts w:hint="eastAsia"/>
          <w:sz w:val="24"/>
        </w:rPr>
        <w:t>日</w:t>
      </w:r>
    </w:p>
    <w:p w14:paraId="2E7ECF6F">
      <w:pPr>
        <w:spacing w:line="450" w:lineRule="atLeast"/>
        <w:rPr>
          <w:rFonts w:ascii="宋体" w:hAnsi="宋体" w:cs="宋体"/>
          <w:b/>
          <w:sz w:val="24"/>
        </w:rPr>
      </w:pPr>
      <w:r>
        <w:rPr>
          <w:rFonts w:hint="eastAsia"/>
          <w:sz w:val="24"/>
        </w:rPr>
        <w:br w:type="page"/>
      </w:r>
      <w:r>
        <w:rPr>
          <w:rFonts w:hint="eastAsia" w:ascii="宋体" w:hAnsi="宋体" w:cs="宋体"/>
          <w:b/>
          <w:sz w:val="24"/>
        </w:rPr>
        <w:t>附件1</w:t>
      </w:r>
      <w:r>
        <w:rPr>
          <w:rFonts w:hint="eastAsia" w:ascii="宋体" w:hAnsi="宋体" w:cs="宋体"/>
          <w:b/>
          <w:sz w:val="24"/>
          <w:lang w:val="en-US" w:eastAsia="zh-CN"/>
        </w:rPr>
        <w:t>1</w:t>
      </w:r>
      <w:r>
        <w:rPr>
          <w:rFonts w:hint="eastAsia" w:ascii="宋体" w:hAnsi="宋体" w:cs="宋体"/>
          <w:b/>
          <w:sz w:val="24"/>
        </w:rPr>
        <w:t>：</w:t>
      </w:r>
    </w:p>
    <w:p w14:paraId="7B3DF0F7">
      <w:pPr>
        <w:spacing w:line="450" w:lineRule="atLeast"/>
        <w:jc w:val="center"/>
        <w:rPr>
          <w:rFonts w:ascii="宋体" w:hAnsi="宋体" w:cs="宋体"/>
          <w:b/>
          <w:sz w:val="28"/>
          <w:szCs w:val="28"/>
        </w:rPr>
      </w:pPr>
      <w:r>
        <w:rPr>
          <w:rFonts w:hint="eastAsia" w:ascii="宋体" w:hAnsi="宋体" w:cs="宋体"/>
          <w:b/>
          <w:sz w:val="28"/>
          <w:szCs w:val="28"/>
        </w:rPr>
        <w:t>投标报价明细表</w:t>
      </w:r>
    </w:p>
    <w:tbl>
      <w:tblPr>
        <w:tblStyle w:val="27"/>
        <w:tblW w:w="8429" w:type="dxa"/>
        <w:jc w:val="center"/>
        <w:tblLayout w:type="fixed"/>
        <w:tblCellMar>
          <w:top w:w="0" w:type="dxa"/>
          <w:left w:w="108" w:type="dxa"/>
          <w:bottom w:w="0" w:type="dxa"/>
          <w:right w:w="108" w:type="dxa"/>
        </w:tblCellMar>
      </w:tblPr>
      <w:tblGrid>
        <w:gridCol w:w="1808"/>
        <w:gridCol w:w="2714"/>
        <w:gridCol w:w="1559"/>
        <w:gridCol w:w="1371"/>
        <w:gridCol w:w="977"/>
      </w:tblGrid>
      <w:tr w14:paraId="4F4094C6">
        <w:tblPrEx>
          <w:tblCellMar>
            <w:top w:w="0" w:type="dxa"/>
            <w:left w:w="108" w:type="dxa"/>
            <w:bottom w:w="0" w:type="dxa"/>
            <w:right w:w="108" w:type="dxa"/>
          </w:tblCellMar>
        </w:tblPrEx>
        <w:trPr>
          <w:trHeight w:val="450"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14:paraId="7E241D2B">
            <w:pPr>
              <w:widowControl/>
              <w:jc w:val="center"/>
              <w:rPr>
                <w:rFonts w:hint="eastAsia" w:ascii="宋体" w:hAnsi="宋体"/>
                <w:b/>
                <w:sz w:val="18"/>
                <w:szCs w:val="18"/>
                <w:lang w:eastAsia="zh-CN"/>
              </w:rPr>
            </w:pPr>
            <w:r>
              <w:rPr>
                <w:rFonts w:ascii="宋体" w:hAnsi="宋体"/>
                <w:b/>
                <w:sz w:val="18"/>
                <w:szCs w:val="18"/>
              </w:rPr>
              <w:t>项目编号：</w:t>
            </w:r>
            <w:r>
              <w:rPr>
                <w:rFonts w:hint="eastAsia" w:ascii="宋体" w:hAnsi="宋体"/>
                <w:b/>
                <w:sz w:val="18"/>
                <w:szCs w:val="18"/>
                <w:lang w:eastAsia="zh-CN"/>
              </w:rPr>
              <w:t>OBXJ(采购)-24070</w:t>
            </w:r>
            <w:r>
              <w:rPr>
                <w:rFonts w:ascii="宋体" w:hAnsi="宋体"/>
                <w:b/>
                <w:sz w:val="18"/>
                <w:szCs w:val="18"/>
              </w:rPr>
              <w:t>项目名称：</w:t>
            </w:r>
            <w:r>
              <w:rPr>
                <w:rFonts w:hint="eastAsia" w:ascii="宋体" w:hAnsi="宋体"/>
                <w:b/>
                <w:sz w:val="18"/>
                <w:szCs w:val="18"/>
                <w:lang w:eastAsia="zh-CN"/>
              </w:rPr>
              <w:t>神仙居仙侠演艺餐厅厨房设备采购（非政府采购类）</w:t>
            </w:r>
          </w:p>
          <w:p w14:paraId="1AECC3E5">
            <w:pPr>
              <w:widowControl/>
              <w:jc w:val="center"/>
              <w:rPr>
                <w:rFonts w:hAnsi="宋体"/>
                <w:sz w:val="18"/>
                <w:szCs w:val="18"/>
              </w:rPr>
            </w:pPr>
            <w:r>
              <w:rPr>
                <w:rFonts w:hint="eastAsia" w:hAnsi="宋体"/>
                <w:sz w:val="18"/>
                <w:szCs w:val="18"/>
              </w:rPr>
              <w:t>序号</w:t>
            </w:r>
          </w:p>
        </w:tc>
        <w:tc>
          <w:tcPr>
            <w:tcW w:w="2714" w:type="dxa"/>
            <w:tcBorders>
              <w:top w:val="single" w:color="auto" w:sz="4" w:space="0"/>
              <w:left w:val="nil"/>
              <w:bottom w:val="single" w:color="auto" w:sz="4" w:space="0"/>
              <w:right w:val="single" w:color="auto" w:sz="4" w:space="0"/>
            </w:tcBorders>
            <w:vAlign w:val="center"/>
          </w:tcPr>
          <w:p w14:paraId="0B833EA5">
            <w:pPr>
              <w:widowControl/>
              <w:jc w:val="center"/>
              <w:rPr>
                <w:rFonts w:hAnsi="宋体"/>
                <w:sz w:val="18"/>
                <w:szCs w:val="18"/>
              </w:rPr>
            </w:pPr>
            <w:r>
              <w:rPr>
                <w:rFonts w:hint="eastAsia" w:hAnsi="宋体"/>
                <w:sz w:val="18"/>
                <w:szCs w:val="18"/>
              </w:rPr>
              <w:t>产品名称</w:t>
            </w:r>
          </w:p>
        </w:tc>
        <w:tc>
          <w:tcPr>
            <w:tcW w:w="1559" w:type="dxa"/>
            <w:tcBorders>
              <w:top w:val="single" w:color="auto" w:sz="4" w:space="0"/>
              <w:left w:val="nil"/>
              <w:bottom w:val="single" w:color="auto" w:sz="4" w:space="0"/>
              <w:right w:val="single" w:color="auto" w:sz="4" w:space="0"/>
            </w:tcBorders>
            <w:vAlign w:val="center"/>
          </w:tcPr>
          <w:p w14:paraId="44DF1CDF">
            <w:pPr>
              <w:widowControl/>
              <w:jc w:val="center"/>
              <w:rPr>
                <w:rFonts w:hAnsi="宋体"/>
                <w:sz w:val="18"/>
                <w:szCs w:val="18"/>
              </w:rPr>
            </w:pPr>
            <w:r>
              <w:rPr>
                <w:rFonts w:hint="eastAsia" w:hAnsi="宋体"/>
                <w:sz w:val="18"/>
                <w:szCs w:val="18"/>
              </w:rPr>
              <w:t>数量</w:t>
            </w:r>
          </w:p>
        </w:tc>
        <w:tc>
          <w:tcPr>
            <w:tcW w:w="1371" w:type="dxa"/>
            <w:tcBorders>
              <w:top w:val="single" w:color="auto" w:sz="4" w:space="0"/>
              <w:left w:val="nil"/>
              <w:bottom w:val="single" w:color="auto" w:sz="4" w:space="0"/>
              <w:right w:val="single" w:color="auto" w:sz="4" w:space="0"/>
            </w:tcBorders>
            <w:vAlign w:val="center"/>
          </w:tcPr>
          <w:p w14:paraId="6AEA6431">
            <w:pPr>
              <w:widowControl/>
              <w:jc w:val="center"/>
              <w:rPr>
                <w:rFonts w:hAnsi="宋体"/>
                <w:sz w:val="18"/>
                <w:szCs w:val="18"/>
              </w:rPr>
            </w:pPr>
            <w:r>
              <w:rPr>
                <w:rFonts w:hint="eastAsia" w:hAnsi="宋体"/>
                <w:sz w:val="18"/>
                <w:szCs w:val="18"/>
              </w:rPr>
              <w:t>单价</w:t>
            </w:r>
          </w:p>
        </w:tc>
        <w:tc>
          <w:tcPr>
            <w:tcW w:w="977" w:type="dxa"/>
            <w:tcBorders>
              <w:top w:val="single" w:color="auto" w:sz="4" w:space="0"/>
              <w:left w:val="nil"/>
              <w:bottom w:val="single" w:color="auto" w:sz="4" w:space="0"/>
              <w:right w:val="single" w:color="auto" w:sz="4" w:space="0"/>
            </w:tcBorders>
            <w:vAlign w:val="center"/>
          </w:tcPr>
          <w:p w14:paraId="1BBC189F">
            <w:pPr>
              <w:widowControl/>
              <w:jc w:val="center"/>
              <w:rPr>
                <w:rFonts w:hAnsi="宋体"/>
                <w:sz w:val="18"/>
                <w:szCs w:val="18"/>
              </w:rPr>
            </w:pPr>
            <w:r>
              <w:rPr>
                <w:rFonts w:hint="eastAsia" w:hAnsi="宋体"/>
                <w:sz w:val="18"/>
                <w:szCs w:val="18"/>
              </w:rPr>
              <w:t>合价</w:t>
            </w:r>
          </w:p>
        </w:tc>
      </w:tr>
      <w:tr w14:paraId="59D4E68B">
        <w:tblPrEx>
          <w:tblCellMar>
            <w:top w:w="0" w:type="dxa"/>
            <w:left w:w="108" w:type="dxa"/>
            <w:bottom w:w="0" w:type="dxa"/>
            <w:right w:w="108" w:type="dxa"/>
          </w:tblCellMar>
        </w:tblPrEx>
        <w:trPr>
          <w:trHeight w:val="450"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14:paraId="5BCC45CE">
            <w:pPr>
              <w:widowControl/>
              <w:jc w:val="center"/>
              <w:rPr>
                <w:rFonts w:hAnsi="宋体"/>
                <w:sz w:val="18"/>
                <w:szCs w:val="18"/>
              </w:rPr>
            </w:pPr>
            <w:r>
              <w:rPr>
                <w:rFonts w:hint="eastAsia" w:hAnsi="宋体"/>
                <w:sz w:val="18"/>
                <w:szCs w:val="18"/>
              </w:rPr>
              <w:t>1</w:t>
            </w:r>
          </w:p>
        </w:tc>
        <w:tc>
          <w:tcPr>
            <w:tcW w:w="2714" w:type="dxa"/>
            <w:tcBorders>
              <w:top w:val="single" w:color="auto" w:sz="4" w:space="0"/>
              <w:left w:val="single" w:color="auto" w:sz="4" w:space="0"/>
              <w:bottom w:val="single" w:color="auto" w:sz="4" w:space="0"/>
              <w:right w:val="single" w:color="auto" w:sz="4" w:space="0"/>
            </w:tcBorders>
            <w:vAlign w:val="center"/>
          </w:tcPr>
          <w:p w14:paraId="59358A95">
            <w:pPr>
              <w:widowControl/>
              <w:jc w:val="center"/>
              <w:rPr>
                <w:rFonts w:hAnsi="宋体"/>
                <w:sz w:val="18"/>
                <w:szCs w:val="18"/>
              </w:rPr>
            </w:pPr>
          </w:p>
        </w:tc>
        <w:tc>
          <w:tcPr>
            <w:tcW w:w="1559" w:type="dxa"/>
            <w:tcBorders>
              <w:top w:val="single" w:color="auto" w:sz="4" w:space="0"/>
              <w:left w:val="nil"/>
              <w:bottom w:val="single" w:color="auto" w:sz="4" w:space="0"/>
              <w:right w:val="single" w:color="auto" w:sz="4" w:space="0"/>
            </w:tcBorders>
            <w:vAlign w:val="center"/>
          </w:tcPr>
          <w:p w14:paraId="0FD66E15">
            <w:pPr>
              <w:widowControl/>
              <w:jc w:val="center"/>
              <w:rPr>
                <w:rFonts w:hAnsi="宋体"/>
                <w:sz w:val="18"/>
                <w:szCs w:val="18"/>
              </w:rPr>
            </w:pPr>
          </w:p>
        </w:tc>
        <w:tc>
          <w:tcPr>
            <w:tcW w:w="1371" w:type="dxa"/>
            <w:tcBorders>
              <w:top w:val="single" w:color="auto" w:sz="4" w:space="0"/>
              <w:left w:val="nil"/>
              <w:bottom w:val="single" w:color="auto" w:sz="4" w:space="0"/>
              <w:right w:val="single" w:color="auto" w:sz="4" w:space="0"/>
            </w:tcBorders>
            <w:vAlign w:val="center"/>
          </w:tcPr>
          <w:p w14:paraId="5A1768D6">
            <w:pPr>
              <w:widowControl/>
              <w:jc w:val="center"/>
              <w:rPr>
                <w:rFonts w:hAnsi="宋体"/>
                <w:sz w:val="18"/>
                <w:szCs w:val="18"/>
              </w:rPr>
            </w:pPr>
          </w:p>
        </w:tc>
        <w:tc>
          <w:tcPr>
            <w:tcW w:w="977" w:type="dxa"/>
            <w:tcBorders>
              <w:top w:val="single" w:color="auto" w:sz="4" w:space="0"/>
              <w:left w:val="nil"/>
              <w:bottom w:val="single" w:color="auto" w:sz="4" w:space="0"/>
              <w:right w:val="single" w:color="auto" w:sz="4" w:space="0"/>
            </w:tcBorders>
            <w:vAlign w:val="center"/>
          </w:tcPr>
          <w:p w14:paraId="0CCFF115">
            <w:pPr>
              <w:widowControl/>
              <w:jc w:val="center"/>
              <w:rPr>
                <w:rFonts w:hAnsi="宋体"/>
                <w:sz w:val="18"/>
                <w:szCs w:val="18"/>
              </w:rPr>
            </w:pPr>
          </w:p>
        </w:tc>
      </w:tr>
      <w:tr w14:paraId="34D48C20">
        <w:tblPrEx>
          <w:tblCellMar>
            <w:top w:w="0" w:type="dxa"/>
            <w:left w:w="108" w:type="dxa"/>
            <w:bottom w:w="0" w:type="dxa"/>
            <w:right w:w="108" w:type="dxa"/>
          </w:tblCellMar>
        </w:tblPrEx>
        <w:trPr>
          <w:trHeight w:val="450"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14:paraId="0E062665">
            <w:pPr>
              <w:widowControl/>
              <w:jc w:val="center"/>
              <w:rPr>
                <w:rFonts w:hAnsi="宋体"/>
                <w:sz w:val="18"/>
                <w:szCs w:val="18"/>
              </w:rPr>
            </w:pPr>
            <w:r>
              <w:rPr>
                <w:rFonts w:hint="eastAsia" w:hAnsi="宋体"/>
                <w:sz w:val="18"/>
                <w:szCs w:val="18"/>
              </w:rPr>
              <w:t>2</w:t>
            </w:r>
          </w:p>
        </w:tc>
        <w:tc>
          <w:tcPr>
            <w:tcW w:w="2714" w:type="dxa"/>
            <w:tcBorders>
              <w:top w:val="single" w:color="auto" w:sz="4" w:space="0"/>
              <w:left w:val="single" w:color="auto" w:sz="4" w:space="0"/>
              <w:bottom w:val="single" w:color="auto" w:sz="4" w:space="0"/>
              <w:right w:val="single" w:color="auto" w:sz="4" w:space="0"/>
            </w:tcBorders>
            <w:vAlign w:val="center"/>
          </w:tcPr>
          <w:p w14:paraId="6C625F1D">
            <w:pPr>
              <w:widowControl/>
              <w:jc w:val="center"/>
              <w:rPr>
                <w:rFonts w:hAnsi="宋体"/>
                <w:sz w:val="18"/>
                <w:szCs w:val="18"/>
              </w:rPr>
            </w:pPr>
          </w:p>
        </w:tc>
        <w:tc>
          <w:tcPr>
            <w:tcW w:w="1559" w:type="dxa"/>
            <w:tcBorders>
              <w:top w:val="single" w:color="auto" w:sz="4" w:space="0"/>
              <w:left w:val="nil"/>
              <w:bottom w:val="single" w:color="auto" w:sz="4" w:space="0"/>
              <w:right w:val="single" w:color="auto" w:sz="4" w:space="0"/>
            </w:tcBorders>
            <w:vAlign w:val="center"/>
          </w:tcPr>
          <w:p w14:paraId="3A63A271">
            <w:pPr>
              <w:widowControl/>
              <w:jc w:val="center"/>
              <w:rPr>
                <w:rFonts w:hAnsi="宋体"/>
                <w:sz w:val="18"/>
                <w:szCs w:val="18"/>
              </w:rPr>
            </w:pPr>
          </w:p>
        </w:tc>
        <w:tc>
          <w:tcPr>
            <w:tcW w:w="1371" w:type="dxa"/>
            <w:tcBorders>
              <w:top w:val="single" w:color="auto" w:sz="4" w:space="0"/>
              <w:left w:val="nil"/>
              <w:bottom w:val="single" w:color="auto" w:sz="4" w:space="0"/>
              <w:right w:val="single" w:color="auto" w:sz="4" w:space="0"/>
            </w:tcBorders>
            <w:vAlign w:val="center"/>
          </w:tcPr>
          <w:p w14:paraId="3ABAF758">
            <w:pPr>
              <w:widowControl/>
              <w:jc w:val="center"/>
              <w:rPr>
                <w:rFonts w:hAnsi="宋体"/>
                <w:sz w:val="18"/>
                <w:szCs w:val="18"/>
              </w:rPr>
            </w:pPr>
          </w:p>
        </w:tc>
        <w:tc>
          <w:tcPr>
            <w:tcW w:w="977" w:type="dxa"/>
            <w:tcBorders>
              <w:top w:val="single" w:color="auto" w:sz="4" w:space="0"/>
              <w:left w:val="nil"/>
              <w:bottom w:val="single" w:color="auto" w:sz="4" w:space="0"/>
              <w:right w:val="single" w:color="auto" w:sz="4" w:space="0"/>
            </w:tcBorders>
            <w:vAlign w:val="center"/>
          </w:tcPr>
          <w:p w14:paraId="24EAF665">
            <w:pPr>
              <w:widowControl/>
              <w:jc w:val="center"/>
              <w:rPr>
                <w:rFonts w:hAnsi="宋体"/>
                <w:sz w:val="18"/>
                <w:szCs w:val="18"/>
              </w:rPr>
            </w:pPr>
          </w:p>
        </w:tc>
      </w:tr>
      <w:tr w14:paraId="647424CB">
        <w:tblPrEx>
          <w:tblCellMar>
            <w:top w:w="0" w:type="dxa"/>
            <w:left w:w="108" w:type="dxa"/>
            <w:bottom w:w="0" w:type="dxa"/>
            <w:right w:w="108" w:type="dxa"/>
          </w:tblCellMar>
        </w:tblPrEx>
        <w:trPr>
          <w:trHeight w:val="450"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14:paraId="22AFE032">
            <w:pPr>
              <w:widowControl/>
              <w:jc w:val="center"/>
              <w:rPr>
                <w:rFonts w:hAnsi="宋体"/>
                <w:sz w:val="18"/>
                <w:szCs w:val="18"/>
              </w:rPr>
            </w:pPr>
            <w:r>
              <w:rPr>
                <w:rFonts w:hint="eastAsia" w:hAnsi="宋体"/>
                <w:sz w:val="18"/>
                <w:szCs w:val="18"/>
              </w:rPr>
              <w:t>3</w:t>
            </w:r>
          </w:p>
        </w:tc>
        <w:tc>
          <w:tcPr>
            <w:tcW w:w="2714" w:type="dxa"/>
            <w:tcBorders>
              <w:top w:val="single" w:color="auto" w:sz="4" w:space="0"/>
              <w:left w:val="single" w:color="auto" w:sz="4" w:space="0"/>
              <w:bottom w:val="single" w:color="auto" w:sz="4" w:space="0"/>
              <w:right w:val="single" w:color="auto" w:sz="4" w:space="0"/>
            </w:tcBorders>
            <w:vAlign w:val="center"/>
          </w:tcPr>
          <w:p w14:paraId="6AAFA90E">
            <w:pPr>
              <w:widowControl/>
              <w:jc w:val="center"/>
              <w:rPr>
                <w:rFonts w:hAnsi="宋体"/>
                <w:sz w:val="18"/>
                <w:szCs w:val="18"/>
              </w:rPr>
            </w:pPr>
          </w:p>
        </w:tc>
        <w:tc>
          <w:tcPr>
            <w:tcW w:w="1559" w:type="dxa"/>
            <w:tcBorders>
              <w:top w:val="single" w:color="auto" w:sz="4" w:space="0"/>
              <w:left w:val="nil"/>
              <w:bottom w:val="single" w:color="auto" w:sz="4" w:space="0"/>
              <w:right w:val="single" w:color="auto" w:sz="4" w:space="0"/>
            </w:tcBorders>
            <w:vAlign w:val="center"/>
          </w:tcPr>
          <w:p w14:paraId="2AAD91F8">
            <w:pPr>
              <w:widowControl/>
              <w:jc w:val="center"/>
              <w:rPr>
                <w:rFonts w:hAnsi="宋体"/>
                <w:sz w:val="18"/>
                <w:szCs w:val="18"/>
              </w:rPr>
            </w:pPr>
          </w:p>
        </w:tc>
        <w:tc>
          <w:tcPr>
            <w:tcW w:w="1371" w:type="dxa"/>
            <w:tcBorders>
              <w:top w:val="single" w:color="auto" w:sz="4" w:space="0"/>
              <w:left w:val="nil"/>
              <w:bottom w:val="single" w:color="auto" w:sz="4" w:space="0"/>
              <w:right w:val="single" w:color="auto" w:sz="4" w:space="0"/>
            </w:tcBorders>
            <w:vAlign w:val="center"/>
          </w:tcPr>
          <w:p w14:paraId="3B102953">
            <w:pPr>
              <w:widowControl/>
              <w:jc w:val="center"/>
              <w:rPr>
                <w:rFonts w:hAnsi="宋体"/>
                <w:sz w:val="18"/>
                <w:szCs w:val="18"/>
              </w:rPr>
            </w:pPr>
          </w:p>
        </w:tc>
        <w:tc>
          <w:tcPr>
            <w:tcW w:w="977" w:type="dxa"/>
            <w:tcBorders>
              <w:top w:val="single" w:color="auto" w:sz="4" w:space="0"/>
              <w:left w:val="nil"/>
              <w:bottom w:val="single" w:color="auto" w:sz="4" w:space="0"/>
              <w:right w:val="single" w:color="auto" w:sz="4" w:space="0"/>
            </w:tcBorders>
            <w:vAlign w:val="center"/>
          </w:tcPr>
          <w:p w14:paraId="48D07AEB">
            <w:pPr>
              <w:widowControl/>
              <w:jc w:val="center"/>
              <w:rPr>
                <w:rFonts w:hAnsi="宋体"/>
                <w:sz w:val="18"/>
                <w:szCs w:val="18"/>
              </w:rPr>
            </w:pPr>
          </w:p>
        </w:tc>
      </w:tr>
      <w:tr w14:paraId="3BC5C802">
        <w:tblPrEx>
          <w:tblCellMar>
            <w:top w:w="0" w:type="dxa"/>
            <w:left w:w="108" w:type="dxa"/>
            <w:bottom w:w="0" w:type="dxa"/>
            <w:right w:w="108" w:type="dxa"/>
          </w:tblCellMar>
        </w:tblPrEx>
        <w:trPr>
          <w:trHeight w:val="450" w:hRule="atLeast"/>
          <w:jc w:val="center"/>
        </w:trPr>
        <w:tc>
          <w:tcPr>
            <w:tcW w:w="1808" w:type="dxa"/>
            <w:tcBorders>
              <w:top w:val="single" w:color="auto" w:sz="4" w:space="0"/>
              <w:left w:val="single" w:color="auto" w:sz="4" w:space="0"/>
              <w:bottom w:val="single" w:color="auto" w:sz="4" w:space="0"/>
              <w:right w:val="single" w:color="auto" w:sz="4" w:space="0"/>
            </w:tcBorders>
            <w:vAlign w:val="center"/>
          </w:tcPr>
          <w:p w14:paraId="6C3AD722">
            <w:pPr>
              <w:widowControl/>
              <w:jc w:val="center"/>
              <w:rPr>
                <w:rFonts w:hAnsi="宋体"/>
                <w:sz w:val="18"/>
                <w:szCs w:val="18"/>
              </w:rPr>
            </w:pPr>
          </w:p>
        </w:tc>
        <w:tc>
          <w:tcPr>
            <w:tcW w:w="2714" w:type="dxa"/>
            <w:tcBorders>
              <w:top w:val="single" w:color="auto" w:sz="4" w:space="0"/>
              <w:left w:val="single" w:color="auto" w:sz="4" w:space="0"/>
              <w:bottom w:val="single" w:color="auto" w:sz="4" w:space="0"/>
              <w:right w:val="single" w:color="auto" w:sz="4" w:space="0"/>
            </w:tcBorders>
            <w:vAlign w:val="center"/>
          </w:tcPr>
          <w:p w14:paraId="6FDD7A1B">
            <w:pPr>
              <w:widowControl/>
              <w:jc w:val="center"/>
              <w:rPr>
                <w:rFonts w:hAnsi="宋体"/>
                <w:sz w:val="18"/>
                <w:szCs w:val="18"/>
              </w:rPr>
            </w:pPr>
            <w:r>
              <w:rPr>
                <w:rFonts w:hAnsi="宋体"/>
                <w:sz w:val="18"/>
                <w:szCs w:val="18"/>
              </w:rPr>
              <w:t>……</w:t>
            </w:r>
          </w:p>
        </w:tc>
        <w:tc>
          <w:tcPr>
            <w:tcW w:w="1559" w:type="dxa"/>
            <w:tcBorders>
              <w:top w:val="single" w:color="auto" w:sz="4" w:space="0"/>
              <w:left w:val="nil"/>
              <w:bottom w:val="single" w:color="auto" w:sz="4" w:space="0"/>
              <w:right w:val="single" w:color="auto" w:sz="4" w:space="0"/>
            </w:tcBorders>
            <w:vAlign w:val="center"/>
          </w:tcPr>
          <w:p w14:paraId="3F62F3BF">
            <w:pPr>
              <w:widowControl/>
              <w:jc w:val="center"/>
              <w:rPr>
                <w:rFonts w:hAnsi="宋体"/>
                <w:sz w:val="18"/>
                <w:szCs w:val="18"/>
              </w:rPr>
            </w:pPr>
          </w:p>
        </w:tc>
        <w:tc>
          <w:tcPr>
            <w:tcW w:w="1371" w:type="dxa"/>
            <w:tcBorders>
              <w:top w:val="single" w:color="auto" w:sz="4" w:space="0"/>
              <w:left w:val="nil"/>
              <w:bottom w:val="single" w:color="auto" w:sz="4" w:space="0"/>
              <w:right w:val="single" w:color="auto" w:sz="4" w:space="0"/>
            </w:tcBorders>
            <w:vAlign w:val="center"/>
          </w:tcPr>
          <w:p w14:paraId="147E7758">
            <w:pPr>
              <w:widowControl/>
              <w:jc w:val="center"/>
              <w:rPr>
                <w:rFonts w:hAnsi="宋体"/>
                <w:sz w:val="18"/>
                <w:szCs w:val="18"/>
              </w:rPr>
            </w:pPr>
          </w:p>
        </w:tc>
        <w:tc>
          <w:tcPr>
            <w:tcW w:w="977" w:type="dxa"/>
            <w:tcBorders>
              <w:top w:val="single" w:color="auto" w:sz="4" w:space="0"/>
              <w:left w:val="nil"/>
              <w:bottom w:val="single" w:color="auto" w:sz="4" w:space="0"/>
              <w:right w:val="single" w:color="auto" w:sz="4" w:space="0"/>
            </w:tcBorders>
            <w:vAlign w:val="center"/>
          </w:tcPr>
          <w:p w14:paraId="2395983A">
            <w:pPr>
              <w:widowControl/>
              <w:jc w:val="center"/>
              <w:rPr>
                <w:rFonts w:hAnsi="宋体"/>
                <w:sz w:val="18"/>
                <w:szCs w:val="18"/>
              </w:rPr>
            </w:pPr>
          </w:p>
        </w:tc>
      </w:tr>
      <w:tr w14:paraId="24924FAC">
        <w:tblPrEx>
          <w:tblCellMar>
            <w:top w:w="0" w:type="dxa"/>
            <w:left w:w="108" w:type="dxa"/>
            <w:bottom w:w="0" w:type="dxa"/>
            <w:right w:w="108" w:type="dxa"/>
          </w:tblCellMar>
        </w:tblPrEx>
        <w:trPr>
          <w:trHeight w:val="450" w:hRule="atLeast"/>
          <w:jc w:val="center"/>
        </w:trPr>
        <w:tc>
          <w:tcPr>
            <w:tcW w:w="6081" w:type="dxa"/>
            <w:gridSpan w:val="3"/>
            <w:tcBorders>
              <w:top w:val="single" w:color="auto" w:sz="4" w:space="0"/>
              <w:left w:val="single" w:color="auto" w:sz="4" w:space="0"/>
              <w:bottom w:val="single" w:color="auto" w:sz="4" w:space="0"/>
              <w:right w:val="single" w:color="auto" w:sz="4" w:space="0"/>
            </w:tcBorders>
            <w:vAlign w:val="center"/>
          </w:tcPr>
          <w:p w14:paraId="6F8AB31D">
            <w:pPr>
              <w:widowControl/>
              <w:jc w:val="center"/>
              <w:rPr>
                <w:rFonts w:hAnsi="宋体"/>
                <w:sz w:val="18"/>
                <w:szCs w:val="18"/>
              </w:rPr>
            </w:pPr>
            <w:r>
              <w:rPr>
                <w:rFonts w:hint="eastAsia" w:hAnsi="宋体"/>
                <w:sz w:val="18"/>
                <w:szCs w:val="18"/>
              </w:rPr>
              <w:t>合计</w:t>
            </w:r>
          </w:p>
        </w:tc>
        <w:tc>
          <w:tcPr>
            <w:tcW w:w="2348" w:type="dxa"/>
            <w:gridSpan w:val="2"/>
            <w:tcBorders>
              <w:top w:val="single" w:color="auto" w:sz="4" w:space="0"/>
              <w:left w:val="nil"/>
              <w:bottom w:val="single" w:color="auto" w:sz="4" w:space="0"/>
              <w:right w:val="single" w:color="auto" w:sz="4" w:space="0"/>
            </w:tcBorders>
            <w:vAlign w:val="center"/>
          </w:tcPr>
          <w:p w14:paraId="359F8ED5">
            <w:pPr>
              <w:widowControl/>
              <w:jc w:val="center"/>
              <w:rPr>
                <w:rFonts w:hAnsi="宋体"/>
                <w:sz w:val="18"/>
                <w:szCs w:val="18"/>
              </w:rPr>
            </w:pPr>
          </w:p>
        </w:tc>
      </w:tr>
    </w:tbl>
    <w:p w14:paraId="09093A12">
      <w:pPr>
        <w:autoSpaceDE w:val="0"/>
        <w:autoSpaceDN w:val="0"/>
        <w:adjustRightInd w:val="0"/>
        <w:spacing w:line="360" w:lineRule="auto"/>
        <w:ind w:firstLine="536" w:firstLineChars="298"/>
        <w:rPr>
          <w:kern w:val="0"/>
          <w:sz w:val="18"/>
          <w:szCs w:val="18"/>
        </w:rPr>
      </w:pPr>
      <w:r>
        <w:rPr>
          <w:rFonts w:hint="eastAsia"/>
          <w:kern w:val="0"/>
          <w:sz w:val="18"/>
          <w:szCs w:val="18"/>
        </w:rPr>
        <w:t>注： 1.“投标报价明细表”中的投标总报价应与“报价一览表”中的投标总报价相一致。</w:t>
      </w:r>
    </w:p>
    <w:p w14:paraId="16E43BE3">
      <w:pPr>
        <w:autoSpaceDE w:val="0"/>
        <w:autoSpaceDN w:val="0"/>
        <w:adjustRightInd w:val="0"/>
        <w:spacing w:line="360" w:lineRule="auto"/>
        <w:ind w:firstLine="1076" w:firstLineChars="598"/>
        <w:rPr>
          <w:kern w:val="0"/>
          <w:sz w:val="18"/>
          <w:szCs w:val="18"/>
        </w:rPr>
      </w:pPr>
      <w:r>
        <w:rPr>
          <w:rFonts w:hint="eastAsia"/>
          <w:kern w:val="0"/>
          <w:sz w:val="18"/>
          <w:szCs w:val="18"/>
        </w:rPr>
        <w:t>2.投标报价明细表所填内容包括但不限于采购文件采购内容（此表可增行）。如有漏报的，视同已包含在投标总价内或已作优惠处理。</w:t>
      </w:r>
    </w:p>
    <w:p w14:paraId="596FEF3E">
      <w:pPr>
        <w:widowControl/>
        <w:ind w:right="-154"/>
        <w:jc w:val="right"/>
        <w:rPr>
          <w:rFonts w:ascii="宋体"/>
          <w:bCs/>
          <w:sz w:val="24"/>
          <w:lang w:val="zh-CN"/>
        </w:rPr>
      </w:pPr>
      <w:r>
        <w:rPr>
          <w:rFonts w:hint="eastAsia"/>
          <w:bCs/>
          <w:sz w:val="24"/>
        </w:rPr>
        <w:t>谈判供应商（盖章）：</w:t>
      </w:r>
    </w:p>
    <w:p w14:paraId="67B21A86">
      <w:pPr>
        <w:widowControl/>
        <w:ind w:right="-154"/>
        <w:jc w:val="left"/>
        <w:rPr>
          <w:rFonts w:ascii="宋体"/>
          <w:b/>
          <w:sz w:val="24"/>
          <w:lang w:val="zh-CN"/>
        </w:rPr>
      </w:pPr>
    </w:p>
    <w:p w14:paraId="660A4BFB">
      <w:pPr>
        <w:widowControl/>
        <w:ind w:right="-154"/>
        <w:jc w:val="right"/>
        <w:rPr>
          <w:kern w:val="0"/>
          <w:sz w:val="24"/>
        </w:rPr>
      </w:pPr>
    </w:p>
    <w:p w14:paraId="67032B06">
      <w:pPr>
        <w:jc w:val="right"/>
      </w:pPr>
      <w:r>
        <w:rPr>
          <w:sz w:val="24"/>
        </w:rPr>
        <w:t>日期：</w:t>
      </w:r>
      <w:r>
        <w:rPr>
          <w:rFonts w:hint="eastAsia" w:ascii="宋体" w:hAnsi="宋体" w:cs="宋体"/>
          <w:sz w:val="24"/>
          <w:lang w:eastAsia="zh-CN"/>
        </w:rPr>
        <w:t>2024年</w:t>
      </w:r>
      <w:r>
        <w:rPr>
          <w:rFonts w:hint="eastAsia" w:ascii="宋体" w:hAnsi="宋体" w:cs="宋体"/>
          <w:sz w:val="24"/>
        </w:rPr>
        <w:t xml:space="preserve">  </w:t>
      </w:r>
      <w:r>
        <w:rPr>
          <w:sz w:val="24"/>
        </w:rPr>
        <w:t xml:space="preserve"> 月  </w:t>
      </w:r>
      <w:r>
        <w:rPr>
          <w:rFonts w:hint="eastAsia"/>
          <w:sz w:val="24"/>
        </w:rPr>
        <w:t>日</w:t>
      </w:r>
    </w:p>
    <w:p w14:paraId="11AA9EC4">
      <w:pPr>
        <w:pStyle w:val="53"/>
      </w:pPr>
    </w:p>
    <w:p w14:paraId="2BC30C3B">
      <w:pPr>
        <w:pStyle w:val="54"/>
      </w:pPr>
    </w:p>
    <w:p w14:paraId="4D264ED5">
      <w:pPr>
        <w:rPr>
          <w:rFonts w:ascii="宋体" w:hAnsi="宋体" w:cs="宋体"/>
          <w:b/>
          <w:sz w:val="24"/>
        </w:rPr>
      </w:pPr>
      <w:r>
        <w:rPr>
          <w:rFonts w:hint="eastAsia" w:ascii="宋体" w:hAnsi="宋体" w:cs="宋体"/>
          <w:b/>
          <w:sz w:val="24"/>
        </w:rPr>
        <w:br w:type="page"/>
      </w:r>
    </w:p>
    <w:p w14:paraId="68DD4499">
      <w:pPr>
        <w:spacing w:line="360" w:lineRule="atLeast"/>
        <w:jc w:val="center"/>
        <w:rPr>
          <w:rFonts w:ascii="宋体" w:hAnsi="宋体"/>
          <w:b/>
          <w:color w:val="33CCCC"/>
          <w:sz w:val="30"/>
          <w:szCs w:val="30"/>
        </w:rPr>
      </w:pPr>
      <w:r>
        <w:rPr>
          <w:rFonts w:hint="eastAsia" w:ascii="宋体" w:hAnsi="宋体"/>
          <w:b/>
          <w:sz w:val="30"/>
          <w:szCs w:val="30"/>
          <w:lang w:val="en-US" w:eastAsia="zh-CN"/>
        </w:rPr>
        <w:t>最终</w:t>
      </w:r>
      <w:r>
        <w:rPr>
          <w:rFonts w:hint="eastAsia" w:ascii="宋体" w:hAnsi="宋体"/>
          <w:b/>
          <w:sz w:val="30"/>
          <w:szCs w:val="30"/>
        </w:rPr>
        <w:t>报价一览表</w:t>
      </w:r>
    </w:p>
    <w:p w14:paraId="0EF43302">
      <w:pPr>
        <w:rPr>
          <w:rFonts w:ascii="宋体" w:hAnsi="宋体"/>
        </w:rPr>
      </w:pPr>
    </w:p>
    <w:tbl>
      <w:tblPr>
        <w:tblStyle w:val="27"/>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88"/>
        <w:gridCol w:w="1065"/>
        <w:gridCol w:w="2623"/>
        <w:gridCol w:w="1337"/>
      </w:tblGrid>
      <w:tr w14:paraId="325D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3788" w:type="dxa"/>
            <w:vMerge w:val="restart"/>
            <w:vAlign w:val="center"/>
          </w:tcPr>
          <w:p w14:paraId="038D07D4">
            <w:pPr>
              <w:snapToGrid w:val="0"/>
              <w:spacing w:before="50" w:after="50" w:line="360" w:lineRule="auto"/>
              <w:ind w:right="-617" w:rightChars="-294"/>
              <w:jc w:val="left"/>
              <w:rPr>
                <w:rFonts w:hAnsi="宋体"/>
                <w:b/>
                <w:color w:val="000000"/>
                <w:sz w:val="21"/>
                <w:szCs w:val="21"/>
              </w:rPr>
            </w:pPr>
            <w:r>
              <w:rPr>
                <w:rFonts w:hAnsi="宋体"/>
                <w:b/>
                <w:color w:val="000000"/>
                <w:sz w:val="21"/>
                <w:szCs w:val="21"/>
              </w:rPr>
              <w:t>项目编号：</w:t>
            </w:r>
            <w:r>
              <w:rPr>
                <w:rFonts w:hint="eastAsia" w:hAnsi="宋体"/>
                <w:b/>
                <w:color w:val="000000"/>
                <w:sz w:val="21"/>
                <w:szCs w:val="21"/>
                <w:lang w:eastAsia="zh-CN"/>
              </w:rPr>
              <w:t>OBXJ(采购)-24070</w:t>
            </w:r>
            <w:r>
              <w:rPr>
                <w:rFonts w:hAnsi="宋体"/>
                <w:b/>
                <w:color w:val="000000"/>
                <w:sz w:val="21"/>
                <w:szCs w:val="21"/>
              </w:rPr>
              <w:t>项目名称：</w:t>
            </w:r>
          </w:p>
          <w:p w14:paraId="3B5C45F7">
            <w:pPr>
              <w:snapToGrid w:val="0"/>
              <w:spacing w:before="50" w:after="50" w:line="360" w:lineRule="auto"/>
              <w:ind w:right="-617" w:rightChars="-294"/>
              <w:jc w:val="left"/>
              <w:rPr>
                <w:rFonts w:hint="eastAsia" w:hAnsi="宋体"/>
                <w:b/>
                <w:color w:val="000000"/>
                <w:sz w:val="21"/>
                <w:szCs w:val="21"/>
                <w:lang w:eastAsia="zh-CN"/>
              </w:rPr>
            </w:pPr>
            <w:r>
              <w:rPr>
                <w:rFonts w:hint="eastAsia" w:hAnsi="宋体"/>
                <w:b/>
                <w:color w:val="000000"/>
                <w:sz w:val="21"/>
                <w:szCs w:val="21"/>
                <w:lang w:eastAsia="zh-CN"/>
              </w:rPr>
              <w:t>神仙居仙侠演艺餐厅厨房设备采购</w:t>
            </w:r>
          </w:p>
          <w:p w14:paraId="30D89A80">
            <w:pPr>
              <w:snapToGrid w:val="0"/>
              <w:spacing w:before="50" w:after="50" w:line="360" w:lineRule="auto"/>
              <w:ind w:right="-617" w:rightChars="-294"/>
              <w:jc w:val="left"/>
              <w:rPr>
                <w:rFonts w:ascii="宋体" w:hAnsi="宋体" w:cs="宋体"/>
                <w:sz w:val="24"/>
              </w:rPr>
            </w:pPr>
            <w:r>
              <w:rPr>
                <w:rFonts w:hint="eastAsia" w:hAnsi="宋体"/>
                <w:b/>
                <w:color w:val="000000"/>
                <w:sz w:val="21"/>
                <w:szCs w:val="21"/>
                <w:lang w:eastAsia="zh-CN"/>
              </w:rPr>
              <w:t>（非政府采购类））</w:t>
            </w:r>
            <w:r>
              <w:rPr>
                <w:rFonts w:hint="eastAsia" w:ascii="宋体" w:hAnsi="宋体" w:cs="宋体"/>
                <w:b/>
                <w:bCs/>
                <w:sz w:val="21"/>
                <w:szCs w:val="21"/>
              </w:rPr>
              <w:t>谈判总报价（元）</w:t>
            </w:r>
          </w:p>
        </w:tc>
        <w:tc>
          <w:tcPr>
            <w:tcW w:w="1065" w:type="dxa"/>
            <w:vAlign w:val="center"/>
          </w:tcPr>
          <w:p w14:paraId="1216A665">
            <w:pPr>
              <w:snapToGrid w:val="0"/>
              <w:spacing w:before="50" w:after="50" w:line="360" w:lineRule="auto"/>
              <w:ind w:right="-617" w:rightChars="-294"/>
              <w:rPr>
                <w:rFonts w:ascii="宋体" w:hAnsi="宋体" w:cs="宋体"/>
                <w:sz w:val="24"/>
              </w:rPr>
            </w:pPr>
            <w:r>
              <w:rPr>
                <w:rFonts w:hint="eastAsia" w:ascii="宋体" w:hAnsi="宋体" w:cs="宋体"/>
                <w:b/>
                <w:bCs/>
                <w:sz w:val="24"/>
              </w:rPr>
              <w:t>大写：</w:t>
            </w:r>
          </w:p>
        </w:tc>
        <w:tc>
          <w:tcPr>
            <w:tcW w:w="2623" w:type="dxa"/>
            <w:vAlign w:val="center"/>
          </w:tcPr>
          <w:p w14:paraId="2DFC47DD">
            <w:pPr>
              <w:snapToGrid w:val="0"/>
              <w:spacing w:before="50" w:after="50" w:line="360" w:lineRule="auto"/>
              <w:ind w:right="-617" w:rightChars="-294"/>
              <w:jc w:val="left"/>
              <w:rPr>
                <w:rFonts w:ascii="宋体" w:hAnsi="宋体" w:cs="宋体"/>
                <w:sz w:val="24"/>
              </w:rPr>
            </w:pPr>
            <w:r>
              <w:rPr>
                <w:rFonts w:hint="eastAsia" w:ascii="宋体" w:hAnsi="宋体" w:cs="宋体"/>
                <w:b/>
                <w:bCs/>
                <w:sz w:val="24"/>
              </w:rPr>
              <w:t>¥：</w:t>
            </w:r>
          </w:p>
        </w:tc>
        <w:tc>
          <w:tcPr>
            <w:tcW w:w="1337" w:type="dxa"/>
            <w:vAlign w:val="center"/>
          </w:tcPr>
          <w:p w14:paraId="1096702E">
            <w:pPr>
              <w:snapToGrid w:val="0"/>
              <w:spacing w:before="50" w:after="50" w:line="360" w:lineRule="auto"/>
              <w:ind w:right="-617" w:rightChars="-294" w:firstLine="241" w:firstLineChars="100"/>
              <w:jc w:val="both"/>
              <w:rPr>
                <w:rFonts w:hint="eastAsia" w:ascii="宋体" w:hAnsi="宋体" w:cs="宋体"/>
                <w:b/>
                <w:bCs/>
                <w:sz w:val="24"/>
              </w:rPr>
            </w:pPr>
            <w:r>
              <w:rPr>
                <w:rFonts w:hint="eastAsia" w:ascii="宋体" w:hAnsi="宋体" w:cs="宋体"/>
                <w:b/>
                <w:bCs/>
                <w:sz w:val="24"/>
                <w:lang w:val="en-US" w:eastAsia="zh-CN"/>
              </w:rPr>
              <w:t>备注</w:t>
            </w:r>
          </w:p>
        </w:tc>
      </w:tr>
      <w:tr w14:paraId="5011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3788" w:type="dxa"/>
            <w:vMerge w:val="continue"/>
            <w:vAlign w:val="center"/>
          </w:tcPr>
          <w:p w14:paraId="7361B2C4">
            <w:pPr>
              <w:snapToGrid w:val="0"/>
              <w:spacing w:before="50" w:after="50" w:line="360" w:lineRule="auto"/>
              <w:ind w:right="-617" w:rightChars="-294"/>
              <w:jc w:val="center"/>
              <w:rPr>
                <w:rFonts w:ascii="宋体" w:hAnsi="宋体" w:cs="宋体"/>
                <w:sz w:val="24"/>
              </w:rPr>
            </w:pPr>
          </w:p>
        </w:tc>
        <w:tc>
          <w:tcPr>
            <w:tcW w:w="1065" w:type="dxa"/>
            <w:vAlign w:val="center"/>
          </w:tcPr>
          <w:p w14:paraId="39A06187">
            <w:pPr>
              <w:snapToGrid w:val="0"/>
              <w:spacing w:before="50" w:after="50" w:line="360" w:lineRule="auto"/>
              <w:ind w:right="-617" w:rightChars="-294"/>
              <w:rPr>
                <w:rFonts w:ascii="宋体" w:hAnsi="宋体" w:cs="宋体"/>
                <w:sz w:val="24"/>
                <w:u w:val="single"/>
              </w:rPr>
            </w:pPr>
            <w:r>
              <w:rPr>
                <w:rFonts w:hint="eastAsia" w:ascii="宋体" w:hAnsi="宋体" w:cs="宋体"/>
                <w:b/>
                <w:bCs/>
                <w:sz w:val="24"/>
              </w:rPr>
              <w:t>小写</w:t>
            </w:r>
          </w:p>
        </w:tc>
        <w:tc>
          <w:tcPr>
            <w:tcW w:w="2623" w:type="dxa"/>
            <w:vAlign w:val="center"/>
          </w:tcPr>
          <w:p w14:paraId="5D59DC7A">
            <w:pPr>
              <w:snapToGrid w:val="0"/>
              <w:spacing w:before="50" w:after="50" w:line="360" w:lineRule="auto"/>
              <w:ind w:right="-617" w:rightChars="-294"/>
              <w:jc w:val="left"/>
              <w:rPr>
                <w:rFonts w:ascii="宋体" w:hAnsi="宋体" w:cs="宋体"/>
                <w:sz w:val="24"/>
                <w:u w:val="single"/>
              </w:rPr>
            </w:pPr>
            <w:r>
              <w:rPr>
                <w:rFonts w:hint="eastAsia" w:ascii="宋体" w:hAnsi="宋体" w:cs="宋体"/>
                <w:b/>
                <w:bCs/>
                <w:sz w:val="24"/>
              </w:rPr>
              <w:t>¥：</w:t>
            </w:r>
          </w:p>
        </w:tc>
        <w:tc>
          <w:tcPr>
            <w:tcW w:w="1337" w:type="dxa"/>
            <w:vAlign w:val="center"/>
          </w:tcPr>
          <w:p w14:paraId="457E1A0B">
            <w:pPr>
              <w:snapToGrid w:val="0"/>
              <w:spacing w:before="50" w:after="50" w:line="360" w:lineRule="auto"/>
              <w:ind w:right="-617" w:rightChars="-294"/>
              <w:jc w:val="left"/>
              <w:rPr>
                <w:rFonts w:hint="eastAsia" w:ascii="宋体"/>
                <w:b/>
                <w:bCs/>
                <w:szCs w:val="21"/>
                <w:lang w:eastAsia="zh-CN"/>
              </w:rPr>
            </w:pPr>
            <w:r>
              <w:rPr>
                <w:rFonts w:hint="eastAsia" w:ascii="宋体"/>
                <w:b/>
                <w:bCs/>
                <w:szCs w:val="21"/>
                <w:lang w:eastAsia="zh-CN"/>
              </w:rPr>
              <w:t>包含上山搬运</w:t>
            </w:r>
          </w:p>
          <w:p w14:paraId="114F24DF">
            <w:pPr>
              <w:snapToGrid w:val="0"/>
              <w:spacing w:before="50" w:after="50" w:line="360" w:lineRule="auto"/>
              <w:ind w:right="-617" w:rightChars="-294"/>
              <w:jc w:val="left"/>
              <w:rPr>
                <w:rFonts w:hint="eastAsia" w:ascii="宋体" w:hAnsi="宋体" w:cs="宋体"/>
                <w:b/>
                <w:bCs/>
                <w:sz w:val="24"/>
              </w:rPr>
            </w:pPr>
            <w:r>
              <w:rPr>
                <w:rFonts w:hint="eastAsia" w:ascii="宋体"/>
                <w:b/>
                <w:bCs/>
                <w:szCs w:val="21"/>
                <w:lang w:eastAsia="zh-CN"/>
              </w:rPr>
              <w:t>等一切费用</w:t>
            </w:r>
          </w:p>
        </w:tc>
      </w:tr>
    </w:tbl>
    <w:p w14:paraId="2AB67452">
      <w:pPr>
        <w:spacing w:line="360" w:lineRule="auto"/>
        <w:rPr>
          <w:rFonts w:ascii="宋体" w:hAnsi="宋体"/>
          <w:b/>
          <w:szCs w:val="21"/>
        </w:rPr>
      </w:pPr>
      <w:r>
        <w:rPr>
          <w:rFonts w:hint="eastAsia" w:ascii="宋体" w:hAnsi="宋体"/>
          <w:b/>
          <w:szCs w:val="21"/>
        </w:rPr>
        <w:t>注：</w:t>
      </w:r>
    </w:p>
    <w:p w14:paraId="0D46A26B">
      <w:pPr>
        <w:pStyle w:val="5"/>
        <w:spacing w:line="360" w:lineRule="auto"/>
        <w:ind w:firstLineChars="200"/>
        <w:rPr>
          <w:rFonts w:ascii="宋体" w:hAnsi="宋体" w:cs="宋体"/>
          <w:kern w:val="0"/>
          <w:szCs w:val="21"/>
        </w:rPr>
      </w:pPr>
      <w:r>
        <w:rPr>
          <w:rFonts w:hint="eastAsia" w:ascii="宋体" w:hAnsi="宋体" w:cs="宋体"/>
          <w:kern w:val="0"/>
          <w:szCs w:val="21"/>
        </w:rPr>
        <w:t>1.投标报价是完全履行招标内容及要求的价格体现，报价中须包括但不限于货款、标准附件、备品备件、专用工具、包装、运输、装卸、保险、税金、货到就位以及安装、调试、培训、保修、售后服务、保险费、安全生产费、维护与拆除、承包人驻地建设、</w:t>
      </w:r>
      <w:r>
        <w:rPr>
          <w:rFonts w:hint="eastAsia" w:ascii="宋体" w:hAnsi="宋体" w:cs="宋体"/>
          <w:b/>
          <w:bCs/>
          <w:kern w:val="0"/>
          <w:szCs w:val="21"/>
          <w:highlight w:val="none"/>
        </w:rPr>
        <w:t>采购代理费</w:t>
      </w:r>
      <w:r>
        <w:rPr>
          <w:rFonts w:hint="eastAsia" w:ascii="宋体" w:hAnsi="宋体" w:cs="宋体"/>
          <w:b/>
          <w:bCs/>
          <w:kern w:val="0"/>
          <w:szCs w:val="21"/>
          <w:highlight w:val="none"/>
          <w:lang w:eastAsia="zh-CN"/>
        </w:rPr>
        <w:t>、</w:t>
      </w:r>
      <w:r>
        <w:rPr>
          <w:rFonts w:hint="eastAsia" w:ascii="宋体" w:hAnsi="宋体" w:cs="宋体"/>
          <w:b/>
          <w:bCs/>
          <w:kern w:val="0"/>
          <w:szCs w:val="21"/>
          <w:highlight w:val="none"/>
          <w:lang w:val="en-US" w:eastAsia="zh-CN"/>
        </w:rPr>
        <w:t>二次深化设计费、</w:t>
      </w:r>
      <w:r>
        <w:rPr>
          <w:rFonts w:hint="eastAsia" w:ascii="宋体"/>
          <w:b/>
          <w:bCs/>
          <w:szCs w:val="21"/>
          <w:lang w:eastAsia="zh-CN"/>
        </w:rPr>
        <w:t>包含上山搬运等一切费用</w:t>
      </w:r>
      <w:r>
        <w:rPr>
          <w:rFonts w:hint="eastAsia" w:ascii="宋体"/>
          <w:szCs w:val="21"/>
          <w:lang w:eastAsia="zh-CN"/>
        </w:rPr>
        <w:t>、</w:t>
      </w:r>
      <w:r>
        <w:rPr>
          <w:rFonts w:hint="eastAsia" w:ascii="宋体" w:hAnsi="宋体" w:cs="宋体"/>
          <w:kern w:val="0"/>
          <w:szCs w:val="21"/>
          <w:highlight w:val="none"/>
        </w:rPr>
        <w:t>完成合同所需的一切本</w:t>
      </w:r>
      <w:r>
        <w:rPr>
          <w:rFonts w:hint="eastAsia" w:ascii="宋体" w:hAnsi="宋体" w:cs="宋体"/>
          <w:kern w:val="0"/>
          <w:szCs w:val="21"/>
        </w:rPr>
        <w:t>身和不可缺的所有工作开支、政策性文件规定及合同包含的所有风险、责任等各项全部费用并承担一切风险责任。谈判供应商在总价中应充分考虑作业期间成本投入的市场风险、政策性调整及其他不可预见因素，今后不再作调整</w:t>
      </w:r>
      <w:r>
        <w:rPr>
          <w:rFonts w:hint="eastAsia" w:ascii="宋体" w:hAnsi="宋体" w:cs="宋体"/>
          <w:bCs/>
          <w:kern w:val="0"/>
          <w:szCs w:val="21"/>
        </w:rPr>
        <w:t>，如果谈判供应商在工作中出现任务遗漏，均由成交供应商免费提</w:t>
      </w:r>
      <w:r>
        <w:rPr>
          <w:rFonts w:hint="eastAsia" w:ascii="宋体" w:hAnsi="宋体" w:cs="宋体"/>
          <w:kern w:val="0"/>
          <w:szCs w:val="21"/>
        </w:rPr>
        <w:t>供，采购人将不再支付任何费用。</w:t>
      </w:r>
    </w:p>
    <w:p w14:paraId="27D67690">
      <w:pPr>
        <w:spacing w:line="360" w:lineRule="auto"/>
        <w:ind w:firstLine="420" w:firstLineChars="200"/>
        <w:rPr>
          <w:rFonts w:ascii="宋体" w:hAnsi="宋体"/>
          <w:szCs w:val="21"/>
        </w:rPr>
      </w:pPr>
      <w:r>
        <w:rPr>
          <w:rFonts w:hint="eastAsia" w:ascii="宋体" w:hAnsi="宋体" w:cs="宋体"/>
          <w:kern w:val="0"/>
          <w:szCs w:val="21"/>
        </w:rPr>
        <w:t>2.报价一经涂改，应在涂改处加盖单位公章，或者由法定代表人或全权代表签字或盖章，否则作无效标处理。</w:t>
      </w:r>
    </w:p>
    <w:p w14:paraId="0B3350FD">
      <w:pPr>
        <w:spacing w:line="320" w:lineRule="exact"/>
        <w:ind w:left="420"/>
        <w:rPr>
          <w:rFonts w:ascii="宋体" w:hAnsi="宋体"/>
          <w:sz w:val="24"/>
        </w:rPr>
      </w:pPr>
    </w:p>
    <w:p w14:paraId="5E1B0B4C">
      <w:pPr>
        <w:widowControl/>
        <w:ind w:right="-154"/>
        <w:jc w:val="right"/>
        <w:rPr>
          <w:rFonts w:ascii="宋体"/>
          <w:bCs/>
          <w:sz w:val="24"/>
          <w:lang w:val="zh-CN"/>
        </w:rPr>
      </w:pPr>
      <w:r>
        <w:rPr>
          <w:rFonts w:hint="eastAsia"/>
          <w:bCs/>
          <w:sz w:val="24"/>
        </w:rPr>
        <w:t>谈判供应商（盖章）：</w:t>
      </w:r>
    </w:p>
    <w:p w14:paraId="30B908CD">
      <w:pPr>
        <w:widowControl/>
        <w:ind w:right="-154"/>
        <w:jc w:val="left"/>
        <w:rPr>
          <w:rFonts w:ascii="宋体"/>
          <w:b/>
          <w:sz w:val="24"/>
          <w:lang w:val="zh-CN"/>
        </w:rPr>
      </w:pPr>
    </w:p>
    <w:p w14:paraId="5C03AE3C">
      <w:pPr>
        <w:widowControl/>
        <w:ind w:right="-154"/>
        <w:jc w:val="right"/>
        <w:rPr>
          <w:kern w:val="0"/>
          <w:sz w:val="24"/>
        </w:rPr>
      </w:pPr>
    </w:p>
    <w:p w14:paraId="29B51920">
      <w:pPr>
        <w:spacing w:line="320" w:lineRule="exact"/>
        <w:ind w:firstLine="435"/>
        <w:jc w:val="right"/>
        <w:rPr>
          <w:sz w:val="24"/>
        </w:rPr>
      </w:pPr>
      <w:r>
        <w:rPr>
          <w:sz w:val="24"/>
        </w:rPr>
        <w:t>日期：</w:t>
      </w:r>
      <w:r>
        <w:rPr>
          <w:rFonts w:hint="eastAsia" w:ascii="宋体" w:hAnsi="宋体" w:cs="宋体"/>
          <w:sz w:val="24"/>
          <w:lang w:eastAsia="zh-CN"/>
        </w:rPr>
        <w:t>2024年</w:t>
      </w:r>
      <w:r>
        <w:rPr>
          <w:rFonts w:hint="eastAsia" w:ascii="宋体" w:hAnsi="宋体" w:cs="宋体"/>
          <w:sz w:val="24"/>
        </w:rPr>
        <w:t xml:space="preserve">  </w:t>
      </w:r>
      <w:r>
        <w:rPr>
          <w:sz w:val="24"/>
        </w:rPr>
        <w:t xml:space="preserve"> 月  </w:t>
      </w:r>
      <w:r>
        <w:rPr>
          <w:rFonts w:hint="eastAsia"/>
          <w:sz w:val="24"/>
        </w:rPr>
        <w:t>日</w:t>
      </w:r>
    </w:p>
    <w:p w14:paraId="7F3D4F3B">
      <w:pPr>
        <w:spacing w:line="450" w:lineRule="atLeast"/>
        <w:rPr>
          <w:rFonts w:ascii="宋体" w:hAnsi="宋体" w:cs="宋体"/>
          <w:b/>
          <w:sz w:val="24"/>
        </w:rPr>
      </w:pPr>
      <w:r>
        <w:rPr>
          <w:rFonts w:hint="eastAsia"/>
          <w:sz w:val="24"/>
        </w:rPr>
        <w:br w:type="page"/>
      </w:r>
    </w:p>
    <w:p w14:paraId="1E9BFE5E">
      <w:pPr>
        <w:spacing w:line="450" w:lineRule="atLeast"/>
        <w:jc w:val="center"/>
        <w:rPr>
          <w:rFonts w:ascii="宋体" w:hAnsi="宋体" w:cs="宋体"/>
          <w:b/>
          <w:sz w:val="28"/>
          <w:szCs w:val="28"/>
        </w:rPr>
      </w:pPr>
      <w:r>
        <w:rPr>
          <w:rFonts w:hint="eastAsia" w:ascii="宋体" w:hAnsi="宋体" w:cs="宋体"/>
          <w:b/>
          <w:sz w:val="28"/>
          <w:szCs w:val="28"/>
        </w:rPr>
        <w:t>投标报价明细表</w:t>
      </w:r>
    </w:p>
    <w:tbl>
      <w:tblPr>
        <w:tblStyle w:val="27"/>
        <w:tblW w:w="8429" w:type="dxa"/>
        <w:jc w:val="center"/>
        <w:tblLayout w:type="fixed"/>
        <w:tblCellMar>
          <w:top w:w="0" w:type="dxa"/>
          <w:left w:w="108" w:type="dxa"/>
          <w:bottom w:w="0" w:type="dxa"/>
          <w:right w:w="108" w:type="dxa"/>
        </w:tblCellMar>
      </w:tblPr>
      <w:tblGrid>
        <w:gridCol w:w="1793"/>
        <w:gridCol w:w="2729"/>
        <w:gridCol w:w="1559"/>
        <w:gridCol w:w="1371"/>
        <w:gridCol w:w="977"/>
      </w:tblGrid>
      <w:tr w14:paraId="2EFF6A1A">
        <w:tblPrEx>
          <w:tblCellMar>
            <w:top w:w="0" w:type="dxa"/>
            <w:left w:w="108" w:type="dxa"/>
            <w:bottom w:w="0" w:type="dxa"/>
            <w:right w:w="108" w:type="dxa"/>
          </w:tblCellMar>
        </w:tblPrEx>
        <w:trPr>
          <w:trHeight w:val="450"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14:paraId="6BF90D42">
            <w:pPr>
              <w:widowControl/>
              <w:jc w:val="center"/>
              <w:rPr>
                <w:rFonts w:hint="eastAsia" w:ascii="宋体" w:hAnsi="宋体"/>
                <w:b/>
                <w:sz w:val="18"/>
                <w:szCs w:val="18"/>
                <w:lang w:eastAsia="zh-CN"/>
              </w:rPr>
            </w:pPr>
            <w:r>
              <w:rPr>
                <w:rFonts w:ascii="宋体" w:hAnsi="宋体"/>
                <w:b/>
                <w:sz w:val="18"/>
                <w:szCs w:val="18"/>
              </w:rPr>
              <w:t>项目编号：</w:t>
            </w:r>
            <w:r>
              <w:rPr>
                <w:rFonts w:hint="eastAsia" w:ascii="宋体" w:hAnsi="宋体"/>
                <w:b/>
                <w:sz w:val="18"/>
                <w:szCs w:val="18"/>
                <w:lang w:eastAsia="zh-CN"/>
              </w:rPr>
              <w:t>OBXJ(采购)-24070</w:t>
            </w:r>
            <w:r>
              <w:rPr>
                <w:rFonts w:ascii="宋体" w:hAnsi="宋体"/>
                <w:b/>
                <w:sz w:val="18"/>
                <w:szCs w:val="18"/>
              </w:rPr>
              <w:t>项目名称：</w:t>
            </w:r>
            <w:r>
              <w:rPr>
                <w:rFonts w:hint="eastAsia" w:ascii="宋体" w:hAnsi="宋体"/>
                <w:b/>
                <w:sz w:val="18"/>
                <w:szCs w:val="18"/>
                <w:lang w:eastAsia="zh-CN"/>
              </w:rPr>
              <w:t>神仙居仙侠演艺餐厅厨房设备采购（非政府采购类）</w:t>
            </w:r>
          </w:p>
          <w:p w14:paraId="44230BAE">
            <w:pPr>
              <w:widowControl/>
              <w:jc w:val="center"/>
              <w:rPr>
                <w:rFonts w:hAnsi="宋体"/>
                <w:sz w:val="18"/>
                <w:szCs w:val="18"/>
              </w:rPr>
            </w:pPr>
            <w:r>
              <w:rPr>
                <w:rFonts w:hint="eastAsia" w:hAnsi="宋体"/>
                <w:sz w:val="18"/>
                <w:szCs w:val="18"/>
              </w:rPr>
              <w:t>序号</w:t>
            </w:r>
          </w:p>
        </w:tc>
        <w:tc>
          <w:tcPr>
            <w:tcW w:w="2729" w:type="dxa"/>
            <w:tcBorders>
              <w:top w:val="single" w:color="auto" w:sz="4" w:space="0"/>
              <w:left w:val="nil"/>
              <w:bottom w:val="single" w:color="auto" w:sz="4" w:space="0"/>
              <w:right w:val="single" w:color="auto" w:sz="4" w:space="0"/>
            </w:tcBorders>
            <w:vAlign w:val="center"/>
          </w:tcPr>
          <w:p w14:paraId="4AA3AAA9">
            <w:pPr>
              <w:widowControl/>
              <w:jc w:val="center"/>
              <w:rPr>
                <w:rFonts w:hAnsi="宋体"/>
                <w:sz w:val="18"/>
                <w:szCs w:val="18"/>
              </w:rPr>
            </w:pPr>
            <w:r>
              <w:rPr>
                <w:rFonts w:hint="eastAsia" w:hAnsi="宋体"/>
                <w:sz w:val="18"/>
                <w:szCs w:val="18"/>
              </w:rPr>
              <w:t>产品名称</w:t>
            </w:r>
          </w:p>
        </w:tc>
        <w:tc>
          <w:tcPr>
            <w:tcW w:w="1559" w:type="dxa"/>
            <w:tcBorders>
              <w:top w:val="single" w:color="auto" w:sz="4" w:space="0"/>
              <w:left w:val="nil"/>
              <w:bottom w:val="single" w:color="auto" w:sz="4" w:space="0"/>
              <w:right w:val="single" w:color="auto" w:sz="4" w:space="0"/>
            </w:tcBorders>
            <w:vAlign w:val="center"/>
          </w:tcPr>
          <w:p w14:paraId="34BC68D3">
            <w:pPr>
              <w:widowControl/>
              <w:jc w:val="center"/>
              <w:rPr>
                <w:rFonts w:hAnsi="宋体"/>
                <w:sz w:val="18"/>
                <w:szCs w:val="18"/>
              </w:rPr>
            </w:pPr>
            <w:r>
              <w:rPr>
                <w:rFonts w:hint="eastAsia" w:hAnsi="宋体"/>
                <w:sz w:val="18"/>
                <w:szCs w:val="18"/>
              </w:rPr>
              <w:t>数量</w:t>
            </w:r>
          </w:p>
        </w:tc>
        <w:tc>
          <w:tcPr>
            <w:tcW w:w="1371" w:type="dxa"/>
            <w:tcBorders>
              <w:top w:val="single" w:color="auto" w:sz="4" w:space="0"/>
              <w:left w:val="nil"/>
              <w:bottom w:val="single" w:color="auto" w:sz="4" w:space="0"/>
              <w:right w:val="single" w:color="auto" w:sz="4" w:space="0"/>
            </w:tcBorders>
            <w:vAlign w:val="center"/>
          </w:tcPr>
          <w:p w14:paraId="12CCDB31">
            <w:pPr>
              <w:widowControl/>
              <w:jc w:val="center"/>
              <w:rPr>
                <w:rFonts w:hAnsi="宋体"/>
                <w:sz w:val="18"/>
                <w:szCs w:val="18"/>
              </w:rPr>
            </w:pPr>
            <w:r>
              <w:rPr>
                <w:rFonts w:hint="eastAsia" w:hAnsi="宋体"/>
                <w:sz w:val="18"/>
                <w:szCs w:val="18"/>
              </w:rPr>
              <w:t>单价</w:t>
            </w:r>
          </w:p>
        </w:tc>
        <w:tc>
          <w:tcPr>
            <w:tcW w:w="977" w:type="dxa"/>
            <w:tcBorders>
              <w:top w:val="single" w:color="auto" w:sz="4" w:space="0"/>
              <w:left w:val="nil"/>
              <w:bottom w:val="single" w:color="auto" w:sz="4" w:space="0"/>
              <w:right w:val="single" w:color="auto" w:sz="4" w:space="0"/>
            </w:tcBorders>
            <w:vAlign w:val="center"/>
          </w:tcPr>
          <w:p w14:paraId="4952B2AA">
            <w:pPr>
              <w:widowControl/>
              <w:jc w:val="center"/>
              <w:rPr>
                <w:rFonts w:hAnsi="宋体"/>
                <w:sz w:val="18"/>
                <w:szCs w:val="18"/>
              </w:rPr>
            </w:pPr>
            <w:r>
              <w:rPr>
                <w:rFonts w:hint="eastAsia" w:hAnsi="宋体"/>
                <w:sz w:val="18"/>
                <w:szCs w:val="18"/>
              </w:rPr>
              <w:t>合价</w:t>
            </w:r>
          </w:p>
        </w:tc>
      </w:tr>
      <w:tr w14:paraId="16679BDA">
        <w:tblPrEx>
          <w:tblCellMar>
            <w:top w:w="0" w:type="dxa"/>
            <w:left w:w="108" w:type="dxa"/>
            <w:bottom w:w="0" w:type="dxa"/>
            <w:right w:w="108" w:type="dxa"/>
          </w:tblCellMar>
        </w:tblPrEx>
        <w:trPr>
          <w:trHeight w:val="450"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14:paraId="76AF277D">
            <w:pPr>
              <w:widowControl/>
              <w:jc w:val="center"/>
              <w:rPr>
                <w:rFonts w:hAnsi="宋体"/>
                <w:sz w:val="18"/>
                <w:szCs w:val="18"/>
              </w:rPr>
            </w:pPr>
            <w:r>
              <w:rPr>
                <w:rFonts w:hint="eastAsia" w:hAnsi="宋体"/>
                <w:sz w:val="18"/>
                <w:szCs w:val="18"/>
              </w:rPr>
              <w:t>1</w:t>
            </w:r>
          </w:p>
        </w:tc>
        <w:tc>
          <w:tcPr>
            <w:tcW w:w="2729" w:type="dxa"/>
            <w:tcBorders>
              <w:top w:val="single" w:color="auto" w:sz="4" w:space="0"/>
              <w:left w:val="single" w:color="auto" w:sz="4" w:space="0"/>
              <w:bottom w:val="single" w:color="auto" w:sz="4" w:space="0"/>
              <w:right w:val="single" w:color="auto" w:sz="4" w:space="0"/>
            </w:tcBorders>
            <w:vAlign w:val="center"/>
          </w:tcPr>
          <w:p w14:paraId="7CC22229">
            <w:pPr>
              <w:widowControl/>
              <w:jc w:val="center"/>
              <w:rPr>
                <w:rFonts w:hAnsi="宋体"/>
                <w:sz w:val="18"/>
                <w:szCs w:val="18"/>
              </w:rPr>
            </w:pPr>
          </w:p>
        </w:tc>
        <w:tc>
          <w:tcPr>
            <w:tcW w:w="1559" w:type="dxa"/>
            <w:tcBorders>
              <w:top w:val="single" w:color="auto" w:sz="4" w:space="0"/>
              <w:left w:val="nil"/>
              <w:bottom w:val="single" w:color="auto" w:sz="4" w:space="0"/>
              <w:right w:val="single" w:color="auto" w:sz="4" w:space="0"/>
            </w:tcBorders>
            <w:vAlign w:val="center"/>
          </w:tcPr>
          <w:p w14:paraId="080299AA">
            <w:pPr>
              <w:widowControl/>
              <w:jc w:val="center"/>
              <w:rPr>
                <w:rFonts w:hAnsi="宋体"/>
                <w:sz w:val="18"/>
                <w:szCs w:val="18"/>
              </w:rPr>
            </w:pPr>
          </w:p>
        </w:tc>
        <w:tc>
          <w:tcPr>
            <w:tcW w:w="1371" w:type="dxa"/>
            <w:tcBorders>
              <w:top w:val="single" w:color="auto" w:sz="4" w:space="0"/>
              <w:left w:val="nil"/>
              <w:bottom w:val="single" w:color="auto" w:sz="4" w:space="0"/>
              <w:right w:val="single" w:color="auto" w:sz="4" w:space="0"/>
            </w:tcBorders>
            <w:vAlign w:val="center"/>
          </w:tcPr>
          <w:p w14:paraId="3E3C43FD">
            <w:pPr>
              <w:widowControl/>
              <w:jc w:val="center"/>
              <w:rPr>
                <w:rFonts w:hAnsi="宋体"/>
                <w:sz w:val="18"/>
                <w:szCs w:val="18"/>
              </w:rPr>
            </w:pPr>
          </w:p>
        </w:tc>
        <w:tc>
          <w:tcPr>
            <w:tcW w:w="977" w:type="dxa"/>
            <w:tcBorders>
              <w:top w:val="single" w:color="auto" w:sz="4" w:space="0"/>
              <w:left w:val="nil"/>
              <w:bottom w:val="single" w:color="auto" w:sz="4" w:space="0"/>
              <w:right w:val="single" w:color="auto" w:sz="4" w:space="0"/>
            </w:tcBorders>
            <w:vAlign w:val="center"/>
          </w:tcPr>
          <w:p w14:paraId="2748D9CF">
            <w:pPr>
              <w:widowControl/>
              <w:jc w:val="center"/>
              <w:rPr>
                <w:rFonts w:hAnsi="宋体"/>
                <w:sz w:val="18"/>
                <w:szCs w:val="18"/>
              </w:rPr>
            </w:pPr>
          </w:p>
        </w:tc>
      </w:tr>
      <w:tr w14:paraId="533AA1BD">
        <w:tblPrEx>
          <w:tblCellMar>
            <w:top w:w="0" w:type="dxa"/>
            <w:left w:w="108" w:type="dxa"/>
            <w:bottom w:w="0" w:type="dxa"/>
            <w:right w:w="108" w:type="dxa"/>
          </w:tblCellMar>
        </w:tblPrEx>
        <w:trPr>
          <w:trHeight w:val="450"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14:paraId="7436B8EE">
            <w:pPr>
              <w:widowControl/>
              <w:jc w:val="center"/>
              <w:rPr>
                <w:rFonts w:hAnsi="宋体"/>
                <w:sz w:val="18"/>
                <w:szCs w:val="18"/>
              </w:rPr>
            </w:pPr>
            <w:r>
              <w:rPr>
                <w:rFonts w:hint="eastAsia" w:hAnsi="宋体"/>
                <w:sz w:val="18"/>
                <w:szCs w:val="18"/>
              </w:rPr>
              <w:t>2</w:t>
            </w:r>
          </w:p>
        </w:tc>
        <w:tc>
          <w:tcPr>
            <w:tcW w:w="2729" w:type="dxa"/>
            <w:tcBorders>
              <w:top w:val="single" w:color="auto" w:sz="4" w:space="0"/>
              <w:left w:val="single" w:color="auto" w:sz="4" w:space="0"/>
              <w:bottom w:val="single" w:color="auto" w:sz="4" w:space="0"/>
              <w:right w:val="single" w:color="auto" w:sz="4" w:space="0"/>
            </w:tcBorders>
            <w:vAlign w:val="center"/>
          </w:tcPr>
          <w:p w14:paraId="58323EF1">
            <w:pPr>
              <w:widowControl/>
              <w:jc w:val="center"/>
              <w:rPr>
                <w:rFonts w:hAnsi="宋体"/>
                <w:sz w:val="18"/>
                <w:szCs w:val="18"/>
              </w:rPr>
            </w:pPr>
          </w:p>
        </w:tc>
        <w:tc>
          <w:tcPr>
            <w:tcW w:w="1559" w:type="dxa"/>
            <w:tcBorders>
              <w:top w:val="single" w:color="auto" w:sz="4" w:space="0"/>
              <w:left w:val="nil"/>
              <w:bottom w:val="single" w:color="auto" w:sz="4" w:space="0"/>
              <w:right w:val="single" w:color="auto" w:sz="4" w:space="0"/>
            </w:tcBorders>
            <w:vAlign w:val="center"/>
          </w:tcPr>
          <w:p w14:paraId="697886FE">
            <w:pPr>
              <w:widowControl/>
              <w:jc w:val="center"/>
              <w:rPr>
                <w:rFonts w:hAnsi="宋体"/>
                <w:sz w:val="18"/>
                <w:szCs w:val="18"/>
              </w:rPr>
            </w:pPr>
          </w:p>
        </w:tc>
        <w:tc>
          <w:tcPr>
            <w:tcW w:w="1371" w:type="dxa"/>
            <w:tcBorders>
              <w:top w:val="single" w:color="auto" w:sz="4" w:space="0"/>
              <w:left w:val="nil"/>
              <w:bottom w:val="single" w:color="auto" w:sz="4" w:space="0"/>
              <w:right w:val="single" w:color="auto" w:sz="4" w:space="0"/>
            </w:tcBorders>
            <w:vAlign w:val="center"/>
          </w:tcPr>
          <w:p w14:paraId="034A18CA">
            <w:pPr>
              <w:widowControl/>
              <w:jc w:val="center"/>
              <w:rPr>
                <w:rFonts w:hAnsi="宋体"/>
                <w:sz w:val="18"/>
                <w:szCs w:val="18"/>
              </w:rPr>
            </w:pPr>
          </w:p>
        </w:tc>
        <w:tc>
          <w:tcPr>
            <w:tcW w:w="977" w:type="dxa"/>
            <w:tcBorders>
              <w:top w:val="single" w:color="auto" w:sz="4" w:space="0"/>
              <w:left w:val="nil"/>
              <w:bottom w:val="single" w:color="auto" w:sz="4" w:space="0"/>
              <w:right w:val="single" w:color="auto" w:sz="4" w:space="0"/>
            </w:tcBorders>
            <w:vAlign w:val="center"/>
          </w:tcPr>
          <w:p w14:paraId="482FA932">
            <w:pPr>
              <w:widowControl/>
              <w:jc w:val="center"/>
              <w:rPr>
                <w:rFonts w:hAnsi="宋体"/>
                <w:sz w:val="18"/>
                <w:szCs w:val="18"/>
              </w:rPr>
            </w:pPr>
          </w:p>
        </w:tc>
      </w:tr>
      <w:tr w14:paraId="23A491D8">
        <w:tblPrEx>
          <w:tblCellMar>
            <w:top w:w="0" w:type="dxa"/>
            <w:left w:w="108" w:type="dxa"/>
            <w:bottom w:w="0" w:type="dxa"/>
            <w:right w:w="108" w:type="dxa"/>
          </w:tblCellMar>
        </w:tblPrEx>
        <w:trPr>
          <w:trHeight w:val="450"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14:paraId="2D198880">
            <w:pPr>
              <w:widowControl/>
              <w:jc w:val="center"/>
              <w:rPr>
                <w:rFonts w:hAnsi="宋体"/>
                <w:sz w:val="18"/>
                <w:szCs w:val="18"/>
              </w:rPr>
            </w:pPr>
            <w:r>
              <w:rPr>
                <w:rFonts w:hint="eastAsia" w:hAnsi="宋体"/>
                <w:sz w:val="18"/>
                <w:szCs w:val="18"/>
              </w:rPr>
              <w:t>3</w:t>
            </w:r>
          </w:p>
        </w:tc>
        <w:tc>
          <w:tcPr>
            <w:tcW w:w="2729" w:type="dxa"/>
            <w:tcBorders>
              <w:top w:val="single" w:color="auto" w:sz="4" w:space="0"/>
              <w:left w:val="single" w:color="auto" w:sz="4" w:space="0"/>
              <w:bottom w:val="single" w:color="auto" w:sz="4" w:space="0"/>
              <w:right w:val="single" w:color="auto" w:sz="4" w:space="0"/>
            </w:tcBorders>
            <w:vAlign w:val="center"/>
          </w:tcPr>
          <w:p w14:paraId="2709D3D0">
            <w:pPr>
              <w:widowControl/>
              <w:jc w:val="center"/>
              <w:rPr>
                <w:rFonts w:hAnsi="宋体"/>
                <w:sz w:val="18"/>
                <w:szCs w:val="18"/>
              </w:rPr>
            </w:pPr>
          </w:p>
        </w:tc>
        <w:tc>
          <w:tcPr>
            <w:tcW w:w="1559" w:type="dxa"/>
            <w:tcBorders>
              <w:top w:val="single" w:color="auto" w:sz="4" w:space="0"/>
              <w:left w:val="nil"/>
              <w:bottom w:val="single" w:color="auto" w:sz="4" w:space="0"/>
              <w:right w:val="single" w:color="auto" w:sz="4" w:space="0"/>
            </w:tcBorders>
            <w:vAlign w:val="center"/>
          </w:tcPr>
          <w:p w14:paraId="75ED5F04">
            <w:pPr>
              <w:widowControl/>
              <w:jc w:val="center"/>
              <w:rPr>
                <w:rFonts w:hAnsi="宋体"/>
                <w:sz w:val="18"/>
                <w:szCs w:val="18"/>
              </w:rPr>
            </w:pPr>
          </w:p>
        </w:tc>
        <w:tc>
          <w:tcPr>
            <w:tcW w:w="1371" w:type="dxa"/>
            <w:tcBorders>
              <w:top w:val="single" w:color="auto" w:sz="4" w:space="0"/>
              <w:left w:val="nil"/>
              <w:bottom w:val="single" w:color="auto" w:sz="4" w:space="0"/>
              <w:right w:val="single" w:color="auto" w:sz="4" w:space="0"/>
            </w:tcBorders>
            <w:vAlign w:val="center"/>
          </w:tcPr>
          <w:p w14:paraId="18D46FB1">
            <w:pPr>
              <w:widowControl/>
              <w:jc w:val="center"/>
              <w:rPr>
                <w:rFonts w:hAnsi="宋体"/>
                <w:sz w:val="18"/>
                <w:szCs w:val="18"/>
              </w:rPr>
            </w:pPr>
          </w:p>
        </w:tc>
        <w:tc>
          <w:tcPr>
            <w:tcW w:w="977" w:type="dxa"/>
            <w:tcBorders>
              <w:top w:val="single" w:color="auto" w:sz="4" w:space="0"/>
              <w:left w:val="nil"/>
              <w:bottom w:val="single" w:color="auto" w:sz="4" w:space="0"/>
              <w:right w:val="single" w:color="auto" w:sz="4" w:space="0"/>
            </w:tcBorders>
            <w:vAlign w:val="center"/>
          </w:tcPr>
          <w:p w14:paraId="240C7672">
            <w:pPr>
              <w:widowControl/>
              <w:jc w:val="center"/>
              <w:rPr>
                <w:rFonts w:hAnsi="宋体"/>
                <w:sz w:val="18"/>
                <w:szCs w:val="18"/>
              </w:rPr>
            </w:pPr>
          </w:p>
        </w:tc>
      </w:tr>
      <w:tr w14:paraId="473819CF">
        <w:tblPrEx>
          <w:tblCellMar>
            <w:top w:w="0" w:type="dxa"/>
            <w:left w:w="108" w:type="dxa"/>
            <w:bottom w:w="0" w:type="dxa"/>
            <w:right w:w="108" w:type="dxa"/>
          </w:tblCellMar>
        </w:tblPrEx>
        <w:trPr>
          <w:trHeight w:val="450"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14:paraId="4486EB7F">
            <w:pPr>
              <w:widowControl/>
              <w:jc w:val="center"/>
              <w:rPr>
                <w:rFonts w:hAnsi="宋体"/>
                <w:sz w:val="18"/>
                <w:szCs w:val="18"/>
              </w:rPr>
            </w:pPr>
          </w:p>
        </w:tc>
        <w:tc>
          <w:tcPr>
            <w:tcW w:w="2729" w:type="dxa"/>
            <w:tcBorders>
              <w:top w:val="single" w:color="auto" w:sz="4" w:space="0"/>
              <w:left w:val="single" w:color="auto" w:sz="4" w:space="0"/>
              <w:bottom w:val="single" w:color="auto" w:sz="4" w:space="0"/>
              <w:right w:val="single" w:color="auto" w:sz="4" w:space="0"/>
            </w:tcBorders>
            <w:vAlign w:val="center"/>
          </w:tcPr>
          <w:p w14:paraId="4F11C730">
            <w:pPr>
              <w:widowControl/>
              <w:jc w:val="center"/>
              <w:rPr>
                <w:rFonts w:hAnsi="宋体"/>
                <w:sz w:val="18"/>
                <w:szCs w:val="18"/>
              </w:rPr>
            </w:pPr>
            <w:r>
              <w:rPr>
                <w:rFonts w:hAnsi="宋体"/>
                <w:sz w:val="18"/>
                <w:szCs w:val="18"/>
              </w:rPr>
              <w:t>……</w:t>
            </w:r>
          </w:p>
        </w:tc>
        <w:tc>
          <w:tcPr>
            <w:tcW w:w="1559" w:type="dxa"/>
            <w:tcBorders>
              <w:top w:val="single" w:color="auto" w:sz="4" w:space="0"/>
              <w:left w:val="nil"/>
              <w:bottom w:val="single" w:color="auto" w:sz="4" w:space="0"/>
              <w:right w:val="single" w:color="auto" w:sz="4" w:space="0"/>
            </w:tcBorders>
            <w:vAlign w:val="center"/>
          </w:tcPr>
          <w:p w14:paraId="668FFF28">
            <w:pPr>
              <w:widowControl/>
              <w:jc w:val="center"/>
              <w:rPr>
                <w:rFonts w:hAnsi="宋体"/>
                <w:sz w:val="18"/>
                <w:szCs w:val="18"/>
              </w:rPr>
            </w:pPr>
          </w:p>
        </w:tc>
        <w:tc>
          <w:tcPr>
            <w:tcW w:w="1371" w:type="dxa"/>
            <w:tcBorders>
              <w:top w:val="single" w:color="auto" w:sz="4" w:space="0"/>
              <w:left w:val="nil"/>
              <w:bottom w:val="single" w:color="auto" w:sz="4" w:space="0"/>
              <w:right w:val="single" w:color="auto" w:sz="4" w:space="0"/>
            </w:tcBorders>
            <w:vAlign w:val="center"/>
          </w:tcPr>
          <w:p w14:paraId="117A18AE">
            <w:pPr>
              <w:widowControl/>
              <w:jc w:val="center"/>
              <w:rPr>
                <w:rFonts w:hAnsi="宋体"/>
                <w:sz w:val="18"/>
                <w:szCs w:val="18"/>
              </w:rPr>
            </w:pPr>
          </w:p>
        </w:tc>
        <w:tc>
          <w:tcPr>
            <w:tcW w:w="977" w:type="dxa"/>
            <w:tcBorders>
              <w:top w:val="single" w:color="auto" w:sz="4" w:space="0"/>
              <w:left w:val="nil"/>
              <w:bottom w:val="single" w:color="auto" w:sz="4" w:space="0"/>
              <w:right w:val="single" w:color="auto" w:sz="4" w:space="0"/>
            </w:tcBorders>
            <w:vAlign w:val="center"/>
          </w:tcPr>
          <w:p w14:paraId="6F9FEF36">
            <w:pPr>
              <w:widowControl/>
              <w:jc w:val="center"/>
              <w:rPr>
                <w:rFonts w:hAnsi="宋体"/>
                <w:sz w:val="18"/>
                <w:szCs w:val="18"/>
              </w:rPr>
            </w:pPr>
          </w:p>
        </w:tc>
      </w:tr>
      <w:tr w14:paraId="48511A52">
        <w:tblPrEx>
          <w:tblCellMar>
            <w:top w:w="0" w:type="dxa"/>
            <w:left w:w="108" w:type="dxa"/>
            <w:bottom w:w="0" w:type="dxa"/>
            <w:right w:w="108" w:type="dxa"/>
          </w:tblCellMar>
        </w:tblPrEx>
        <w:trPr>
          <w:trHeight w:val="450" w:hRule="atLeast"/>
          <w:jc w:val="center"/>
        </w:trPr>
        <w:tc>
          <w:tcPr>
            <w:tcW w:w="6081" w:type="dxa"/>
            <w:gridSpan w:val="3"/>
            <w:tcBorders>
              <w:top w:val="single" w:color="auto" w:sz="4" w:space="0"/>
              <w:left w:val="single" w:color="auto" w:sz="4" w:space="0"/>
              <w:bottom w:val="single" w:color="auto" w:sz="4" w:space="0"/>
              <w:right w:val="single" w:color="auto" w:sz="4" w:space="0"/>
            </w:tcBorders>
            <w:vAlign w:val="center"/>
          </w:tcPr>
          <w:p w14:paraId="756E4AAC">
            <w:pPr>
              <w:widowControl/>
              <w:jc w:val="center"/>
              <w:rPr>
                <w:rFonts w:hAnsi="宋体"/>
                <w:sz w:val="18"/>
                <w:szCs w:val="18"/>
              </w:rPr>
            </w:pPr>
            <w:r>
              <w:rPr>
                <w:rFonts w:hint="eastAsia" w:hAnsi="宋体"/>
                <w:sz w:val="18"/>
                <w:szCs w:val="18"/>
              </w:rPr>
              <w:t>合计</w:t>
            </w:r>
          </w:p>
        </w:tc>
        <w:tc>
          <w:tcPr>
            <w:tcW w:w="2348" w:type="dxa"/>
            <w:gridSpan w:val="2"/>
            <w:tcBorders>
              <w:top w:val="single" w:color="auto" w:sz="4" w:space="0"/>
              <w:left w:val="nil"/>
              <w:bottom w:val="single" w:color="auto" w:sz="4" w:space="0"/>
              <w:right w:val="single" w:color="auto" w:sz="4" w:space="0"/>
            </w:tcBorders>
            <w:vAlign w:val="center"/>
          </w:tcPr>
          <w:p w14:paraId="6A9BF3B3">
            <w:pPr>
              <w:widowControl/>
              <w:jc w:val="center"/>
              <w:rPr>
                <w:rFonts w:hAnsi="宋体"/>
                <w:sz w:val="18"/>
                <w:szCs w:val="18"/>
              </w:rPr>
            </w:pPr>
          </w:p>
        </w:tc>
      </w:tr>
    </w:tbl>
    <w:p w14:paraId="321A9D5E">
      <w:pPr>
        <w:autoSpaceDE w:val="0"/>
        <w:autoSpaceDN w:val="0"/>
        <w:adjustRightInd w:val="0"/>
        <w:spacing w:line="360" w:lineRule="auto"/>
        <w:ind w:firstLine="536" w:firstLineChars="298"/>
        <w:rPr>
          <w:kern w:val="0"/>
          <w:sz w:val="18"/>
          <w:szCs w:val="18"/>
        </w:rPr>
      </w:pPr>
      <w:r>
        <w:rPr>
          <w:rFonts w:hint="eastAsia"/>
          <w:kern w:val="0"/>
          <w:sz w:val="18"/>
          <w:szCs w:val="18"/>
        </w:rPr>
        <w:t>注： 1.“投标报价明细表”中的投标总报价应与“报价一览表”中的投标总报价相一致。</w:t>
      </w:r>
    </w:p>
    <w:p w14:paraId="1730D4D4">
      <w:pPr>
        <w:autoSpaceDE w:val="0"/>
        <w:autoSpaceDN w:val="0"/>
        <w:adjustRightInd w:val="0"/>
        <w:spacing w:line="360" w:lineRule="auto"/>
        <w:ind w:firstLine="1076" w:firstLineChars="598"/>
        <w:rPr>
          <w:kern w:val="0"/>
          <w:sz w:val="18"/>
          <w:szCs w:val="18"/>
        </w:rPr>
      </w:pPr>
      <w:r>
        <w:rPr>
          <w:rFonts w:hint="eastAsia"/>
          <w:kern w:val="0"/>
          <w:sz w:val="18"/>
          <w:szCs w:val="18"/>
        </w:rPr>
        <w:t>2.投标报价明细表所填内容包括但不限于采购文件采购内容（此表可增行）。如有漏报的，视同已包含在投标总价内或已作优惠处理。</w:t>
      </w:r>
    </w:p>
    <w:p w14:paraId="363378D5">
      <w:pPr>
        <w:widowControl/>
        <w:ind w:right="-154"/>
        <w:jc w:val="right"/>
        <w:rPr>
          <w:rFonts w:ascii="宋体"/>
          <w:bCs/>
          <w:sz w:val="24"/>
          <w:lang w:val="zh-CN"/>
        </w:rPr>
      </w:pPr>
      <w:r>
        <w:rPr>
          <w:rFonts w:hint="eastAsia"/>
          <w:bCs/>
          <w:sz w:val="24"/>
        </w:rPr>
        <w:t>谈判供应商（盖章）：</w:t>
      </w:r>
    </w:p>
    <w:p w14:paraId="643561FA">
      <w:pPr>
        <w:widowControl/>
        <w:ind w:right="-154"/>
        <w:jc w:val="left"/>
        <w:rPr>
          <w:rFonts w:ascii="宋体"/>
          <w:b/>
          <w:sz w:val="24"/>
          <w:lang w:val="zh-CN"/>
        </w:rPr>
      </w:pPr>
    </w:p>
    <w:p w14:paraId="57526BD6">
      <w:pPr>
        <w:widowControl/>
        <w:ind w:right="-154"/>
        <w:jc w:val="right"/>
        <w:rPr>
          <w:kern w:val="0"/>
          <w:sz w:val="24"/>
        </w:rPr>
      </w:pPr>
    </w:p>
    <w:p w14:paraId="3029F5F4">
      <w:pPr>
        <w:jc w:val="right"/>
      </w:pPr>
      <w:r>
        <w:rPr>
          <w:sz w:val="24"/>
        </w:rPr>
        <w:t>日期：</w:t>
      </w:r>
      <w:r>
        <w:rPr>
          <w:rFonts w:hint="eastAsia" w:ascii="宋体" w:hAnsi="宋体" w:cs="宋体"/>
          <w:sz w:val="24"/>
          <w:lang w:eastAsia="zh-CN"/>
        </w:rPr>
        <w:t>2024年</w:t>
      </w:r>
      <w:r>
        <w:rPr>
          <w:rFonts w:hint="eastAsia" w:ascii="宋体" w:hAnsi="宋体" w:cs="宋体"/>
          <w:sz w:val="24"/>
        </w:rPr>
        <w:t xml:space="preserve">  </w:t>
      </w:r>
      <w:r>
        <w:rPr>
          <w:sz w:val="24"/>
        </w:rPr>
        <w:t xml:space="preserve"> 月  </w:t>
      </w:r>
      <w:r>
        <w:rPr>
          <w:rFonts w:hint="eastAsia"/>
          <w:sz w:val="24"/>
        </w:rPr>
        <w:t>日</w:t>
      </w:r>
    </w:p>
    <w:p w14:paraId="33BD1846">
      <w:pPr>
        <w:rPr>
          <w:rFonts w:hint="eastAsia" w:ascii="宋体" w:hAnsi="宋体" w:cs="宋体"/>
          <w:b/>
          <w:sz w:val="24"/>
        </w:rPr>
      </w:pPr>
    </w:p>
    <w:p w14:paraId="6B0AC8A7">
      <w:pPr>
        <w:rPr>
          <w:rFonts w:hint="eastAsia" w:ascii="宋体" w:hAnsi="宋体" w:cs="宋体"/>
          <w:b/>
          <w:sz w:val="24"/>
        </w:rPr>
      </w:pPr>
    </w:p>
    <w:p w14:paraId="5C022E6F">
      <w:pPr>
        <w:rPr>
          <w:rFonts w:hint="eastAsia" w:ascii="宋体" w:hAnsi="宋体" w:cs="宋体"/>
          <w:b/>
          <w:sz w:val="24"/>
        </w:rPr>
      </w:pPr>
    </w:p>
    <w:p w14:paraId="606E2386">
      <w:pPr>
        <w:rPr>
          <w:rFonts w:hint="eastAsia" w:ascii="宋体" w:hAnsi="宋体" w:cs="宋体"/>
          <w:b/>
          <w:sz w:val="24"/>
        </w:rPr>
      </w:pPr>
    </w:p>
    <w:p w14:paraId="79DA4547">
      <w:pPr>
        <w:rPr>
          <w:rFonts w:hint="eastAsia" w:ascii="宋体" w:hAnsi="宋体" w:cs="宋体"/>
          <w:b/>
          <w:sz w:val="24"/>
        </w:rPr>
      </w:pPr>
    </w:p>
    <w:p w14:paraId="3B34B67C">
      <w:pPr>
        <w:rPr>
          <w:rFonts w:hint="eastAsia" w:ascii="宋体" w:hAnsi="宋体" w:cs="宋体"/>
          <w:b/>
          <w:sz w:val="24"/>
        </w:rPr>
      </w:pPr>
    </w:p>
    <w:p w14:paraId="2E2E7222">
      <w:pPr>
        <w:rPr>
          <w:rFonts w:hint="eastAsia" w:ascii="宋体" w:hAnsi="宋体" w:cs="宋体"/>
          <w:b/>
          <w:sz w:val="24"/>
        </w:rPr>
      </w:pPr>
    </w:p>
    <w:p w14:paraId="5C4E145B">
      <w:pPr>
        <w:rPr>
          <w:rFonts w:hint="eastAsia" w:ascii="宋体" w:hAnsi="宋体" w:cs="宋体"/>
          <w:b/>
          <w:sz w:val="24"/>
        </w:rPr>
      </w:pPr>
    </w:p>
    <w:p w14:paraId="712D6B1A">
      <w:pPr>
        <w:rPr>
          <w:rFonts w:hint="eastAsia" w:ascii="宋体" w:hAnsi="宋体" w:cs="宋体"/>
          <w:b/>
          <w:sz w:val="24"/>
        </w:rPr>
      </w:pPr>
    </w:p>
    <w:p w14:paraId="683F4DBB">
      <w:pPr>
        <w:rPr>
          <w:rFonts w:hint="eastAsia" w:ascii="宋体" w:hAnsi="宋体" w:cs="宋体"/>
          <w:b/>
          <w:sz w:val="24"/>
        </w:rPr>
      </w:pPr>
    </w:p>
    <w:p w14:paraId="7EECA037">
      <w:pPr>
        <w:rPr>
          <w:rFonts w:hint="eastAsia" w:ascii="宋体" w:hAnsi="宋体" w:cs="宋体"/>
          <w:b/>
          <w:sz w:val="24"/>
        </w:rPr>
      </w:pPr>
    </w:p>
    <w:p w14:paraId="6E57B108">
      <w:pPr>
        <w:rPr>
          <w:rFonts w:hint="eastAsia" w:ascii="宋体" w:hAnsi="宋体" w:cs="宋体"/>
          <w:b/>
          <w:sz w:val="24"/>
        </w:rPr>
      </w:pPr>
    </w:p>
    <w:p w14:paraId="239AF061">
      <w:pPr>
        <w:rPr>
          <w:rFonts w:hint="eastAsia" w:ascii="宋体" w:hAnsi="宋体" w:cs="宋体"/>
          <w:b/>
          <w:sz w:val="24"/>
        </w:rPr>
      </w:pPr>
    </w:p>
    <w:p w14:paraId="7AC363DA">
      <w:pPr>
        <w:rPr>
          <w:rFonts w:hint="eastAsia" w:ascii="宋体" w:hAnsi="宋体" w:cs="宋体"/>
          <w:b/>
          <w:sz w:val="24"/>
        </w:rPr>
      </w:pPr>
    </w:p>
    <w:p w14:paraId="466A554A">
      <w:pPr>
        <w:rPr>
          <w:rFonts w:hint="eastAsia" w:ascii="宋体" w:hAnsi="宋体" w:cs="宋体"/>
          <w:b/>
          <w:sz w:val="24"/>
        </w:rPr>
      </w:pPr>
    </w:p>
    <w:p w14:paraId="0C8E8374">
      <w:pPr>
        <w:rPr>
          <w:rFonts w:hint="eastAsia" w:ascii="宋体" w:hAnsi="宋体" w:cs="宋体"/>
          <w:b/>
          <w:sz w:val="24"/>
        </w:rPr>
      </w:pPr>
    </w:p>
    <w:p w14:paraId="40242F81">
      <w:pPr>
        <w:rPr>
          <w:rFonts w:hint="eastAsia" w:ascii="宋体" w:hAnsi="宋体" w:cs="宋体"/>
          <w:b/>
          <w:sz w:val="24"/>
        </w:rPr>
      </w:pPr>
    </w:p>
    <w:p w14:paraId="42F3644D">
      <w:pPr>
        <w:rPr>
          <w:rFonts w:hint="eastAsia" w:ascii="宋体" w:hAnsi="宋体" w:cs="宋体"/>
          <w:b/>
          <w:sz w:val="24"/>
        </w:rPr>
      </w:pPr>
    </w:p>
    <w:p w14:paraId="6FF3811A">
      <w:pPr>
        <w:rPr>
          <w:rFonts w:hint="eastAsia" w:ascii="宋体" w:hAnsi="宋体" w:cs="宋体"/>
          <w:b/>
          <w:sz w:val="24"/>
        </w:rPr>
      </w:pPr>
    </w:p>
    <w:p w14:paraId="3613E57E">
      <w:pPr>
        <w:rPr>
          <w:rFonts w:hint="eastAsia" w:ascii="宋体" w:hAnsi="宋体" w:cs="宋体"/>
          <w:b/>
          <w:sz w:val="24"/>
        </w:rPr>
      </w:pPr>
    </w:p>
    <w:p w14:paraId="7134E574">
      <w:pPr>
        <w:rPr>
          <w:rFonts w:ascii="宋体" w:hAnsi="宋体" w:cs="宋体"/>
          <w:b/>
          <w:sz w:val="24"/>
        </w:rPr>
      </w:pPr>
      <w:r>
        <w:rPr>
          <w:rFonts w:hint="eastAsia" w:ascii="宋体" w:hAnsi="宋体" w:cs="宋体"/>
          <w:b/>
          <w:sz w:val="24"/>
        </w:rPr>
        <w:t>附件1</w:t>
      </w:r>
      <w:r>
        <w:rPr>
          <w:rFonts w:hint="eastAsia" w:ascii="宋体" w:hAnsi="宋体" w:cs="宋体"/>
          <w:b/>
          <w:sz w:val="24"/>
          <w:lang w:val="en-US" w:eastAsia="zh-CN"/>
        </w:rPr>
        <w:t>2</w:t>
      </w:r>
      <w:r>
        <w:rPr>
          <w:rFonts w:hint="eastAsia" w:ascii="宋体" w:hAnsi="宋体" w:cs="宋体"/>
          <w:b/>
          <w:sz w:val="24"/>
        </w:rPr>
        <w:t>：</w:t>
      </w:r>
      <w:bookmarkStart w:id="4" w:name="_GoBack"/>
      <w:bookmarkEnd w:id="4"/>
    </w:p>
    <w:p w14:paraId="27B95379">
      <w:pPr>
        <w:pStyle w:val="55"/>
        <w:widowControl w:val="0"/>
        <w:snapToGrid w:val="0"/>
        <w:spacing w:line="500" w:lineRule="exact"/>
        <w:jc w:val="center"/>
        <w:rPr>
          <w:rFonts w:hAnsi="宋体" w:cs="宋体"/>
          <w:szCs w:val="21"/>
        </w:rPr>
      </w:pPr>
      <w:r>
        <w:rPr>
          <w:rFonts w:hint="eastAsia" w:hAnsi="宋体" w:cs="宋体"/>
          <w:b/>
          <w:bCs/>
          <w:szCs w:val="21"/>
        </w:rPr>
        <w:t>政府采购活动现</w:t>
      </w:r>
      <w:r>
        <w:rPr>
          <w:rFonts w:hint="eastAsia" w:hAnsi="宋体" w:cs="宋体"/>
          <w:b/>
          <w:szCs w:val="21"/>
        </w:rPr>
        <w:t>场确认声明书（被授权人）</w:t>
      </w:r>
      <w:r>
        <w:rPr>
          <w:rFonts w:cs="宋体"/>
          <w:b/>
          <w:i/>
          <w:iCs/>
          <w:sz w:val="24"/>
          <w:szCs w:val="24"/>
        </w:rPr>
        <w:t>（以下二选一）</w:t>
      </w:r>
    </w:p>
    <w:p w14:paraId="106D8DFB">
      <w:pPr>
        <w:pStyle w:val="55"/>
        <w:widowControl w:val="0"/>
        <w:snapToGrid w:val="0"/>
        <w:spacing w:line="500" w:lineRule="exact"/>
        <w:jc w:val="both"/>
        <w:rPr>
          <w:rFonts w:hAnsi="宋体" w:cs="宋体"/>
          <w:b/>
          <w:szCs w:val="21"/>
        </w:rPr>
      </w:pPr>
      <w:r>
        <w:rPr>
          <w:rFonts w:hint="eastAsia" w:hAnsi="宋体" w:cs="宋体"/>
          <w:kern w:val="0"/>
          <w:szCs w:val="21"/>
          <w:u w:val="single"/>
        </w:rPr>
        <w:t xml:space="preserve"> </w:t>
      </w:r>
      <w:r>
        <w:rPr>
          <w:rFonts w:hint="eastAsia" w:hAnsi="宋体" w:cs="宋体"/>
          <w:kern w:val="0"/>
          <w:szCs w:val="21"/>
          <w:u w:val="single"/>
          <w:lang w:eastAsia="zh-CN"/>
        </w:rPr>
        <w:t>欧邦工程管理集团有限公司</w:t>
      </w:r>
      <w:r>
        <w:rPr>
          <w:rFonts w:hint="eastAsia" w:hAnsi="宋体" w:cs="宋体"/>
          <w:kern w:val="0"/>
          <w:szCs w:val="21"/>
          <w:u w:val="single"/>
        </w:rPr>
        <w:t xml:space="preserve">  </w:t>
      </w:r>
      <w:r>
        <w:rPr>
          <w:rFonts w:hint="eastAsia" w:hAnsi="宋体" w:cs="宋体"/>
          <w:kern w:val="0"/>
          <w:szCs w:val="21"/>
        </w:rPr>
        <w:t>（采购组织机构名称）：</w:t>
      </w:r>
    </w:p>
    <w:p w14:paraId="14CB5265">
      <w:pPr>
        <w:pStyle w:val="55"/>
        <w:widowControl w:val="0"/>
        <w:snapToGrid w:val="0"/>
        <w:spacing w:line="500" w:lineRule="exact"/>
        <w:ind w:firstLine="444" w:firstLineChars="200"/>
        <w:jc w:val="both"/>
        <w:rPr>
          <w:rFonts w:hAnsi="宋体" w:cs="宋体"/>
          <w:spacing w:val="6"/>
          <w:szCs w:val="21"/>
        </w:rPr>
      </w:pPr>
      <w:r>
        <w:rPr>
          <w:rFonts w:hint="eastAsia" w:hAnsi="宋体" w:cs="宋体"/>
          <w:spacing w:val="6"/>
          <w:szCs w:val="21"/>
        </w:rPr>
        <w:t>本人经由</w:t>
      </w:r>
      <w:r>
        <w:rPr>
          <w:rFonts w:hint="eastAsia" w:hAnsi="宋体" w:cs="宋体"/>
          <w:spacing w:val="6"/>
          <w:szCs w:val="21"/>
          <w:u w:val="single"/>
        </w:rPr>
        <w:t>（单位）</w:t>
      </w:r>
      <w:r>
        <w:rPr>
          <w:rFonts w:hint="eastAsia" w:hAnsi="宋体" w:cs="宋体"/>
          <w:spacing w:val="6"/>
          <w:szCs w:val="21"/>
        </w:rPr>
        <w:t>负责人</w:t>
      </w:r>
      <w:r>
        <w:rPr>
          <w:rFonts w:hint="eastAsia" w:hAnsi="宋体" w:cs="宋体"/>
          <w:spacing w:val="6"/>
          <w:szCs w:val="21"/>
          <w:u w:val="single"/>
        </w:rPr>
        <w:t xml:space="preserve">       （姓名）</w:t>
      </w:r>
      <w:r>
        <w:rPr>
          <w:rFonts w:hint="eastAsia" w:hAnsi="宋体" w:cs="宋体"/>
          <w:spacing w:val="6"/>
          <w:szCs w:val="21"/>
        </w:rPr>
        <w:t>合法授权参加</w:t>
      </w:r>
      <w:r>
        <w:rPr>
          <w:rFonts w:hint="eastAsia" w:hAnsi="宋体" w:cs="宋体"/>
          <w:spacing w:val="6"/>
          <w:szCs w:val="21"/>
          <w:u w:val="single"/>
          <w:lang w:eastAsia="zh-CN"/>
        </w:rPr>
        <w:t>神仙居仙侠演艺餐厅厨房设备采购（非政府采购类）</w:t>
      </w:r>
      <w:r>
        <w:rPr>
          <w:rFonts w:hint="eastAsia" w:hAnsi="宋体" w:cs="宋体"/>
          <w:spacing w:val="6"/>
          <w:szCs w:val="21"/>
          <w:u w:val="single"/>
        </w:rPr>
        <w:t xml:space="preserve"> </w:t>
      </w:r>
      <w:r>
        <w:rPr>
          <w:rFonts w:hint="eastAsia" w:hAnsi="宋体" w:cs="宋体"/>
          <w:spacing w:val="6"/>
          <w:szCs w:val="21"/>
        </w:rPr>
        <w:t>（编号：</w:t>
      </w:r>
      <w:r>
        <w:rPr>
          <w:rFonts w:hint="eastAsia" w:hAnsi="宋体" w:cs="宋体"/>
          <w:spacing w:val="6"/>
          <w:szCs w:val="21"/>
          <w:u w:val="single"/>
          <w:lang w:eastAsia="zh-CN"/>
        </w:rPr>
        <w:t>OBXJ（采购）-24070</w:t>
      </w:r>
      <w:r>
        <w:rPr>
          <w:rFonts w:hint="eastAsia" w:hAnsi="宋体" w:cs="宋体"/>
          <w:spacing w:val="6"/>
          <w:szCs w:val="21"/>
        </w:rPr>
        <w:t xml:space="preserve">）政府采购活动，经与本单位法人代表（负责人）联系确认，现就有关公平竞争事项郑重声明如下： </w:t>
      </w:r>
    </w:p>
    <w:p w14:paraId="433D3C5D">
      <w:pPr>
        <w:pStyle w:val="56"/>
        <w:widowControl/>
        <w:snapToGrid w:val="0"/>
        <w:spacing w:line="500" w:lineRule="exact"/>
        <w:ind w:left="397"/>
        <w:rPr>
          <w:rFonts w:ascii="宋体" w:hAnsi="宋体" w:cs="宋体"/>
          <w:kern w:val="0"/>
          <w:szCs w:val="21"/>
        </w:rPr>
      </w:pPr>
      <w:r>
        <w:rPr>
          <w:rFonts w:hint="eastAsia" w:ascii="宋体" w:hAnsi="宋体" w:cs="宋体"/>
          <w:kern w:val="0"/>
          <w:szCs w:val="21"/>
        </w:rPr>
        <w:t>一、本单位与采购人之间 □不存在利害关系 □存在下列利害关系：</w:t>
      </w:r>
    </w:p>
    <w:p w14:paraId="1249A9E3">
      <w:pPr>
        <w:pStyle w:val="56"/>
        <w:widowControl/>
        <w:snapToGrid w:val="0"/>
        <w:spacing w:line="500" w:lineRule="exact"/>
        <w:ind w:firstLine="210" w:firstLineChars="100"/>
        <w:rPr>
          <w:rFonts w:ascii="宋体" w:hAnsi="宋体" w:cs="宋体"/>
          <w:kern w:val="0"/>
          <w:szCs w:val="21"/>
        </w:rPr>
      </w:pPr>
      <w:r>
        <w:rPr>
          <w:rFonts w:hint="eastAsia" w:ascii="宋体" w:hAnsi="宋体" w:cs="宋体"/>
          <w:kern w:val="0"/>
          <w:szCs w:val="21"/>
        </w:rPr>
        <w:t xml:space="preserve">  A.投资关系    B.行政隶属关系    C.业务指导关系</w:t>
      </w:r>
    </w:p>
    <w:p w14:paraId="6EAF7B4F">
      <w:pPr>
        <w:pStyle w:val="56"/>
        <w:widowControl/>
        <w:snapToGrid w:val="0"/>
        <w:spacing w:line="500" w:lineRule="exact"/>
        <w:ind w:firstLine="210" w:firstLineChars="100"/>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619DC859">
      <w:pPr>
        <w:pStyle w:val="56"/>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p>
    <w:p w14:paraId="1EE0DF07">
      <w:pPr>
        <w:pStyle w:val="55"/>
        <w:widowControl w:val="0"/>
        <w:snapToGrid w:val="0"/>
        <w:spacing w:line="500" w:lineRule="exact"/>
        <w:jc w:val="both"/>
        <w:rPr>
          <w:rFonts w:hAnsi="宋体" w:cs="宋体"/>
          <w:kern w:val="0"/>
          <w:szCs w:val="21"/>
        </w:rPr>
      </w:pPr>
      <w:r>
        <w:rPr>
          <w:rFonts w:hint="eastAsia" w:hAnsi="宋体" w:cs="宋体"/>
          <w:kern w:val="0"/>
          <w:szCs w:val="21"/>
        </w:rPr>
        <w:t xml:space="preserve">    A.法定代表人或负责人或实际控制人是同一人</w:t>
      </w:r>
    </w:p>
    <w:p w14:paraId="3B698EDA">
      <w:pPr>
        <w:pStyle w:val="55"/>
        <w:widowControl w:val="0"/>
        <w:snapToGrid w:val="0"/>
        <w:spacing w:line="500" w:lineRule="exact"/>
        <w:jc w:val="both"/>
        <w:rPr>
          <w:rFonts w:hAnsi="宋体" w:cs="宋体"/>
          <w:spacing w:val="6"/>
          <w:szCs w:val="21"/>
        </w:rPr>
      </w:pPr>
      <w:r>
        <w:rPr>
          <w:rFonts w:hint="eastAsia" w:hAnsi="宋体" w:cs="宋体"/>
          <w:kern w:val="0"/>
          <w:szCs w:val="21"/>
        </w:rPr>
        <w:t xml:space="preserve">    B.法定代表人或负责人或实际控制人是夫妻关系</w:t>
      </w:r>
    </w:p>
    <w:p w14:paraId="359439A6">
      <w:pPr>
        <w:pStyle w:val="55"/>
        <w:widowControl w:val="0"/>
        <w:snapToGrid w:val="0"/>
        <w:spacing w:line="500" w:lineRule="exact"/>
        <w:jc w:val="both"/>
        <w:rPr>
          <w:rFonts w:hAnsi="宋体" w:cs="宋体"/>
          <w:spacing w:val="6"/>
          <w:szCs w:val="21"/>
        </w:rPr>
      </w:pPr>
      <w:r>
        <w:rPr>
          <w:rFonts w:hint="eastAsia" w:hAnsi="宋体" w:cs="宋体"/>
          <w:kern w:val="0"/>
          <w:szCs w:val="21"/>
        </w:rPr>
        <w:t xml:space="preserve">    C.法定代表人或负责人或实际控制人是直系血亲关系</w:t>
      </w:r>
    </w:p>
    <w:p w14:paraId="29EDDB92">
      <w:pPr>
        <w:pStyle w:val="55"/>
        <w:widowControl w:val="0"/>
        <w:snapToGrid w:val="0"/>
        <w:spacing w:line="500" w:lineRule="exact"/>
        <w:ind w:firstLine="210" w:firstLineChars="100"/>
        <w:jc w:val="both"/>
        <w:rPr>
          <w:rFonts w:hAnsi="宋体" w:cs="宋体"/>
          <w:spacing w:val="6"/>
          <w:szCs w:val="21"/>
        </w:rPr>
      </w:pPr>
      <w:r>
        <w:rPr>
          <w:rFonts w:hint="eastAsia" w:hAnsi="宋体" w:cs="宋体"/>
          <w:kern w:val="0"/>
          <w:szCs w:val="21"/>
        </w:rPr>
        <w:t xml:space="preserve">  D.法定代表人或负责人或实际控制人存在三代以内旁系血亲关系</w:t>
      </w:r>
    </w:p>
    <w:p w14:paraId="6EEB803E">
      <w:pPr>
        <w:pStyle w:val="55"/>
        <w:widowControl w:val="0"/>
        <w:snapToGrid w:val="0"/>
        <w:spacing w:line="500" w:lineRule="exact"/>
        <w:jc w:val="both"/>
        <w:rPr>
          <w:rFonts w:hAnsi="宋体" w:cs="宋体"/>
          <w:kern w:val="0"/>
          <w:szCs w:val="21"/>
        </w:rPr>
      </w:pPr>
      <w:r>
        <w:rPr>
          <w:rFonts w:hint="eastAsia" w:hAnsi="宋体" w:cs="宋体"/>
          <w:kern w:val="0"/>
          <w:szCs w:val="21"/>
        </w:rPr>
        <w:t xml:space="preserve">    E.法定代表人或负责人或实际控制人存在近姻亲关系</w:t>
      </w:r>
    </w:p>
    <w:p w14:paraId="3A26D33D">
      <w:pPr>
        <w:pStyle w:val="55"/>
        <w:widowControl w:val="0"/>
        <w:snapToGrid w:val="0"/>
        <w:spacing w:line="500" w:lineRule="exact"/>
        <w:jc w:val="both"/>
        <w:rPr>
          <w:rFonts w:hAnsi="宋体" w:cs="宋体"/>
          <w:kern w:val="0"/>
          <w:szCs w:val="21"/>
        </w:rPr>
      </w:pPr>
      <w:r>
        <w:rPr>
          <w:rFonts w:hint="eastAsia" w:hAnsi="宋体" w:cs="宋体"/>
          <w:kern w:val="0"/>
          <w:szCs w:val="21"/>
        </w:rPr>
        <w:t xml:space="preserve">    F.法定代表人或负责人或实际控制人存在股份控制或实际控制关系</w:t>
      </w:r>
    </w:p>
    <w:p w14:paraId="7F331D43">
      <w:pPr>
        <w:pStyle w:val="55"/>
        <w:widowControl w:val="0"/>
        <w:snapToGrid w:val="0"/>
        <w:spacing w:line="500" w:lineRule="exact"/>
        <w:jc w:val="both"/>
        <w:outlineLvl w:val="0"/>
        <w:rPr>
          <w:rFonts w:hAnsi="宋体" w:cs="宋体"/>
          <w:kern w:val="0"/>
          <w:szCs w:val="21"/>
        </w:rPr>
      </w:pPr>
      <w:r>
        <w:rPr>
          <w:rFonts w:hint="eastAsia" w:hAnsi="宋体" w:cs="宋体"/>
          <w:kern w:val="0"/>
          <w:szCs w:val="21"/>
        </w:rPr>
        <w:t xml:space="preserve">    G.存在共同直接或间接投资设立子公司、联营企业和合营企业情况</w:t>
      </w:r>
    </w:p>
    <w:p w14:paraId="4656C53A">
      <w:pPr>
        <w:pStyle w:val="55"/>
        <w:widowControl w:val="0"/>
        <w:snapToGrid w:val="0"/>
        <w:spacing w:line="500" w:lineRule="exact"/>
        <w:jc w:val="both"/>
        <w:rPr>
          <w:rFonts w:hAnsi="宋体" w:cs="宋体"/>
          <w:szCs w:val="21"/>
        </w:rPr>
      </w:pPr>
      <w:r>
        <w:rPr>
          <w:rFonts w:hint="eastAsia" w:hAnsi="宋体" w:cs="宋体"/>
          <w:kern w:val="0"/>
          <w:szCs w:val="21"/>
        </w:rPr>
        <w:t xml:space="preserve">    H.存在分级代理或代销关系、同一生产制造商关系、</w:t>
      </w:r>
      <w:r>
        <w:rPr>
          <w:rFonts w:hint="eastAsia" w:hAnsi="宋体" w:cs="宋体"/>
          <w:szCs w:val="21"/>
        </w:rPr>
        <w:t>管理关系、重要业务（占主营业务收入50%以上）或重要财务往来关系（如融资）等其他实质性控制关系</w:t>
      </w:r>
    </w:p>
    <w:p w14:paraId="584EA911">
      <w:pPr>
        <w:pStyle w:val="55"/>
        <w:widowControl w:val="0"/>
        <w:snapToGrid w:val="0"/>
        <w:spacing w:line="500" w:lineRule="exact"/>
        <w:jc w:val="both"/>
        <w:rPr>
          <w:rFonts w:hAnsi="宋体" w:cs="宋体"/>
          <w:spacing w:val="6"/>
          <w:szCs w:val="21"/>
        </w:rPr>
      </w:pPr>
      <w:r>
        <w:rPr>
          <w:rFonts w:hint="eastAsia" w:hAnsi="宋体" w:cs="宋体"/>
          <w:szCs w:val="21"/>
        </w:rPr>
        <w:t xml:space="preserve">    I</w:t>
      </w:r>
      <w:r>
        <w:rPr>
          <w:rFonts w:hint="eastAsia" w:hAnsi="宋体" w:cs="宋体"/>
          <w:kern w:val="0"/>
          <w:szCs w:val="21"/>
        </w:rPr>
        <w:t>.</w:t>
      </w:r>
      <w:r>
        <w:rPr>
          <w:rFonts w:hint="eastAsia" w:hAnsi="宋体" w:cs="宋体"/>
          <w:szCs w:val="21"/>
        </w:rPr>
        <w:t>其他利害关系情况</w:t>
      </w:r>
      <w:r>
        <w:rPr>
          <w:rFonts w:hint="eastAsia" w:hAnsi="宋体" w:cs="宋体"/>
          <w:kern w:val="0"/>
          <w:szCs w:val="21"/>
        </w:rPr>
        <w:t>。</w:t>
      </w:r>
    </w:p>
    <w:p w14:paraId="5491E379">
      <w:pPr>
        <w:pStyle w:val="56"/>
        <w:widowControl/>
        <w:snapToGrid w:val="0"/>
        <w:spacing w:line="500" w:lineRule="exact"/>
        <w:ind w:firstLine="420" w:firstLineChars="200"/>
        <w:rPr>
          <w:rFonts w:ascii="宋体" w:hAnsi="宋体" w:cs="宋体"/>
          <w:kern w:val="0"/>
          <w:szCs w:val="21"/>
        </w:rPr>
      </w:pPr>
      <w:r>
        <w:rPr>
          <w:rFonts w:hint="eastAsia" w:ascii="宋体" w:hAnsi="宋体" w:cs="宋体"/>
          <w:szCs w:val="21"/>
        </w:rPr>
        <w:t>三、现已清楚知道并</w:t>
      </w:r>
      <w:r>
        <w:rPr>
          <w:rFonts w:hint="eastAsia" w:ascii="宋体" w:hAnsi="宋体" w:cs="宋体"/>
          <w:kern w:val="0"/>
          <w:szCs w:val="21"/>
        </w:rPr>
        <w:t>严格遵守政府采购法律法规和现场纪律。</w:t>
      </w:r>
    </w:p>
    <w:p w14:paraId="658C29C0">
      <w:pPr>
        <w:pStyle w:val="56"/>
        <w:widowControl/>
        <w:snapToGrid w:val="0"/>
        <w:spacing w:line="500" w:lineRule="exact"/>
        <w:ind w:firstLine="420" w:firstLineChars="200"/>
        <w:rPr>
          <w:rFonts w:ascii="宋体" w:hAnsi="宋体" w:cs="宋体"/>
          <w:kern w:val="0"/>
          <w:szCs w:val="21"/>
        </w:rPr>
      </w:pPr>
      <w:r>
        <w:rPr>
          <w:rFonts w:hint="eastAsia" w:ascii="宋体" w:hAnsi="宋体" w:cs="宋体"/>
          <w:kern w:val="0"/>
          <w:szCs w:val="21"/>
        </w:rPr>
        <w:t>四、</w:t>
      </w:r>
      <w:r>
        <w:rPr>
          <w:rFonts w:hint="eastAsia" w:ascii="宋体" w:hAnsi="宋体" w:cs="宋体"/>
          <w:kern w:val="0"/>
          <w:szCs w:val="21"/>
          <w:u w:val="single"/>
        </w:rPr>
        <w:t xml:space="preserve">我发现                    </w:t>
      </w:r>
      <w:r>
        <w:rPr>
          <w:rFonts w:hint="eastAsia" w:ascii="宋体" w:hAnsi="宋体" w:cs="宋体"/>
          <w:kern w:val="0"/>
          <w:szCs w:val="21"/>
        </w:rPr>
        <w:t>供应商之间存在或可能存在上述第二条第项利害关系。</w:t>
      </w:r>
    </w:p>
    <w:p w14:paraId="08FCF991">
      <w:pPr>
        <w:pStyle w:val="55"/>
        <w:widowControl w:val="0"/>
        <w:snapToGrid w:val="0"/>
        <w:spacing w:line="500" w:lineRule="exact"/>
        <w:jc w:val="both"/>
        <w:rPr>
          <w:rFonts w:hAnsi="宋体" w:cs="宋体"/>
          <w:szCs w:val="21"/>
        </w:rPr>
      </w:pPr>
      <w:r>
        <w:rPr>
          <w:rFonts w:hint="eastAsia" w:hAnsi="宋体" w:cs="宋体"/>
          <w:szCs w:val="21"/>
        </w:rPr>
        <w:t xml:space="preserve">                                        供应商代表签名：</w:t>
      </w:r>
    </w:p>
    <w:p w14:paraId="16B43C20">
      <w:pPr>
        <w:pStyle w:val="10"/>
        <w:spacing w:line="360" w:lineRule="auto"/>
        <w:jc w:val="right"/>
        <w:rPr>
          <w:rFonts w:ascii="宋体" w:hAnsi="宋体" w:cs="宋体"/>
          <w:sz w:val="21"/>
          <w:szCs w:val="21"/>
        </w:rPr>
      </w:pPr>
      <w:r>
        <w:rPr>
          <w:rFonts w:hint="eastAsia" w:ascii="宋体" w:hAnsi="宋体" w:cs="宋体"/>
          <w:sz w:val="21"/>
          <w:szCs w:val="21"/>
        </w:rPr>
        <w:t xml:space="preserve">                                    年   月   日</w:t>
      </w:r>
    </w:p>
    <w:p w14:paraId="7C9F9D90">
      <w:pPr>
        <w:pStyle w:val="10"/>
        <w:spacing w:line="360" w:lineRule="auto"/>
        <w:rPr>
          <w:rFonts w:ascii="宋体" w:hAnsi="宋体" w:cs="宋体"/>
          <w:b/>
          <w:bCs/>
          <w:sz w:val="18"/>
          <w:szCs w:val="18"/>
        </w:rPr>
      </w:pPr>
    </w:p>
    <w:p w14:paraId="62D7F624">
      <w:pPr>
        <w:pStyle w:val="10"/>
        <w:spacing w:line="360" w:lineRule="auto"/>
        <w:rPr>
          <w:rFonts w:ascii="宋体" w:hAnsi="宋体" w:cs="宋体"/>
          <w:b/>
          <w:bCs/>
          <w:sz w:val="18"/>
          <w:szCs w:val="18"/>
        </w:rPr>
      </w:pPr>
      <w:r>
        <w:rPr>
          <w:rFonts w:hint="eastAsia" w:ascii="宋体" w:hAnsi="宋体" w:cs="宋体"/>
          <w:b/>
          <w:bCs/>
          <w:sz w:val="18"/>
          <w:szCs w:val="18"/>
        </w:rPr>
        <w:t>注：1、本声明书非响应文件的组成内容，无须在响应文件中提供。</w:t>
      </w:r>
    </w:p>
    <w:p w14:paraId="620499E9">
      <w:pPr>
        <w:pStyle w:val="10"/>
        <w:spacing w:line="360" w:lineRule="auto"/>
        <w:rPr>
          <w:rFonts w:ascii="宋体" w:hAnsi="宋体" w:cs="宋体"/>
          <w:b/>
          <w:bCs/>
          <w:szCs w:val="21"/>
        </w:rPr>
      </w:pPr>
      <w:r>
        <w:rPr>
          <w:rFonts w:hint="eastAsia" w:ascii="宋体" w:hAnsi="宋体" w:cs="宋体"/>
          <w:b/>
          <w:bCs/>
          <w:sz w:val="18"/>
          <w:szCs w:val="18"/>
        </w:rPr>
        <w:t xml:space="preserve">    2、各供应商需提前打印本表，待标书件解密结束后，签署完毕后上传至钉钉直播群。</w:t>
      </w:r>
      <w:r>
        <w:rPr>
          <w:rFonts w:hint="eastAsia" w:ascii="宋体" w:hAnsi="宋体" w:cs="宋体"/>
          <w:b/>
          <w:bCs/>
          <w:szCs w:val="21"/>
        </w:rPr>
        <w:br w:type="page"/>
      </w:r>
    </w:p>
    <w:p w14:paraId="1474E175">
      <w:pPr>
        <w:pStyle w:val="55"/>
        <w:widowControl w:val="0"/>
        <w:snapToGrid w:val="0"/>
        <w:spacing w:line="500" w:lineRule="exact"/>
        <w:jc w:val="center"/>
        <w:rPr>
          <w:rFonts w:hAnsi="宋体" w:cs="宋体"/>
          <w:szCs w:val="21"/>
        </w:rPr>
      </w:pPr>
      <w:r>
        <w:rPr>
          <w:rFonts w:hint="eastAsia" w:hAnsi="宋体" w:cs="宋体"/>
          <w:b/>
          <w:bCs/>
          <w:szCs w:val="21"/>
        </w:rPr>
        <w:t>政府采购活动现</w:t>
      </w:r>
      <w:r>
        <w:rPr>
          <w:rFonts w:hint="eastAsia" w:hAnsi="宋体" w:cs="宋体"/>
          <w:b/>
          <w:szCs w:val="21"/>
        </w:rPr>
        <w:t>场确认声明书（法人）</w:t>
      </w:r>
    </w:p>
    <w:p w14:paraId="0815BB1B">
      <w:pPr>
        <w:pStyle w:val="55"/>
        <w:widowControl w:val="0"/>
        <w:snapToGrid w:val="0"/>
        <w:spacing w:line="500" w:lineRule="exact"/>
        <w:jc w:val="both"/>
        <w:rPr>
          <w:rFonts w:hAnsi="宋体" w:cs="宋体"/>
          <w:b/>
          <w:szCs w:val="21"/>
        </w:rPr>
      </w:pPr>
      <w:r>
        <w:rPr>
          <w:rFonts w:hint="eastAsia" w:hAnsi="宋体" w:cs="宋体"/>
          <w:kern w:val="0"/>
          <w:szCs w:val="21"/>
          <w:u w:val="single"/>
        </w:rPr>
        <w:t xml:space="preserve"> </w:t>
      </w:r>
      <w:r>
        <w:rPr>
          <w:rFonts w:hint="eastAsia" w:hAnsi="宋体" w:cs="宋体"/>
          <w:kern w:val="0"/>
          <w:szCs w:val="21"/>
          <w:u w:val="single"/>
          <w:lang w:eastAsia="zh-CN"/>
        </w:rPr>
        <w:t>欧邦工程管理集团有限公司</w:t>
      </w:r>
      <w:r>
        <w:rPr>
          <w:rFonts w:hint="eastAsia" w:hAnsi="宋体" w:cs="宋体"/>
          <w:kern w:val="0"/>
          <w:szCs w:val="21"/>
          <w:u w:val="single"/>
        </w:rPr>
        <w:t xml:space="preserve">  </w:t>
      </w:r>
      <w:r>
        <w:rPr>
          <w:rFonts w:hint="eastAsia" w:hAnsi="宋体" w:cs="宋体"/>
          <w:kern w:val="0"/>
          <w:szCs w:val="21"/>
        </w:rPr>
        <w:t>（采购组织机构名称）：</w:t>
      </w:r>
    </w:p>
    <w:p w14:paraId="091939EE">
      <w:pPr>
        <w:pStyle w:val="55"/>
        <w:widowControl w:val="0"/>
        <w:snapToGrid w:val="0"/>
        <w:spacing w:line="500" w:lineRule="exact"/>
        <w:ind w:firstLine="444" w:firstLineChars="200"/>
        <w:jc w:val="both"/>
        <w:rPr>
          <w:rFonts w:hAnsi="宋体" w:cs="宋体"/>
          <w:spacing w:val="6"/>
          <w:szCs w:val="21"/>
        </w:rPr>
      </w:pPr>
      <w:r>
        <w:rPr>
          <w:rFonts w:hint="eastAsia" w:hAnsi="宋体" w:cs="宋体"/>
          <w:spacing w:val="6"/>
          <w:szCs w:val="21"/>
        </w:rPr>
        <w:t>本人为</w:t>
      </w:r>
      <w:r>
        <w:rPr>
          <w:rFonts w:hint="eastAsia" w:hAnsi="宋体" w:cs="宋体"/>
          <w:spacing w:val="6"/>
          <w:szCs w:val="21"/>
          <w:u w:val="single"/>
        </w:rPr>
        <w:t>（单位）</w:t>
      </w:r>
      <w:r>
        <w:rPr>
          <w:rFonts w:hint="eastAsia" w:hAnsi="宋体" w:cs="宋体"/>
          <w:spacing w:val="6"/>
          <w:szCs w:val="21"/>
        </w:rPr>
        <w:t>负责人参加</w:t>
      </w:r>
      <w:r>
        <w:rPr>
          <w:rFonts w:hint="eastAsia" w:hAnsi="宋体" w:cs="宋体"/>
          <w:spacing w:val="6"/>
          <w:szCs w:val="21"/>
          <w:u w:val="single"/>
          <w:lang w:eastAsia="zh-CN"/>
        </w:rPr>
        <w:t>神仙居仙侠演艺餐厅厨房设备采购（非政府采购类）</w:t>
      </w:r>
      <w:r>
        <w:rPr>
          <w:rFonts w:hint="eastAsia" w:hAnsi="宋体" w:cs="宋体"/>
          <w:spacing w:val="6"/>
          <w:szCs w:val="21"/>
          <w:u w:val="single"/>
        </w:rPr>
        <w:t xml:space="preserve"> </w:t>
      </w:r>
      <w:r>
        <w:rPr>
          <w:rFonts w:hint="eastAsia" w:hAnsi="宋体" w:cs="宋体"/>
          <w:spacing w:val="6"/>
          <w:szCs w:val="21"/>
        </w:rPr>
        <w:t>（编号：</w:t>
      </w:r>
      <w:r>
        <w:rPr>
          <w:rFonts w:hint="eastAsia" w:hAnsi="宋体" w:cs="宋体"/>
          <w:spacing w:val="6"/>
          <w:szCs w:val="21"/>
          <w:u w:val="single"/>
          <w:lang w:eastAsia="zh-CN"/>
        </w:rPr>
        <w:t>OBXJ（采购）-24070</w:t>
      </w:r>
      <w:r>
        <w:rPr>
          <w:rFonts w:hint="eastAsia" w:hAnsi="宋体" w:cs="宋体"/>
          <w:spacing w:val="6"/>
          <w:szCs w:val="21"/>
        </w:rPr>
        <w:t xml:space="preserve">）政府采购活动，现就有关公平竞争事项郑重声明如下： </w:t>
      </w:r>
    </w:p>
    <w:p w14:paraId="39ACB69A">
      <w:pPr>
        <w:pStyle w:val="56"/>
        <w:widowControl/>
        <w:numPr>
          <w:ilvl w:val="0"/>
          <w:numId w:val="21"/>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p>
    <w:p w14:paraId="77EDC81F">
      <w:pPr>
        <w:pStyle w:val="56"/>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14:paraId="1BDB6D38">
      <w:pPr>
        <w:pStyle w:val="56"/>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016EF96B">
      <w:pPr>
        <w:pStyle w:val="56"/>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p>
    <w:p w14:paraId="3CDFA479">
      <w:pPr>
        <w:pStyle w:val="55"/>
        <w:widowControl w:val="0"/>
        <w:snapToGrid w:val="0"/>
        <w:spacing w:line="500" w:lineRule="exact"/>
        <w:jc w:val="both"/>
        <w:rPr>
          <w:rFonts w:hAnsi="宋体" w:cs="宋体"/>
          <w:kern w:val="0"/>
          <w:szCs w:val="21"/>
        </w:rPr>
      </w:pPr>
      <w:r>
        <w:rPr>
          <w:rFonts w:hint="eastAsia" w:hAnsi="宋体" w:cs="宋体"/>
          <w:kern w:val="0"/>
          <w:szCs w:val="21"/>
        </w:rPr>
        <w:t xml:space="preserve">  A.法定代表人或负责人或实际控制人是同一人</w:t>
      </w:r>
    </w:p>
    <w:p w14:paraId="01A253E1">
      <w:pPr>
        <w:pStyle w:val="55"/>
        <w:widowControl w:val="0"/>
        <w:snapToGrid w:val="0"/>
        <w:spacing w:line="500" w:lineRule="exact"/>
        <w:jc w:val="both"/>
        <w:rPr>
          <w:rFonts w:hAnsi="宋体" w:cs="宋体"/>
          <w:spacing w:val="6"/>
          <w:szCs w:val="21"/>
        </w:rPr>
      </w:pPr>
      <w:r>
        <w:rPr>
          <w:rFonts w:hint="eastAsia" w:hAnsi="宋体" w:cs="宋体"/>
          <w:kern w:val="0"/>
          <w:szCs w:val="21"/>
        </w:rPr>
        <w:t xml:space="preserve">  B.法定代表人或负责人或实际控制人是夫妻关系</w:t>
      </w:r>
    </w:p>
    <w:p w14:paraId="5E56DEBD">
      <w:pPr>
        <w:pStyle w:val="55"/>
        <w:widowControl w:val="0"/>
        <w:snapToGrid w:val="0"/>
        <w:spacing w:line="500" w:lineRule="exact"/>
        <w:jc w:val="both"/>
        <w:rPr>
          <w:rFonts w:hAnsi="宋体" w:cs="宋体"/>
          <w:spacing w:val="6"/>
          <w:szCs w:val="21"/>
        </w:rPr>
      </w:pPr>
      <w:r>
        <w:rPr>
          <w:rFonts w:hint="eastAsia" w:hAnsi="宋体" w:cs="宋体"/>
          <w:kern w:val="0"/>
          <w:szCs w:val="21"/>
        </w:rPr>
        <w:t xml:space="preserve">  C.法定代表人或负责人或实际控制人是直系血亲关系</w:t>
      </w:r>
    </w:p>
    <w:p w14:paraId="2304E73E">
      <w:pPr>
        <w:pStyle w:val="55"/>
        <w:widowControl w:val="0"/>
        <w:snapToGrid w:val="0"/>
        <w:spacing w:line="500" w:lineRule="exact"/>
        <w:jc w:val="both"/>
        <w:rPr>
          <w:rFonts w:hAnsi="宋体" w:cs="宋体"/>
          <w:spacing w:val="6"/>
          <w:szCs w:val="21"/>
        </w:rPr>
      </w:pPr>
      <w:r>
        <w:rPr>
          <w:rFonts w:hint="eastAsia" w:hAnsi="宋体" w:cs="宋体"/>
          <w:kern w:val="0"/>
          <w:szCs w:val="21"/>
        </w:rPr>
        <w:t xml:space="preserve">  D.法定代表人或负责人或实际控制人存在三代以内旁系血亲关系</w:t>
      </w:r>
    </w:p>
    <w:p w14:paraId="20CC9FDF">
      <w:pPr>
        <w:pStyle w:val="55"/>
        <w:widowControl w:val="0"/>
        <w:snapToGrid w:val="0"/>
        <w:spacing w:line="500" w:lineRule="exact"/>
        <w:jc w:val="both"/>
        <w:rPr>
          <w:rFonts w:hAnsi="宋体" w:cs="宋体"/>
          <w:kern w:val="0"/>
          <w:szCs w:val="21"/>
        </w:rPr>
      </w:pPr>
      <w:r>
        <w:rPr>
          <w:rFonts w:hint="eastAsia" w:hAnsi="宋体" w:cs="宋体"/>
          <w:kern w:val="0"/>
          <w:szCs w:val="21"/>
        </w:rPr>
        <w:t xml:space="preserve">  E.法定代表人或负责人或实际控制人存在近姻亲关系</w:t>
      </w:r>
    </w:p>
    <w:p w14:paraId="0592BB76">
      <w:pPr>
        <w:pStyle w:val="55"/>
        <w:widowControl w:val="0"/>
        <w:snapToGrid w:val="0"/>
        <w:spacing w:line="500" w:lineRule="exact"/>
        <w:jc w:val="both"/>
        <w:rPr>
          <w:rFonts w:hAnsi="宋体" w:cs="宋体"/>
          <w:kern w:val="0"/>
          <w:szCs w:val="21"/>
        </w:rPr>
      </w:pPr>
      <w:r>
        <w:rPr>
          <w:rFonts w:hint="eastAsia" w:hAnsi="宋体" w:cs="宋体"/>
          <w:kern w:val="0"/>
          <w:szCs w:val="21"/>
        </w:rPr>
        <w:t xml:space="preserve">  F.法定代表人或负责人或实际控制人存在股份控制或实际控制关系  </w:t>
      </w:r>
    </w:p>
    <w:p w14:paraId="2912401D">
      <w:pPr>
        <w:pStyle w:val="55"/>
        <w:widowControl w:val="0"/>
        <w:snapToGrid w:val="0"/>
        <w:spacing w:line="500" w:lineRule="exact"/>
        <w:jc w:val="both"/>
        <w:outlineLvl w:val="0"/>
        <w:rPr>
          <w:rFonts w:hAnsi="宋体" w:cs="宋体"/>
          <w:kern w:val="0"/>
          <w:szCs w:val="21"/>
        </w:rPr>
      </w:pPr>
      <w:r>
        <w:rPr>
          <w:rFonts w:hint="eastAsia" w:hAnsi="宋体" w:cs="宋体"/>
          <w:kern w:val="0"/>
          <w:szCs w:val="21"/>
        </w:rPr>
        <w:t xml:space="preserve">  G.存在共同直接或间接投资设立子公司、联营企业和合营企业情况</w:t>
      </w:r>
    </w:p>
    <w:p w14:paraId="15024A46">
      <w:pPr>
        <w:pStyle w:val="55"/>
        <w:widowControl w:val="0"/>
        <w:snapToGrid w:val="0"/>
        <w:spacing w:line="500" w:lineRule="exact"/>
        <w:jc w:val="both"/>
        <w:rPr>
          <w:rFonts w:hAnsi="宋体" w:cs="宋体"/>
          <w:szCs w:val="21"/>
        </w:rPr>
      </w:pPr>
      <w:r>
        <w:rPr>
          <w:rFonts w:hint="eastAsia" w:hAnsi="宋体" w:cs="宋体"/>
          <w:kern w:val="0"/>
          <w:szCs w:val="21"/>
        </w:rPr>
        <w:t xml:space="preserve">  H.存在分级代理或代销关系、同一生产制造商关系、</w:t>
      </w:r>
      <w:r>
        <w:rPr>
          <w:rFonts w:hint="eastAsia" w:hAnsi="宋体" w:cs="宋体"/>
          <w:szCs w:val="21"/>
        </w:rPr>
        <w:t>管理关系、重要业务（占主营业务收入50%以上）或重要财务往来关系（如融资）等其他实质性控制关系</w:t>
      </w:r>
    </w:p>
    <w:p w14:paraId="260FAE3B">
      <w:pPr>
        <w:pStyle w:val="55"/>
        <w:widowControl w:val="0"/>
        <w:snapToGrid w:val="0"/>
        <w:spacing w:line="500" w:lineRule="exact"/>
        <w:jc w:val="both"/>
        <w:rPr>
          <w:rFonts w:hAnsi="宋体" w:cs="宋体"/>
          <w:spacing w:val="6"/>
          <w:szCs w:val="21"/>
        </w:rPr>
      </w:pPr>
      <w:r>
        <w:rPr>
          <w:rFonts w:hint="eastAsia" w:hAnsi="宋体" w:cs="宋体"/>
          <w:szCs w:val="21"/>
        </w:rPr>
        <w:t xml:space="preserve">  I</w:t>
      </w:r>
      <w:r>
        <w:rPr>
          <w:rFonts w:hint="eastAsia" w:hAnsi="宋体" w:cs="宋体"/>
          <w:kern w:val="0"/>
          <w:szCs w:val="21"/>
        </w:rPr>
        <w:t>.</w:t>
      </w:r>
      <w:r>
        <w:rPr>
          <w:rFonts w:hint="eastAsia" w:hAnsi="宋体" w:cs="宋体"/>
          <w:szCs w:val="21"/>
        </w:rPr>
        <w:t>其他利害关系情况</w:t>
      </w:r>
      <w:r>
        <w:rPr>
          <w:rFonts w:hint="eastAsia" w:hAnsi="宋体" w:cs="宋体"/>
          <w:kern w:val="0"/>
          <w:szCs w:val="21"/>
        </w:rPr>
        <w:t>。</w:t>
      </w:r>
    </w:p>
    <w:p w14:paraId="3BB0CA4B">
      <w:pPr>
        <w:pStyle w:val="56"/>
        <w:widowControl/>
        <w:numPr>
          <w:ilvl w:val="0"/>
          <w:numId w:val="22"/>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6C79860B">
      <w:pPr>
        <w:pStyle w:val="56"/>
        <w:widowControl/>
        <w:numPr>
          <w:ilvl w:val="0"/>
          <w:numId w:val="22"/>
        </w:numPr>
        <w:snapToGrid w:val="0"/>
        <w:spacing w:line="500" w:lineRule="exact"/>
        <w:ind w:firstLine="396" w:firstLineChars="189"/>
        <w:rPr>
          <w:rFonts w:ascii="宋体" w:hAnsi="宋体" w:cs="宋体"/>
          <w:kern w:val="0"/>
          <w:szCs w:val="21"/>
        </w:rPr>
      </w:pPr>
      <w:r>
        <w:rPr>
          <w:rFonts w:hint="eastAsia" w:ascii="宋体" w:hAnsi="宋体" w:cs="宋体"/>
          <w:kern w:val="0"/>
          <w:szCs w:val="21"/>
          <w:u w:val="single"/>
        </w:rPr>
        <w:t xml:space="preserve">我发现                    </w:t>
      </w:r>
      <w:r>
        <w:rPr>
          <w:rFonts w:hint="eastAsia" w:ascii="宋体" w:hAnsi="宋体" w:cs="宋体"/>
          <w:kern w:val="0"/>
          <w:szCs w:val="21"/>
        </w:rPr>
        <w:t>供应商之间存在或可能存在上述第二条第项利害关系。</w:t>
      </w:r>
    </w:p>
    <w:p w14:paraId="19068227">
      <w:pPr>
        <w:pStyle w:val="55"/>
        <w:widowControl w:val="0"/>
        <w:snapToGrid w:val="0"/>
        <w:spacing w:line="500" w:lineRule="exact"/>
        <w:jc w:val="both"/>
        <w:rPr>
          <w:rFonts w:hAnsi="宋体" w:cs="宋体"/>
          <w:szCs w:val="21"/>
        </w:rPr>
      </w:pPr>
    </w:p>
    <w:p w14:paraId="1993721B">
      <w:pPr>
        <w:pStyle w:val="55"/>
        <w:widowControl w:val="0"/>
        <w:snapToGrid w:val="0"/>
        <w:spacing w:line="500" w:lineRule="exact"/>
        <w:jc w:val="right"/>
        <w:rPr>
          <w:rFonts w:hAnsi="宋体" w:cs="宋体"/>
          <w:szCs w:val="21"/>
        </w:rPr>
      </w:pPr>
      <w:r>
        <w:rPr>
          <w:rFonts w:hint="eastAsia" w:hAnsi="宋体" w:cs="宋体"/>
          <w:szCs w:val="21"/>
        </w:rPr>
        <w:t>供应商法定代表人签名：</w:t>
      </w:r>
    </w:p>
    <w:p w14:paraId="19F3BFB6">
      <w:pPr>
        <w:jc w:val="right"/>
        <w:rPr>
          <w:rFonts w:ascii="宋体" w:hAnsi="宋体" w:cs="宋体"/>
          <w:szCs w:val="21"/>
        </w:rPr>
      </w:pPr>
    </w:p>
    <w:p w14:paraId="1041AC31">
      <w:pPr>
        <w:jc w:val="right"/>
        <w:rPr>
          <w:rFonts w:ascii="宋体" w:hAnsi="宋体" w:cs="宋体"/>
          <w:b/>
          <w:szCs w:val="21"/>
        </w:rPr>
      </w:pPr>
      <w:r>
        <w:rPr>
          <w:rFonts w:hint="eastAsia" w:ascii="宋体" w:hAnsi="宋体" w:cs="宋体"/>
          <w:szCs w:val="21"/>
        </w:rPr>
        <w:t xml:space="preserve">  年   月   日</w:t>
      </w:r>
    </w:p>
    <w:p w14:paraId="5877E8F2">
      <w:pPr>
        <w:pStyle w:val="5"/>
        <w:ind w:firstLine="0"/>
        <w:jc w:val="left"/>
        <w:rPr>
          <w:rFonts w:ascii="宋体" w:hAnsi="宋体" w:cs="宋体"/>
          <w:b/>
          <w:sz w:val="24"/>
          <w:szCs w:val="24"/>
          <w:lang w:val="zh-CN"/>
        </w:rPr>
      </w:pPr>
    </w:p>
    <w:p w14:paraId="39569EF1">
      <w:pPr>
        <w:pStyle w:val="5"/>
        <w:ind w:firstLine="0"/>
        <w:jc w:val="left"/>
        <w:rPr>
          <w:rFonts w:ascii="宋体" w:hAnsi="宋体" w:cs="宋体"/>
          <w:b/>
          <w:sz w:val="24"/>
          <w:szCs w:val="24"/>
          <w:lang w:val="zh-CN"/>
        </w:rPr>
      </w:pPr>
    </w:p>
    <w:p w14:paraId="5BE56055">
      <w:pPr>
        <w:pStyle w:val="10"/>
        <w:spacing w:line="360" w:lineRule="auto"/>
        <w:rPr>
          <w:rFonts w:ascii="宋体" w:hAnsi="宋体" w:cs="宋体"/>
          <w:b/>
          <w:bCs/>
          <w:sz w:val="18"/>
          <w:szCs w:val="18"/>
        </w:rPr>
      </w:pPr>
      <w:r>
        <w:rPr>
          <w:rFonts w:hint="eastAsia" w:ascii="宋体" w:hAnsi="宋体" w:cs="宋体"/>
          <w:b/>
          <w:bCs/>
          <w:sz w:val="18"/>
          <w:szCs w:val="18"/>
        </w:rPr>
        <w:t>注：1、本声明书非响应文件的组成内容，无须在响应文件中提供。</w:t>
      </w:r>
    </w:p>
    <w:p w14:paraId="1A659844">
      <w:pPr>
        <w:pStyle w:val="10"/>
        <w:numPr>
          <w:ilvl w:val="0"/>
          <w:numId w:val="23"/>
        </w:numPr>
        <w:spacing w:line="360" w:lineRule="auto"/>
        <w:ind w:left="139" w:leftChars="66" w:firstLine="389" w:firstLineChars="215"/>
      </w:pPr>
      <w:r>
        <w:rPr>
          <w:rFonts w:hint="eastAsia" w:ascii="宋体" w:hAnsi="宋体" w:cs="宋体"/>
          <w:b/>
          <w:bCs/>
          <w:sz w:val="18"/>
          <w:szCs w:val="18"/>
        </w:rPr>
        <w:t>各供应商需提前打印本表，待标书件解密结束后，签署完毕后上传至钉钉直播群。</w:t>
      </w:r>
    </w:p>
    <w:p w14:paraId="746938D0">
      <w:pPr>
        <w:pStyle w:val="15"/>
        <w:snapToGrid w:val="0"/>
        <w:spacing w:before="156" w:after="156" w:line="360" w:lineRule="auto"/>
        <w:ind w:left="420" w:leftChars="200"/>
        <w:jc w:val="center"/>
        <w:outlineLvl w:val="1"/>
        <w:rPr>
          <w:rFonts w:hAnsi="宋体"/>
          <w:b/>
          <w:color w:val="000000"/>
        </w:rPr>
      </w:pPr>
      <w:r>
        <w:rPr>
          <w:rFonts w:hint="eastAsia" w:hAnsi="宋体"/>
          <w:b/>
          <w:color w:val="000000"/>
        </w:rPr>
        <w:t>成交供应商公告内容（格式）</w:t>
      </w:r>
    </w:p>
    <w:p w14:paraId="5FC4EAFE">
      <w:pPr>
        <w:pStyle w:val="15"/>
        <w:spacing w:before="156" w:after="156" w:line="360" w:lineRule="auto"/>
        <w:outlineLvl w:val="1"/>
        <w:rPr>
          <w:rFonts w:hAnsi="宋体"/>
          <w:b/>
          <w:color w:val="000000"/>
        </w:rPr>
      </w:pPr>
      <w:r>
        <w:rPr>
          <w:rFonts w:hint="eastAsia" w:hAnsi="宋体"/>
          <w:b/>
          <w:color w:val="000000"/>
        </w:rPr>
        <w:t>项目名称：                                                   标项：</w:t>
      </w:r>
    </w:p>
    <w:tbl>
      <w:tblPr>
        <w:tblStyle w:val="27"/>
        <w:tblW w:w="0" w:type="auto"/>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2730"/>
        <w:gridCol w:w="525"/>
        <w:gridCol w:w="1365"/>
        <w:gridCol w:w="420"/>
        <w:gridCol w:w="840"/>
        <w:gridCol w:w="1681"/>
      </w:tblGrid>
      <w:tr w14:paraId="20CE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415" w:type="dxa"/>
            <w:vAlign w:val="center"/>
          </w:tcPr>
          <w:p w14:paraId="1E46AD01">
            <w:pPr>
              <w:pStyle w:val="15"/>
              <w:spacing w:before="156" w:after="156" w:line="360" w:lineRule="auto"/>
              <w:jc w:val="center"/>
              <w:outlineLvl w:val="1"/>
              <w:rPr>
                <w:lang w:val="zh-CN"/>
              </w:rPr>
            </w:pPr>
            <w:r>
              <w:rPr>
                <w:rFonts w:hint="eastAsia"/>
                <w:lang w:val="zh-CN"/>
              </w:rPr>
              <w:t>成交供应商名称</w:t>
            </w:r>
          </w:p>
        </w:tc>
        <w:tc>
          <w:tcPr>
            <w:tcW w:w="2730" w:type="dxa"/>
            <w:vAlign w:val="center"/>
          </w:tcPr>
          <w:p w14:paraId="2668B545">
            <w:pPr>
              <w:pStyle w:val="15"/>
              <w:spacing w:before="156" w:after="156" w:line="360" w:lineRule="auto"/>
              <w:jc w:val="center"/>
              <w:outlineLvl w:val="1"/>
              <w:rPr>
                <w:lang w:val="zh-CN"/>
              </w:rPr>
            </w:pPr>
          </w:p>
        </w:tc>
        <w:tc>
          <w:tcPr>
            <w:tcW w:w="2310" w:type="dxa"/>
            <w:gridSpan w:val="3"/>
            <w:vAlign w:val="center"/>
          </w:tcPr>
          <w:p w14:paraId="33FAD267">
            <w:pPr>
              <w:pStyle w:val="15"/>
              <w:spacing w:before="156" w:after="156" w:line="360" w:lineRule="auto"/>
              <w:jc w:val="center"/>
              <w:outlineLvl w:val="1"/>
              <w:rPr>
                <w:lang w:val="zh-CN"/>
              </w:rPr>
            </w:pPr>
            <w:r>
              <w:rPr>
                <w:rFonts w:hint="eastAsia"/>
                <w:lang w:val="zh-CN"/>
              </w:rPr>
              <w:t>法定代表人（或营业执照中的负责人）</w:t>
            </w:r>
          </w:p>
        </w:tc>
        <w:tc>
          <w:tcPr>
            <w:tcW w:w="2521" w:type="dxa"/>
            <w:gridSpan w:val="2"/>
            <w:vAlign w:val="center"/>
          </w:tcPr>
          <w:p w14:paraId="280FD4F4">
            <w:pPr>
              <w:pStyle w:val="15"/>
              <w:spacing w:before="156" w:after="156" w:line="360" w:lineRule="auto"/>
              <w:jc w:val="center"/>
              <w:outlineLvl w:val="1"/>
              <w:rPr>
                <w:lang w:val="zh-CN"/>
              </w:rPr>
            </w:pPr>
          </w:p>
        </w:tc>
      </w:tr>
      <w:tr w14:paraId="4E9B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415" w:type="dxa"/>
            <w:vAlign w:val="center"/>
          </w:tcPr>
          <w:p w14:paraId="737A343E">
            <w:pPr>
              <w:pStyle w:val="15"/>
              <w:spacing w:before="156" w:after="156" w:line="360" w:lineRule="auto"/>
              <w:jc w:val="center"/>
              <w:outlineLvl w:val="1"/>
              <w:rPr>
                <w:lang w:val="zh-CN"/>
              </w:rPr>
            </w:pPr>
            <w:r>
              <w:rPr>
                <w:rFonts w:hint="eastAsia"/>
                <w:lang w:val="zh-CN"/>
              </w:rPr>
              <w:t>供应商地址</w:t>
            </w:r>
          </w:p>
        </w:tc>
        <w:tc>
          <w:tcPr>
            <w:tcW w:w="7561" w:type="dxa"/>
            <w:gridSpan w:val="6"/>
            <w:vAlign w:val="center"/>
          </w:tcPr>
          <w:p w14:paraId="4FF12952">
            <w:pPr>
              <w:pStyle w:val="15"/>
              <w:spacing w:before="156" w:after="156" w:line="360" w:lineRule="auto"/>
              <w:jc w:val="center"/>
              <w:outlineLvl w:val="1"/>
              <w:rPr>
                <w:lang w:val="zh-CN"/>
              </w:rPr>
            </w:pPr>
          </w:p>
        </w:tc>
      </w:tr>
      <w:tr w14:paraId="1ADF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76" w:type="dxa"/>
            <w:gridSpan w:val="7"/>
            <w:vAlign w:val="center"/>
          </w:tcPr>
          <w:p w14:paraId="4E10973D">
            <w:pPr>
              <w:pStyle w:val="15"/>
              <w:spacing w:before="156" w:after="156" w:line="360" w:lineRule="auto"/>
              <w:jc w:val="center"/>
              <w:outlineLvl w:val="1"/>
              <w:rPr>
                <w:lang w:val="zh-CN"/>
              </w:rPr>
            </w:pPr>
            <w:r>
              <w:rPr>
                <w:rFonts w:hint="eastAsia"/>
                <w:lang w:val="zh-CN"/>
              </w:rPr>
              <w:t>中标标的</w:t>
            </w:r>
          </w:p>
        </w:tc>
      </w:tr>
      <w:tr w14:paraId="3182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15" w:type="dxa"/>
            <w:vAlign w:val="center"/>
          </w:tcPr>
          <w:p w14:paraId="7E248128">
            <w:pPr>
              <w:pStyle w:val="15"/>
              <w:spacing w:before="156" w:after="156" w:line="360" w:lineRule="auto"/>
              <w:jc w:val="center"/>
              <w:outlineLvl w:val="1"/>
              <w:rPr>
                <w:lang w:val="zh-CN"/>
              </w:rPr>
            </w:pPr>
            <w:r>
              <w:rPr>
                <w:rFonts w:hint="eastAsia"/>
                <w:lang w:val="zh-CN"/>
              </w:rPr>
              <w:t>产品名称</w:t>
            </w:r>
          </w:p>
        </w:tc>
        <w:tc>
          <w:tcPr>
            <w:tcW w:w="3255" w:type="dxa"/>
            <w:gridSpan w:val="2"/>
            <w:vAlign w:val="center"/>
          </w:tcPr>
          <w:p w14:paraId="60382E6E">
            <w:pPr>
              <w:pStyle w:val="15"/>
              <w:spacing w:before="156" w:after="156" w:line="360" w:lineRule="auto"/>
              <w:jc w:val="center"/>
              <w:outlineLvl w:val="1"/>
              <w:rPr>
                <w:lang w:val="zh-CN"/>
              </w:rPr>
            </w:pPr>
            <w:r>
              <w:rPr>
                <w:rFonts w:hint="eastAsia"/>
                <w:lang w:val="zh-CN"/>
              </w:rPr>
              <w:t>规格型号</w:t>
            </w:r>
          </w:p>
        </w:tc>
        <w:tc>
          <w:tcPr>
            <w:tcW w:w="1365" w:type="dxa"/>
            <w:vAlign w:val="center"/>
          </w:tcPr>
          <w:p w14:paraId="565BCA36">
            <w:pPr>
              <w:pStyle w:val="15"/>
              <w:spacing w:before="156" w:after="156" w:line="360" w:lineRule="auto"/>
              <w:jc w:val="center"/>
              <w:outlineLvl w:val="1"/>
              <w:rPr>
                <w:lang w:val="zh-CN"/>
              </w:rPr>
            </w:pPr>
            <w:r>
              <w:rPr>
                <w:rFonts w:hint="eastAsia"/>
                <w:lang w:val="zh-CN"/>
              </w:rPr>
              <w:t>数量</w:t>
            </w:r>
          </w:p>
        </w:tc>
        <w:tc>
          <w:tcPr>
            <w:tcW w:w="1260" w:type="dxa"/>
            <w:gridSpan w:val="2"/>
            <w:vAlign w:val="center"/>
          </w:tcPr>
          <w:p w14:paraId="698C6D4A">
            <w:pPr>
              <w:pStyle w:val="15"/>
              <w:spacing w:before="156" w:after="156" w:line="360" w:lineRule="auto"/>
              <w:jc w:val="center"/>
              <w:outlineLvl w:val="1"/>
              <w:rPr>
                <w:lang w:val="zh-CN"/>
              </w:rPr>
            </w:pPr>
            <w:r>
              <w:rPr>
                <w:rFonts w:hint="eastAsia"/>
                <w:lang w:val="zh-CN"/>
              </w:rPr>
              <w:t>单价</w:t>
            </w:r>
          </w:p>
        </w:tc>
        <w:tc>
          <w:tcPr>
            <w:tcW w:w="1681" w:type="dxa"/>
            <w:vAlign w:val="center"/>
          </w:tcPr>
          <w:p w14:paraId="2A6E3CFE">
            <w:pPr>
              <w:pStyle w:val="15"/>
              <w:spacing w:before="156" w:after="156" w:line="360" w:lineRule="auto"/>
              <w:jc w:val="center"/>
              <w:outlineLvl w:val="1"/>
              <w:rPr>
                <w:lang w:val="zh-CN"/>
              </w:rPr>
            </w:pPr>
            <w:r>
              <w:rPr>
                <w:rFonts w:hint="eastAsia"/>
                <w:lang w:val="zh-CN"/>
              </w:rPr>
              <w:t>总价</w:t>
            </w:r>
          </w:p>
        </w:tc>
      </w:tr>
      <w:tr w14:paraId="61B7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415" w:type="dxa"/>
            <w:vAlign w:val="center"/>
          </w:tcPr>
          <w:p w14:paraId="2D9D76F4">
            <w:pPr>
              <w:pStyle w:val="15"/>
              <w:spacing w:before="156" w:after="156" w:line="360" w:lineRule="auto"/>
              <w:jc w:val="center"/>
              <w:outlineLvl w:val="1"/>
              <w:rPr>
                <w:lang w:val="zh-CN"/>
              </w:rPr>
            </w:pPr>
          </w:p>
        </w:tc>
        <w:tc>
          <w:tcPr>
            <w:tcW w:w="3255" w:type="dxa"/>
            <w:gridSpan w:val="2"/>
            <w:vAlign w:val="center"/>
          </w:tcPr>
          <w:p w14:paraId="54F4CFB1">
            <w:pPr>
              <w:pStyle w:val="15"/>
              <w:spacing w:before="156" w:after="156" w:line="360" w:lineRule="auto"/>
              <w:jc w:val="center"/>
              <w:outlineLvl w:val="1"/>
              <w:rPr>
                <w:lang w:val="zh-CN"/>
              </w:rPr>
            </w:pPr>
          </w:p>
        </w:tc>
        <w:tc>
          <w:tcPr>
            <w:tcW w:w="1365" w:type="dxa"/>
            <w:vAlign w:val="center"/>
          </w:tcPr>
          <w:p w14:paraId="12065635">
            <w:pPr>
              <w:pStyle w:val="15"/>
              <w:spacing w:before="156" w:after="156" w:line="360" w:lineRule="auto"/>
              <w:jc w:val="center"/>
              <w:outlineLvl w:val="1"/>
              <w:rPr>
                <w:lang w:val="zh-CN"/>
              </w:rPr>
            </w:pPr>
          </w:p>
        </w:tc>
        <w:tc>
          <w:tcPr>
            <w:tcW w:w="1260" w:type="dxa"/>
            <w:gridSpan w:val="2"/>
            <w:vAlign w:val="center"/>
          </w:tcPr>
          <w:p w14:paraId="49B247FC">
            <w:pPr>
              <w:pStyle w:val="15"/>
              <w:spacing w:before="156" w:after="156" w:line="360" w:lineRule="auto"/>
              <w:jc w:val="center"/>
              <w:outlineLvl w:val="1"/>
              <w:rPr>
                <w:lang w:val="zh-CN"/>
              </w:rPr>
            </w:pPr>
          </w:p>
        </w:tc>
        <w:tc>
          <w:tcPr>
            <w:tcW w:w="1681" w:type="dxa"/>
            <w:vAlign w:val="center"/>
          </w:tcPr>
          <w:p w14:paraId="1FFDD05B">
            <w:pPr>
              <w:pStyle w:val="15"/>
              <w:spacing w:before="156" w:after="156" w:line="360" w:lineRule="auto"/>
              <w:jc w:val="center"/>
              <w:outlineLvl w:val="1"/>
              <w:rPr>
                <w:lang w:val="zh-CN"/>
              </w:rPr>
            </w:pPr>
          </w:p>
        </w:tc>
      </w:tr>
      <w:tr w14:paraId="5058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415" w:type="dxa"/>
            <w:vAlign w:val="center"/>
          </w:tcPr>
          <w:p w14:paraId="06F81B03">
            <w:pPr>
              <w:pStyle w:val="15"/>
              <w:spacing w:before="156" w:after="156" w:line="360" w:lineRule="auto"/>
              <w:jc w:val="center"/>
              <w:outlineLvl w:val="1"/>
              <w:rPr>
                <w:lang w:val="zh-CN"/>
              </w:rPr>
            </w:pPr>
          </w:p>
        </w:tc>
        <w:tc>
          <w:tcPr>
            <w:tcW w:w="3255" w:type="dxa"/>
            <w:gridSpan w:val="2"/>
            <w:vAlign w:val="center"/>
          </w:tcPr>
          <w:p w14:paraId="6F28A07A">
            <w:pPr>
              <w:pStyle w:val="15"/>
              <w:spacing w:before="156" w:after="156" w:line="360" w:lineRule="auto"/>
              <w:jc w:val="center"/>
              <w:outlineLvl w:val="1"/>
              <w:rPr>
                <w:lang w:val="zh-CN"/>
              </w:rPr>
            </w:pPr>
          </w:p>
        </w:tc>
        <w:tc>
          <w:tcPr>
            <w:tcW w:w="1365" w:type="dxa"/>
            <w:vAlign w:val="center"/>
          </w:tcPr>
          <w:p w14:paraId="3C1F01A0">
            <w:pPr>
              <w:pStyle w:val="15"/>
              <w:spacing w:before="156" w:after="156" w:line="360" w:lineRule="auto"/>
              <w:jc w:val="center"/>
              <w:outlineLvl w:val="1"/>
              <w:rPr>
                <w:lang w:val="zh-CN"/>
              </w:rPr>
            </w:pPr>
          </w:p>
        </w:tc>
        <w:tc>
          <w:tcPr>
            <w:tcW w:w="1260" w:type="dxa"/>
            <w:gridSpan w:val="2"/>
            <w:vAlign w:val="center"/>
          </w:tcPr>
          <w:p w14:paraId="64E9602F">
            <w:pPr>
              <w:pStyle w:val="15"/>
              <w:spacing w:before="156" w:after="156" w:line="360" w:lineRule="auto"/>
              <w:jc w:val="center"/>
              <w:outlineLvl w:val="1"/>
              <w:rPr>
                <w:lang w:val="zh-CN"/>
              </w:rPr>
            </w:pPr>
          </w:p>
        </w:tc>
        <w:tc>
          <w:tcPr>
            <w:tcW w:w="1681" w:type="dxa"/>
            <w:vAlign w:val="center"/>
          </w:tcPr>
          <w:p w14:paraId="000BAFF7">
            <w:pPr>
              <w:pStyle w:val="15"/>
              <w:spacing w:before="156" w:after="156" w:line="360" w:lineRule="auto"/>
              <w:jc w:val="center"/>
              <w:outlineLvl w:val="1"/>
              <w:rPr>
                <w:lang w:val="zh-CN"/>
              </w:rPr>
            </w:pPr>
          </w:p>
        </w:tc>
      </w:tr>
      <w:tr w14:paraId="304E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415" w:type="dxa"/>
            <w:vAlign w:val="center"/>
          </w:tcPr>
          <w:p w14:paraId="067A270F">
            <w:pPr>
              <w:pStyle w:val="15"/>
              <w:spacing w:before="156" w:after="156" w:line="360" w:lineRule="auto"/>
              <w:jc w:val="center"/>
              <w:outlineLvl w:val="1"/>
              <w:rPr>
                <w:lang w:val="zh-CN"/>
              </w:rPr>
            </w:pPr>
          </w:p>
        </w:tc>
        <w:tc>
          <w:tcPr>
            <w:tcW w:w="3255" w:type="dxa"/>
            <w:gridSpan w:val="2"/>
            <w:vAlign w:val="center"/>
          </w:tcPr>
          <w:p w14:paraId="32BF03FE">
            <w:pPr>
              <w:pStyle w:val="15"/>
              <w:spacing w:before="156" w:after="156" w:line="360" w:lineRule="auto"/>
              <w:jc w:val="center"/>
              <w:outlineLvl w:val="1"/>
              <w:rPr>
                <w:lang w:val="zh-CN"/>
              </w:rPr>
            </w:pPr>
          </w:p>
        </w:tc>
        <w:tc>
          <w:tcPr>
            <w:tcW w:w="1365" w:type="dxa"/>
            <w:vAlign w:val="center"/>
          </w:tcPr>
          <w:p w14:paraId="4E66EF27">
            <w:pPr>
              <w:pStyle w:val="15"/>
              <w:spacing w:before="156" w:after="156" w:line="360" w:lineRule="auto"/>
              <w:jc w:val="center"/>
              <w:outlineLvl w:val="1"/>
              <w:rPr>
                <w:lang w:val="zh-CN"/>
              </w:rPr>
            </w:pPr>
          </w:p>
        </w:tc>
        <w:tc>
          <w:tcPr>
            <w:tcW w:w="1260" w:type="dxa"/>
            <w:gridSpan w:val="2"/>
            <w:vAlign w:val="center"/>
          </w:tcPr>
          <w:p w14:paraId="167E327B">
            <w:pPr>
              <w:pStyle w:val="15"/>
              <w:spacing w:before="156" w:after="156" w:line="360" w:lineRule="auto"/>
              <w:jc w:val="center"/>
              <w:outlineLvl w:val="1"/>
              <w:rPr>
                <w:lang w:val="zh-CN"/>
              </w:rPr>
            </w:pPr>
          </w:p>
        </w:tc>
        <w:tc>
          <w:tcPr>
            <w:tcW w:w="1681" w:type="dxa"/>
            <w:vAlign w:val="center"/>
          </w:tcPr>
          <w:p w14:paraId="2B692615">
            <w:pPr>
              <w:pStyle w:val="15"/>
              <w:spacing w:before="156" w:after="156" w:line="360" w:lineRule="auto"/>
              <w:jc w:val="center"/>
              <w:outlineLvl w:val="1"/>
              <w:rPr>
                <w:lang w:val="zh-CN"/>
              </w:rPr>
            </w:pPr>
          </w:p>
        </w:tc>
      </w:tr>
      <w:tr w14:paraId="1198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295" w:type="dxa"/>
            <w:gridSpan w:val="6"/>
            <w:vAlign w:val="center"/>
          </w:tcPr>
          <w:p w14:paraId="7EE40EBC">
            <w:pPr>
              <w:pStyle w:val="15"/>
              <w:spacing w:before="156" w:after="156" w:line="360" w:lineRule="auto"/>
              <w:jc w:val="center"/>
              <w:outlineLvl w:val="1"/>
              <w:rPr>
                <w:lang w:val="zh-CN"/>
              </w:rPr>
            </w:pPr>
            <w:r>
              <w:rPr>
                <w:rFonts w:hint="eastAsia"/>
                <w:lang w:val="zh-CN"/>
              </w:rPr>
              <w:t>中标金额合计</w:t>
            </w:r>
          </w:p>
        </w:tc>
        <w:tc>
          <w:tcPr>
            <w:tcW w:w="1681" w:type="dxa"/>
            <w:vAlign w:val="center"/>
          </w:tcPr>
          <w:p w14:paraId="2B2DAB1C">
            <w:pPr>
              <w:pStyle w:val="15"/>
              <w:spacing w:before="156" w:after="156" w:line="360" w:lineRule="auto"/>
              <w:jc w:val="center"/>
              <w:outlineLvl w:val="1"/>
              <w:rPr>
                <w:lang w:val="zh-CN"/>
              </w:rPr>
            </w:pPr>
          </w:p>
        </w:tc>
      </w:tr>
      <w:tr w14:paraId="47CF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9976" w:type="dxa"/>
            <w:gridSpan w:val="7"/>
          </w:tcPr>
          <w:p w14:paraId="6D76EEFD">
            <w:pPr>
              <w:pStyle w:val="15"/>
              <w:spacing w:before="156" w:after="156" w:line="360" w:lineRule="auto"/>
              <w:outlineLvl w:val="1"/>
              <w:rPr>
                <w:lang w:val="zh-CN"/>
              </w:rPr>
            </w:pPr>
            <w:r>
              <w:rPr>
                <w:rFonts w:hint="eastAsia"/>
                <w:lang w:val="zh-CN"/>
              </w:rPr>
              <w:t>服务要求：</w:t>
            </w:r>
          </w:p>
        </w:tc>
      </w:tr>
    </w:tbl>
    <w:p w14:paraId="2AD6AB60">
      <w:pPr>
        <w:pStyle w:val="15"/>
        <w:snapToGrid w:val="0"/>
        <w:outlineLvl w:val="1"/>
        <w:rPr>
          <w:lang w:val="zh-CN"/>
        </w:rPr>
      </w:pPr>
      <w:r>
        <w:rPr>
          <w:rFonts w:hint="eastAsia"/>
          <w:lang w:val="zh-CN"/>
        </w:rPr>
        <w:t>注：1、供应商应根据其投标情况填写该表，并保证其与</w:t>
      </w:r>
      <w:r>
        <w:rPr>
          <w:rFonts w:hint="eastAsia"/>
        </w:rPr>
        <w:t>谈判</w:t>
      </w:r>
      <w:r>
        <w:rPr>
          <w:rFonts w:hint="eastAsia"/>
          <w:lang w:val="zh-CN"/>
        </w:rPr>
        <w:t>响应文件内容的一致性、正确性和真实性；</w:t>
      </w:r>
    </w:p>
    <w:p w14:paraId="6A0550D6">
      <w:pPr>
        <w:pStyle w:val="15"/>
        <w:snapToGrid w:val="0"/>
        <w:outlineLvl w:val="1"/>
        <w:rPr>
          <w:lang w:val="zh-CN"/>
        </w:rPr>
      </w:pPr>
      <w:r>
        <w:rPr>
          <w:rFonts w:hint="eastAsia"/>
          <w:lang w:val="zh-CN"/>
        </w:rPr>
        <w:t>2、填写该表不代表供应商已具有成交供应商资格。本表只作为中标结果公告内容的一部分，进行公告使用；</w:t>
      </w:r>
    </w:p>
    <w:p w14:paraId="6BB62FA1">
      <w:pPr>
        <w:pStyle w:val="15"/>
        <w:snapToGrid w:val="0"/>
        <w:outlineLvl w:val="1"/>
        <w:rPr>
          <w:lang w:val="zh-CN"/>
        </w:rPr>
      </w:pPr>
      <w:r>
        <w:rPr>
          <w:rFonts w:hint="eastAsia"/>
          <w:lang w:val="zh-CN"/>
        </w:rPr>
        <w:t>3、本表内容涉及较多，供应商可以适当增减表格行数，以保证表格内容的完整；</w:t>
      </w:r>
    </w:p>
    <w:p w14:paraId="73ECB8D1">
      <w:pPr>
        <w:pStyle w:val="15"/>
        <w:snapToGrid w:val="0"/>
        <w:outlineLvl w:val="1"/>
        <w:rPr>
          <w:highlight w:val="yellow"/>
          <w:lang w:val="zh-CN"/>
        </w:rPr>
      </w:pPr>
      <w:r>
        <w:rPr>
          <w:rFonts w:hint="eastAsia"/>
          <w:lang w:val="zh-CN"/>
        </w:rPr>
        <w:t>4、评审结果排名第一的中标候选人在评审结束后1个工作日内将采购文件附件《成交供应商公告内</w:t>
      </w:r>
      <w:r>
        <w:rPr>
          <w:rFonts w:hint="eastAsia"/>
          <w:highlight w:val="none"/>
          <w:lang w:val="zh-CN"/>
        </w:rPr>
        <w:t>容》填写完整后，以电子文档形式提交给采购代理机构项目负责人（或者发送至电子邮箱：</w:t>
      </w:r>
      <w:r>
        <w:rPr>
          <w:rFonts w:hint="eastAsia"/>
          <w:highlight w:val="none"/>
          <w:lang w:eastAsia="zh-CN"/>
        </w:rPr>
        <w:t>704277393</w:t>
      </w:r>
      <w:r>
        <w:rPr>
          <w:rFonts w:hint="eastAsia"/>
          <w:highlight w:val="none"/>
          <w:lang w:val="zh-CN"/>
        </w:rPr>
        <w:t>@qq.com）。未按时提供所造成的后果由供应商自行承担。</w:t>
      </w:r>
    </w:p>
    <w:p w14:paraId="2B09DDB6">
      <w:pPr>
        <w:snapToGrid w:val="0"/>
        <w:rPr>
          <w:rFonts w:ascii="宋体" w:hAnsi="宋体"/>
          <w:szCs w:val="21"/>
        </w:rPr>
      </w:pPr>
      <w:r>
        <w:rPr>
          <w:rFonts w:hint="eastAsia"/>
          <w:kern w:val="0"/>
          <w:szCs w:val="21"/>
          <w:lang w:val="zh-CN"/>
        </w:rPr>
        <w:t>5、中标结果公告内容如涉及供应商的商业秘密等法律法规规定可以不予以公告的情形，供应商应另附书面说明，如未事前书面说明造成的后果由供应商自行承担。</w:t>
      </w:r>
    </w:p>
    <w:p w14:paraId="663E85AC">
      <w:pPr>
        <w:spacing w:line="360" w:lineRule="auto"/>
        <w:rPr>
          <w:color w:val="000000" w:themeColor="text1"/>
          <w14:textFill>
            <w14:solidFill>
              <w14:schemeClr w14:val="tx1"/>
            </w14:solidFill>
          </w14:textFill>
        </w:rPr>
      </w:pPr>
    </w:p>
    <w:p w14:paraId="0CB2C658">
      <w:pPr>
        <w:pStyle w:val="31"/>
        <w:rPr>
          <w:color w:val="000000" w:themeColor="text1"/>
          <w14:textFill>
            <w14:solidFill>
              <w14:schemeClr w14:val="tx1"/>
            </w14:solidFill>
          </w14:textFill>
        </w:rPr>
      </w:pPr>
    </w:p>
    <w:p w14:paraId="28537B1C">
      <w:pPr>
        <w:pStyle w:val="31"/>
        <w:rPr>
          <w:color w:val="000000" w:themeColor="text1"/>
          <w14:textFill>
            <w14:solidFill>
              <w14:schemeClr w14:val="tx1"/>
            </w14:solidFill>
          </w14:textFill>
        </w:rPr>
      </w:pPr>
    </w:p>
    <w:p w14:paraId="275C71EE">
      <w:pPr>
        <w:pStyle w:val="31"/>
        <w:rPr>
          <w:color w:val="000000" w:themeColor="text1"/>
          <w14:textFill>
            <w14:solidFill>
              <w14:schemeClr w14:val="tx1"/>
            </w14:solidFill>
          </w14:textFill>
        </w:rPr>
      </w:pPr>
    </w:p>
    <w:p w14:paraId="42ED5E24">
      <w:pPr>
        <w:pStyle w:val="31"/>
        <w:rPr>
          <w:color w:val="000000" w:themeColor="text1"/>
          <w14:textFill>
            <w14:solidFill>
              <w14:schemeClr w14:val="tx1"/>
            </w14:solidFill>
          </w14:textFill>
        </w:rPr>
      </w:pPr>
    </w:p>
    <w:p w14:paraId="7EAF6785">
      <w:pPr>
        <w:pStyle w:val="50"/>
        <w:rPr>
          <w:rFonts w:hint="eastAsia" w:ascii="宋体" w:hAnsi="宋体" w:eastAsia="宋体" w:cs="宋体"/>
          <w:b/>
          <w:color w:val="auto"/>
          <w:sz w:val="24"/>
          <w:highlight w:val="none"/>
          <w:shd w:val="clear" w:color="auto" w:fill="auto"/>
          <w:lang w:eastAsia="zh-CN"/>
        </w:rPr>
      </w:pPr>
      <w:r>
        <w:rPr>
          <w:rFonts w:hint="eastAsia" w:ascii="宋体" w:hAnsi="宋体" w:eastAsia="宋体" w:cs="宋体"/>
          <w:b/>
          <w:color w:val="auto"/>
          <w:sz w:val="24"/>
          <w:highlight w:val="none"/>
          <w:shd w:val="clear" w:color="auto" w:fill="auto"/>
        </w:rPr>
        <w:t>项目名称：</w:t>
      </w:r>
      <w:r>
        <w:rPr>
          <w:rFonts w:hint="eastAsia" w:ascii="宋体" w:hAnsi="宋体" w:eastAsia="宋体" w:cs="宋体"/>
          <w:b/>
          <w:color w:val="auto"/>
          <w:sz w:val="24"/>
          <w:highlight w:val="none"/>
          <w:shd w:val="clear" w:color="auto" w:fill="auto"/>
          <w:lang w:eastAsia="zh-CN"/>
        </w:rPr>
        <w:t xml:space="preserve"> </w:t>
      </w:r>
      <w:r>
        <w:rPr>
          <w:rFonts w:hint="eastAsia" w:ascii="宋体" w:hAnsi="宋体" w:cs="宋体"/>
          <w:b/>
          <w:color w:val="auto"/>
          <w:sz w:val="24"/>
          <w:highlight w:val="none"/>
          <w:shd w:val="clear" w:color="auto" w:fill="auto"/>
          <w:lang w:eastAsia="zh-CN"/>
        </w:rPr>
        <w:t>神仙居仙侠演艺餐厅厨房设备采购</w:t>
      </w:r>
      <w:r>
        <w:rPr>
          <w:rFonts w:hint="eastAsia" w:ascii="宋体" w:hAnsi="宋体" w:eastAsia="宋体" w:cs="宋体"/>
          <w:b/>
          <w:color w:val="auto"/>
          <w:sz w:val="24"/>
          <w:highlight w:val="none"/>
          <w:shd w:val="clear" w:color="auto" w:fill="auto"/>
          <w:lang w:eastAsia="zh-CN"/>
        </w:rPr>
        <w:t>（非政府采购类）钉钉群</w:t>
      </w:r>
    </w:p>
    <w:p w14:paraId="49A5AF3D">
      <w:pPr>
        <w:pStyle w:val="10"/>
        <w:rPr>
          <w:rFonts w:hint="eastAsia"/>
          <w:color w:val="auto"/>
          <w:highlight w:val="none"/>
          <w:shd w:val="clear" w:color="auto" w:fill="auto"/>
        </w:rPr>
      </w:pPr>
    </w:p>
    <w:p w14:paraId="4E836BA9">
      <w:pPr>
        <w:pStyle w:val="10"/>
        <w:rPr>
          <w:rFonts w:hint="eastAsia"/>
          <w:color w:val="auto"/>
          <w:highlight w:val="none"/>
          <w:shd w:val="clear" w:color="auto" w:fill="auto"/>
          <w:lang w:eastAsia="zh-CN"/>
        </w:rPr>
      </w:pPr>
      <w:r>
        <w:rPr>
          <w:rFonts w:hint="eastAsia"/>
          <w:color w:val="auto"/>
          <w:highlight w:val="none"/>
          <w:shd w:val="clear" w:color="auto" w:fill="auto"/>
          <w:lang w:eastAsia="zh-CN"/>
        </w:rPr>
        <w:t>附件：</w:t>
      </w:r>
    </w:p>
    <w:p w14:paraId="15C86E78">
      <w:pPr>
        <w:rPr>
          <w:rFonts w:hint="eastAsia" w:eastAsia="宋体"/>
          <w:color w:val="000000" w:themeColor="text1"/>
          <w:sz w:val="30"/>
          <w:szCs w:val="30"/>
          <w:lang w:eastAsia="zh-CN"/>
          <w14:textFill>
            <w14:solidFill>
              <w14:schemeClr w14:val="tx1"/>
            </w14:solidFill>
          </w14:textFill>
        </w:rPr>
      </w:pPr>
      <w:r>
        <w:rPr>
          <w:rFonts w:hint="eastAsia"/>
          <w:color w:val="auto"/>
          <w:sz w:val="30"/>
          <w:szCs w:val="30"/>
          <w:highlight w:val="none"/>
          <w:shd w:val="clear" w:color="auto" w:fill="auto"/>
          <w:lang w:val="en-US" w:eastAsia="zh-CN"/>
        </w:rPr>
        <w:t>1.群二维码:</w:t>
      </w:r>
    </w:p>
    <w:p w14:paraId="6C8B304E">
      <w:pPr>
        <w:numPr>
          <w:ilvl w:val="0"/>
          <w:numId w:val="0"/>
        </w:numPr>
        <w:ind w:firstLine="0" w:firstLineChars="0"/>
        <w:rPr>
          <w:rFonts w:hint="default"/>
          <w:color w:val="auto"/>
          <w:sz w:val="30"/>
          <w:szCs w:val="30"/>
          <w:highlight w:val="none"/>
          <w:shd w:val="clear" w:color="auto" w:fill="auto"/>
          <w:lang w:val="en-US" w:eastAsia="zh-CN"/>
        </w:rPr>
      </w:pPr>
      <w:r>
        <w:rPr>
          <w:rFonts w:hint="eastAsia"/>
          <w:color w:val="auto"/>
          <w:sz w:val="30"/>
          <w:szCs w:val="30"/>
          <w:highlight w:val="none"/>
          <w:shd w:val="clear" w:color="auto" w:fill="auto"/>
          <w:lang w:val="en-US" w:eastAsia="zh-CN"/>
        </w:rPr>
        <w:t>2.</w:t>
      </w:r>
      <w:r>
        <w:rPr>
          <w:rFonts w:hint="eastAsia"/>
          <w:color w:val="auto"/>
          <w:sz w:val="30"/>
          <w:szCs w:val="30"/>
          <w:highlight w:val="none"/>
          <w:shd w:val="clear" w:color="auto" w:fill="auto"/>
          <w:lang w:eastAsia="zh-CN"/>
        </w:rPr>
        <w:t>钉钉群号：“神仙居仙侠演艺餐厅厨房设备采购（非政府采购类）”群的钉钉群号: 111695000862</w:t>
      </w:r>
      <w:r>
        <w:rPr>
          <w:rFonts w:hint="eastAsia"/>
          <w:color w:val="auto"/>
          <w:sz w:val="30"/>
          <w:szCs w:val="30"/>
          <w:highlight w:val="none"/>
          <w:shd w:val="clear" w:color="auto" w:fill="auto"/>
          <w:lang w:val="en-US" w:eastAsia="zh-CN"/>
        </w:rPr>
        <w:t xml:space="preserve"> </w:t>
      </w:r>
    </w:p>
    <w:p w14:paraId="43749830">
      <w:pPr>
        <w:pStyle w:val="12"/>
        <w:ind w:left="0" w:leftChars="0" w:firstLine="0" w:firstLineChars="0"/>
        <w:rPr>
          <w:rFonts w:hint="eastAsia" w:ascii="宋体" w:hAnsi="宋体" w:cs="Arial"/>
          <w:b/>
          <w:color w:val="auto"/>
          <w:kern w:val="0"/>
          <w:sz w:val="28"/>
          <w:szCs w:val="28"/>
          <w:highlight w:val="none"/>
          <w:lang w:eastAsia="zh-CN"/>
        </w:rPr>
      </w:pPr>
      <w:r>
        <w:rPr>
          <w:rFonts w:hint="eastAsia" w:ascii="宋体" w:hAnsi="宋体" w:cs="Arial"/>
          <w:b/>
          <w:color w:val="auto"/>
          <w:kern w:val="0"/>
          <w:sz w:val="28"/>
          <w:szCs w:val="28"/>
          <w:highlight w:val="none"/>
          <w:lang w:eastAsia="zh-CN"/>
        </w:rPr>
        <w:drawing>
          <wp:inline distT="0" distB="0" distL="114300" distR="114300">
            <wp:extent cx="3333115" cy="4765040"/>
            <wp:effectExtent l="0" t="0" r="635" b="16510"/>
            <wp:docPr id="3" name="图片 3" descr="28b4c30883782b4ab5dfe8cedd589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8b4c30883782b4ab5dfe8cedd589f9"/>
                    <pic:cNvPicPr>
                      <a:picLocks noChangeAspect="1"/>
                    </pic:cNvPicPr>
                  </pic:nvPicPr>
                  <pic:blipFill>
                    <a:blip r:embed="rId52"/>
                    <a:stretch>
                      <a:fillRect/>
                    </a:stretch>
                  </pic:blipFill>
                  <pic:spPr>
                    <a:xfrm>
                      <a:off x="0" y="0"/>
                      <a:ext cx="3333115" cy="4765040"/>
                    </a:xfrm>
                    <a:prstGeom prst="rect">
                      <a:avLst/>
                    </a:prstGeom>
                  </pic:spPr>
                </pic:pic>
              </a:graphicData>
            </a:graphic>
          </wp:inline>
        </w:drawing>
      </w:r>
    </w:p>
    <w:p w14:paraId="4A1D1487">
      <w:pPr>
        <w:pStyle w:val="12"/>
        <w:ind w:left="0" w:leftChars="0" w:firstLine="0" w:firstLineChars="0"/>
        <w:rPr>
          <w:rFonts w:hint="eastAsia" w:ascii="宋体" w:hAnsi="宋体" w:cs="Arial"/>
          <w:b/>
          <w:color w:val="auto"/>
          <w:kern w:val="0"/>
          <w:sz w:val="28"/>
          <w:szCs w:val="28"/>
          <w:highlight w:val="none"/>
          <w:lang w:eastAsia="zh-CN"/>
        </w:rPr>
      </w:pPr>
    </w:p>
    <w:p w14:paraId="621F1864">
      <w:pPr>
        <w:pStyle w:val="12"/>
        <w:ind w:left="0" w:leftChars="0" w:firstLine="0" w:firstLineChars="0"/>
        <w:rPr>
          <w:rFonts w:hint="default" w:ascii="宋体" w:hAnsi="宋体" w:eastAsia="宋体" w:cs="Arial"/>
          <w:b/>
          <w:color w:val="auto"/>
          <w:kern w:val="0"/>
          <w:sz w:val="28"/>
          <w:szCs w:val="28"/>
          <w:highlight w:val="none"/>
          <w:lang w:val="en-US" w:eastAsia="zh-CN"/>
        </w:rPr>
      </w:pPr>
      <w:r>
        <w:rPr>
          <w:rFonts w:hint="eastAsia" w:ascii="宋体" w:hAnsi="宋体" w:cs="Arial"/>
          <w:b/>
          <w:color w:val="auto"/>
          <w:kern w:val="0"/>
          <w:sz w:val="28"/>
          <w:szCs w:val="28"/>
          <w:highlight w:val="none"/>
          <w:lang w:eastAsia="zh-CN"/>
        </w:rPr>
        <w:t>注：请各位投标人于开标</w:t>
      </w:r>
      <w:r>
        <w:rPr>
          <w:rFonts w:hint="eastAsia" w:ascii="宋体" w:hAnsi="宋体" w:cs="Arial"/>
          <w:b/>
          <w:color w:val="auto"/>
          <w:kern w:val="0"/>
          <w:sz w:val="28"/>
          <w:szCs w:val="28"/>
          <w:highlight w:val="yellow"/>
          <w:lang w:eastAsia="zh-CN"/>
        </w:rPr>
        <w:t>当天</w:t>
      </w:r>
      <w:r>
        <w:rPr>
          <w:rFonts w:hint="eastAsia" w:ascii="宋体" w:hAnsi="宋体" w:cs="Arial"/>
          <w:b/>
          <w:color w:val="auto"/>
          <w:kern w:val="0"/>
          <w:sz w:val="28"/>
          <w:szCs w:val="28"/>
          <w:highlight w:val="none"/>
          <w:lang w:eastAsia="zh-CN"/>
        </w:rPr>
        <w:t>申请加入钉钉群，进群后把自己的备注改成单位简称</w:t>
      </w:r>
      <w:r>
        <w:rPr>
          <w:rFonts w:hint="eastAsia" w:ascii="宋体" w:hAnsi="宋体" w:cs="Arial"/>
          <w:b/>
          <w:color w:val="auto"/>
          <w:kern w:val="0"/>
          <w:sz w:val="28"/>
          <w:szCs w:val="28"/>
          <w:highlight w:val="none"/>
          <w:lang w:val="en-US" w:eastAsia="zh-CN"/>
        </w:rPr>
        <w:t>+姓名，以便识别。</w:t>
      </w:r>
    </w:p>
    <w:p w14:paraId="7D620593">
      <w:pPr>
        <w:pStyle w:val="31"/>
        <w:rPr>
          <w:rFonts w:hint="eastAsia" w:eastAsia="宋体"/>
          <w:color w:val="000000" w:themeColor="text1"/>
          <w:lang w:eastAsia="zh-CN"/>
          <w14:textFill>
            <w14:solidFill>
              <w14:schemeClr w14:val="tx1"/>
            </w14:solidFill>
          </w14:textFill>
        </w:rPr>
      </w:pPr>
    </w:p>
    <w:sectPr>
      <w:headerReference r:id="rId4" w:type="default"/>
      <w:footerReference r:id="rId5"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813E5">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1A42634"/>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LfMHLvZAQAAtAMAAA4AAAAAAAAA&#10;AQAgAAAAIgEAAGRycy9lMm9Eb2MueG1sUEsFBgAAAAAGAAYAWQEAAG0FAAAAAA==&#10;">
              <v:fill on="f" focussize="0,0"/>
              <v:stroke on="f" weight="1.25pt"/>
              <v:imagedata o:title=""/>
              <o:lock v:ext="edit" aspectratio="f"/>
              <v:textbox inset="0mm,0mm,0mm,0mm" style="mso-fit-shape-to-text:t;">
                <w:txbxContent>
                  <w:p w14:paraId="71A42634"/>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2A624">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BE4B11">
                          <w:pPr>
                            <w:pStyle w:val="1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4BE4B11">
                    <w:pPr>
                      <w:pStyle w:val="1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C9F00">
    <w:pPr>
      <w:spacing w:line="20" w:lineRule="atLeast"/>
      <w:rPr>
        <w:b/>
        <w:color w:val="808080"/>
        <w:sz w:val="10"/>
        <w:u w:val="single"/>
      </w:rPr>
    </w:pPr>
    <w:r>
      <w:rPr>
        <w:rFonts w:hint="eastAsia"/>
        <w:b/>
        <w:i/>
        <w:color w:val="808080"/>
        <w:kern w:val="0"/>
        <w:sz w:val="18"/>
        <w:u w:val="single"/>
      </w:rPr>
      <w:t xml:space="preserve">采购谈判采购文件                                                                         </w:t>
    </w:r>
    <w:r>
      <w:rPr>
        <w:rFonts w:hint="eastAsia"/>
        <w:b/>
        <w:i/>
        <w:color w:val="808080"/>
        <w:spacing w:val="-20"/>
        <w:kern w:val="0"/>
        <w:sz w:val="18"/>
        <w:u w:val="single"/>
      </w:rPr>
      <w:t>第</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36</w:t>
    </w:r>
    <w:r>
      <w:rPr>
        <w:b/>
        <w:i/>
        <w:color w:val="808080"/>
        <w:spacing w:val="-20"/>
        <w:kern w:val="0"/>
        <w:sz w:val="18"/>
        <w:u w:val="single"/>
      </w:rPr>
      <w:fldChar w:fldCharType="end"/>
    </w:r>
    <w:r>
      <w:rPr>
        <w:rFonts w:hint="eastAsia"/>
        <w:b/>
        <w:i/>
        <w:color w:val="808080"/>
        <w:spacing w:val="-20"/>
        <w:kern w:val="0"/>
        <w:sz w:val="18"/>
        <w:u w:val="single"/>
      </w:rPr>
      <w:t>页共</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37</w:t>
    </w:r>
    <w:r>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7892C"/>
    <w:multiLevelType w:val="singleLevel"/>
    <w:tmpl w:val="8977892C"/>
    <w:lvl w:ilvl="0" w:tentative="0">
      <w:start w:val="1"/>
      <w:numFmt w:val="decimal"/>
      <w:lvlText w:val="%1."/>
      <w:lvlJc w:val="left"/>
      <w:pPr>
        <w:tabs>
          <w:tab w:val="left" w:pos="312"/>
        </w:tabs>
      </w:pPr>
    </w:lvl>
  </w:abstractNum>
  <w:abstractNum w:abstractNumId="1">
    <w:nsid w:val="89F8CB5E"/>
    <w:multiLevelType w:val="singleLevel"/>
    <w:tmpl w:val="89F8CB5E"/>
    <w:lvl w:ilvl="0" w:tentative="0">
      <w:start w:val="1"/>
      <w:numFmt w:val="decimal"/>
      <w:pStyle w:val="7"/>
      <w:lvlText w:val="%1."/>
      <w:lvlJc w:val="left"/>
      <w:pPr>
        <w:tabs>
          <w:tab w:val="left" w:pos="360"/>
        </w:tabs>
        <w:ind w:left="360" w:hanging="360"/>
      </w:pPr>
    </w:lvl>
  </w:abstractNum>
  <w:abstractNum w:abstractNumId="2">
    <w:nsid w:val="8A5923E9"/>
    <w:multiLevelType w:val="singleLevel"/>
    <w:tmpl w:val="8A5923E9"/>
    <w:lvl w:ilvl="0" w:tentative="0">
      <w:start w:val="1"/>
      <w:numFmt w:val="decimal"/>
      <w:lvlText w:val="%1."/>
      <w:lvlJc w:val="left"/>
      <w:pPr>
        <w:tabs>
          <w:tab w:val="left" w:pos="312"/>
        </w:tabs>
      </w:pPr>
    </w:lvl>
  </w:abstractNum>
  <w:abstractNum w:abstractNumId="3">
    <w:nsid w:val="92194171"/>
    <w:multiLevelType w:val="singleLevel"/>
    <w:tmpl w:val="92194171"/>
    <w:lvl w:ilvl="0" w:tentative="0">
      <w:start w:val="1"/>
      <w:numFmt w:val="decimal"/>
      <w:lvlText w:val="%1."/>
      <w:lvlJc w:val="left"/>
      <w:pPr>
        <w:tabs>
          <w:tab w:val="left" w:pos="312"/>
        </w:tabs>
      </w:pPr>
    </w:lvl>
  </w:abstractNum>
  <w:abstractNum w:abstractNumId="4">
    <w:nsid w:val="A8803334"/>
    <w:multiLevelType w:val="singleLevel"/>
    <w:tmpl w:val="A8803334"/>
    <w:lvl w:ilvl="0" w:tentative="0">
      <w:start w:val="1"/>
      <w:numFmt w:val="decimal"/>
      <w:suff w:val="space"/>
      <w:lvlText w:val="%1."/>
      <w:lvlJc w:val="left"/>
    </w:lvl>
  </w:abstractNum>
  <w:abstractNum w:abstractNumId="5">
    <w:nsid w:val="B1B05FF9"/>
    <w:multiLevelType w:val="singleLevel"/>
    <w:tmpl w:val="B1B05FF9"/>
    <w:lvl w:ilvl="0" w:tentative="0">
      <w:start w:val="4"/>
      <w:numFmt w:val="decimal"/>
      <w:suff w:val="space"/>
      <w:lvlText w:val="%1."/>
      <w:lvlJc w:val="left"/>
    </w:lvl>
  </w:abstractNum>
  <w:abstractNum w:abstractNumId="6">
    <w:nsid w:val="B9250132"/>
    <w:multiLevelType w:val="singleLevel"/>
    <w:tmpl w:val="B9250132"/>
    <w:lvl w:ilvl="0" w:tentative="0">
      <w:start w:val="1"/>
      <w:numFmt w:val="decimal"/>
      <w:suff w:val="space"/>
      <w:lvlText w:val="%1."/>
      <w:lvlJc w:val="left"/>
    </w:lvl>
  </w:abstractNum>
  <w:abstractNum w:abstractNumId="7">
    <w:nsid w:val="C3447036"/>
    <w:multiLevelType w:val="singleLevel"/>
    <w:tmpl w:val="C3447036"/>
    <w:lvl w:ilvl="0" w:tentative="0">
      <w:start w:val="5"/>
      <w:numFmt w:val="decimal"/>
      <w:suff w:val="space"/>
      <w:lvlText w:val="%1."/>
      <w:lvlJc w:val="left"/>
    </w:lvl>
  </w:abstractNum>
  <w:abstractNum w:abstractNumId="8">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9">
    <w:nsid w:val="D087F710"/>
    <w:multiLevelType w:val="singleLevel"/>
    <w:tmpl w:val="D087F710"/>
    <w:lvl w:ilvl="0" w:tentative="0">
      <w:start w:val="1"/>
      <w:numFmt w:val="decimal"/>
      <w:lvlText w:val="%1."/>
      <w:lvlJc w:val="left"/>
      <w:pPr>
        <w:tabs>
          <w:tab w:val="left" w:pos="312"/>
        </w:tabs>
      </w:pPr>
    </w:lvl>
  </w:abstractNum>
  <w:abstractNum w:abstractNumId="10">
    <w:nsid w:val="E501A23A"/>
    <w:multiLevelType w:val="singleLevel"/>
    <w:tmpl w:val="E501A23A"/>
    <w:lvl w:ilvl="0" w:tentative="0">
      <w:start w:val="1"/>
      <w:numFmt w:val="decimal"/>
      <w:lvlText w:val="%1."/>
      <w:lvlJc w:val="left"/>
      <w:pPr>
        <w:tabs>
          <w:tab w:val="left" w:pos="312"/>
        </w:tabs>
      </w:pPr>
    </w:lvl>
  </w:abstractNum>
  <w:abstractNum w:abstractNumId="11">
    <w:nsid w:val="052C5C8C"/>
    <w:multiLevelType w:val="singleLevel"/>
    <w:tmpl w:val="052C5C8C"/>
    <w:lvl w:ilvl="0" w:tentative="0">
      <w:start w:val="1"/>
      <w:numFmt w:val="decimal"/>
      <w:lvlText w:val="%1."/>
      <w:lvlJc w:val="left"/>
      <w:pPr>
        <w:tabs>
          <w:tab w:val="left" w:pos="312"/>
        </w:tabs>
      </w:pPr>
    </w:lvl>
  </w:abstractNum>
  <w:abstractNum w:abstractNumId="12">
    <w:nsid w:val="12C794A3"/>
    <w:multiLevelType w:val="singleLevel"/>
    <w:tmpl w:val="12C794A3"/>
    <w:lvl w:ilvl="0" w:tentative="0">
      <w:start w:val="1"/>
      <w:numFmt w:val="decimal"/>
      <w:lvlText w:val="%1."/>
      <w:lvlJc w:val="left"/>
      <w:pPr>
        <w:tabs>
          <w:tab w:val="left" w:pos="312"/>
        </w:tabs>
      </w:pPr>
    </w:lvl>
  </w:abstractNum>
  <w:abstractNum w:abstractNumId="13">
    <w:nsid w:val="185B7BF9"/>
    <w:multiLevelType w:val="singleLevel"/>
    <w:tmpl w:val="185B7BF9"/>
    <w:lvl w:ilvl="0" w:tentative="0">
      <w:start w:val="2"/>
      <w:numFmt w:val="decimal"/>
      <w:suff w:val="nothing"/>
      <w:lvlText w:val="%1、"/>
      <w:lvlJc w:val="left"/>
    </w:lvl>
  </w:abstractNum>
  <w:abstractNum w:abstractNumId="14">
    <w:nsid w:val="1A4FAE2E"/>
    <w:multiLevelType w:val="singleLevel"/>
    <w:tmpl w:val="1A4FAE2E"/>
    <w:lvl w:ilvl="0" w:tentative="0">
      <w:start w:val="1"/>
      <w:numFmt w:val="decimal"/>
      <w:suff w:val="space"/>
      <w:lvlText w:val="%1."/>
      <w:lvlJc w:val="left"/>
    </w:lvl>
  </w:abstractNum>
  <w:abstractNum w:abstractNumId="15">
    <w:nsid w:val="1EE11A09"/>
    <w:multiLevelType w:val="singleLevel"/>
    <w:tmpl w:val="1EE11A09"/>
    <w:lvl w:ilvl="0" w:tentative="0">
      <w:start w:val="3"/>
      <w:numFmt w:val="chineseCounting"/>
      <w:suff w:val="nothing"/>
      <w:lvlText w:val="第%1章　"/>
      <w:lvlJc w:val="left"/>
      <w:rPr>
        <w:rFonts w:hint="eastAsia"/>
        <w:lang w:val="en-US"/>
      </w:rPr>
    </w:lvl>
  </w:abstractNum>
  <w:abstractNum w:abstractNumId="16">
    <w:nsid w:val="406B2906"/>
    <w:multiLevelType w:val="singleLevel"/>
    <w:tmpl w:val="406B2906"/>
    <w:lvl w:ilvl="0" w:tentative="0">
      <w:start w:val="1"/>
      <w:numFmt w:val="decimal"/>
      <w:suff w:val="space"/>
      <w:lvlText w:val="%1."/>
      <w:lvlJc w:val="left"/>
    </w:lvl>
  </w:abstractNum>
  <w:abstractNum w:abstractNumId="17">
    <w:nsid w:val="45339E80"/>
    <w:multiLevelType w:val="singleLevel"/>
    <w:tmpl w:val="45339E80"/>
    <w:lvl w:ilvl="0" w:tentative="0">
      <w:start w:val="1"/>
      <w:numFmt w:val="decimal"/>
      <w:lvlText w:val="%1."/>
      <w:lvlJc w:val="left"/>
      <w:pPr>
        <w:tabs>
          <w:tab w:val="left" w:pos="312"/>
        </w:tabs>
      </w:pPr>
    </w:lvl>
  </w:abstractNum>
  <w:abstractNum w:abstractNumId="18">
    <w:nsid w:val="4A84B60D"/>
    <w:multiLevelType w:val="singleLevel"/>
    <w:tmpl w:val="4A84B60D"/>
    <w:lvl w:ilvl="0" w:tentative="0">
      <w:start w:val="1"/>
      <w:numFmt w:val="decimal"/>
      <w:lvlText w:val="%1."/>
      <w:lvlJc w:val="left"/>
      <w:pPr>
        <w:tabs>
          <w:tab w:val="left" w:pos="312"/>
        </w:tabs>
      </w:pPr>
    </w:lvl>
  </w:abstractNum>
  <w:abstractNum w:abstractNumId="19">
    <w:nsid w:val="54F403B5"/>
    <w:multiLevelType w:val="singleLevel"/>
    <w:tmpl w:val="54F403B5"/>
    <w:lvl w:ilvl="0" w:tentative="0">
      <w:start w:val="1"/>
      <w:numFmt w:val="chineseCounting"/>
      <w:suff w:val="nothing"/>
      <w:lvlText w:val="%1、"/>
      <w:lvlJc w:val="left"/>
      <w:rPr>
        <w:rFonts w:cs="Times New Roman"/>
      </w:rPr>
    </w:lvl>
  </w:abstractNum>
  <w:abstractNum w:abstractNumId="20">
    <w:nsid w:val="557FD3DA"/>
    <w:multiLevelType w:val="singleLevel"/>
    <w:tmpl w:val="557FD3DA"/>
    <w:lvl w:ilvl="0" w:tentative="0">
      <w:start w:val="3"/>
      <w:numFmt w:val="chineseCounting"/>
      <w:suff w:val="nothing"/>
      <w:lvlText w:val="%1、"/>
      <w:lvlJc w:val="left"/>
      <w:rPr>
        <w:rFonts w:cs="Times New Roman"/>
      </w:rPr>
    </w:lvl>
  </w:abstractNum>
  <w:abstractNum w:abstractNumId="21">
    <w:nsid w:val="5D622A2F"/>
    <w:multiLevelType w:val="singleLevel"/>
    <w:tmpl w:val="5D622A2F"/>
    <w:lvl w:ilvl="0" w:tentative="0">
      <w:start w:val="1"/>
      <w:numFmt w:val="decimal"/>
      <w:suff w:val="nothing"/>
      <w:lvlText w:val="%1、"/>
      <w:lvlJc w:val="left"/>
    </w:lvl>
  </w:abstractNum>
  <w:abstractNum w:abstractNumId="22">
    <w:nsid w:val="746CA123"/>
    <w:multiLevelType w:val="singleLevel"/>
    <w:tmpl w:val="746CA123"/>
    <w:lvl w:ilvl="0" w:tentative="0">
      <w:start w:val="1"/>
      <w:numFmt w:val="chineseCounting"/>
      <w:suff w:val="space"/>
      <w:lvlText w:val="（%1）"/>
      <w:lvlJc w:val="left"/>
      <w:rPr>
        <w:rFonts w:hint="eastAsia"/>
      </w:rPr>
    </w:lvl>
  </w:abstractNum>
  <w:num w:numId="1">
    <w:abstractNumId w:val="1"/>
  </w:num>
  <w:num w:numId="2">
    <w:abstractNumId w:val="22"/>
  </w:num>
  <w:num w:numId="3">
    <w:abstractNumId w:val="8"/>
  </w:num>
  <w:num w:numId="4">
    <w:abstractNumId w:val="15"/>
  </w:num>
  <w:num w:numId="5">
    <w:abstractNumId w:val="21"/>
  </w:num>
  <w:num w:numId="6">
    <w:abstractNumId w:val="4"/>
  </w:num>
  <w:num w:numId="7">
    <w:abstractNumId w:val="6"/>
  </w:num>
  <w:num w:numId="8">
    <w:abstractNumId w:val="16"/>
  </w:num>
  <w:num w:numId="9">
    <w:abstractNumId w:val="18"/>
  </w:num>
  <w:num w:numId="10">
    <w:abstractNumId w:val="9"/>
  </w:num>
  <w:num w:numId="11">
    <w:abstractNumId w:val="12"/>
  </w:num>
  <w:num w:numId="12">
    <w:abstractNumId w:val="2"/>
  </w:num>
  <w:num w:numId="13">
    <w:abstractNumId w:val="10"/>
  </w:num>
  <w:num w:numId="14">
    <w:abstractNumId w:val="14"/>
  </w:num>
  <w:num w:numId="15">
    <w:abstractNumId w:val="17"/>
  </w:num>
  <w:num w:numId="16">
    <w:abstractNumId w:val="3"/>
  </w:num>
  <w:num w:numId="17">
    <w:abstractNumId w:val="11"/>
  </w:num>
  <w:num w:numId="18">
    <w:abstractNumId w:val="0"/>
  </w:num>
  <w:num w:numId="19">
    <w:abstractNumId w:val="7"/>
  </w:num>
  <w:num w:numId="20">
    <w:abstractNumId w:val="5"/>
  </w:num>
  <w:num w:numId="21">
    <w:abstractNumId w:val="19"/>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M2IyZWZlYTUzYWVlYmU0MmYzZmZkZDhjYzU5ZGQifQ=="/>
  </w:docVars>
  <w:rsids>
    <w:rsidRoot w:val="20AE4D64"/>
    <w:rsid w:val="00005899"/>
    <w:rsid w:val="0004302E"/>
    <w:rsid w:val="000475D0"/>
    <w:rsid w:val="00054C40"/>
    <w:rsid w:val="00104CF8"/>
    <w:rsid w:val="00115438"/>
    <w:rsid w:val="00145139"/>
    <w:rsid w:val="001913B5"/>
    <w:rsid w:val="001A42BE"/>
    <w:rsid w:val="001C71F4"/>
    <w:rsid w:val="001D2968"/>
    <w:rsid w:val="00240FD0"/>
    <w:rsid w:val="00262681"/>
    <w:rsid w:val="00277154"/>
    <w:rsid w:val="002C074B"/>
    <w:rsid w:val="002D37B0"/>
    <w:rsid w:val="00307B82"/>
    <w:rsid w:val="003103E8"/>
    <w:rsid w:val="00314FE7"/>
    <w:rsid w:val="00357022"/>
    <w:rsid w:val="00376680"/>
    <w:rsid w:val="00395554"/>
    <w:rsid w:val="003B4574"/>
    <w:rsid w:val="003E7C4B"/>
    <w:rsid w:val="004004EA"/>
    <w:rsid w:val="0041106A"/>
    <w:rsid w:val="00417D34"/>
    <w:rsid w:val="0052419F"/>
    <w:rsid w:val="00541F5E"/>
    <w:rsid w:val="006500B0"/>
    <w:rsid w:val="00660800"/>
    <w:rsid w:val="00682CCF"/>
    <w:rsid w:val="006870CC"/>
    <w:rsid w:val="006B212D"/>
    <w:rsid w:val="007451D6"/>
    <w:rsid w:val="00762E3A"/>
    <w:rsid w:val="00767306"/>
    <w:rsid w:val="007870E8"/>
    <w:rsid w:val="00787937"/>
    <w:rsid w:val="00806980"/>
    <w:rsid w:val="008412DE"/>
    <w:rsid w:val="00843A27"/>
    <w:rsid w:val="00890ECD"/>
    <w:rsid w:val="008D7EC9"/>
    <w:rsid w:val="008E68E3"/>
    <w:rsid w:val="008F44DE"/>
    <w:rsid w:val="008F4530"/>
    <w:rsid w:val="008F62EC"/>
    <w:rsid w:val="0093602C"/>
    <w:rsid w:val="00993CC5"/>
    <w:rsid w:val="009C57BD"/>
    <w:rsid w:val="009D772A"/>
    <w:rsid w:val="009E38A4"/>
    <w:rsid w:val="00A03ECB"/>
    <w:rsid w:val="00A2506E"/>
    <w:rsid w:val="00A356CA"/>
    <w:rsid w:val="00AC0247"/>
    <w:rsid w:val="00AC5A66"/>
    <w:rsid w:val="00AE0378"/>
    <w:rsid w:val="00AF17A3"/>
    <w:rsid w:val="00B436B3"/>
    <w:rsid w:val="00B70DB2"/>
    <w:rsid w:val="00BB00AA"/>
    <w:rsid w:val="00BC1002"/>
    <w:rsid w:val="00BC651E"/>
    <w:rsid w:val="00BF300A"/>
    <w:rsid w:val="00C01752"/>
    <w:rsid w:val="00C1119F"/>
    <w:rsid w:val="00C303BB"/>
    <w:rsid w:val="00CC48A5"/>
    <w:rsid w:val="00D17C36"/>
    <w:rsid w:val="00D634FC"/>
    <w:rsid w:val="00DA0A75"/>
    <w:rsid w:val="00DD71EB"/>
    <w:rsid w:val="00DE1E24"/>
    <w:rsid w:val="00E16FE3"/>
    <w:rsid w:val="00E24AD8"/>
    <w:rsid w:val="00E33E86"/>
    <w:rsid w:val="00E379AF"/>
    <w:rsid w:val="00E6793C"/>
    <w:rsid w:val="00E84345"/>
    <w:rsid w:val="00EA0E26"/>
    <w:rsid w:val="00ED7E40"/>
    <w:rsid w:val="00EF455E"/>
    <w:rsid w:val="00F31207"/>
    <w:rsid w:val="00FB04B8"/>
    <w:rsid w:val="00FF762F"/>
    <w:rsid w:val="01574618"/>
    <w:rsid w:val="018965A1"/>
    <w:rsid w:val="01E7687A"/>
    <w:rsid w:val="02184DBF"/>
    <w:rsid w:val="02B16EEE"/>
    <w:rsid w:val="033458EA"/>
    <w:rsid w:val="05F119C0"/>
    <w:rsid w:val="05FA6846"/>
    <w:rsid w:val="06A76A12"/>
    <w:rsid w:val="06DE785A"/>
    <w:rsid w:val="08AA1E9B"/>
    <w:rsid w:val="08AE54D9"/>
    <w:rsid w:val="090541F3"/>
    <w:rsid w:val="095B2FB3"/>
    <w:rsid w:val="0A5D35C4"/>
    <w:rsid w:val="0B303030"/>
    <w:rsid w:val="0C4D7C21"/>
    <w:rsid w:val="0C4E2F8C"/>
    <w:rsid w:val="0D786F20"/>
    <w:rsid w:val="0D8E4A18"/>
    <w:rsid w:val="0E11077A"/>
    <w:rsid w:val="11BE5D3A"/>
    <w:rsid w:val="12FD2CB5"/>
    <w:rsid w:val="130628D8"/>
    <w:rsid w:val="1380268A"/>
    <w:rsid w:val="15AF54A9"/>
    <w:rsid w:val="15C42D02"/>
    <w:rsid w:val="15EA3842"/>
    <w:rsid w:val="15ED14C8"/>
    <w:rsid w:val="1727538E"/>
    <w:rsid w:val="1834516C"/>
    <w:rsid w:val="188831C0"/>
    <w:rsid w:val="18884545"/>
    <w:rsid w:val="18AB34CA"/>
    <w:rsid w:val="18E02C8F"/>
    <w:rsid w:val="19012FE9"/>
    <w:rsid w:val="19134A90"/>
    <w:rsid w:val="19501B94"/>
    <w:rsid w:val="197B7478"/>
    <w:rsid w:val="19D92463"/>
    <w:rsid w:val="1A7D0845"/>
    <w:rsid w:val="1AC800EE"/>
    <w:rsid w:val="1B4A3310"/>
    <w:rsid w:val="1BC81072"/>
    <w:rsid w:val="1C1D49CF"/>
    <w:rsid w:val="1D083E1C"/>
    <w:rsid w:val="1E1A0FFE"/>
    <w:rsid w:val="1EA83EC1"/>
    <w:rsid w:val="1EFE4483"/>
    <w:rsid w:val="1F0D4FE5"/>
    <w:rsid w:val="1F33215A"/>
    <w:rsid w:val="1F6A0051"/>
    <w:rsid w:val="1FFB17B7"/>
    <w:rsid w:val="20532F76"/>
    <w:rsid w:val="2054207F"/>
    <w:rsid w:val="209B63CC"/>
    <w:rsid w:val="20AE4D64"/>
    <w:rsid w:val="20D02B87"/>
    <w:rsid w:val="21216BE9"/>
    <w:rsid w:val="226D042D"/>
    <w:rsid w:val="22BF67AD"/>
    <w:rsid w:val="234179D0"/>
    <w:rsid w:val="238B0807"/>
    <w:rsid w:val="238C0BD7"/>
    <w:rsid w:val="239301B8"/>
    <w:rsid w:val="239D0DD9"/>
    <w:rsid w:val="23FC5D5D"/>
    <w:rsid w:val="24013373"/>
    <w:rsid w:val="24414364"/>
    <w:rsid w:val="244478F4"/>
    <w:rsid w:val="25E41B55"/>
    <w:rsid w:val="25E817E2"/>
    <w:rsid w:val="26094761"/>
    <w:rsid w:val="267F3779"/>
    <w:rsid w:val="268559B2"/>
    <w:rsid w:val="26E50D2A"/>
    <w:rsid w:val="26E6485B"/>
    <w:rsid w:val="26EB511C"/>
    <w:rsid w:val="27075F58"/>
    <w:rsid w:val="275E5211"/>
    <w:rsid w:val="27F9665F"/>
    <w:rsid w:val="28180177"/>
    <w:rsid w:val="2818143D"/>
    <w:rsid w:val="28D63020"/>
    <w:rsid w:val="2A0E0C0E"/>
    <w:rsid w:val="2A176E5A"/>
    <w:rsid w:val="2A3569EE"/>
    <w:rsid w:val="2A7C33D9"/>
    <w:rsid w:val="2B230073"/>
    <w:rsid w:val="2B6F39F7"/>
    <w:rsid w:val="2BC53A0F"/>
    <w:rsid w:val="2CBA0563"/>
    <w:rsid w:val="2D4B64EE"/>
    <w:rsid w:val="2DBB56A8"/>
    <w:rsid w:val="2E524B68"/>
    <w:rsid w:val="2FAA4756"/>
    <w:rsid w:val="2FE8509F"/>
    <w:rsid w:val="30314FE0"/>
    <w:rsid w:val="30D92FB5"/>
    <w:rsid w:val="314362E6"/>
    <w:rsid w:val="31490769"/>
    <w:rsid w:val="317F3A60"/>
    <w:rsid w:val="31942B43"/>
    <w:rsid w:val="31B71D2B"/>
    <w:rsid w:val="325D0058"/>
    <w:rsid w:val="32A36583"/>
    <w:rsid w:val="32A8398C"/>
    <w:rsid w:val="333464B6"/>
    <w:rsid w:val="349C449C"/>
    <w:rsid w:val="367554E4"/>
    <w:rsid w:val="36A823AB"/>
    <w:rsid w:val="36DC334F"/>
    <w:rsid w:val="36FF1994"/>
    <w:rsid w:val="371B6F58"/>
    <w:rsid w:val="377B1BD4"/>
    <w:rsid w:val="38044D88"/>
    <w:rsid w:val="380D162F"/>
    <w:rsid w:val="38545275"/>
    <w:rsid w:val="38616F1D"/>
    <w:rsid w:val="39203E44"/>
    <w:rsid w:val="39AA02FF"/>
    <w:rsid w:val="3A8E028C"/>
    <w:rsid w:val="3AFD149F"/>
    <w:rsid w:val="3B035435"/>
    <w:rsid w:val="3DF10E38"/>
    <w:rsid w:val="3E051F47"/>
    <w:rsid w:val="3E5A54F8"/>
    <w:rsid w:val="3E76638E"/>
    <w:rsid w:val="3E920795"/>
    <w:rsid w:val="3F414D6B"/>
    <w:rsid w:val="3F66090E"/>
    <w:rsid w:val="3F8B3ED6"/>
    <w:rsid w:val="3F94362D"/>
    <w:rsid w:val="3FB12DDB"/>
    <w:rsid w:val="3FE7116A"/>
    <w:rsid w:val="405063EE"/>
    <w:rsid w:val="41734954"/>
    <w:rsid w:val="424D2825"/>
    <w:rsid w:val="42F77DB2"/>
    <w:rsid w:val="438039FD"/>
    <w:rsid w:val="43E922F6"/>
    <w:rsid w:val="449B251C"/>
    <w:rsid w:val="45530DFF"/>
    <w:rsid w:val="457C4B03"/>
    <w:rsid w:val="45B338DD"/>
    <w:rsid w:val="46F74436"/>
    <w:rsid w:val="46FF29AA"/>
    <w:rsid w:val="47140325"/>
    <w:rsid w:val="47397233"/>
    <w:rsid w:val="47665118"/>
    <w:rsid w:val="48651873"/>
    <w:rsid w:val="48860D1B"/>
    <w:rsid w:val="48A35DF0"/>
    <w:rsid w:val="49535B70"/>
    <w:rsid w:val="49545A1F"/>
    <w:rsid w:val="49555633"/>
    <w:rsid w:val="49EE1D9F"/>
    <w:rsid w:val="4AF11ABE"/>
    <w:rsid w:val="4AFE50CA"/>
    <w:rsid w:val="4B8B15F1"/>
    <w:rsid w:val="4BA87148"/>
    <w:rsid w:val="4CC77FFC"/>
    <w:rsid w:val="4DA54844"/>
    <w:rsid w:val="4DAE33A9"/>
    <w:rsid w:val="4DCF6871"/>
    <w:rsid w:val="4DE85357"/>
    <w:rsid w:val="4E7749FB"/>
    <w:rsid w:val="4E781808"/>
    <w:rsid w:val="4EB570D6"/>
    <w:rsid w:val="4FA87474"/>
    <w:rsid w:val="4FCA7503"/>
    <w:rsid w:val="4FD80B7D"/>
    <w:rsid w:val="4FE3400D"/>
    <w:rsid w:val="5032510A"/>
    <w:rsid w:val="50AB0883"/>
    <w:rsid w:val="50DA577A"/>
    <w:rsid w:val="50E929C7"/>
    <w:rsid w:val="51273B7A"/>
    <w:rsid w:val="52297D26"/>
    <w:rsid w:val="52334072"/>
    <w:rsid w:val="530C700A"/>
    <w:rsid w:val="541A7C01"/>
    <w:rsid w:val="5422243B"/>
    <w:rsid w:val="54BC0D47"/>
    <w:rsid w:val="556E78AD"/>
    <w:rsid w:val="55CF0C66"/>
    <w:rsid w:val="563567D0"/>
    <w:rsid w:val="5660136B"/>
    <w:rsid w:val="56784F2E"/>
    <w:rsid w:val="57756FDC"/>
    <w:rsid w:val="5795259B"/>
    <w:rsid w:val="57A37CC2"/>
    <w:rsid w:val="580B280B"/>
    <w:rsid w:val="58375678"/>
    <w:rsid w:val="589B20E7"/>
    <w:rsid w:val="59966557"/>
    <w:rsid w:val="59AA781E"/>
    <w:rsid w:val="5A253572"/>
    <w:rsid w:val="5B0E1727"/>
    <w:rsid w:val="5B7644D9"/>
    <w:rsid w:val="5BA87F9D"/>
    <w:rsid w:val="5C5617A7"/>
    <w:rsid w:val="5C580813"/>
    <w:rsid w:val="5C5A5D5F"/>
    <w:rsid w:val="5C8F1E71"/>
    <w:rsid w:val="5CA57360"/>
    <w:rsid w:val="5D3D64C3"/>
    <w:rsid w:val="5E041844"/>
    <w:rsid w:val="5E7B225D"/>
    <w:rsid w:val="5E831002"/>
    <w:rsid w:val="5ED42A92"/>
    <w:rsid w:val="5F257F36"/>
    <w:rsid w:val="5F764577"/>
    <w:rsid w:val="60D402BB"/>
    <w:rsid w:val="611963CD"/>
    <w:rsid w:val="62051491"/>
    <w:rsid w:val="63960810"/>
    <w:rsid w:val="63BE6C79"/>
    <w:rsid w:val="640C72BB"/>
    <w:rsid w:val="669B50CD"/>
    <w:rsid w:val="66C11D69"/>
    <w:rsid w:val="66D659BE"/>
    <w:rsid w:val="66D91AAF"/>
    <w:rsid w:val="66E66DEF"/>
    <w:rsid w:val="66E9022F"/>
    <w:rsid w:val="676D6AC2"/>
    <w:rsid w:val="677E0166"/>
    <w:rsid w:val="67E23030"/>
    <w:rsid w:val="67ED314E"/>
    <w:rsid w:val="686D34BE"/>
    <w:rsid w:val="69A068A5"/>
    <w:rsid w:val="69C46EC6"/>
    <w:rsid w:val="6A3212DD"/>
    <w:rsid w:val="6A6E0B73"/>
    <w:rsid w:val="6A7C3B33"/>
    <w:rsid w:val="6B361595"/>
    <w:rsid w:val="6D1D0041"/>
    <w:rsid w:val="6D3D6178"/>
    <w:rsid w:val="6D8368A4"/>
    <w:rsid w:val="6DB826FA"/>
    <w:rsid w:val="6DC9723B"/>
    <w:rsid w:val="6ED71CF1"/>
    <w:rsid w:val="6ED92123"/>
    <w:rsid w:val="6EDE5E5B"/>
    <w:rsid w:val="6EED5F9B"/>
    <w:rsid w:val="6F4404C5"/>
    <w:rsid w:val="70250C6C"/>
    <w:rsid w:val="70381498"/>
    <w:rsid w:val="706968CA"/>
    <w:rsid w:val="71435219"/>
    <w:rsid w:val="71B903B6"/>
    <w:rsid w:val="728B1977"/>
    <w:rsid w:val="72D94790"/>
    <w:rsid w:val="73410663"/>
    <w:rsid w:val="734E7A1D"/>
    <w:rsid w:val="740721A9"/>
    <w:rsid w:val="748E78D8"/>
    <w:rsid w:val="74B91264"/>
    <w:rsid w:val="76184A54"/>
    <w:rsid w:val="762B3235"/>
    <w:rsid w:val="76EC257D"/>
    <w:rsid w:val="77375D74"/>
    <w:rsid w:val="77536BB7"/>
    <w:rsid w:val="77781184"/>
    <w:rsid w:val="778E16A8"/>
    <w:rsid w:val="791169A5"/>
    <w:rsid w:val="79182469"/>
    <w:rsid w:val="79453A54"/>
    <w:rsid w:val="7ACB16A8"/>
    <w:rsid w:val="7B2F6D39"/>
    <w:rsid w:val="7B6D14FE"/>
    <w:rsid w:val="7C58592C"/>
    <w:rsid w:val="7C92500C"/>
    <w:rsid w:val="7D6F2CEF"/>
    <w:rsid w:val="7DAC4AB3"/>
    <w:rsid w:val="7EF51CB2"/>
    <w:rsid w:val="7EFE2453"/>
    <w:rsid w:val="7F5833AF"/>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5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semiHidden/>
    <w:unhideWhenUsed/>
    <w:qFormat/>
    <w:uiPriority w:val="0"/>
    <w:pPr>
      <w:keepNext/>
      <w:keepLines/>
      <w:spacing w:before="260" w:after="260" w:line="416" w:lineRule="auto"/>
      <w:outlineLvl w:val="2"/>
    </w:pPr>
    <w:rPr>
      <w:b/>
      <w:bCs/>
      <w:sz w:val="32"/>
      <w:szCs w:val="32"/>
    </w:rPr>
  </w:style>
  <w:style w:type="paragraph" w:styleId="6">
    <w:name w:val="heading 5"/>
    <w:basedOn w:val="1"/>
    <w:next w:val="1"/>
    <w:link w:val="57"/>
    <w:semiHidden/>
    <w:unhideWhenUsed/>
    <w:qFormat/>
    <w:uiPriority w:val="0"/>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5">
    <w:name w:val="Normal Indent"/>
    <w:basedOn w:val="1"/>
    <w:qFormat/>
    <w:uiPriority w:val="0"/>
    <w:pPr>
      <w:ind w:firstLine="420"/>
    </w:pPr>
    <w:rPr>
      <w:szCs w:val="20"/>
    </w:rPr>
  </w:style>
  <w:style w:type="paragraph" w:styleId="7">
    <w:name w:val="List Number"/>
    <w:basedOn w:val="1"/>
    <w:qFormat/>
    <w:uiPriority w:val="0"/>
    <w:pPr>
      <w:numPr>
        <w:ilvl w:val="0"/>
        <w:numId w:val="1"/>
      </w:numPr>
    </w:pPr>
  </w:style>
  <w:style w:type="paragraph" w:styleId="8">
    <w:name w:val="caption"/>
    <w:basedOn w:val="1"/>
    <w:next w:val="1"/>
    <w:unhideWhenUsed/>
    <w:qFormat/>
    <w:uiPriority w:val="0"/>
    <w:pPr>
      <w:spacing w:before="152" w:after="160"/>
    </w:pPr>
    <w:rPr>
      <w:rFonts w:ascii="Arial" w:hAnsi="Arial" w:eastAsia="黑体" w:cs="Arial"/>
      <w:sz w:val="20"/>
      <w:szCs w:val="20"/>
    </w:rPr>
  </w:style>
  <w:style w:type="paragraph" w:styleId="9">
    <w:name w:val="annotation text"/>
    <w:basedOn w:val="1"/>
    <w:qFormat/>
    <w:uiPriority w:val="0"/>
    <w:pPr>
      <w:jc w:val="left"/>
    </w:pPr>
  </w:style>
  <w:style w:type="paragraph" w:styleId="10">
    <w:name w:val="Body Text"/>
    <w:basedOn w:val="1"/>
    <w:next w:val="11"/>
    <w:link w:val="47"/>
    <w:qFormat/>
    <w:uiPriority w:val="0"/>
    <w:pPr>
      <w:spacing w:line="360" w:lineRule="exact"/>
    </w:pPr>
    <w:rPr>
      <w:sz w:val="24"/>
    </w:rPr>
  </w:style>
  <w:style w:type="paragraph" w:styleId="11">
    <w:name w:val="Body Text First Indent"/>
    <w:basedOn w:val="10"/>
    <w:next w:val="12"/>
    <w:link w:val="48"/>
    <w:qFormat/>
    <w:uiPriority w:val="0"/>
    <w:pPr>
      <w:spacing w:after="120" w:line="240" w:lineRule="auto"/>
      <w:ind w:firstLine="420" w:firstLineChars="100"/>
    </w:pPr>
    <w:rPr>
      <w:sz w:val="21"/>
    </w:rPr>
  </w:style>
  <w:style w:type="paragraph" w:styleId="12">
    <w:name w:val="toc 6"/>
    <w:basedOn w:val="1"/>
    <w:next w:val="1"/>
    <w:qFormat/>
    <w:uiPriority w:val="0"/>
    <w:pPr>
      <w:ind w:left="2100" w:leftChars="1000"/>
    </w:pPr>
  </w:style>
  <w:style w:type="paragraph" w:styleId="13">
    <w:name w:val="Body Text Indent"/>
    <w:basedOn w:val="1"/>
    <w:next w:val="5"/>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4">
    <w:name w:val="Block Text"/>
    <w:basedOn w:val="1"/>
    <w:qFormat/>
    <w:uiPriority w:val="99"/>
    <w:pPr>
      <w:ind w:left="1200" w:right="-72" w:hanging="30"/>
    </w:pPr>
    <w:rPr>
      <w:rFonts w:ascii="Arial" w:hAnsi="Arial" w:eastAsia="幼圆" w:cs="Arial"/>
      <w:sz w:val="22"/>
    </w:rPr>
  </w:style>
  <w:style w:type="paragraph" w:styleId="15">
    <w:name w:val="Plain Text"/>
    <w:basedOn w:val="1"/>
    <w:next w:val="16"/>
    <w:link w:val="40"/>
    <w:qFormat/>
    <w:uiPriority w:val="99"/>
    <w:rPr>
      <w:rFonts w:ascii="宋体" w:hAnsi="Courier New" w:cstheme="minorBidi"/>
    </w:rPr>
  </w:style>
  <w:style w:type="paragraph" w:styleId="16">
    <w:name w:val="Date"/>
    <w:basedOn w:val="1"/>
    <w:next w:val="1"/>
    <w:qFormat/>
    <w:uiPriority w:val="0"/>
    <w:rPr>
      <w:rFonts w:ascii="宋体"/>
      <w:color w:val="000000"/>
      <w:kern w:val="0"/>
      <w:sz w:val="24"/>
    </w:rPr>
  </w:style>
  <w:style w:type="paragraph" w:styleId="17">
    <w:name w:val="Body Text Indent 2"/>
    <w:basedOn w:val="1"/>
    <w:next w:val="18"/>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customStyle="1" w:styleId="18">
    <w:name w:val="目录 22"/>
    <w:next w:val="1"/>
    <w:qFormat/>
    <w:uiPriority w:val="0"/>
    <w:pPr>
      <w:wordWrap w:val="0"/>
      <w:jc w:val="both"/>
    </w:pPr>
    <w:rPr>
      <w:rFonts w:ascii="宋体" w:hAnsi="宋体" w:eastAsia="宋体" w:cs="宋体"/>
      <w:sz w:val="21"/>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4"/>
    <w:basedOn w:val="1"/>
    <w:next w:val="1"/>
    <w:qFormat/>
    <w:uiPriority w:val="0"/>
    <w:pPr>
      <w:ind w:left="1260" w:leftChars="600"/>
    </w:pPr>
  </w:style>
  <w:style w:type="paragraph" w:styleId="22">
    <w:name w:val="List"/>
    <w:basedOn w:val="1"/>
    <w:qFormat/>
    <w:uiPriority w:val="0"/>
    <w:pPr>
      <w:ind w:left="200" w:hanging="200" w:hangingChars="200"/>
    </w:pPr>
    <w:rPr>
      <w:sz w:val="28"/>
    </w:rPr>
  </w:style>
  <w:style w:type="paragraph" w:styleId="23">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4">
    <w:name w:val="Normal (Web)"/>
    <w:basedOn w:val="1"/>
    <w:link w:val="49"/>
    <w:qFormat/>
    <w:uiPriority w:val="0"/>
    <w:pPr>
      <w:widowControl/>
      <w:spacing w:before="100" w:beforeAutospacing="1" w:after="100" w:afterAutospacing="1"/>
      <w:jc w:val="left"/>
    </w:pPr>
    <w:rPr>
      <w:rFonts w:hint="eastAsia" w:ascii="宋体" w:hAnsi="宋体"/>
      <w:kern w:val="0"/>
      <w:sz w:val="24"/>
    </w:rPr>
  </w:style>
  <w:style w:type="paragraph" w:styleId="25">
    <w:name w:val="Title"/>
    <w:basedOn w:val="1"/>
    <w:next w:val="1"/>
    <w:qFormat/>
    <w:uiPriority w:val="10"/>
    <w:pPr>
      <w:spacing w:before="240" w:after="60"/>
      <w:jc w:val="center"/>
      <w:outlineLvl w:val="0"/>
    </w:pPr>
    <w:rPr>
      <w:rFonts w:ascii="Cambria" w:hAnsi="Cambria"/>
      <w:b/>
      <w:bCs/>
      <w:kern w:val="28"/>
      <w:sz w:val="32"/>
      <w:szCs w:val="32"/>
      <w:lang w:bidi="ar-SA"/>
    </w:rPr>
  </w:style>
  <w:style w:type="paragraph" w:styleId="26">
    <w:name w:val="Body Text First Indent 2"/>
    <w:basedOn w:val="13"/>
    <w:qFormat/>
    <w:uiPriority w:val="0"/>
    <w:pPr>
      <w:autoSpaceDE w:val="0"/>
      <w:autoSpaceDN w:val="0"/>
      <w:adjustRightInd w:val="0"/>
      <w:spacing w:after="120"/>
      <w:ind w:left="420" w:leftChars="200" w:firstLine="420" w:firstLineChars="200"/>
      <w:jc w:val="left"/>
      <w:textAlignment w:val="baseline"/>
    </w:pPr>
    <w:rPr>
      <w:rFonts w:ascii="宋体"/>
      <w:kern w:val="0"/>
      <w:sz w:val="34"/>
    </w:rPr>
  </w:style>
  <w:style w:type="character" w:styleId="29">
    <w:name w:val="page number"/>
    <w:basedOn w:val="28"/>
    <w:qFormat/>
    <w:uiPriority w:val="0"/>
  </w:style>
  <w:style w:type="character" w:styleId="30">
    <w:name w:val="Hyperlink"/>
    <w:basedOn w:val="28"/>
    <w:qFormat/>
    <w:uiPriority w:val="0"/>
    <w:rPr>
      <w:color w:val="0000FF"/>
      <w:u w:val="single"/>
    </w:rPr>
  </w:style>
  <w:style w:type="paragraph" w:customStyle="1" w:styleId="31">
    <w:name w:val="_Style 3"/>
    <w:qFormat/>
    <w:uiPriority w:val="99"/>
    <w:pPr>
      <w:widowControl w:val="0"/>
      <w:jc w:val="both"/>
    </w:pPr>
    <w:rPr>
      <w:rFonts w:ascii="Calibri" w:hAnsi="Calibri" w:eastAsia="宋体" w:cs="Times New Roman"/>
      <w:kern w:val="2"/>
      <w:sz w:val="21"/>
      <w:szCs w:val="22"/>
      <w:lang w:val="en-US" w:eastAsia="zh-CN" w:bidi="ar-SA"/>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正文_14"/>
    <w:qFormat/>
    <w:uiPriority w:val="0"/>
    <w:rPr>
      <w:rFonts w:ascii="Times New Roman" w:hAnsi="Times New Roman" w:eastAsia="宋体" w:cs="Times New Roman"/>
      <w:sz w:val="21"/>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纯文本 Char"/>
    <w:basedOn w:val="28"/>
    <w:link w:val="15"/>
    <w:qFormat/>
    <w:uiPriority w:val="99"/>
    <w:rPr>
      <w:rFonts w:ascii="宋体" w:hAnsi="Courier New" w:eastAsia="宋体"/>
      <w:kern w:val="2"/>
      <w:sz w:val="21"/>
      <w:szCs w:val="24"/>
    </w:rPr>
  </w:style>
  <w:style w:type="paragraph" w:customStyle="1" w:styleId="41">
    <w:name w:val="纯文本_0_1"/>
    <w:basedOn w:val="1"/>
    <w:qFormat/>
    <w:uiPriority w:val="0"/>
    <w:pPr>
      <w:widowControl/>
      <w:jc w:val="left"/>
    </w:pPr>
    <w:rPr>
      <w:rFonts w:ascii="宋体" w:hAnsi="Courier New" w:eastAsiaTheme="minorEastAsia" w:cstheme="minorBidi"/>
      <w:szCs w:val="21"/>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纯文本_3"/>
    <w:basedOn w:val="39"/>
    <w:qFormat/>
    <w:uiPriority w:val="0"/>
    <w:pPr>
      <w:widowControl/>
      <w:jc w:val="left"/>
    </w:pPr>
    <w:rPr>
      <w:rFonts w:ascii="宋体" w:hAnsi="Courier New" w:eastAsiaTheme="minorEastAsia" w:cstheme="minorBidi"/>
      <w:szCs w:val="21"/>
    </w:rPr>
  </w:style>
  <w:style w:type="character" w:customStyle="1" w:styleId="47">
    <w:name w:val="正文文本 Char"/>
    <w:basedOn w:val="28"/>
    <w:link w:val="10"/>
    <w:qFormat/>
    <w:uiPriority w:val="0"/>
    <w:rPr>
      <w:kern w:val="2"/>
      <w:sz w:val="24"/>
      <w:szCs w:val="24"/>
    </w:rPr>
  </w:style>
  <w:style w:type="character" w:customStyle="1" w:styleId="48">
    <w:name w:val="正文首行缩进 Char"/>
    <w:basedOn w:val="47"/>
    <w:link w:val="11"/>
    <w:qFormat/>
    <w:uiPriority w:val="0"/>
  </w:style>
  <w:style w:type="character" w:customStyle="1" w:styleId="49">
    <w:name w:val="普通(网站) Char"/>
    <w:link w:val="24"/>
    <w:qFormat/>
    <w:uiPriority w:val="0"/>
    <w:rPr>
      <w:rFonts w:ascii="宋体" w:hAnsi="宋体"/>
      <w:sz w:val="24"/>
      <w:szCs w:val="24"/>
    </w:rPr>
  </w:style>
  <w:style w:type="paragraph" w:customStyle="1" w:styleId="50">
    <w:name w:val="表格文字"/>
    <w:basedOn w:val="1"/>
    <w:next w:val="10"/>
    <w:qFormat/>
    <w:uiPriority w:val="0"/>
    <w:pPr>
      <w:adjustRightInd w:val="0"/>
      <w:spacing w:line="420" w:lineRule="atLeast"/>
      <w:jc w:val="left"/>
      <w:textAlignment w:val="baseline"/>
    </w:pPr>
    <w:rPr>
      <w:kern w:val="0"/>
    </w:rPr>
  </w:style>
  <w:style w:type="character" w:customStyle="1" w:styleId="51">
    <w:name w:val="普通(网站) 字符"/>
    <w:qFormat/>
    <w:uiPriority w:val="0"/>
    <w:rPr>
      <w:rFonts w:ascii="宋体" w:hAnsi="宋体"/>
      <w:sz w:val="24"/>
      <w:szCs w:val="24"/>
    </w:rPr>
  </w:style>
  <w:style w:type="character" w:customStyle="1" w:styleId="52">
    <w:name w:val="标题 2 Char"/>
    <w:basedOn w:val="28"/>
    <w:link w:val="3"/>
    <w:semiHidden/>
    <w:qFormat/>
    <w:uiPriority w:val="0"/>
    <w:rPr>
      <w:rFonts w:asciiTheme="majorHAnsi" w:hAnsiTheme="majorHAnsi" w:eastAsiaTheme="majorEastAsia" w:cstheme="majorBidi"/>
      <w:b/>
      <w:bCs/>
      <w:kern w:val="2"/>
      <w:sz w:val="32"/>
      <w:szCs w:val="32"/>
    </w:rPr>
  </w:style>
  <w:style w:type="paragraph" w:customStyle="1" w:styleId="53">
    <w:name w:val="Default"/>
    <w:next w:val="5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55">
    <w:name w:val="Plain Text1"/>
    <w:basedOn w:val="56"/>
    <w:qFormat/>
    <w:uiPriority w:val="99"/>
    <w:pPr>
      <w:widowControl/>
      <w:jc w:val="left"/>
    </w:pPr>
    <w:rPr>
      <w:rFonts w:ascii="宋体" w:hAnsi="Courier New"/>
    </w:rPr>
  </w:style>
  <w:style w:type="paragraph" w:customStyle="1" w:styleId="56">
    <w:name w:val="Normal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7">
    <w:name w:val="标题 5 Char"/>
    <w:basedOn w:val="28"/>
    <w:link w:val="6"/>
    <w:semiHidden/>
    <w:qFormat/>
    <w:uiPriority w:val="0"/>
    <w:rPr>
      <w:b/>
      <w:bCs/>
      <w:kern w:val="2"/>
      <w:sz w:val="28"/>
      <w:szCs w:val="28"/>
    </w:rPr>
  </w:style>
  <w:style w:type="character" w:customStyle="1" w:styleId="58">
    <w:name w:val="font12"/>
    <w:basedOn w:val="28"/>
    <w:qFormat/>
    <w:uiPriority w:val="0"/>
    <w:rPr>
      <w:rFonts w:hint="eastAsia" w:ascii="宋体" w:hAnsi="宋体" w:eastAsia="宋体" w:cs="宋体"/>
      <w:color w:val="000000"/>
      <w:sz w:val="16"/>
      <w:szCs w:val="16"/>
      <w:u w:val="none"/>
    </w:rPr>
  </w:style>
  <w:style w:type="character" w:customStyle="1" w:styleId="59">
    <w:name w:val="font181"/>
    <w:basedOn w:val="28"/>
    <w:qFormat/>
    <w:uiPriority w:val="0"/>
    <w:rPr>
      <w:rFonts w:hint="eastAsia" w:ascii="宋体" w:hAnsi="宋体" w:eastAsia="宋体" w:cs="宋体"/>
      <w:i/>
      <w:iCs/>
      <w:color w:val="000000"/>
      <w:sz w:val="16"/>
      <w:szCs w:val="16"/>
      <w:u w:val="none"/>
    </w:rPr>
  </w:style>
  <w:style w:type="character" w:customStyle="1" w:styleId="60">
    <w:name w:val="font11"/>
    <w:basedOn w:val="28"/>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6" Type="http://schemas.openxmlformats.org/officeDocument/2006/relationships/fontTable" Target="fontTable.xml"/><Relationship Id="rId55" Type="http://schemas.openxmlformats.org/officeDocument/2006/relationships/customXml" Target="../customXml/item2.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46.jpeg"/><Relationship Id="rId51" Type="http://schemas.openxmlformats.org/officeDocument/2006/relationships/image" Target="media/image45.jpeg"/><Relationship Id="rId50" Type="http://schemas.openxmlformats.org/officeDocument/2006/relationships/image" Target="media/image44.png"/><Relationship Id="rId5" Type="http://schemas.openxmlformats.org/officeDocument/2006/relationships/footer" Target="footer2.xml"/><Relationship Id="rId49" Type="http://schemas.openxmlformats.org/officeDocument/2006/relationships/image" Target="media/image43.jpe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header" Target="header1.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er" Target="foot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BB1D6-035E-4524-8A47-EA7473ED25D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13821</Words>
  <Characters>15249</Characters>
  <Lines>166</Lines>
  <Paragraphs>46</Paragraphs>
  <TotalTime>1</TotalTime>
  <ScaleCrop>false</ScaleCrop>
  <LinksUpToDate>false</LinksUpToDate>
  <CharactersWithSpaces>19561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2018-04-18T06:19:00Z</dcterms:created>
  <dc:creator>S-mile</dc:creator>
  <cp:lastModifiedBy>张阿清</cp:lastModifiedBy>
  <dcterms:modified xsi:type="dcterms:W3CDTF">2024-11-11T08:50:27Z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97925103EC734CBA8CB9AFC9687AA83D_13</vt:lpwstr>
  </property>
</Properties>
</file>