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auto"/>
          <w:sz w:val="32"/>
          <w:szCs w:val="32"/>
          <w:highlight w:val="none"/>
        </w:rPr>
      </w:pP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bCs/>
          <w:color w:val="auto"/>
          <w:sz w:val="30"/>
          <w:szCs w:val="30"/>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bookmarkStart w:id="0" w:name="_Toc11282"/>
      <w:bookmarkStart w:id="1" w:name="_Toc14961"/>
      <w:r>
        <w:rPr>
          <w:rFonts w:hint="eastAsia" w:ascii="仿宋" w:hAnsi="仿宋" w:eastAsia="仿宋" w:cs="仿宋"/>
          <w:b/>
          <w:color w:val="auto"/>
          <w:sz w:val="36"/>
          <w:szCs w:val="36"/>
          <w:highlight w:val="none"/>
          <w:lang w:val="en-US" w:eastAsia="zh-CN"/>
        </w:rPr>
        <w:t>杭州市能源集团工程科技有限公司</w:t>
      </w:r>
      <w:bookmarkEnd w:id="0"/>
      <w:bookmarkEnd w:id="1"/>
      <w:bookmarkStart w:id="2" w:name="_Toc3575"/>
      <w:bookmarkStart w:id="3" w:name="_Toc7601"/>
    </w:p>
    <w:p>
      <w:pPr>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2025年度激光、甲烷检漏仪采购项目</w:t>
      </w:r>
    </w:p>
    <w:p>
      <w:pPr>
        <w:rPr>
          <w:rFonts w:hint="eastAsia"/>
          <w:color w:val="auto"/>
        </w:rPr>
      </w:pPr>
    </w:p>
    <w:p>
      <w:pPr>
        <w:rPr>
          <w:rFonts w:hint="eastAsia"/>
          <w:color w:val="auto"/>
        </w:rPr>
      </w:pPr>
    </w:p>
    <w:p>
      <w:pPr>
        <w:rPr>
          <w:rFonts w:hint="eastAsia"/>
          <w:color w:val="auto"/>
        </w:rPr>
      </w:pPr>
    </w:p>
    <w:p>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pPr>
        <w:jc w:val="center"/>
        <w:outlineLvl w:val="0"/>
        <w:rPr>
          <w:rFonts w:hint="eastAsia" w:ascii="仿宋" w:hAnsi="仿宋" w:eastAsia="仿宋" w:cs="仿宋"/>
          <w:b/>
          <w:color w:val="auto"/>
          <w:sz w:val="52"/>
          <w:szCs w:val="52"/>
          <w:highlight w:val="none"/>
        </w:rPr>
      </w:pPr>
      <w:bookmarkStart w:id="4" w:name="_Toc16074"/>
      <w:bookmarkStart w:id="5" w:name="_Toc31318"/>
      <w:r>
        <w:rPr>
          <w:rFonts w:hint="eastAsia" w:ascii="仿宋" w:hAnsi="仿宋" w:eastAsia="仿宋" w:cs="仿宋"/>
          <w:b/>
          <w:color w:val="auto"/>
          <w:sz w:val="52"/>
          <w:szCs w:val="52"/>
          <w:highlight w:val="none"/>
        </w:rPr>
        <w:t>价</w:t>
      </w:r>
      <w:bookmarkEnd w:id="4"/>
      <w:bookmarkEnd w:id="5"/>
    </w:p>
    <w:p>
      <w:pPr>
        <w:jc w:val="center"/>
        <w:outlineLvl w:val="0"/>
        <w:rPr>
          <w:rFonts w:hint="eastAsia" w:ascii="仿宋" w:hAnsi="仿宋" w:eastAsia="仿宋" w:cs="仿宋"/>
          <w:b/>
          <w:color w:val="auto"/>
          <w:sz w:val="52"/>
          <w:szCs w:val="52"/>
          <w:highlight w:val="none"/>
        </w:rPr>
      </w:pPr>
      <w:bookmarkStart w:id="6" w:name="_Toc31929"/>
      <w:bookmarkStart w:id="7" w:name="_Toc7946"/>
      <w:r>
        <w:rPr>
          <w:rFonts w:hint="eastAsia" w:ascii="仿宋" w:hAnsi="仿宋" w:eastAsia="仿宋" w:cs="仿宋"/>
          <w:b/>
          <w:color w:val="auto"/>
          <w:sz w:val="52"/>
          <w:szCs w:val="52"/>
          <w:highlight w:val="none"/>
        </w:rPr>
        <w:t>文</w:t>
      </w:r>
      <w:bookmarkEnd w:id="6"/>
      <w:bookmarkEnd w:id="7"/>
    </w:p>
    <w:p>
      <w:pPr>
        <w:jc w:val="center"/>
        <w:outlineLvl w:val="0"/>
        <w:rPr>
          <w:rFonts w:hint="eastAsia" w:ascii="仿宋" w:hAnsi="仿宋" w:eastAsia="仿宋" w:cs="仿宋"/>
          <w:b/>
          <w:color w:val="auto"/>
          <w:sz w:val="52"/>
          <w:szCs w:val="52"/>
          <w:highlight w:val="none"/>
        </w:rPr>
      </w:pPr>
      <w:bookmarkStart w:id="8" w:name="_Toc15118"/>
      <w:bookmarkStart w:id="9" w:name="_Toc30351"/>
      <w:r>
        <w:rPr>
          <w:rFonts w:hint="eastAsia" w:ascii="仿宋" w:hAnsi="仿宋" w:eastAsia="仿宋" w:cs="仿宋"/>
          <w:b/>
          <w:color w:val="auto"/>
          <w:sz w:val="52"/>
          <w:szCs w:val="52"/>
          <w:highlight w:val="none"/>
        </w:rPr>
        <w:t>件</w:t>
      </w:r>
      <w:bookmarkEnd w:id="8"/>
      <w:bookmarkEnd w:id="9"/>
    </w:p>
    <w:p>
      <w:pPr>
        <w:pStyle w:val="12"/>
        <w:rPr>
          <w:rFonts w:hint="eastAsia" w:ascii="仿宋" w:hAnsi="仿宋" w:eastAsia="仿宋" w:cs="仿宋"/>
          <w:b/>
          <w:bCs/>
          <w:color w:val="auto"/>
          <w:sz w:val="48"/>
          <w:szCs w:val="48"/>
          <w:highlight w:val="none"/>
          <w:u w:val="single"/>
        </w:rPr>
      </w:pPr>
    </w:p>
    <w:p>
      <w:pPr>
        <w:pStyle w:val="12"/>
        <w:rPr>
          <w:rFonts w:hint="eastAsia" w:ascii="仿宋" w:hAnsi="仿宋" w:eastAsia="仿宋" w:cs="仿宋"/>
          <w:b/>
          <w:bCs/>
          <w:color w:val="auto"/>
          <w:sz w:val="48"/>
          <w:szCs w:val="48"/>
          <w:highlight w:val="none"/>
          <w:u w:val="single"/>
        </w:rPr>
      </w:pPr>
    </w:p>
    <w:p>
      <w:pPr>
        <w:pStyle w:val="13"/>
        <w:rPr>
          <w:rFonts w:hint="eastAsia"/>
          <w:color w:val="auto"/>
        </w:rPr>
      </w:pPr>
    </w:p>
    <w:p>
      <w:pPr>
        <w:pStyle w:val="12"/>
        <w:rPr>
          <w:rFonts w:hint="eastAsia" w:ascii="仿宋" w:hAnsi="仿宋" w:eastAsia="仿宋" w:cs="仿宋"/>
          <w:b/>
          <w:bCs/>
          <w:color w:val="auto"/>
          <w:sz w:val="48"/>
          <w:szCs w:val="48"/>
          <w:highlight w:val="none"/>
          <w:u w:val="single"/>
        </w:rPr>
      </w:pPr>
    </w:p>
    <w:p>
      <w:pPr>
        <w:jc w:val="center"/>
        <w:outlineLvl w:val="0"/>
        <w:rPr>
          <w:rFonts w:hint="eastAsia" w:ascii="仿宋" w:hAnsi="仿宋" w:eastAsia="仿宋" w:cs="仿宋"/>
          <w:b/>
          <w:bCs/>
          <w:color w:val="auto"/>
          <w:sz w:val="36"/>
          <w:szCs w:val="36"/>
          <w:highlight w:val="none"/>
          <w:lang w:eastAsia="zh-CN"/>
        </w:rPr>
      </w:pPr>
      <w:bookmarkStart w:id="10" w:name="_Toc17477"/>
      <w:bookmarkStart w:id="11" w:name="_Toc21987"/>
      <w:r>
        <w:rPr>
          <w:rFonts w:hint="eastAsia" w:ascii="仿宋" w:hAnsi="仿宋" w:eastAsia="仿宋" w:cs="仿宋"/>
          <w:b/>
          <w:bCs/>
          <w:color w:val="auto"/>
          <w:sz w:val="36"/>
          <w:szCs w:val="36"/>
          <w:highlight w:val="none"/>
          <w:lang w:val="en-US" w:eastAsia="zh-CN"/>
        </w:rPr>
        <w:t>询价人：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pPr>
        <w:jc w:val="center"/>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2025年2月25日</w:t>
      </w:r>
    </w:p>
    <w:p>
      <w:pPr>
        <w:rPr>
          <w:rStyle w:val="27"/>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pPr>
        <w:numPr>
          <w:ilvl w:val="-1"/>
          <w:numId w:val="0"/>
        </w:numPr>
        <w:jc w:val="center"/>
        <w:outlineLvl w:val="0"/>
        <w:rPr>
          <w:rStyle w:val="27"/>
          <w:rFonts w:hint="eastAsia" w:ascii="仿宋" w:hAnsi="仿宋" w:eastAsia="仿宋" w:cs="仿宋"/>
          <w:b/>
          <w:color w:val="auto"/>
          <w:sz w:val="36"/>
          <w:szCs w:val="36"/>
          <w:highlight w:val="none"/>
        </w:rPr>
      </w:pPr>
      <w:bookmarkStart w:id="12" w:name="_Toc24043"/>
      <w:bookmarkStart w:id="13" w:name="_Toc18742"/>
      <w:bookmarkStart w:id="14" w:name="_Toc10940"/>
      <w:r>
        <w:rPr>
          <w:rStyle w:val="27"/>
          <w:rFonts w:hint="eastAsia" w:ascii="仿宋" w:hAnsi="仿宋" w:eastAsia="仿宋" w:cs="仿宋"/>
          <w:b/>
          <w:color w:val="auto"/>
          <w:sz w:val="36"/>
          <w:szCs w:val="36"/>
          <w:highlight w:val="none"/>
          <w:lang w:val="en-US" w:eastAsia="zh-CN"/>
        </w:rPr>
        <w:t>第一部分、</w:t>
      </w:r>
      <w:r>
        <w:rPr>
          <w:rStyle w:val="27"/>
          <w:rFonts w:hint="eastAsia" w:ascii="仿宋" w:hAnsi="仿宋" w:eastAsia="仿宋" w:cs="仿宋"/>
          <w:b/>
          <w:color w:val="auto"/>
          <w:sz w:val="36"/>
          <w:szCs w:val="36"/>
          <w:highlight w:val="none"/>
        </w:rPr>
        <w:t>询价公告</w:t>
      </w:r>
      <w:bookmarkEnd w:id="12"/>
      <w:bookmarkEnd w:id="13"/>
      <w:bookmarkEnd w:id="14"/>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7"/>
          <w:rFonts w:hint="eastAsia" w:ascii="仿宋" w:hAnsi="仿宋" w:eastAsia="仿宋" w:cs="仿宋"/>
          <w:color w:val="auto"/>
          <w:sz w:val="24"/>
          <w:szCs w:val="24"/>
          <w:highlight w:val="none"/>
          <w:lang w:val="en-US" w:eastAsia="zh-CN"/>
        </w:rPr>
      </w:pPr>
      <w:bookmarkStart w:id="15" w:name="_Toc11086"/>
      <w:r>
        <w:rPr>
          <w:rStyle w:val="24"/>
          <w:rFonts w:hint="eastAsia" w:ascii="仿宋" w:hAnsi="仿宋" w:eastAsia="仿宋" w:cs="仿宋"/>
          <w:color w:val="auto"/>
          <w:kern w:val="0"/>
          <w:sz w:val="24"/>
          <w:szCs w:val="24"/>
          <w:highlight w:val="none"/>
          <w:lang w:val="en-US" w:eastAsia="zh-CN" w:bidi="ar-SA"/>
        </w:rPr>
        <w:t>一、询价人：</w:t>
      </w:r>
      <w:r>
        <w:rPr>
          <w:rStyle w:val="27"/>
          <w:rFonts w:hint="eastAsia" w:ascii="仿宋" w:hAnsi="仿宋" w:eastAsia="仿宋" w:cs="仿宋"/>
          <w:color w:val="auto"/>
          <w:sz w:val="24"/>
          <w:szCs w:val="24"/>
          <w:highlight w:val="none"/>
          <w:lang w:val="en-US" w:eastAsia="zh-CN"/>
        </w:rPr>
        <w:t>杭州市能源集团工程科技有限公司</w:t>
      </w:r>
      <w:bookmarkEnd w:id="15"/>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7"/>
          <w:rFonts w:hint="eastAsia" w:ascii="仿宋" w:hAnsi="仿宋" w:eastAsia="仿宋" w:cs="仿宋"/>
          <w:color w:val="auto"/>
          <w:sz w:val="24"/>
          <w:szCs w:val="24"/>
          <w:highlight w:val="none"/>
          <w:lang w:val="en-US" w:eastAsia="zh-CN"/>
        </w:rPr>
      </w:pPr>
      <w:r>
        <w:rPr>
          <w:rStyle w:val="27"/>
          <w:rFonts w:hint="eastAsia" w:ascii="仿宋" w:hAnsi="仿宋" w:eastAsia="仿宋" w:cs="仿宋"/>
          <w:color w:val="auto"/>
          <w:sz w:val="24"/>
          <w:szCs w:val="24"/>
          <w:highlight w:val="none"/>
          <w:lang w:val="en-US" w:eastAsia="zh-CN"/>
        </w:rPr>
        <w:t>二、</w:t>
      </w:r>
      <w:r>
        <w:rPr>
          <w:rStyle w:val="24"/>
          <w:rFonts w:hint="eastAsia" w:ascii="仿宋" w:hAnsi="仿宋" w:eastAsia="仿宋" w:cs="仿宋"/>
          <w:color w:val="auto"/>
          <w:kern w:val="0"/>
          <w:sz w:val="24"/>
          <w:szCs w:val="24"/>
          <w:highlight w:val="none"/>
          <w:lang w:val="en-US" w:eastAsia="zh-CN" w:bidi="ar-SA"/>
        </w:rPr>
        <w:t>项目名称</w:t>
      </w:r>
      <w:r>
        <w:rPr>
          <w:rStyle w:val="27"/>
          <w:rFonts w:hint="eastAsia" w:ascii="仿宋" w:hAnsi="仿宋" w:eastAsia="仿宋" w:cs="仿宋"/>
          <w:color w:val="auto"/>
          <w:sz w:val="24"/>
          <w:szCs w:val="24"/>
          <w:highlight w:val="none"/>
          <w:lang w:val="en-US" w:eastAsia="zh-CN"/>
        </w:rPr>
        <w:t>：2025年度激光、甲烷检漏仪采购项目</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4"/>
          <w:rFonts w:hint="default" w:ascii="仿宋" w:hAnsi="仿宋" w:eastAsia="仿宋" w:cs="仿宋"/>
          <w:color w:val="auto"/>
          <w:kern w:val="0"/>
          <w:sz w:val="24"/>
          <w:szCs w:val="24"/>
          <w:highlight w:val="none"/>
          <w:lang w:val="en-US" w:eastAsia="zh-CN" w:bidi="ar-SA"/>
        </w:rPr>
      </w:pPr>
      <w:r>
        <w:rPr>
          <w:rStyle w:val="24"/>
          <w:rFonts w:hint="eastAsia" w:ascii="仿宋" w:hAnsi="仿宋" w:eastAsia="仿宋" w:cs="仿宋"/>
          <w:color w:val="auto"/>
          <w:kern w:val="0"/>
          <w:sz w:val="24"/>
          <w:szCs w:val="24"/>
          <w:highlight w:val="none"/>
          <w:lang w:val="en-US" w:eastAsia="zh-CN" w:bidi="ar-SA"/>
        </w:rPr>
        <w:t>三、项目编号：</w:t>
      </w:r>
      <w:r>
        <w:rPr>
          <w:rStyle w:val="24"/>
          <w:rFonts w:hint="eastAsia" w:ascii="仿宋" w:hAnsi="仿宋" w:eastAsia="仿宋" w:cs="仿宋"/>
          <w:b w:val="0"/>
          <w:bCs/>
          <w:color w:val="auto"/>
          <w:kern w:val="0"/>
          <w:sz w:val="24"/>
          <w:szCs w:val="24"/>
          <w:highlight w:val="none"/>
          <w:lang w:val="en-US" w:eastAsia="zh-CN" w:bidi="ar-SA"/>
        </w:rPr>
        <w:t>GKXJ202502006</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7"/>
          <w:rFonts w:hint="eastAsia" w:ascii="仿宋" w:hAnsi="仿宋" w:eastAsia="仿宋" w:cs="仿宋"/>
          <w:color w:val="auto"/>
          <w:sz w:val="24"/>
          <w:szCs w:val="24"/>
          <w:highlight w:val="none"/>
          <w:lang w:val="en-US" w:eastAsia="zh-CN"/>
        </w:rPr>
      </w:pPr>
      <w:r>
        <w:rPr>
          <w:rStyle w:val="27"/>
          <w:rFonts w:hint="eastAsia" w:ascii="仿宋" w:hAnsi="仿宋" w:eastAsia="仿宋" w:cs="仿宋"/>
          <w:color w:val="auto"/>
          <w:sz w:val="24"/>
          <w:szCs w:val="24"/>
          <w:highlight w:val="none"/>
          <w:lang w:val="en-US" w:eastAsia="zh-CN"/>
        </w:rPr>
        <w:t>四、</w:t>
      </w:r>
      <w:r>
        <w:rPr>
          <w:rStyle w:val="24"/>
          <w:rFonts w:hint="eastAsia" w:ascii="仿宋" w:hAnsi="仿宋" w:eastAsia="仿宋" w:cs="仿宋"/>
          <w:color w:val="auto"/>
          <w:kern w:val="0"/>
          <w:sz w:val="24"/>
          <w:szCs w:val="24"/>
          <w:highlight w:val="none"/>
          <w:lang w:val="en-US" w:eastAsia="zh-CN" w:bidi="ar-SA"/>
        </w:rPr>
        <w:t>采购方式</w:t>
      </w:r>
      <w:r>
        <w:rPr>
          <w:rStyle w:val="27"/>
          <w:rFonts w:hint="eastAsia" w:ascii="仿宋" w:hAnsi="仿宋" w:eastAsia="仿宋" w:cs="仿宋"/>
          <w:color w:val="auto"/>
          <w:sz w:val="24"/>
          <w:szCs w:val="24"/>
          <w:highlight w:val="none"/>
          <w:lang w:val="en-US" w:eastAsia="zh-CN"/>
        </w:rPr>
        <w:t>：公开询价</w:t>
      </w:r>
      <w:bookmarkStart w:id="16" w:name="_Toc16380"/>
      <w:bookmarkStart w:id="17" w:name="_Toc5187"/>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Fonts w:hint="eastAsia" w:ascii="仿宋" w:hAnsi="仿宋" w:eastAsia="仿宋" w:cs="仿宋"/>
          <w:color w:val="auto"/>
          <w:sz w:val="24"/>
          <w:szCs w:val="24"/>
          <w:highlight w:val="none"/>
          <w:lang w:val="en-US" w:eastAsia="zh-CN"/>
        </w:rPr>
      </w:pPr>
      <w:r>
        <w:rPr>
          <w:rStyle w:val="27"/>
          <w:rFonts w:hint="eastAsia" w:ascii="仿宋" w:hAnsi="仿宋" w:eastAsia="仿宋" w:cs="仿宋"/>
          <w:color w:val="auto"/>
          <w:sz w:val="24"/>
          <w:szCs w:val="24"/>
          <w:highlight w:val="none"/>
          <w:lang w:val="en-US" w:eastAsia="zh-CN"/>
        </w:rPr>
        <w:t>五、</w:t>
      </w:r>
      <w:r>
        <w:rPr>
          <w:rStyle w:val="24"/>
          <w:rFonts w:hint="eastAsia" w:ascii="仿宋" w:hAnsi="仿宋" w:eastAsia="仿宋" w:cs="仿宋"/>
          <w:color w:val="auto"/>
          <w:kern w:val="0"/>
          <w:sz w:val="24"/>
          <w:szCs w:val="24"/>
          <w:highlight w:val="none"/>
          <w:lang w:val="en-US" w:eastAsia="zh-CN" w:bidi="ar-SA"/>
        </w:rPr>
        <w:t>采购内容</w:t>
      </w:r>
      <w:r>
        <w:rPr>
          <w:rStyle w:val="27"/>
          <w:rFonts w:hint="eastAsia" w:ascii="仿宋" w:hAnsi="仿宋" w:eastAsia="仿宋" w:cs="仿宋"/>
          <w:color w:val="auto"/>
          <w:sz w:val="24"/>
          <w:szCs w:val="24"/>
          <w:highlight w:val="none"/>
          <w:lang w:val="en-US" w:eastAsia="zh-CN"/>
        </w:rPr>
        <w:t>：</w:t>
      </w:r>
      <w:bookmarkEnd w:id="16"/>
      <w:bookmarkEnd w:id="17"/>
      <w:r>
        <w:rPr>
          <w:rStyle w:val="27"/>
          <w:rFonts w:hint="eastAsia" w:ascii="仿宋" w:hAnsi="仿宋" w:eastAsia="仿宋" w:cs="仿宋"/>
          <w:color w:val="auto"/>
          <w:sz w:val="24"/>
          <w:szCs w:val="24"/>
          <w:highlight w:val="none"/>
          <w:lang w:val="en-US" w:eastAsia="zh-CN"/>
        </w:rPr>
        <w:t>检漏仪的供货、包装运输、保险、装车</w:t>
      </w:r>
      <w:r>
        <w:rPr>
          <w:rFonts w:hint="eastAsia" w:ascii="仿宋" w:hAnsi="仿宋" w:eastAsia="仿宋" w:cs="仿宋"/>
          <w:color w:val="auto"/>
          <w:sz w:val="24"/>
          <w:szCs w:val="24"/>
          <w:highlight w:val="none"/>
          <w:lang w:val="en-US" w:eastAsia="zh-CN"/>
        </w:rPr>
        <w:t>、验收、售后及质保服务。</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标的物一览表</w:t>
      </w:r>
    </w:p>
    <w:tbl>
      <w:tblPr>
        <w:tblStyle w:val="21"/>
        <w:tblW w:w="10478" w:type="dxa"/>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500"/>
        <w:gridCol w:w="3886"/>
        <w:gridCol w:w="682"/>
        <w:gridCol w:w="709"/>
        <w:gridCol w:w="1150"/>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物资名称</w:t>
            </w:r>
          </w:p>
        </w:tc>
        <w:tc>
          <w:tcPr>
            <w:tcW w:w="38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default" w:ascii="仿宋" w:hAnsi="仿宋" w:eastAsia="仿宋" w:cs="仿宋"/>
                <w:b/>
                <w:bCs/>
                <w:i w:val="0"/>
                <w:iCs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具体参数</w:t>
            </w:r>
          </w:p>
        </w:tc>
        <w:tc>
          <w:tcPr>
            <w:tcW w:w="68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11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单价限价（元/台）</w:t>
            </w:r>
          </w:p>
        </w:tc>
        <w:tc>
          <w:tcPr>
            <w:tcW w:w="18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default"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09" w:type="dxa"/>
            <w:tcBorders>
              <w:top w:val="single" w:color="auto" w:sz="4" w:space="0"/>
              <w:left w:val="single" w:color="auto" w:sz="4" w:space="0"/>
              <w:bottom w:val="single" w:color="auto" w:sz="4" w:space="0"/>
              <w:right w:val="single" w:color="000000"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w:t>
            </w:r>
          </w:p>
        </w:tc>
        <w:tc>
          <w:tcPr>
            <w:tcW w:w="1500" w:type="dxa"/>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激光检漏仪</w:t>
            </w:r>
          </w:p>
        </w:tc>
        <w:tc>
          <w:tcPr>
            <w:tcW w:w="3886" w:type="dxa"/>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▲(1)适用于测量甲烷(CH4)及含甲烷成分的气体；</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▲(2)测量原理:可调谐激光吸收光谱(TDLAS)；</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▲(3)测量范围:0-99999ppm.m；</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▲(4)灵敏度:大于等于5ppm*m；</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▲(5)遥距检测距离:大于等于30m；</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▲(6)响应速度:</w:t>
            </w:r>
            <w:bookmarkStart w:id="18" w:name="OLE_LINK1"/>
            <w:r>
              <w:rPr>
                <w:rStyle w:val="27"/>
                <w:rFonts w:hint="eastAsia" w:ascii="仿宋" w:hAnsi="仿宋" w:eastAsia="仿宋" w:cs="仿宋"/>
                <w:color w:val="auto"/>
                <w:kern w:val="0"/>
                <w:sz w:val="24"/>
                <w:szCs w:val="24"/>
                <w:highlight w:val="none"/>
                <w:lang w:val="en-US" w:eastAsia="zh-CN" w:bidi="ar-SA"/>
              </w:rPr>
              <w:t>≤</w:t>
            </w:r>
            <w:bookmarkEnd w:id="18"/>
            <w:r>
              <w:rPr>
                <w:rStyle w:val="27"/>
                <w:rFonts w:hint="eastAsia" w:ascii="仿宋" w:hAnsi="仿宋" w:eastAsia="仿宋" w:cs="仿宋"/>
                <w:color w:val="auto"/>
                <w:kern w:val="0"/>
                <w:sz w:val="24"/>
                <w:szCs w:val="24"/>
                <w:highlight w:val="none"/>
                <w:lang w:val="en-US" w:eastAsia="zh-CN" w:bidi="ar-SA"/>
              </w:rPr>
              <w:t>0.1s；</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(7)仪器重量(含电池):0.3kg；</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(8)供电与续航:可充电锂离子电池，使用时间 8h；</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(9)尺寸:140mm*70mm*30mm；</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(10)外壳防护等级:大于等于IP65；</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(11)工作温度:-25℃~+50℃；</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(12)工作湿度:&lt;90%RH，无冷凝；</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(13)防爆等级:Exib IIC T4 Gb；</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(14)检测激光:Class I人眼安全；</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Fonts w:hint="default" w:ascii="仿宋" w:hAnsi="仿宋" w:eastAsia="仿宋" w:cs="仿宋"/>
                <w:i w:val="0"/>
                <w:iCs w:val="0"/>
                <w:color w:val="auto"/>
                <w:sz w:val="20"/>
                <w:szCs w:val="20"/>
                <w:highlight w:val="none"/>
                <w:u w:val="none"/>
                <w:lang w:val="en-US" w:eastAsia="zh-CN"/>
              </w:rPr>
            </w:pPr>
            <w:r>
              <w:rPr>
                <w:rStyle w:val="27"/>
                <w:rFonts w:hint="eastAsia" w:ascii="仿宋" w:hAnsi="仿宋" w:eastAsia="仿宋" w:cs="仿宋"/>
                <w:color w:val="auto"/>
                <w:kern w:val="0"/>
                <w:sz w:val="24"/>
                <w:szCs w:val="24"/>
                <w:highlight w:val="none"/>
                <w:lang w:val="en-US" w:eastAsia="zh-CN" w:bidi="ar-SA"/>
              </w:rPr>
              <w:t>(15)指示激光:Class HR不可直视；</w:t>
            </w:r>
          </w:p>
        </w:tc>
        <w:tc>
          <w:tcPr>
            <w:tcW w:w="682" w:type="dxa"/>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台</w:t>
            </w:r>
          </w:p>
        </w:tc>
        <w:tc>
          <w:tcPr>
            <w:tcW w:w="709" w:type="dxa"/>
            <w:tcBorders>
              <w:top w:val="single" w:color="auto" w:sz="4" w:space="0"/>
              <w:left w:val="single" w:color="000000"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center"/>
              <w:textAlignment w:val="center"/>
              <w:rPr>
                <w:rStyle w:val="27"/>
                <w:rFonts w:hint="default"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10</w:t>
            </w:r>
          </w:p>
        </w:tc>
        <w:tc>
          <w:tcPr>
            <w:tcW w:w="11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center"/>
              <w:textAlignment w:val="center"/>
              <w:rPr>
                <w:rStyle w:val="27"/>
                <w:rFonts w:hint="default"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15790</w:t>
            </w:r>
          </w:p>
        </w:tc>
        <w:tc>
          <w:tcPr>
            <w:tcW w:w="184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default"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1、提供样品各一台及产品说明书一份，未中标单位的样品自行领回，中标单位的样品作为货品由需方购买。</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Fonts w:hint="default" w:ascii="仿宋" w:hAnsi="仿宋" w:eastAsia="宋体" w:cs="仿宋"/>
                <w:i w:val="0"/>
                <w:iCs w:val="0"/>
                <w:color w:val="auto"/>
                <w:sz w:val="20"/>
                <w:szCs w:val="20"/>
                <w:highlight w:val="none"/>
                <w:u w:val="none"/>
                <w:lang w:val="en-US" w:eastAsia="zh-CN"/>
              </w:rPr>
            </w:pPr>
            <w:r>
              <w:rPr>
                <w:rStyle w:val="27"/>
                <w:rFonts w:hint="eastAsia" w:ascii="仿宋" w:hAnsi="仿宋" w:eastAsia="仿宋" w:cs="仿宋"/>
                <w:color w:val="auto"/>
                <w:kern w:val="0"/>
                <w:sz w:val="24"/>
                <w:szCs w:val="24"/>
                <w:highlight w:val="none"/>
                <w:lang w:val="en-US" w:eastAsia="zh-CN" w:bidi="ar-SA"/>
              </w:rPr>
              <w:t>2、标▲的参数是实质性参数，必须满足，否则作废标处理。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709"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w:t>
            </w:r>
          </w:p>
        </w:tc>
        <w:tc>
          <w:tcPr>
            <w:tcW w:w="1500"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甲烷检测仪</w:t>
            </w:r>
          </w:p>
        </w:tc>
        <w:tc>
          <w:tcPr>
            <w:tcW w:w="38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▲（1）响应速度:</w:t>
            </w:r>
            <w:bookmarkStart w:id="19" w:name="OLE_LINK3"/>
            <w:r>
              <w:rPr>
                <w:rStyle w:val="27"/>
                <w:rFonts w:hint="eastAsia" w:ascii="仿宋" w:hAnsi="仿宋" w:eastAsia="仿宋" w:cs="仿宋"/>
                <w:color w:val="auto"/>
                <w:kern w:val="0"/>
                <w:sz w:val="24"/>
                <w:szCs w:val="24"/>
                <w:highlight w:val="none"/>
                <w:lang w:val="en-US" w:eastAsia="zh-CN" w:bidi="ar-SA"/>
              </w:rPr>
              <w:t>T90≤</w:t>
            </w:r>
            <w:bookmarkEnd w:id="19"/>
            <w:r>
              <w:rPr>
                <w:rStyle w:val="27"/>
                <w:rFonts w:hint="eastAsia" w:ascii="仿宋" w:hAnsi="仿宋" w:eastAsia="仿宋" w:cs="仿宋"/>
                <w:color w:val="auto"/>
                <w:kern w:val="0"/>
                <w:sz w:val="24"/>
                <w:szCs w:val="24"/>
                <w:highlight w:val="none"/>
                <w:lang w:val="en-US" w:eastAsia="zh-CN" w:bidi="ar-SA"/>
              </w:rPr>
              <w:t>20s；</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（2）外壳防护等级:大于等于IP65；</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（3）防爆等级:Exib IICT3X及以上并提供防爆认证；</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▲（4）检测精度:≤±3%F.S、高精度≤±1%F.S；</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▲（5）检测量程:0-100%LEL或0-10000PPM；</w:t>
            </w:r>
          </w:p>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both"/>
              <w:textAlignment w:val="center"/>
              <w:rPr>
                <w:rFonts w:hint="default"/>
                <w:lang w:val="en-US" w:eastAsia="zh-CN"/>
              </w:rPr>
            </w:pPr>
            <w:r>
              <w:rPr>
                <w:rStyle w:val="27"/>
                <w:rFonts w:hint="eastAsia" w:ascii="仿宋" w:hAnsi="仿宋" w:eastAsia="仿宋" w:cs="仿宋"/>
                <w:color w:val="auto"/>
                <w:kern w:val="0"/>
                <w:sz w:val="24"/>
                <w:szCs w:val="24"/>
                <w:highlight w:val="none"/>
                <w:lang w:val="en-US" w:eastAsia="zh-CN" w:bidi="ar-SA"/>
              </w:rPr>
              <w:t>▲（6）其中8台甲烷检漏仪需配置天鹅颈，1台甲烷检漏仪需配置不锈钢采样手柄，配套的软管长度需大于0.5米。</w:t>
            </w:r>
          </w:p>
        </w:tc>
        <w:tc>
          <w:tcPr>
            <w:tcW w:w="682"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台</w:t>
            </w:r>
          </w:p>
        </w:tc>
        <w:tc>
          <w:tcPr>
            <w:tcW w:w="709" w:type="dxa"/>
            <w:tcBorders>
              <w:top w:val="single" w:color="auto" w:sz="4" w:space="0"/>
              <w:left w:val="single" w:color="000000" w:sz="4" w:space="0"/>
              <w:bottom w:val="single" w:color="000000"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center"/>
              <w:textAlignment w:val="center"/>
              <w:rPr>
                <w:rStyle w:val="27"/>
                <w:rFonts w:hint="default"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9</w:t>
            </w:r>
          </w:p>
        </w:tc>
        <w:tc>
          <w:tcPr>
            <w:tcW w:w="115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overflowPunct/>
              <w:topLinePunct w:val="0"/>
              <w:autoSpaceDE/>
              <w:autoSpaceDN/>
              <w:bidi w:val="0"/>
              <w:adjustRightInd/>
              <w:spacing w:line="288" w:lineRule="auto"/>
              <w:ind w:left="0" w:leftChars="0" w:firstLine="0" w:firstLineChars="0"/>
              <w:jc w:val="center"/>
              <w:textAlignment w:val="center"/>
              <w:rPr>
                <w:rStyle w:val="27"/>
                <w:rFonts w:hint="default"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2600</w:t>
            </w:r>
          </w:p>
        </w:tc>
        <w:tc>
          <w:tcPr>
            <w:tcW w:w="1842"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仿宋" w:hAnsi="仿宋" w:eastAsia="仿宋" w:cs="仿宋"/>
                <w:i w:val="0"/>
                <w:iCs w:val="0"/>
                <w:color w:val="auto"/>
                <w:sz w:val="20"/>
                <w:szCs w:val="20"/>
                <w:highlight w:val="none"/>
                <w:u w:val="none"/>
                <w:lang w:val="en-US" w:eastAsia="zh-CN"/>
              </w:rPr>
            </w:pPr>
          </w:p>
        </w:tc>
      </w:tr>
    </w:tbl>
    <w:p>
      <w:pPr>
        <w:keepNext w:val="0"/>
        <w:keepLines w:val="0"/>
        <w:pageBreakBefore w:val="0"/>
        <w:kinsoku/>
        <w:wordWrap w:val="0"/>
        <w:overflowPunct/>
        <w:topLinePunct w:val="0"/>
        <w:autoSpaceDE/>
        <w:autoSpaceDN/>
        <w:bidi w:val="0"/>
        <w:adjustRightInd/>
        <w:spacing w:line="288" w:lineRule="auto"/>
        <w:textAlignment w:val="auto"/>
        <w:outlineLvl w:val="1"/>
        <w:rPr>
          <w:rFonts w:hint="eastAsia" w:ascii="仿宋" w:hAnsi="仿宋" w:eastAsia="仿宋" w:cs="仿宋"/>
          <w:b/>
          <w:bCs/>
          <w:color w:val="auto"/>
          <w:sz w:val="24"/>
          <w:szCs w:val="24"/>
          <w:highlight w:val="none"/>
        </w:rPr>
      </w:pPr>
      <w:bookmarkStart w:id="20" w:name="_Toc1965"/>
      <w:bookmarkStart w:id="21" w:name="_Toc1427"/>
      <w:bookmarkStart w:id="22" w:name="_Toc11175"/>
      <w:bookmarkStart w:id="23" w:name="_Toc10372"/>
      <w:r>
        <w:rPr>
          <w:rFonts w:hint="eastAsia" w:ascii="仿宋" w:hAnsi="仿宋" w:eastAsia="仿宋" w:cs="仿宋"/>
          <w:b/>
          <w:color w:val="auto"/>
          <w:sz w:val="24"/>
          <w:highlight w:val="none"/>
          <w:lang w:val="en-US" w:eastAsia="zh-CN"/>
        </w:rPr>
        <w:t>六、</w:t>
      </w:r>
      <w:bookmarkEnd w:id="20"/>
      <w:bookmarkStart w:id="24" w:name="_Toc11385"/>
      <w:bookmarkStart w:id="25" w:name="_Toc5881"/>
      <w:r>
        <w:rPr>
          <w:rFonts w:hint="eastAsia" w:ascii="仿宋" w:hAnsi="仿宋" w:eastAsia="仿宋" w:cs="仿宋"/>
          <w:b/>
          <w:bCs/>
          <w:color w:val="auto"/>
          <w:sz w:val="24"/>
          <w:szCs w:val="24"/>
          <w:highlight w:val="none"/>
        </w:rPr>
        <w:t>报价要求：</w:t>
      </w:r>
      <w:bookmarkEnd w:id="24"/>
      <w:bookmarkEnd w:id="25"/>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highlight w:val="none"/>
          <w:lang w:val="en-US" w:eastAsia="zh-CN"/>
        </w:rPr>
        <w:t>货物（材料设备）</w:t>
      </w:r>
      <w:r>
        <w:rPr>
          <w:rFonts w:hint="eastAsia" w:ascii="仿宋" w:hAnsi="仿宋" w:eastAsia="仿宋" w:cs="仿宋"/>
          <w:color w:val="auto"/>
          <w:sz w:val="24"/>
          <w:highlight w:val="none"/>
        </w:rPr>
        <w:t>费、</w:t>
      </w: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运输费、</w:t>
      </w:r>
      <w:r>
        <w:rPr>
          <w:rFonts w:hint="eastAsia" w:ascii="仿宋" w:hAnsi="仿宋" w:eastAsia="仿宋" w:cs="仿宋"/>
          <w:color w:val="auto"/>
          <w:sz w:val="24"/>
          <w:highlight w:val="none"/>
          <w:lang w:val="en-US" w:eastAsia="zh-CN"/>
        </w:rPr>
        <w:t>运输保险费、装车费、运杂费、样品费、验收费、</w:t>
      </w:r>
      <w:r>
        <w:rPr>
          <w:rFonts w:hint="eastAsia" w:ascii="仿宋" w:hAnsi="仿宋" w:eastAsia="仿宋" w:cs="仿宋"/>
          <w:color w:val="auto"/>
          <w:sz w:val="24"/>
          <w:highlight w:val="none"/>
        </w:rPr>
        <w:t>质保费（含质保期内技术服务、所需的备品备件及专用工具）、售后服务费、技术支持费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3、供应商开具增值税专票。</w:t>
      </w:r>
    </w:p>
    <w:p>
      <w:pPr>
        <w:keepNext w:val="0"/>
        <w:keepLines w:val="0"/>
        <w:pageBreakBefore w:val="0"/>
        <w:kinsoku/>
        <w:wordWrap/>
        <w:overflowPunct/>
        <w:topLinePunct w:val="0"/>
        <w:autoSpaceDE/>
        <w:autoSpaceDN/>
        <w:bidi w:val="0"/>
        <w:adjustRightInd/>
        <w:snapToGrid w:val="0"/>
        <w:spacing w:line="288" w:lineRule="auto"/>
        <w:textAlignment w:val="auto"/>
        <w:outlineLvl w:val="1"/>
        <w:rPr>
          <w:rStyle w:val="24"/>
          <w:rFonts w:hint="eastAsia" w:ascii="仿宋" w:hAnsi="仿宋" w:eastAsia="仿宋" w:cs="仿宋"/>
          <w:color w:val="auto"/>
          <w:kern w:val="0"/>
          <w:sz w:val="24"/>
          <w:szCs w:val="24"/>
          <w:highlight w:val="none"/>
          <w:lang w:eastAsia="zh-CN"/>
        </w:rPr>
      </w:pPr>
      <w:r>
        <w:rPr>
          <w:rStyle w:val="24"/>
          <w:rFonts w:hint="eastAsia" w:ascii="仿宋" w:hAnsi="仿宋" w:eastAsia="仿宋" w:cs="仿宋"/>
          <w:color w:val="auto"/>
          <w:kern w:val="0"/>
          <w:sz w:val="24"/>
          <w:szCs w:val="24"/>
          <w:highlight w:val="none"/>
          <w:lang w:val="en-US" w:eastAsia="zh-CN"/>
        </w:rPr>
        <w:t>七</w:t>
      </w:r>
      <w:r>
        <w:rPr>
          <w:rStyle w:val="24"/>
          <w:rFonts w:hint="eastAsia" w:ascii="仿宋" w:hAnsi="仿宋" w:eastAsia="仿宋" w:cs="仿宋"/>
          <w:color w:val="auto"/>
          <w:kern w:val="0"/>
          <w:sz w:val="24"/>
          <w:szCs w:val="24"/>
          <w:highlight w:val="none"/>
        </w:rPr>
        <w:t>、</w:t>
      </w:r>
      <w:r>
        <w:rPr>
          <w:rStyle w:val="24"/>
          <w:rFonts w:hint="eastAsia" w:ascii="仿宋" w:hAnsi="仿宋" w:eastAsia="仿宋" w:cs="仿宋"/>
          <w:color w:val="auto"/>
          <w:kern w:val="0"/>
          <w:sz w:val="24"/>
          <w:szCs w:val="24"/>
          <w:highlight w:val="none"/>
          <w:lang w:eastAsia="zh-CN"/>
        </w:rPr>
        <w:t>供应商</w:t>
      </w:r>
      <w:r>
        <w:rPr>
          <w:rStyle w:val="24"/>
          <w:rFonts w:hint="eastAsia" w:ascii="仿宋" w:hAnsi="仿宋" w:eastAsia="仿宋" w:cs="仿宋"/>
          <w:color w:val="auto"/>
          <w:kern w:val="0"/>
          <w:sz w:val="24"/>
          <w:szCs w:val="24"/>
          <w:highlight w:val="none"/>
        </w:rPr>
        <w:t>资格条件</w:t>
      </w:r>
      <w:bookmarkEnd w:id="21"/>
      <w:r>
        <w:rPr>
          <w:rStyle w:val="24"/>
          <w:rFonts w:hint="eastAsia" w:ascii="仿宋" w:hAnsi="仿宋" w:eastAsia="仿宋" w:cs="仿宋"/>
          <w:color w:val="auto"/>
          <w:kern w:val="0"/>
          <w:sz w:val="24"/>
          <w:szCs w:val="24"/>
          <w:highlight w:val="none"/>
          <w:lang w:eastAsia="zh-CN"/>
        </w:rPr>
        <w:t>：</w:t>
      </w:r>
      <w:bookmarkEnd w:id="22"/>
      <w:bookmarkEnd w:id="23"/>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szCs w:val="24"/>
          <w:highlight w:val="none"/>
          <w:lang w:eastAsia="zh-CN"/>
        </w:rPr>
      </w:pPr>
      <w:bookmarkStart w:id="26" w:name="_Toc15144"/>
      <w:bookmarkStart w:id="27"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6"/>
      <w:r>
        <w:rPr>
          <w:rFonts w:hint="eastAsia" w:ascii="仿宋" w:hAnsi="仿宋" w:eastAsia="仿宋" w:cs="仿宋"/>
          <w:color w:val="auto"/>
          <w:sz w:val="24"/>
          <w:szCs w:val="24"/>
          <w:highlight w:val="none"/>
          <w:lang w:eastAsia="zh-CN"/>
        </w:rPr>
        <w:t>具有独立承担民事责任能力的供应商；</w:t>
      </w:r>
      <w:bookmarkEnd w:id="27"/>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88"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bookmarkStart w:id="28" w:name="_Toc27642"/>
      <w:r>
        <w:rPr>
          <w:rFonts w:hint="eastAsia" w:ascii="仿宋" w:hAnsi="仿宋" w:eastAsia="仿宋" w:cs="仿宋"/>
          <w:color w:val="auto"/>
          <w:sz w:val="24"/>
          <w:szCs w:val="24"/>
          <w:highlight w:val="none"/>
          <w:lang w:val="en-US" w:eastAsia="zh-CN"/>
        </w:rPr>
        <w:t>3、不接受联合体应价。</w:t>
      </w:r>
      <w:bookmarkEnd w:id="28"/>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1、采用最低总价（除税价）方式确定成交供应商。（除税价精确到小数点后两位）。</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3、本货物最高含税总价限价为181300元，</w:t>
      </w:r>
      <w:r>
        <w:rPr>
          <w:rFonts w:hint="eastAsia" w:ascii="仿宋" w:hAnsi="仿宋" w:eastAsia="仿宋" w:cs="仿宋"/>
          <w:color w:val="auto"/>
          <w:sz w:val="24"/>
        </w:rPr>
        <w:t>超过</w:t>
      </w:r>
      <w:r>
        <w:rPr>
          <w:rFonts w:hint="eastAsia" w:ascii="仿宋" w:hAnsi="仿宋" w:eastAsia="仿宋" w:cs="仿宋"/>
          <w:color w:val="auto"/>
          <w:sz w:val="24"/>
          <w:lang w:val="en-US" w:eastAsia="zh-CN"/>
        </w:rPr>
        <w:t>总价限价和单价限价</w:t>
      </w:r>
      <w:r>
        <w:rPr>
          <w:rFonts w:hint="eastAsia" w:ascii="仿宋" w:hAnsi="仿宋" w:eastAsia="仿宋" w:cs="仿宋"/>
          <w:color w:val="auto"/>
          <w:sz w:val="24"/>
        </w:rPr>
        <w:t>的应价文件</w:t>
      </w:r>
      <w:r>
        <w:rPr>
          <w:rFonts w:hint="eastAsia" w:ascii="仿宋" w:hAnsi="仿宋" w:eastAsia="仿宋" w:cs="仿宋"/>
          <w:color w:val="auto"/>
          <w:sz w:val="24"/>
          <w:lang w:val="en-US" w:eastAsia="zh-CN"/>
        </w:rPr>
        <w:t>均</w:t>
      </w:r>
      <w:r>
        <w:rPr>
          <w:rFonts w:hint="eastAsia" w:ascii="仿宋" w:hAnsi="仿宋" w:eastAsia="仿宋" w:cs="仿宋"/>
          <w:color w:val="auto"/>
          <w:sz w:val="24"/>
        </w:rPr>
        <w:t>无效</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1、结算方式：固定单价包干，数量按实结算。</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w:t>
      </w:r>
      <w:r>
        <w:rPr>
          <w:rFonts w:hint="eastAsia" w:ascii="仿宋" w:hAnsi="仿宋" w:eastAsia="仿宋" w:cs="仿宋"/>
          <w:color w:val="auto"/>
          <w:kern w:val="0"/>
          <w:sz w:val="24"/>
          <w:szCs w:val="24"/>
          <w:highlight w:val="none"/>
          <w:lang w:val="en-US" w:eastAsia="zh-CN" w:bidi="ar"/>
        </w:rPr>
        <w:t>双方确认数量并验收合格后，供方根据已确认的数量开具等金额的增值税专用发票，需方收到发票后支付至该批次结算款的95%，剩余5%作为质保金，质保期内未发生质量问题的前提下期满后30日内无息退还。</w:t>
      </w:r>
    </w:p>
    <w:p>
      <w:pPr>
        <w:pStyle w:val="47"/>
        <w:keepNext w:val="0"/>
        <w:keepLines w:val="0"/>
        <w:pageBreakBefore w:val="0"/>
        <w:numPr>
          <w:ilvl w:val="0"/>
          <w:numId w:val="0"/>
        </w:numPr>
        <w:kinsoku/>
        <w:overflowPunct/>
        <w:topLinePunct w:val="0"/>
        <w:autoSpaceDE/>
        <w:autoSpaceDN/>
        <w:bidi w:val="0"/>
        <w:adjustRightInd/>
        <w:spacing w:line="28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lang w:val="en-US" w:eastAsia="zh-CN" w:bidi="ar-SA"/>
        </w:rPr>
        <w:t>十、服务要求</w:t>
      </w:r>
      <w:r>
        <w:rPr>
          <w:rFonts w:hint="eastAsia" w:ascii="仿宋" w:hAnsi="仿宋" w:eastAsia="仿宋" w:cs="仿宋"/>
          <w:b/>
          <w:bCs/>
          <w:color w:val="auto"/>
          <w:kern w:val="2"/>
          <w:sz w:val="24"/>
          <w:szCs w:val="24"/>
          <w:highlight w:val="none"/>
          <w:lang w:val="en-US" w:eastAsia="zh-CN" w:bidi="ar-SA"/>
        </w:rPr>
        <w:t>：</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1、供货方式：一次性供货，接到需方供货通知单后于7个工作日内将货物送至清江路（杭州市），并提供供货清单及产品合格证。需方验收交付完成前，货物毁损、灭失等风险由供方承担。</w:t>
      </w:r>
    </w:p>
    <w:p>
      <w:pPr>
        <w:pStyle w:val="47"/>
        <w:keepNext w:val="0"/>
        <w:keepLines w:val="0"/>
        <w:pageBreakBefore w:val="0"/>
        <w:numPr>
          <w:ilvl w:val="0"/>
          <w:numId w:val="2"/>
        </w:numPr>
        <w:kinsoku/>
        <w:overflowPunct/>
        <w:topLinePunct w:val="0"/>
        <w:autoSpaceDE/>
        <w:autoSpaceDN/>
        <w:bidi w:val="0"/>
        <w:adjustRightInd/>
        <w:spacing w:line="288" w:lineRule="auto"/>
        <w:ind w:firstLine="480" w:firstLineChars="200"/>
        <w:textAlignment w:val="auto"/>
        <w:rPr>
          <w:rStyle w:val="27"/>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服务期：自合同签订之日起至质保期结束。</w:t>
      </w:r>
    </w:p>
    <w:p>
      <w:pPr>
        <w:pStyle w:val="47"/>
        <w:keepNext w:val="0"/>
        <w:keepLines w:val="0"/>
        <w:pageBreakBefore w:val="0"/>
        <w:numPr>
          <w:ilvl w:val="0"/>
          <w:numId w:val="2"/>
        </w:numPr>
        <w:kinsoku/>
        <w:overflowPunct/>
        <w:topLinePunct w:val="0"/>
        <w:autoSpaceDE/>
        <w:autoSpaceDN/>
        <w:bidi w:val="0"/>
        <w:adjustRightInd/>
        <w:spacing w:line="288" w:lineRule="auto"/>
        <w:ind w:firstLine="480" w:firstLineChars="200"/>
        <w:textAlignment w:val="auto"/>
        <w:rPr>
          <w:rStyle w:val="27"/>
          <w:rFonts w:hint="eastAsia" w:ascii="仿宋" w:hAnsi="仿宋" w:eastAsia="仿宋" w:cs="仿宋"/>
          <w:color w:val="auto"/>
          <w:sz w:val="24"/>
          <w:szCs w:val="24"/>
          <w:highlight w:val="none"/>
          <w:lang w:val="en-US" w:eastAsia="zh-CN"/>
        </w:rPr>
      </w:pPr>
      <w:r>
        <w:rPr>
          <w:rStyle w:val="27"/>
          <w:rFonts w:hint="eastAsia" w:ascii="仿宋" w:hAnsi="仿宋" w:eastAsia="仿宋" w:cs="仿宋"/>
          <w:color w:val="auto"/>
          <w:sz w:val="24"/>
          <w:szCs w:val="24"/>
          <w:highlight w:val="none"/>
          <w:lang w:val="en-US" w:eastAsia="zh-CN"/>
        </w:rPr>
        <w:t>质保期：本合同下所有货物验收合格之日起1年。</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ascii="仿宋" w:hAnsi="仿宋" w:eastAsia="仿宋" w:cs="仿宋"/>
          <w:color w:val="auto"/>
          <w:sz w:val="24"/>
        </w:rPr>
      </w:pPr>
      <w:bookmarkStart w:id="29" w:name="_Toc10147"/>
      <w:bookmarkStart w:id="30" w:name="_Toc5358"/>
      <w:bookmarkStart w:id="31" w:name="_Toc29716"/>
      <w:bookmarkStart w:id="32" w:name="_Toc31561"/>
      <w:bookmarkStart w:id="33" w:name="_Toc21836"/>
      <w:bookmarkStart w:id="34" w:name="_Toc2408"/>
      <w:r>
        <w:rPr>
          <w:rFonts w:hint="eastAsia" w:ascii="仿宋" w:hAnsi="仿宋" w:eastAsia="仿宋" w:cs="仿宋"/>
          <w:color w:val="auto"/>
          <w:sz w:val="24"/>
        </w:rPr>
        <w:t>1、</w:t>
      </w:r>
      <w:r>
        <w:rPr>
          <w:rFonts w:hint="eastAsia" w:ascii="仿宋" w:hAnsi="仿宋" w:eastAsia="仿宋" w:cs="仿宋"/>
          <w:color w:val="auto"/>
          <w:sz w:val="24"/>
          <w:szCs w:val="24"/>
          <w:highlight w:val="none"/>
          <w:lang w:val="en-US" w:eastAsia="zh-CN"/>
        </w:rPr>
        <w:t>报价文件包括报价函、报价明细表、营业执照复印件、法人代表身份证复印件、法定代表人授权委托书及授权人身份证复印件（若报价代表为法人代表则无需提供）、检漏仪样品及产品说明书。报价函、报价明细表、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rPr>
        <w:t>2、报价文件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bookmarkStart w:id="35" w:name="OLE_LINK2"/>
      <w:r>
        <w:rPr>
          <w:rFonts w:hint="eastAsia" w:ascii="仿宋" w:hAnsi="仿宋" w:eastAsia="仿宋" w:cs="仿宋"/>
          <w:color w:val="auto"/>
          <w:sz w:val="24"/>
          <w:lang w:val="en-US" w:eastAsia="zh-CN"/>
        </w:rPr>
        <w:t>2025年3月4日16时</w:t>
      </w:r>
      <w:bookmarkEnd w:id="35"/>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未按要求包装导致询价人提前拆封的，后果由应价人负责。</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3.报价文件份数：正本一份。</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4.报价文件获取方式：供应商在浙江省政府采购网公告下方“游客”-点击“浏览采购文件”获取采购文件。</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9"/>
      <w:r>
        <w:rPr>
          <w:rFonts w:hint="eastAsia" w:ascii="仿宋" w:hAnsi="仿宋" w:eastAsia="仿宋" w:cs="仿宋"/>
          <w:b/>
          <w:bCs/>
          <w:color w:val="auto"/>
          <w:sz w:val="24"/>
          <w:szCs w:val="24"/>
          <w:highlight w:val="none"/>
          <w:lang w:val="en-US" w:eastAsia="zh-CN"/>
        </w:rPr>
        <w:t>：</w:t>
      </w:r>
      <w:bookmarkEnd w:id="30"/>
      <w:bookmarkEnd w:id="31"/>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6"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6"/>
      <w:r>
        <w:rPr>
          <w:rFonts w:hint="eastAsia" w:ascii="仿宋" w:hAnsi="仿宋" w:eastAsia="仿宋" w:cs="仿宋"/>
          <w:color w:val="auto"/>
          <w:sz w:val="24"/>
          <w:lang w:val="en-US" w:eastAsia="zh-CN"/>
        </w:rPr>
        <w:t>2025年3月4日16时</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lang w:val="en-US" w:eastAsia="zh-CN"/>
        </w:rPr>
        <w:t>杭州市滨江区聚园路290号五楼</w:t>
      </w:r>
      <w:r>
        <w:rPr>
          <w:rFonts w:hint="eastAsia" w:ascii="仿宋" w:hAnsi="仿宋" w:eastAsia="仿宋" w:cs="仿宋"/>
          <w:color w:val="auto"/>
          <w:sz w:val="24"/>
        </w:rPr>
        <w:t>成本管理部</w:t>
      </w:r>
      <w:r>
        <w:rPr>
          <w:rFonts w:hint="eastAsia" w:ascii="仿宋" w:hAnsi="仿宋" w:eastAsia="仿宋" w:cs="仿宋"/>
          <w:color w:val="auto"/>
          <w:sz w:val="24"/>
          <w:lang w:eastAsia="zh-CN"/>
        </w:rPr>
        <w:t>（</w:t>
      </w:r>
      <w:r>
        <w:rPr>
          <w:rFonts w:hint="eastAsia" w:ascii="仿宋" w:hAnsi="仿宋" w:eastAsia="仿宋" w:cs="仿宋"/>
          <w:color w:val="auto"/>
          <w:sz w:val="24"/>
        </w:rPr>
        <w:t>招投标中心</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7"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keepNext w:val="0"/>
        <w:keepLines w:val="0"/>
        <w:pageBreakBefore w:val="0"/>
        <w:kinsoku/>
        <w:overflowPunct/>
        <w:topLinePunct w:val="0"/>
        <w:autoSpaceDE/>
        <w:autoSpaceDN/>
        <w:bidi w:val="0"/>
        <w:adjustRightInd/>
        <w:spacing w:line="288"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十</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、错误修正</w:t>
      </w:r>
    </w:p>
    <w:p>
      <w:pPr>
        <w:keepNext w:val="0"/>
        <w:keepLines w:val="0"/>
        <w:pageBreakBefore w:val="0"/>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pPr>
        <w:keepNext w:val="0"/>
        <w:keepLines w:val="0"/>
        <w:pageBreakBefore w:val="0"/>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）如果用数字表示的数额与用文字表示的数额不一致时，以文字数额为准；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）总价金额与按单价汇总金额不一致的，以单价金额计算结果为准；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）对不同文字文本响应文件的解释发生异议的，以中文文本为准。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2"/>
    <w:bookmarkEnd w:id="37"/>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288" w:lineRule="auto"/>
        <w:textAlignment w:val="auto"/>
        <w:outlineLvl w:val="1"/>
        <w:rPr>
          <w:rStyle w:val="24"/>
          <w:rFonts w:hint="eastAsia" w:ascii="仿宋" w:hAnsi="仿宋" w:eastAsia="仿宋" w:cs="仿宋"/>
          <w:color w:val="auto"/>
          <w:sz w:val="24"/>
          <w:szCs w:val="24"/>
          <w:highlight w:val="none"/>
          <w:lang w:eastAsia="zh-CN"/>
        </w:rPr>
      </w:pPr>
      <w:bookmarkStart w:id="38" w:name="_Toc13377"/>
      <w:bookmarkStart w:id="39" w:name="_Toc26036"/>
      <w:r>
        <w:rPr>
          <w:rStyle w:val="24"/>
          <w:rFonts w:hint="eastAsia" w:ascii="仿宋" w:hAnsi="仿宋" w:eastAsia="仿宋" w:cs="仿宋"/>
          <w:color w:val="auto"/>
          <w:sz w:val="24"/>
          <w:szCs w:val="24"/>
          <w:highlight w:val="none"/>
          <w:lang w:eastAsia="zh-CN"/>
        </w:rPr>
        <w:t>十</w:t>
      </w:r>
      <w:r>
        <w:rPr>
          <w:rStyle w:val="24"/>
          <w:rFonts w:hint="eastAsia" w:ascii="仿宋" w:hAnsi="仿宋" w:eastAsia="仿宋" w:cs="仿宋"/>
          <w:color w:val="auto"/>
          <w:sz w:val="24"/>
          <w:szCs w:val="24"/>
          <w:highlight w:val="none"/>
          <w:lang w:val="en-US" w:eastAsia="zh-CN"/>
        </w:rPr>
        <w:t>四</w:t>
      </w:r>
      <w:r>
        <w:rPr>
          <w:rStyle w:val="24"/>
          <w:rFonts w:hint="eastAsia" w:ascii="仿宋" w:hAnsi="仿宋" w:eastAsia="仿宋" w:cs="仿宋"/>
          <w:color w:val="auto"/>
          <w:sz w:val="24"/>
          <w:szCs w:val="24"/>
          <w:highlight w:val="none"/>
        </w:rPr>
        <w:t>、联系方式</w:t>
      </w:r>
      <w:bookmarkEnd w:id="38"/>
      <w:r>
        <w:rPr>
          <w:rStyle w:val="24"/>
          <w:rFonts w:hint="eastAsia" w:ascii="仿宋" w:hAnsi="仿宋" w:eastAsia="仿宋" w:cs="仿宋"/>
          <w:color w:val="auto"/>
          <w:sz w:val="24"/>
          <w:szCs w:val="24"/>
          <w:highlight w:val="none"/>
          <w:lang w:eastAsia="zh-CN"/>
        </w:rPr>
        <w:t>：</w:t>
      </w:r>
      <w:bookmarkEnd w:id="39"/>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40" w:name="_Toc21453"/>
      <w:bookmarkStart w:id="41" w:name="_Toc22977"/>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40"/>
      <w:bookmarkEnd w:id="41"/>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lang w:val="en-US" w:eastAsia="zh-CN"/>
        </w:rPr>
        <w:t>杭州市滨江区聚园路290号</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w:t>
      </w:r>
      <w:r>
        <w:rPr>
          <w:rFonts w:hint="eastAsia" w:ascii="仿宋" w:hAnsi="仿宋" w:eastAsia="仿宋" w:cs="仿宋"/>
          <w:color w:val="auto"/>
          <w:sz w:val="24"/>
          <w:szCs w:val="24"/>
          <w:lang w:val="en-US" w:eastAsia="zh-CN"/>
        </w:rPr>
        <w:t>宋家栋</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13735482221、15867143734</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纪检监督电话：</w:t>
      </w:r>
      <w:r>
        <w:rPr>
          <w:rFonts w:hint="eastAsia" w:ascii="仿宋" w:hAnsi="仿宋" w:eastAsia="仿宋" w:cs="仿宋"/>
          <w:b w:val="0"/>
          <w:bCs/>
          <w:color w:val="auto"/>
          <w:sz w:val="24"/>
          <w:szCs w:val="24"/>
          <w:highlight w:val="none"/>
          <w:lang w:val="en-US" w:eastAsia="zh-CN"/>
        </w:rPr>
        <w:t>0571-</w:t>
      </w:r>
      <w:r>
        <w:rPr>
          <w:rFonts w:hint="eastAsia" w:ascii="仿宋" w:hAnsi="仿宋" w:eastAsia="仿宋" w:cs="仿宋"/>
          <w:color w:val="auto"/>
          <w:sz w:val="24"/>
          <w:szCs w:val="24"/>
          <w:highlight w:val="none"/>
          <w:lang w:val="en-US" w:eastAsia="zh-CN"/>
        </w:rPr>
        <w:t xml:space="preserve">86029152   </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pPr>
        <w:keepNext w:val="0"/>
        <w:keepLines w:val="0"/>
        <w:pageBreakBefore w:val="0"/>
        <w:kinsoku/>
        <w:overflowPunct/>
        <w:topLinePunct w:val="0"/>
        <w:autoSpaceDE/>
        <w:autoSpaceDN/>
        <w:bidi w:val="0"/>
        <w:adjustRightInd/>
        <w:spacing w:line="288" w:lineRule="auto"/>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日期：2025年2月25日</w:t>
      </w:r>
    </w:p>
    <w:p>
      <w:pPr>
        <w:jc w:val="right"/>
        <w:outlineLvl w:val="9"/>
        <w:rPr>
          <w:rFonts w:hint="default" w:ascii="仿宋" w:hAnsi="仿宋" w:eastAsia="仿宋" w:cs="仿宋"/>
          <w:b w:val="0"/>
          <w:bCs/>
          <w:color w:val="auto"/>
          <w:sz w:val="24"/>
          <w:szCs w:val="24"/>
          <w:highlight w:val="none"/>
          <w:lang w:val="en-US" w:eastAsia="zh-CN"/>
        </w:rPr>
      </w:pPr>
    </w:p>
    <w:p>
      <w:pPr>
        <w:jc w:val="left"/>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pPr>
        <w:ind w:firstLine="442" w:firstLineChars="100"/>
        <w:jc w:val="center"/>
        <w:rPr>
          <w:rFonts w:hint="eastAsia" w:ascii="仿宋" w:hAnsi="仿宋" w:eastAsia="仿宋" w:cs="仿宋"/>
          <w:bCs/>
          <w:color w:val="auto"/>
          <w:sz w:val="44"/>
          <w:szCs w:val="44"/>
          <w:lang w:eastAsia="zh-CN"/>
        </w:rPr>
      </w:pPr>
      <w:bookmarkStart w:id="42" w:name="_Toc7546"/>
      <w:r>
        <w:rPr>
          <w:rFonts w:hint="eastAsia" w:ascii="仿宋" w:hAnsi="仿宋" w:eastAsia="仿宋" w:cs="仿宋"/>
          <w:b/>
          <w:color w:val="auto"/>
          <w:sz w:val="44"/>
          <w:szCs w:val="44"/>
          <w:lang w:val="en-US" w:eastAsia="zh-CN"/>
        </w:rPr>
        <w:t>第二部分、</w:t>
      </w:r>
      <w:r>
        <w:rPr>
          <w:rFonts w:hint="eastAsia" w:ascii="仿宋" w:hAnsi="仿宋" w:eastAsia="仿宋" w:cs="仿宋"/>
          <w:b/>
          <w:color w:val="auto"/>
          <w:sz w:val="44"/>
          <w:szCs w:val="44"/>
        </w:rPr>
        <w:t>报价</w:t>
      </w:r>
      <w:r>
        <w:rPr>
          <w:rFonts w:hint="eastAsia" w:ascii="仿宋" w:hAnsi="仿宋" w:eastAsia="仿宋" w:cs="仿宋"/>
          <w:b/>
          <w:color w:val="auto"/>
          <w:sz w:val="44"/>
          <w:szCs w:val="44"/>
          <w:lang w:val="en-US" w:eastAsia="zh-CN"/>
        </w:rPr>
        <w:t>函</w:t>
      </w:r>
    </w:p>
    <w:p>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969000" cy="381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96900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6pt;margin-top:0.15pt;height:0.3pt;width:470pt;z-index:251659264;mso-width-relative:page;mso-height-relative:page;" filled="f" stroked="t" coordsize="21600,21600" o:gfxdata="UEsDBAoAAAAAAIdO4kAAAAAAAAAAAAAAAAAEAAAAZHJzL1BLAwQUAAAACACHTuJAv/ImQtMAAAAE&#10;AQAADwAAAGRycy9kb3ducmV2LnhtbE2PwU7DMBBE70j8g7VI3Fq7CSCaxqkQAi5ISC2hZydekgh7&#10;HcVuWv6e5QS3Wc1o5m25PXsnZpziEEjDaqlAILXBDtRpqN+fF/cgYjJkjQuEGr4xwra6vChNYcOJ&#10;djjvUye4hGJhNPQpjYWUse3Rm7gMIxJ7n2HyJvE5ddJO5sTl3slMqTvpzUC80JsRH3tsv/ZHr+Hh&#10;8PqUv82ND86uu/rD+lq9ZFpfX63UBkTCc/oLwy8+o0PFTE04ko3CaVjcZpzUkINgd53f8CMNC5BV&#10;Kf/DVz9QSwMEFAAAAAgAh07iQNpkCUH0AQAAxQMAAA4AAABkcnMvZTJvRG9jLnhtbK1TwW4TMRC9&#10;I/EPlu9kN0GpmlU2PSQqlwKRWrg7Xm/WwvZYHieb/AQ/gMQNThy5928on8HYSdNSLj2wB8vjmXkz&#10;783s9GJnDduqgBpczYeDkjPlJDTarWv+4eby1TlnGIVrhAGnar5XyC9mL19Me1+pEXRgGhUYgTis&#10;el/zLkZfFQXKTlmBA/DKkbOFYEUkM6yLJoie0K0pRmV5VvQQGh9AKkR6XRyc/IgYngMIbaulWoDc&#10;WOXiATUoIyJRwk575LPcbdsqGd+3LarITM2JacwnFaH7Kp3FbCqqdRC+0/LYgnhOC084WaEdFT1B&#10;LUQUbBP0P1BWywAIbRxIsMWBSFaEWAzLJ9pcd8KrzIWkRn8SHf8frHy3XQamm5qPOXPC0sDvvvz8&#10;9fnb79uvdN79+M7GSaTeY0Wxc7cMiabcuWt/BfITMgfzTri1ys3e7D0hDFNG8VdKMtBTqVX/FhqK&#10;EZsIWbFdGyxrjfYfU2ICJ1XYLo9ofxqR2kUm6XE8OZuUJU1Pku/1+TBPsBBVQkm5PmB8o8CydKm5&#10;0S4JKCqxvcKYunoISc8OLrUxeQmMY33NJ+PROCcgGN0kZwrDsF7NTWBbkdYof5kieR6HBdi45lDE&#10;uJSn8gYeK99LcBBzBc1+Ge51ounm3o6bmNbnsZ3VfPj7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ImQtMAAAAEAQAADwAAAAAAAAABACAAAAAiAAAAZHJzL2Rvd25yZXYueG1sUEsBAhQAFAAA&#10;AAgAh07iQNpkCUH0AQAAxQ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pPr>
        <w:jc w:val="left"/>
        <w:textAlignment w:val="center"/>
        <w:rPr>
          <w:rFonts w:hint="default" w:ascii="仿宋" w:hAnsi="仿宋" w:eastAsia="仿宋" w:cs="仿宋"/>
          <w:bCs/>
          <w:color w:val="auto"/>
          <w:sz w:val="28"/>
          <w:szCs w:val="28"/>
          <w:lang w:val="en-US" w:eastAsia="zh-CN"/>
        </w:rPr>
      </w:pPr>
      <w:r>
        <w:rPr>
          <w:rFonts w:hint="eastAsia" w:ascii="仿宋" w:hAnsi="仿宋" w:eastAsia="仿宋" w:cs="仿宋"/>
          <w:color w:val="auto"/>
          <w:szCs w:val="24"/>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10795</wp:posOffset>
                </wp:positionV>
                <wp:extent cx="5963920" cy="508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63920" cy="5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5pt;margin-top:0.85pt;height:0.4pt;width:469.6pt;z-index:251660288;mso-width-relative:page;mso-height-relative:page;" filled="f" stroked="t" coordsize="21600,21600" o:gfxdata="UEsDBAoAAAAAAIdO4kAAAAAAAAAAAAAAAAAEAAAAZHJzL1BLAwQUAAAACACHTuJAb9CfjNQAAAAG&#10;AQAADwAAAGRycy9kb3ducmV2LnhtbE2Oy07DMBBF90j8gzVIbKrWaaJSGuJ0AWTHhgLqdhoPSUQ8&#10;TmP3AV/PsCrL+9C9p1ifXa+ONIbOs4H5LAFFXHvbcWPg/a2a3oMKEdli75kMfFOAdXl9VWBu/Ylf&#10;6biJjZIRDjkaaGMccq1D3ZLDMPMDsWSffnQYRY6NtiOeZNz1Ok2SO+2wY3locaDHluqvzcEZCNUH&#10;7aufST1JtlnjKd0/vTyjMbc38+QBVKRzvJThD1/QoRSmnT+wDao3MF2spCn+EpTEqyzLQO0MpAvQ&#10;ZaH/45e/UEsDBBQAAAAIAIdO4kAZgZQn7gEAALsDAAAOAAAAZHJzL2Uyb0RvYy54bWytUztuGzEQ&#10;7QPkDgT7aCXFMqyFVi4kOI2TCLBzAIrL1RIhOQSH0kqXyAUCpEuqlOl9mzjHyJD6+JPGRbYgOJyZ&#10;N/PezE4ut9awjQqowVV80OtzppyEWrtVxT/dXr254AyjcLUw4FTFdwr55fT1q0nnSzWEFkytAiMQ&#10;h2XnK97G6MuiQNkqK7AHXjlyNhCsiGSGVVEH0RG6NcWw3z8vOgi1DyAVIr3O905+QAwvAYSm0VLN&#10;Qa6tcnGPGpQRkShhqz3yae62aZSMH5sGVWSm4sQ05pOK0H2ZzmI6EeUqCN9qeWhBvKSFZ5ys0I6K&#10;nqDmIgq2DvofKKtlAIQm9iTYYk8kK0IsBv1n2ty0wqvMhaRGfxId/x+s/LBZBKbrip9x5oSlgd9/&#10;/fX7y/c/d9/ovP/5g50lkTqPJcXO3CIkmnLrbvw1yM/IHMxa4VYqN3u784QwSBnFk5RkoKdSy+49&#10;1BQj1hGyYtsm2ARJWrBtHszuNBi1jUzS42h8/nY8pJlJ8o36F3luhSiPuT5gfKfAsnSpuNEuySZK&#10;sbnGmHoR5TEkPTu40sbk0RvHuoqPR8NRTkAwuk7OFIZhtZyZwDYiLU/+MjHyPA4LsHb1vohxKU/l&#10;vTtUPhLfS7iEercIR3Voprm3w/6lpXlsZw0f/rn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Q&#10;n4zUAAAABgEAAA8AAAAAAAAAAQAgAAAAIgAAAGRycy9kb3ducmV2LnhtbFBLAQIUABQAAAAIAIdO&#10;4kAZgZQn7gEAALs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color w:val="auto"/>
          <w:szCs w:val="24"/>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378460</wp:posOffset>
                </wp:positionV>
                <wp:extent cx="5973445" cy="889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973445" cy="88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8pt;margin-top:29.8pt;height:0.7pt;width:470.35pt;z-index:251661312;mso-width-relative:page;mso-height-relative:page;" filled="f" stroked="t" coordsize="21600,21600" o:gfxdata="UEsDBAoAAAAAAIdO4kAAAAAAAAAAAAAAAAAEAAAAZHJzL1BLAwQUAAAACACHTuJA34rm49cAAAAI&#10;AQAADwAAAGRycy9kb3ducmV2LnhtbE2PwU7DMBBE70j8g7VI3Fo7jQgkZFMhBFyQkChpz068JBHx&#10;OordtPw95gSn0WpGM2/L7dmOYqHZD44RkrUCQdw6M3CHUH88r+5A+KDZ6NExIXyTh211eVHqwrgT&#10;v9OyC52IJewLjdCHMBVS+rYnq/3aTcTR+3Sz1SGecyfNrE+x3I5yo1QmrR44LvR6osee2q/d0SI8&#10;HF6f0relsW40eVfvja3Vywbx+ipR9yACncNfGH7xIzpUkalxRzZejAir2ywmEW7yqNHP0zQB0SBk&#10;iQJZlfL/A9UPUEsDBBQAAAAIAIdO4kC6doBh9QEAAMUDAAAOAAAAZHJzL2Uyb0RvYy54bWytU81u&#10;EzEQviPxDpbvZPPTQLLKpodE5VKgUgt3x+vNWtgey+Nkk5fgBZC4wYkjd96G8hiMnTQt5dIDe7A8&#10;nplv5vtmdna+s4ZtVUANruKDXp8z5STU2q0r/v7m4sWEM4zC1cKAUxXfK+Tn8+fPZp0v1RBaMLUK&#10;jEAclp2veBujL4sCZauswB545cjZQLAikhnWRR1ER+jWFMN+/2XRQah9AKkQ6XV5cPIjYngKIDSN&#10;lmoJcmOViwfUoIyIRAlb7ZHPc7dNo2R81zSoIjMVJ6Yxn1SE7qt0FvOZKNdB+FbLYwviKS084mSF&#10;dlT0BLUUUbBN0P9AWS0DIDSxJ8EWByJZEWIx6D/S5roVXmUuJDX6k+j4/2Dl2+1VYLqu+IgzJywN&#10;/Pbzj1+fvv7++YXO2+/f2CiJ1HksKXbhrkKiKXfu2l+C/IjMwaIVbq1yszd7TwiDlFH8lZIM9FRq&#10;1b2BmmLEJkJWbNcEyxqj/YeUmMBJFbbLI9qfRqR2kUl6HE9fjc7OxpxJ8k0m0zzBQpQJJeX6gPG1&#10;AsvSpeJGuySgKMX2EmPq6j4kPTu40MbkJTCOdRWfjofjnIBgdJ2cKQzDerUwgW1FWqP8ZYrkeRgW&#10;YOPqQxHjUp7KG3isfCfBQcwV1PurcKcTTTf3dtzEtD4P7azm/d83/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iubj1wAAAAgBAAAPAAAAAAAAAAEAIAAAACIAAABkcnMvZG93bnJldi54bWxQSwEC&#10;FAAUAAAACACHTuJAunaAYfUBAADF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r>
        <w:rPr>
          <w:rFonts w:hint="eastAsia" w:ascii="仿宋" w:hAnsi="仿宋" w:eastAsia="仿宋" w:cs="仿宋"/>
          <w:bCs/>
          <w:color w:val="auto"/>
          <w:sz w:val="28"/>
          <w:szCs w:val="28"/>
          <w:lang w:val="en-US" w:eastAsia="zh-CN"/>
        </w:rPr>
        <w:t xml:space="preserve">   年   月   日</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349885</wp:posOffset>
                </wp:positionV>
                <wp:extent cx="6015355" cy="254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15355" cy="2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95pt;margin-top:27.55pt;height:0.2pt;width:473.65pt;z-index:251662336;mso-width-relative:page;mso-height-relative:page;" filled="f" stroked="t" coordsize="21600,21600" o:gfxdata="UEsDBAoAAAAAAIdO4kAAAAAAAAAAAAAAAAAEAAAAZHJzL1BLAwQUAAAACACHTuJA8M2CS9cAAAAI&#10;AQAADwAAAGRycy9kb3ducmV2LnhtbE2PzU7DMBCE70i8g7VIXKrWTksKCXF6AHLj0kLFdRsvSUS8&#10;TmP3B54e9wTH2RnNfFuszrYXRxp951hDMlMgiGtnOm40vL9V0wcQPiAb7B2Thm/ysCqvrwrMjTvx&#10;mo6b0IhYwj5HDW0IQy6lr1uy6GduII7epxsthijHRpoRT7Hc9nKu1FJa7DgutDjQU0v11+ZgNfhq&#10;S/vqZ1JP1MeicTTfP7++oNa3N4l6BBHoHP7CcMGP6FBGpp07sPGi1zC9z2JSQ5omIKKfLbI7ELvL&#10;IQVZFvL/A+UvUEsDBBQAAAAIAIdO4kC/zLz97QEAALsDAAAOAAAAZHJzL2Uyb0RvYy54bWytU82O&#10;0zAQviPxDpbvNG0gK4ia7qHVclmg0i4P4DpOY2F7LI/btC/BCyBxgxNH7rwNy2Mwdn9YlsseyMHy&#10;eGa+me+byfRyZw3bqoAaXMMnozFnyklotVs3/P3t1bOXnGEUrhUGnGr4XiG/nD19Mh18rUrowbQq&#10;MAJxWA++4X2Mvi4KlL2yAkfglSNnB8GKSGZYF20QA6FbU5Tj8UUxQGh9AKkQ6XVxcPIjYngMIHSd&#10;lmoBcmOViwfUoIyIRAl77ZHPcrddp2R813WoIjMNJ6Yxn1SE7qt0FrOpqNdB+F7LYwviMS084GSF&#10;dlT0DLUQUbBN0P9AWS0DIHRxJMEWByJZEWIxGT/Q5qYXXmUuJDX6s+j4/2Dl2+0yMN02vOTMCUsD&#10;v/v0/efHL79+fKbz7ttXViaRBo81xc7dMiSacudu/DXID8gczHvh1io3e7v3hDBJGcVfKclAT6VW&#10;wxtoKUZsImTFdl2wCZK0YLs8mP15MGoXmaTHi/Gkel5VnEnyldWLPLdC1KdcHzC+VmBZujTcaJdk&#10;E7XYXmNMvYj6FJKeHVxpY/LojWNDw19VZZUTEIxukzOFYViv5iawrUjLk79MjDz3wwJsXHsoYlzK&#10;U3nvjpVPxA8SrqDdL8NJHZpp7u24f2lp7ttZwz//3O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2CS9cAAAAIAQAADwAAAAAAAAABACAAAAAiAAAAZHJzL2Rvd25yZXYueG1sUEsBAhQAFAAAAAgA&#10;h07iQL/MvP3tAQAAuwMAAA4AAAAAAAAAAQAgAAAAJg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pPr>
        <w:jc w:val="left"/>
        <w:textAlignment w:val="center"/>
        <w:rPr>
          <w:rFonts w:hint="eastAsia" w:ascii="仿宋" w:hAnsi="仿宋" w:eastAsia="仿宋" w:cs="仿宋"/>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336550</wp:posOffset>
                </wp:positionV>
                <wp:extent cx="6031230"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03123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35pt;margin-top:26.5pt;height:0.05pt;width:474.9pt;z-index:251663360;mso-width-relative:page;mso-height-relative:page;" filled="f" stroked="t" coordsize="21600,21600" o:gfxdata="UEsDBAoAAAAAAIdO4kAAAAAAAAAAAAAAAAAEAAAAZHJzL1BLAwQUAAAACACHTuJAH7ZZQdcAAAAI&#10;AQAADwAAAGRycy9kb3ducmV2LnhtbE2PS0/DMBCE70j8B2uRuFSt45ZHCXF6AHLjQgFx3cZLEhGv&#10;09h9wK9ne4LjzoxmvylWR9+rPY2xC2zBzDJQxHVwHTcW3l6r6RJUTMgO+8Bk4ZsirMrzswJzFw78&#10;Qvt1apSUcMzRQpvSkGsd65Y8xlkYiMX7DKPHJOfYaDfiQcp9r+dZdqM9diwfWhzooaX6a73zFmL1&#10;TtvqZ1JPso9FE2i+fXx+QmsvL0x2DyrRMf2F4YQv6FAK0ybs2EXVW5gubyVp4Xohk8S/uzIG1OYk&#10;GNBlof8PKH8BUEsDBBQAAAAIAIdO4kDzfeKJ6wEAALoDAAAOAAAAZHJzL2Uyb0RvYy54bWytU72O&#10;EzEQ7pF4B8s92U2iRLDK5opER3NApDseYOL1Zi1sj2U72eQleAEkOqgo6Xkbjsdg7PzAHc0VbGF5&#10;PDPfzPfN7OxqbzTbSR8U2poPByVn0gpslN3U/P3d9YuXnIUItgGNVtb8IAO/mj9/NutdJUfYoW6k&#10;ZwRiQ9W7mncxuqooguikgTBAJy05W/QGIpl+UzQeekI3uhiV5bTo0TfOo5Ah0Ovy6OQnRP8UQGxb&#10;JeQSxdZIG4+oXmqIRCl0ygU+z922rRTxXdsGGZmuOTGN+aQidF+ns5jPoNp4cJ0SpxbgKS084mRA&#10;WSp6gVpCBLb16h8oo4THgG0cCDTFkUhWhFgMy0fa3HbgZOZCUgd3ET38P1jxdrfyTDU1n3JmwdDA&#10;7z99//nxy68fn+m8//aVTZNIvQsVxS7syieaYm9v3Q2KD4FZXHRgNzI3e3dwhDBMGcWDlGQER6XW&#10;/RtsKAa2EbNi+9abBElasH0ezOEyGLmPTNDjtBwPR2OamSDfdDzJ+FCdU50P8bVEw9Kl5lrZpBpU&#10;sLsJMbUC1TkkPVu8VlrnyWvL+pq/mowmOSGgVk1yprDgN+uF9mwHaXfyd6r7IMzj1jbHItqmPJnX&#10;7lT5zPuo4Bqbw8qfxaGR5t5O65d25m87S/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2&#10;WUHXAAAACAEAAA8AAAAAAAAAAQAgAAAAIgAAAGRycy9kb3ducmV2LnhtbFBLAQIUABQAAAAIAIdO&#10;4kDzfeKJ6wEAALoDAAAOAAAAAAAAAAEAIAAAACY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pPr>
        <w:ind w:firstLine="560" w:firstLineChars="200"/>
        <w:jc w:val="both"/>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2025年度激光、甲烷检漏仪采购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3824" w:type="dxa"/>
            <w:vAlign w:val="center"/>
          </w:tcPr>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项目名称</w:t>
            </w:r>
          </w:p>
        </w:tc>
        <w:tc>
          <w:tcPr>
            <w:tcW w:w="4999" w:type="dxa"/>
            <w:vAlign w:val="center"/>
          </w:tcPr>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824" w:type="dxa"/>
            <w:vAlign w:val="center"/>
          </w:tcPr>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 xml:space="preserve"> 2025年度激光、甲烷检漏仪采购项目</w:t>
            </w:r>
          </w:p>
        </w:tc>
        <w:tc>
          <w:tcPr>
            <w:tcW w:w="4999" w:type="dxa"/>
            <w:vAlign w:val="center"/>
          </w:tcPr>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元整</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人民币（大写：</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元整）</w:t>
            </w:r>
          </w:p>
        </w:tc>
      </w:tr>
    </w:tbl>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jc w:val="left"/>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pPr>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w:t>
      </w:r>
      <w:r>
        <w:rPr>
          <w:rFonts w:hint="eastAsia" w:ascii="仿宋" w:hAnsi="仿宋" w:eastAsia="仿宋" w:cs="仿宋"/>
          <w:b/>
          <w:bCs w:val="0"/>
          <w:color w:val="auto"/>
          <w:sz w:val="28"/>
          <w:szCs w:val="28"/>
        </w:rPr>
        <w:t xml:space="preserve"> </w:t>
      </w:r>
      <w:r>
        <w:rPr>
          <w:rFonts w:hint="eastAsia" w:ascii="仿宋" w:hAnsi="仿宋" w:eastAsia="仿宋" w:cs="仿宋"/>
          <w:b/>
          <w:bCs w:val="0"/>
          <w:color w:val="auto"/>
          <w:sz w:val="28"/>
          <w:szCs w:val="28"/>
          <w:lang w:val="en-US" w:eastAsia="zh-CN"/>
        </w:rPr>
        <w:t xml:space="preserve">   年   月   日</w:t>
      </w:r>
    </w:p>
    <w:bookmarkEnd w:id="33"/>
    <w:bookmarkEnd w:id="34"/>
    <w:bookmarkEnd w:id="42"/>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keepNext w:val="0"/>
        <w:keepLines w:val="0"/>
        <w:widowControl/>
        <w:suppressLineNumbers w:val="0"/>
        <w:jc w:val="both"/>
        <w:rPr>
          <w:rFonts w:ascii="仿宋" w:hAnsi="仿宋" w:eastAsia="仿宋" w:cs="仿宋"/>
          <w:b/>
          <w:bCs/>
          <w:color w:val="auto"/>
          <w:kern w:val="0"/>
          <w:sz w:val="36"/>
          <w:szCs w:val="36"/>
          <w:lang w:val="en-US" w:eastAsia="zh-CN" w:bidi="ar"/>
        </w:rPr>
      </w:pPr>
    </w:p>
    <w:p>
      <w:pPr>
        <w:numPr>
          <w:ilvl w:val="255"/>
          <w:numId w:val="0"/>
        </w:numPr>
        <w:jc w:val="center"/>
        <w:outlineLvl w:val="0"/>
        <w:rPr>
          <w:rStyle w:val="27"/>
          <w:rFonts w:hint="eastAsia" w:ascii="仿宋" w:hAnsi="仿宋" w:eastAsia="仿宋" w:cs="仿宋"/>
          <w:b/>
          <w:color w:val="auto"/>
          <w:sz w:val="36"/>
          <w:szCs w:val="36"/>
        </w:rPr>
      </w:pPr>
      <w:r>
        <w:rPr>
          <w:rStyle w:val="27"/>
          <w:rFonts w:hint="eastAsia" w:ascii="仿宋" w:hAnsi="仿宋" w:eastAsia="仿宋" w:cs="仿宋"/>
          <w:b/>
          <w:color w:val="auto"/>
          <w:sz w:val="36"/>
          <w:szCs w:val="36"/>
        </w:rPr>
        <w:t>报价明细表</w:t>
      </w:r>
    </w:p>
    <w:tbl>
      <w:tblPr>
        <w:tblStyle w:val="21"/>
        <w:tblW w:w="11018" w:type="dxa"/>
        <w:tblInd w:w="-1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487"/>
        <w:gridCol w:w="4513"/>
        <w:gridCol w:w="696"/>
        <w:gridCol w:w="750"/>
        <w:gridCol w:w="736"/>
        <w:gridCol w:w="112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物资名称</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2"/>
                <w:szCs w:val="22"/>
                <w:u w:val="none"/>
                <w:lang w:val="en-US" w:eastAsia="zh-CN"/>
              </w:rPr>
            </w:pPr>
            <w:r>
              <w:rPr>
                <w:rFonts w:hint="eastAsia" w:ascii="仿宋" w:hAnsi="仿宋" w:eastAsia="仿宋" w:cs="仿宋"/>
                <w:b/>
                <w:bCs/>
                <w:i w:val="0"/>
                <w:iCs w:val="0"/>
                <w:color w:val="auto"/>
                <w:sz w:val="22"/>
                <w:szCs w:val="22"/>
                <w:u w:val="none"/>
                <w:lang w:val="en-US" w:eastAsia="zh-CN"/>
              </w:rPr>
              <w:t>具体参数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品牌型号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综合单价（元）</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1</w:t>
            </w:r>
          </w:p>
        </w:tc>
        <w:tc>
          <w:tcPr>
            <w:tcW w:w="14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激光检漏仪</w:t>
            </w:r>
          </w:p>
        </w:tc>
        <w:tc>
          <w:tcPr>
            <w:tcW w:w="451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▲(1)适用于测量甲烷(CH4)及含甲烷成分的气体；</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▲(2)测量原理:可调谐激光吸收光谱(TDLAS)；</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▲(3)测量范围:0-99999ppm.m；</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▲(4)灵敏度:大于等于5ppm*m；</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▲(5)遥距检测距离:大于等于30m；</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▲(6)响应速度:≤0.1s；</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(7)仪器重量(含电池):0.3kg；</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(8)供电与续航:可充电锂离子电池，使用时间 8h；</w:t>
            </w:r>
          </w:p>
          <w:p>
            <w:pPr>
              <w:keepNext w:val="0"/>
              <w:keepLines w:val="0"/>
              <w:widowControl/>
              <w:numPr>
                <w:ilvl w:val="0"/>
                <w:numId w:val="0"/>
              </w:numPr>
              <w:suppressLineNumbers w:val="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(9)尺寸:140mm*70mm*30mm；</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(10)外壳防护等级:大于等于IP65；</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(11)工作温度:-25℃~+50℃；</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(12)工作湿度:&lt;90%RH，无冷凝；</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(13)防爆等级:Exib IIC T4 Gb；</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(14)检测激光:Class I人眼安全；</w:t>
            </w:r>
          </w:p>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(15)指示激光:Class HR不可直视；</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highlight w:val="none"/>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2</w:t>
            </w:r>
          </w:p>
        </w:tc>
        <w:tc>
          <w:tcPr>
            <w:tcW w:w="14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甲烷检测仪</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▲（1）响应速度:T90≤20s；</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（2）外壳防护等级:大于等于IP65；</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（3）防爆等级:Exib IICT3X及以上并提供防爆认证；</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▲（4）检测精度:≤±3%F.S、高精度≤±1%F.S；</w:t>
            </w:r>
          </w:p>
          <w:p>
            <w:pPr>
              <w:keepNext w:val="0"/>
              <w:keepLines w:val="0"/>
              <w:widowControl/>
              <w:numPr>
                <w:ilvl w:val="0"/>
                <w:numId w:val="0"/>
              </w:numPr>
              <w:suppressLineNumbers w:val="0"/>
              <w:ind w:left="0" w:leftChars="0" w:firstLine="0" w:firstLineChars="0"/>
              <w:jc w:val="both"/>
              <w:textAlignment w:val="center"/>
              <w:rPr>
                <w:rStyle w:val="27"/>
                <w:rFonts w:hint="eastAsia" w:ascii="仿宋" w:hAnsi="仿宋" w:eastAsia="仿宋" w:cs="仿宋"/>
                <w:color w:val="auto"/>
                <w:kern w:val="0"/>
                <w:sz w:val="24"/>
                <w:szCs w:val="24"/>
                <w:highlight w:val="none"/>
                <w:lang w:val="en-US" w:eastAsia="zh-CN" w:bidi="ar-SA"/>
              </w:rPr>
            </w:pPr>
            <w:r>
              <w:rPr>
                <w:rStyle w:val="27"/>
                <w:rFonts w:hint="eastAsia" w:ascii="仿宋" w:hAnsi="仿宋" w:eastAsia="仿宋" w:cs="仿宋"/>
                <w:color w:val="auto"/>
                <w:kern w:val="0"/>
                <w:sz w:val="24"/>
                <w:szCs w:val="24"/>
                <w:highlight w:val="none"/>
                <w:lang w:val="en-US" w:eastAsia="zh-CN" w:bidi="ar-SA"/>
              </w:rPr>
              <w:t>▲（5）检测量程:0-100%LEL或0-10000PPM；</w:t>
            </w:r>
          </w:p>
          <w:p>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Style w:val="27"/>
                <w:rFonts w:hint="eastAsia" w:ascii="仿宋" w:hAnsi="仿宋" w:eastAsia="仿宋" w:cs="仿宋"/>
                <w:color w:val="auto"/>
                <w:kern w:val="0"/>
                <w:sz w:val="24"/>
                <w:szCs w:val="24"/>
                <w:highlight w:val="none"/>
                <w:lang w:val="en-US" w:eastAsia="zh-CN" w:bidi="ar-SA"/>
              </w:rPr>
              <w:t>▲（6）其中8台甲烷检漏仪需配置天鹅颈，1台甲烷检漏仪需配置不锈钢采样手柄，配套的软管长度需大于0.5米。</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highlight w:val="none"/>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02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Style w:val="27"/>
                <w:rFonts w:hint="eastAsia" w:ascii="仿宋" w:hAnsi="仿宋" w:eastAsia="仿宋" w:cs="仿宋"/>
                <w:color w:val="auto"/>
                <w:kern w:val="0"/>
                <w:sz w:val="24"/>
                <w:szCs w:val="24"/>
                <w:highlight w:val="none"/>
                <w:lang w:val="en-US" w:eastAsia="zh-CN" w:bidi="ar-SA"/>
              </w:rPr>
              <w:t>合计（元）</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p>
        </w:tc>
      </w:tr>
    </w:tbl>
    <w:p>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eastAsia="zh-CN"/>
        </w:rPr>
        <w:t>备注：</w:t>
      </w:r>
      <w:r>
        <w:rPr>
          <w:rFonts w:hint="eastAsia" w:ascii="仿宋" w:hAnsi="仿宋" w:eastAsia="仿宋" w:cs="仿宋"/>
          <w:color w:val="auto"/>
          <w:sz w:val="24"/>
          <w:lang w:val="en-US" w:eastAsia="zh-CN"/>
        </w:rPr>
        <w:t>报价包含</w:t>
      </w:r>
      <w:r>
        <w:rPr>
          <w:rFonts w:hint="eastAsia" w:ascii="仿宋" w:hAnsi="仿宋" w:eastAsia="仿宋" w:cs="仿宋"/>
          <w:color w:val="auto"/>
          <w:sz w:val="24"/>
          <w:highlight w:val="none"/>
          <w:lang w:val="en-US" w:eastAsia="zh-CN"/>
        </w:rPr>
        <w:t>货物（材料设备）</w:t>
      </w:r>
      <w:r>
        <w:rPr>
          <w:rFonts w:hint="eastAsia" w:ascii="仿宋" w:hAnsi="仿宋" w:eastAsia="仿宋" w:cs="仿宋"/>
          <w:color w:val="auto"/>
          <w:sz w:val="24"/>
          <w:highlight w:val="none"/>
        </w:rPr>
        <w:t>费、</w:t>
      </w: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运输费、</w:t>
      </w:r>
      <w:r>
        <w:rPr>
          <w:rFonts w:hint="eastAsia" w:ascii="仿宋" w:hAnsi="仿宋" w:eastAsia="仿宋" w:cs="仿宋"/>
          <w:color w:val="auto"/>
          <w:sz w:val="24"/>
          <w:highlight w:val="none"/>
          <w:lang w:val="en-US" w:eastAsia="zh-CN"/>
        </w:rPr>
        <w:t>运输保险费、装车费、运杂费、验收费、</w:t>
      </w:r>
      <w:r>
        <w:rPr>
          <w:rFonts w:hint="eastAsia" w:ascii="仿宋" w:hAnsi="仿宋" w:eastAsia="仿宋" w:cs="仿宋"/>
          <w:color w:val="auto"/>
          <w:sz w:val="24"/>
          <w:highlight w:val="none"/>
        </w:rPr>
        <w:t>质保费（含质保期内技术服务、所需的备品备件及专用工具）、售后服务费、技术支持费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税金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p>
    <w:p>
      <w:pPr>
        <w:rPr>
          <w:rFonts w:hint="eastAsia" w:ascii="仿宋" w:hAnsi="仿宋" w:eastAsia="仿宋" w:cs="仿宋"/>
          <w:color w:val="auto"/>
          <w:sz w:val="24"/>
          <w:szCs w:val="24"/>
          <w:highlight w:val="none"/>
          <w:lang w:val="en-US" w:eastAsia="zh-CN"/>
        </w:rPr>
      </w:pPr>
    </w:p>
    <w:p>
      <w:pPr>
        <w:ind w:firstLine="4498" w:firstLineChars="1600"/>
        <w:rPr>
          <w:rFonts w:hint="eastAsia" w:ascii="仿宋" w:hAnsi="仿宋" w:eastAsia="仿宋" w:cs="仿宋"/>
          <w:b/>
          <w:bCs/>
          <w:color w:val="auto"/>
          <w:sz w:val="28"/>
          <w:szCs w:val="28"/>
          <w:lang w:val="en-US" w:eastAsia="zh-CN"/>
        </w:rPr>
      </w:pPr>
      <w:bookmarkStart w:id="43" w:name="_GoBack"/>
      <w:bookmarkEnd w:id="43"/>
      <w:r>
        <w:rPr>
          <w:rFonts w:hint="eastAsia" w:ascii="仿宋" w:hAnsi="仿宋" w:eastAsia="仿宋" w:cs="仿宋"/>
          <w:b/>
          <w:bCs/>
          <w:color w:val="auto"/>
          <w:sz w:val="28"/>
          <w:szCs w:val="28"/>
          <w:lang w:val="en-US" w:eastAsia="zh-CN"/>
        </w:rPr>
        <w:t>报价单位（盖公章）：</w:t>
      </w:r>
    </w:p>
    <w:p>
      <w:pPr>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日    期：</w:t>
      </w:r>
      <w:r>
        <w:rPr>
          <w:rFonts w:hint="eastAsia" w:ascii="仿宋" w:hAnsi="仿宋" w:eastAsia="仿宋" w:cs="仿宋"/>
          <w:b/>
          <w:bCs w:val="0"/>
          <w:color w:val="auto"/>
          <w:sz w:val="28"/>
          <w:szCs w:val="28"/>
        </w:rPr>
        <w:t xml:space="preserve"> </w:t>
      </w:r>
      <w:r>
        <w:rPr>
          <w:rFonts w:hint="eastAsia" w:ascii="仿宋" w:hAnsi="仿宋" w:eastAsia="仿宋" w:cs="仿宋"/>
          <w:b/>
          <w:bCs w:val="0"/>
          <w:color w:val="auto"/>
          <w:sz w:val="28"/>
          <w:szCs w:val="28"/>
          <w:lang w:val="en-US" w:eastAsia="zh-CN"/>
        </w:rPr>
        <w:t xml:space="preserve">   年   月   日</w:t>
      </w:r>
    </w:p>
    <w:p>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pPr>
        <w:adjustRightInd w:val="0"/>
        <w:snapToGrid w:val="0"/>
        <w:spacing w:line="360" w:lineRule="auto"/>
        <w:rPr>
          <w:rFonts w:hint="eastAsia" w:ascii="仿宋" w:hAnsi="仿宋" w:eastAsia="仿宋" w:cs="仿宋"/>
          <w:color w:val="auto"/>
          <w:kern w:val="0"/>
          <w:sz w:val="24"/>
          <w:szCs w:val="24"/>
          <w:highlight w:val="none"/>
          <w:lang w:val="zh-CN"/>
        </w:rPr>
      </w:pP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pStyle w:val="12"/>
        <w:spacing w:line="360" w:lineRule="auto"/>
        <w:ind w:firstLine="420" w:firstLineChars="200"/>
        <w:rPr>
          <w:rFonts w:ascii="仿宋" w:hAnsi="仿宋" w:eastAsia="仿宋" w:cs="仿宋"/>
          <w:color w:val="auto"/>
          <w:sz w:val="21"/>
          <w:highlight w:val="none"/>
        </w:rPr>
      </w:pPr>
    </w:p>
    <w:p>
      <w:pPr>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sectPr>
      <w:footerReference r:id="rId3" w:type="default"/>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FE003"/>
    <w:multiLevelType w:val="singleLevel"/>
    <w:tmpl w:val="1B6FE003"/>
    <w:lvl w:ilvl="0" w:tentative="0">
      <w:start w:val="2"/>
      <w:numFmt w:val="decimal"/>
      <w:suff w:val="nothing"/>
      <w:lvlText w:val="%1、"/>
      <w:lvlJc w:val="left"/>
    </w:lvl>
  </w:abstractNum>
  <w:abstractNum w:abstractNumId="1">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414D39"/>
    <w:rsid w:val="004161EF"/>
    <w:rsid w:val="004735FC"/>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487061"/>
    <w:rsid w:val="015772A4"/>
    <w:rsid w:val="015B6D94"/>
    <w:rsid w:val="016006A5"/>
    <w:rsid w:val="01626374"/>
    <w:rsid w:val="01747E56"/>
    <w:rsid w:val="017B25EF"/>
    <w:rsid w:val="018067FB"/>
    <w:rsid w:val="01A4698D"/>
    <w:rsid w:val="01AB50E7"/>
    <w:rsid w:val="01AC3A93"/>
    <w:rsid w:val="01AD5116"/>
    <w:rsid w:val="01AE3368"/>
    <w:rsid w:val="01B3097E"/>
    <w:rsid w:val="01B6046E"/>
    <w:rsid w:val="01C83BFC"/>
    <w:rsid w:val="01C901A1"/>
    <w:rsid w:val="01C936B6"/>
    <w:rsid w:val="01CF7782"/>
    <w:rsid w:val="020D6389"/>
    <w:rsid w:val="022E44A8"/>
    <w:rsid w:val="02367E3A"/>
    <w:rsid w:val="023A5FA3"/>
    <w:rsid w:val="025C7268"/>
    <w:rsid w:val="02805E54"/>
    <w:rsid w:val="02B35C23"/>
    <w:rsid w:val="02BE582C"/>
    <w:rsid w:val="02C10E79"/>
    <w:rsid w:val="02FC719A"/>
    <w:rsid w:val="03084CFA"/>
    <w:rsid w:val="03100052"/>
    <w:rsid w:val="03115D87"/>
    <w:rsid w:val="03411FB9"/>
    <w:rsid w:val="034C0B0E"/>
    <w:rsid w:val="03836A76"/>
    <w:rsid w:val="03874D2F"/>
    <w:rsid w:val="03942A31"/>
    <w:rsid w:val="03B36119"/>
    <w:rsid w:val="03C230FA"/>
    <w:rsid w:val="03FD2384"/>
    <w:rsid w:val="04133956"/>
    <w:rsid w:val="049277B6"/>
    <w:rsid w:val="04966335"/>
    <w:rsid w:val="04B52C5F"/>
    <w:rsid w:val="05096B07"/>
    <w:rsid w:val="05151950"/>
    <w:rsid w:val="053022E6"/>
    <w:rsid w:val="058645FB"/>
    <w:rsid w:val="05945035"/>
    <w:rsid w:val="05A83FFE"/>
    <w:rsid w:val="05B175DA"/>
    <w:rsid w:val="05EC26D0"/>
    <w:rsid w:val="060077E8"/>
    <w:rsid w:val="06B17456"/>
    <w:rsid w:val="06D504DD"/>
    <w:rsid w:val="06DF3FC3"/>
    <w:rsid w:val="070C4022"/>
    <w:rsid w:val="078A124A"/>
    <w:rsid w:val="078D7EC3"/>
    <w:rsid w:val="07932296"/>
    <w:rsid w:val="07C513F4"/>
    <w:rsid w:val="07C95320"/>
    <w:rsid w:val="07FD7F28"/>
    <w:rsid w:val="080123A9"/>
    <w:rsid w:val="0803018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6C36E7"/>
    <w:rsid w:val="09770078"/>
    <w:rsid w:val="098D41AA"/>
    <w:rsid w:val="09AF5ECF"/>
    <w:rsid w:val="09C728D0"/>
    <w:rsid w:val="09CF47C3"/>
    <w:rsid w:val="0A0D52EB"/>
    <w:rsid w:val="0A341A20"/>
    <w:rsid w:val="0A743A8E"/>
    <w:rsid w:val="0A816E64"/>
    <w:rsid w:val="0ABF2205"/>
    <w:rsid w:val="0AF55D55"/>
    <w:rsid w:val="0AF67B2D"/>
    <w:rsid w:val="0B18726F"/>
    <w:rsid w:val="0B9F1F73"/>
    <w:rsid w:val="0BA21D04"/>
    <w:rsid w:val="0BE15882"/>
    <w:rsid w:val="0C0F534B"/>
    <w:rsid w:val="0C5E1728"/>
    <w:rsid w:val="0C5E3BDC"/>
    <w:rsid w:val="0C692927"/>
    <w:rsid w:val="0C8D1CAB"/>
    <w:rsid w:val="0C932545"/>
    <w:rsid w:val="0C9D615F"/>
    <w:rsid w:val="0CA75583"/>
    <w:rsid w:val="0CAC0DEC"/>
    <w:rsid w:val="0CFC169C"/>
    <w:rsid w:val="0D244E26"/>
    <w:rsid w:val="0D2E1801"/>
    <w:rsid w:val="0D4C1C87"/>
    <w:rsid w:val="0D535AD6"/>
    <w:rsid w:val="0D5C636E"/>
    <w:rsid w:val="0D690A8B"/>
    <w:rsid w:val="0D7F02AE"/>
    <w:rsid w:val="0DC857B1"/>
    <w:rsid w:val="0DD56120"/>
    <w:rsid w:val="0DF931A1"/>
    <w:rsid w:val="0E1E68C5"/>
    <w:rsid w:val="0E254E27"/>
    <w:rsid w:val="0E4E5E4E"/>
    <w:rsid w:val="0E5F7CF3"/>
    <w:rsid w:val="0EB36461"/>
    <w:rsid w:val="0EC434F4"/>
    <w:rsid w:val="0EC61952"/>
    <w:rsid w:val="0ECA7307"/>
    <w:rsid w:val="0EE02FCE"/>
    <w:rsid w:val="0F130CAE"/>
    <w:rsid w:val="0F4B6CCD"/>
    <w:rsid w:val="0F5D63CD"/>
    <w:rsid w:val="0F847DFE"/>
    <w:rsid w:val="0FB90A3C"/>
    <w:rsid w:val="0FBB68AA"/>
    <w:rsid w:val="0FD94711"/>
    <w:rsid w:val="0FF54858"/>
    <w:rsid w:val="101E5B5C"/>
    <w:rsid w:val="10383DDE"/>
    <w:rsid w:val="10402A55"/>
    <w:rsid w:val="10765998"/>
    <w:rsid w:val="108C6F6A"/>
    <w:rsid w:val="108D0033"/>
    <w:rsid w:val="10A342B4"/>
    <w:rsid w:val="10A5002C"/>
    <w:rsid w:val="10C147B5"/>
    <w:rsid w:val="10EF7367"/>
    <w:rsid w:val="1135746C"/>
    <w:rsid w:val="11485251"/>
    <w:rsid w:val="114E31DF"/>
    <w:rsid w:val="115B18F1"/>
    <w:rsid w:val="118D78D1"/>
    <w:rsid w:val="11A71B81"/>
    <w:rsid w:val="11B81FE1"/>
    <w:rsid w:val="11D566EF"/>
    <w:rsid w:val="11E21BB5"/>
    <w:rsid w:val="11FD4F4B"/>
    <w:rsid w:val="11FE68E6"/>
    <w:rsid w:val="12182DC6"/>
    <w:rsid w:val="121D5CD8"/>
    <w:rsid w:val="12516230"/>
    <w:rsid w:val="12555A81"/>
    <w:rsid w:val="125F245C"/>
    <w:rsid w:val="12641821"/>
    <w:rsid w:val="129200A1"/>
    <w:rsid w:val="129B16E6"/>
    <w:rsid w:val="12CA3D79"/>
    <w:rsid w:val="12DE15D3"/>
    <w:rsid w:val="12E50BB3"/>
    <w:rsid w:val="12E752F5"/>
    <w:rsid w:val="12F26374"/>
    <w:rsid w:val="12F4102F"/>
    <w:rsid w:val="12F83617"/>
    <w:rsid w:val="131A1DFD"/>
    <w:rsid w:val="13394A5B"/>
    <w:rsid w:val="13456138"/>
    <w:rsid w:val="134E49AB"/>
    <w:rsid w:val="136C562E"/>
    <w:rsid w:val="13876A7E"/>
    <w:rsid w:val="13906D71"/>
    <w:rsid w:val="13A02D2C"/>
    <w:rsid w:val="13A24CF6"/>
    <w:rsid w:val="13EC7D20"/>
    <w:rsid w:val="14180B15"/>
    <w:rsid w:val="146B50E8"/>
    <w:rsid w:val="147C5547"/>
    <w:rsid w:val="14BC5944"/>
    <w:rsid w:val="14D4339F"/>
    <w:rsid w:val="14F055ED"/>
    <w:rsid w:val="14F43330"/>
    <w:rsid w:val="14FC0436"/>
    <w:rsid w:val="1518061A"/>
    <w:rsid w:val="153B0F5F"/>
    <w:rsid w:val="1546345F"/>
    <w:rsid w:val="157C0DB1"/>
    <w:rsid w:val="15835669"/>
    <w:rsid w:val="15A44D56"/>
    <w:rsid w:val="15AA552C"/>
    <w:rsid w:val="15B91E83"/>
    <w:rsid w:val="15C40F54"/>
    <w:rsid w:val="15EC04AB"/>
    <w:rsid w:val="161002F1"/>
    <w:rsid w:val="161C2B3E"/>
    <w:rsid w:val="163360DA"/>
    <w:rsid w:val="16677B31"/>
    <w:rsid w:val="167C35DD"/>
    <w:rsid w:val="16904303"/>
    <w:rsid w:val="169F376F"/>
    <w:rsid w:val="16A11295"/>
    <w:rsid w:val="16AA639C"/>
    <w:rsid w:val="16BF2AEF"/>
    <w:rsid w:val="16C33B92"/>
    <w:rsid w:val="171B543D"/>
    <w:rsid w:val="17432C1D"/>
    <w:rsid w:val="176F25AE"/>
    <w:rsid w:val="17852965"/>
    <w:rsid w:val="17940545"/>
    <w:rsid w:val="179529D8"/>
    <w:rsid w:val="17A553DC"/>
    <w:rsid w:val="17B04616"/>
    <w:rsid w:val="17E51656"/>
    <w:rsid w:val="17E97970"/>
    <w:rsid w:val="17F862F0"/>
    <w:rsid w:val="18153CE9"/>
    <w:rsid w:val="18240D85"/>
    <w:rsid w:val="18341384"/>
    <w:rsid w:val="184F03E7"/>
    <w:rsid w:val="188B436A"/>
    <w:rsid w:val="188E60F4"/>
    <w:rsid w:val="18B3450D"/>
    <w:rsid w:val="18BC23B6"/>
    <w:rsid w:val="18D019BE"/>
    <w:rsid w:val="18EB4A4A"/>
    <w:rsid w:val="19120228"/>
    <w:rsid w:val="19406B43"/>
    <w:rsid w:val="196F53C0"/>
    <w:rsid w:val="197902A7"/>
    <w:rsid w:val="19921369"/>
    <w:rsid w:val="19AF3CC9"/>
    <w:rsid w:val="19BB441C"/>
    <w:rsid w:val="19BE5083"/>
    <w:rsid w:val="19C57049"/>
    <w:rsid w:val="19D72D72"/>
    <w:rsid w:val="19E576EB"/>
    <w:rsid w:val="1A385A6D"/>
    <w:rsid w:val="1A4C1518"/>
    <w:rsid w:val="1A7157A3"/>
    <w:rsid w:val="1AB01AA7"/>
    <w:rsid w:val="1AB55804"/>
    <w:rsid w:val="1AC94917"/>
    <w:rsid w:val="1AF2243E"/>
    <w:rsid w:val="1B1464DA"/>
    <w:rsid w:val="1B2763CF"/>
    <w:rsid w:val="1B5D2DA2"/>
    <w:rsid w:val="1B6F3710"/>
    <w:rsid w:val="1BAD1420"/>
    <w:rsid w:val="1BD143CB"/>
    <w:rsid w:val="1BF23BD5"/>
    <w:rsid w:val="1BFB4FA4"/>
    <w:rsid w:val="1C16002F"/>
    <w:rsid w:val="1C8B457A"/>
    <w:rsid w:val="1C9553F8"/>
    <w:rsid w:val="1CAE2016"/>
    <w:rsid w:val="1CBD04AB"/>
    <w:rsid w:val="1CEB14BC"/>
    <w:rsid w:val="1D012A8E"/>
    <w:rsid w:val="1D3D790D"/>
    <w:rsid w:val="1D3F5364"/>
    <w:rsid w:val="1D550F5D"/>
    <w:rsid w:val="1DD6282E"/>
    <w:rsid w:val="1DF83E91"/>
    <w:rsid w:val="1E2E0628"/>
    <w:rsid w:val="1E6547A8"/>
    <w:rsid w:val="1E673F2E"/>
    <w:rsid w:val="1E7032E8"/>
    <w:rsid w:val="1E7A1416"/>
    <w:rsid w:val="1E892D3B"/>
    <w:rsid w:val="1EE525E6"/>
    <w:rsid w:val="1EE61F3B"/>
    <w:rsid w:val="1F225E4B"/>
    <w:rsid w:val="1F240CB5"/>
    <w:rsid w:val="1F5614C8"/>
    <w:rsid w:val="1F60157F"/>
    <w:rsid w:val="1F8F25D3"/>
    <w:rsid w:val="1F9B42EE"/>
    <w:rsid w:val="1FCD6C57"/>
    <w:rsid w:val="1FEA3C61"/>
    <w:rsid w:val="202551C4"/>
    <w:rsid w:val="202E3FF9"/>
    <w:rsid w:val="20344F28"/>
    <w:rsid w:val="20665EA4"/>
    <w:rsid w:val="20692E24"/>
    <w:rsid w:val="2080016D"/>
    <w:rsid w:val="20AA343C"/>
    <w:rsid w:val="20AC4939"/>
    <w:rsid w:val="20B00A53"/>
    <w:rsid w:val="20CD01E5"/>
    <w:rsid w:val="20CF69FF"/>
    <w:rsid w:val="20D4386A"/>
    <w:rsid w:val="20EB5E5C"/>
    <w:rsid w:val="20ED01C9"/>
    <w:rsid w:val="20F41855"/>
    <w:rsid w:val="213276BA"/>
    <w:rsid w:val="21350F58"/>
    <w:rsid w:val="2144119B"/>
    <w:rsid w:val="21643027"/>
    <w:rsid w:val="21667363"/>
    <w:rsid w:val="219226BE"/>
    <w:rsid w:val="21E464DA"/>
    <w:rsid w:val="22F61661"/>
    <w:rsid w:val="22F85AEA"/>
    <w:rsid w:val="23005595"/>
    <w:rsid w:val="2302130E"/>
    <w:rsid w:val="23181D34"/>
    <w:rsid w:val="23474F72"/>
    <w:rsid w:val="236E69A3"/>
    <w:rsid w:val="237D3DBF"/>
    <w:rsid w:val="23953F30"/>
    <w:rsid w:val="241412F8"/>
    <w:rsid w:val="24253506"/>
    <w:rsid w:val="247955FF"/>
    <w:rsid w:val="248B1E64"/>
    <w:rsid w:val="248F097F"/>
    <w:rsid w:val="249146F7"/>
    <w:rsid w:val="249B0138"/>
    <w:rsid w:val="24C0322E"/>
    <w:rsid w:val="24DD248E"/>
    <w:rsid w:val="24E930B6"/>
    <w:rsid w:val="253316A2"/>
    <w:rsid w:val="25445C0D"/>
    <w:rsid w:val="25490022"/>
    <w:rsid w:val="25754019"/>
    <w:rsid w:val="25A11DF5"/>
    <w:rsid w:val="25E209BD"/>
    <w:rsid w:val="25E44D6C"/>
    <w:rsid w:val="26282E39"/>
    <w:rsid w:val="26451C3D"/>
    <w:rsid w:val="26795443"/>
    <w:rsid w:val="26A61FB0"/>
    <w:rsid w:val="26B40B71"/>
    <w:rsid w:val="26DD1E76"/>
    <w:rsid w:val="26F15921"/>
    <w:rsid w:val="270A14E8"/>
    <w:rsid w:val="27167136"/>
    <w:rsid w:val="271E248E"/>
    <w:rsid w:val="275A1718"/>
    <w:rsid w:val="27A14D63"/>
    <w:rsid w:val="27A4483A"/>
    <w:rsid w:val="27C546A9"/>
    <w:rsid w:val="27C844E7"/>
    <w:rsid w:val="27D17500"/>
    <w:rsid w:val="27D52B4D"/>
    <w:rsid w:val="284321AC"/>
    <w:rsid w:val="284654FB"/>
    <w:rsid w:val="289A6C6D"/>
    <w:rsid w:val="28C57065"/>
    <w:rsid w:val="28D948BF"/>
    <w:rsid w:val="28DC751B"/>
    <w:rsid w:val="290C77E3"/>
    <w:rsid w:val="291219CA"/>
    <w:rsid w:val="291E6775"/>
    <w:rsid w:val="29437F8A"/>
    <w:rsid w:val="29883BEF"/>
    <w:rsid w:val="29884FE5"/>
    <w:rsid w:val="29890093"/>
    <w:rsid w:val="299A22A0"/>
    <w:rsid w:val="2A1836DC"/>
    <w:rsid w:val="2A202A0F"/>
    <w:rsid w:val="2A211624"/>
    <w:rsid w:val="2A6401B8"/>
    <w:rsid w:val="2A8118E1"/>
    <w:rsid w:val="2AA64697"/>
    <w:rsid w:val="2AE03C52"/>
    <w:rsid w:val="2B0A5203"/>
    <w:rsid w:val="2B222CFD"/>
    <w:rsid w:val="2B275DB5"/>
    <w:rsid w:val="2B3636D9"/>
    <w:rsid w:val="2B3758CC"/>
    <w:rsid w:val="2B627345"/>
    <w:rsid w:val="2B6A3EF4"/>
    <w:rsid w:val="2B7B3A0B"/>
    <w:rsid w:val="2B9C4E69"/>
    <w:rsid w:val="2BB37649"/>
    <w:rsid w:val="2BB53D21"/>
    <w:rsid w:val="2BD80E5D"/>
    <w:rsid w:val="2BE21CDC"/>
    <w:rsid w:val="2C116B4A"/>
    <w:rsid w:val="2C1A76C8"/>
    <w:rsid w:val="2C3818FC"/>
    <w:rsid w:val="2C5D5807"/>
    <w:rsid w:val="2C885629"/>
    <w:rsid w:val="2C9B4F82"/>
    <w:rsid w:val="2CAB0320"/>
    <w:rsid w:val="2CD535EF"/>
    <w:rsid w:val="2CD670D7"/>
    <w:rsid w:val="2CF16D8F"/>
    <w:rsid w:val="2D041BDC"/>
    <w:rsid w:val="2D4A0A6A"/>
    <w:rsid w:val="2D542766"/>
    <w:rsid w:val="2D7050C6"/>
    <w:rsid w:val="2D8A61D5"/>
    <w:rsid w:val="2D917516"/>
    <w:rsid w:val="2DA3549B"/>
    <w:rsid w:val="2DC23B73"/>
    <w:rsid w:val="2E4B1DBB"/>
    <w:rsid w:val="2E516871"/>
    <w:rsid w:val="2E6331BE"/>
    <w:rsid w:val="2E7330BF"/>
    <w:rsid w:val="2EBF6305"/>
    <w:rsid w:val="2EFF3E4D"/>
    <w:rsid w:val="2F204FF5"/>
    <w:rsid w:val="2F2A5E74"/>
    <w:rsid w:val="2F566C69"/>
    <w:rsid w:val="2F805A94"/>
    <w:rsid w:val="2FD20A59"/>
    <w:rsid w:val="2FDB716E"/>
    <w:rsid w:val="2FEA73B1"/>
    <w:rsid w:val="30004D47"/>
    <w:rsid w:val="3025488D"/>
    <w:rsid w:val="308A7F6C"/>
    <w:rsid w:val="308D0841"/>
    <w:rsid w:val="30D37E45"/>
    <w:rsid w:val="30E13DD4"/>
    <w:rsid w:val="30E402A4"/>
    <w:rsid w:val="30ED2F74"/>
    <w:rsid w:val="30F866A2"/>
    <w:rsid w:val="3135465C"/>
    <w:rsid w:val="3145759A"/>
    <w:rsid w:val="316177A4"/>
    <w:rsid w:val="317000AF"/>
    <w:rsid w:val="31997D9D"/>
    <w:rsid w:val="31AA329C"/>
    <w:rsid w:val="31CF4095"/>
    <w:rsid w:val="31E542D4"/>
    <w:rsid w:val="31F12C79"/>
    <w:rsid w:val="32094DE3"/>
    <w:rsid w:val="32473AFE"/>
    <w:rsid w:val="32803FFD"/>
    <w:rsid w:val="329202F4"/>
    <w:rsid w:val="32C111DB"/>
    <w:rsid w:val="32E57C78"/>
    <w:rsid w:val="32FD564D"/>
    <w:rsid w:val="33095A11"/>
    <w:rsid w:val="3321758E"/>
    <w:rsid w:val="3330332D"/>
    <w:rsid w:val="33641229"/>
    <w:rsid w:val="33A34045"/>
    <w:rsid w:val="33E86701"/>
    <w:rsid w:val="341747C2"/>
    <w:rsid w:val="34282721"/>
    <w:rsid w:val="34545741"/>
    <w:rsid w:val="349618B6"/>
    <w:rsid w:val="34EC597A"/>
    <w:rsid w:val="352944D8"/>
    <w:rsid w:val="353E4427"/>
    <w:rsid w:val="35890036"/>
    <w:rsid w:val="35CE2CFC"/>
    <w:rsid w:val="35D501BC"/>
    <w:rsid w:val="35E6686D"/>
    <w:rsid w:val="35F04FF6"/>
    <w:rsid w:val="364059DF"/>
    <w:rsid w:val="368D0A96"/>
    <w:rsid w:val="36AE1D16"/>
    <w:rsid w:val="36C02C1A"/>
    <w:rsid w:val="36D6068F"/>
    <w:rsid w:val="36DE4E3A"/>
    <w:rsid w:val="36EE7787"/>
    <w:rsid w:val="37384606"/>
    <w:rsid w:val="37407B82"/>
    <w:rsid w:val="376C6090"/>
    <w:rsid w:val="377D6D5D"/>
    <w:rsid w:val="37CA01F4"/>
    <w:rsid w:val="37CB7AC8"/>
    <w:rsid w:val="37CD285C"/>
    <w:rsid w:val="381C47C8"/>
    <w:rsid w:val="385748B2"/>
    <w:rsid w:val="38635F53"/>
    <w:rsid w:val="3885411B"/>
    <w:rsid w:val="38860B3D"/>
    <w:rsid w:val="38D54DAF"/>
    <w:rsid w:val="3902576C"/>
    <w:rsid w:val="39137979"/>
    <w:rsid w:val="39426701"/>
    <w:rsid w:val="39893797"/>
    <w:rsid w:val="39A809B9"/>
    <w:rsid w:val="39A82FD8"/>
    <w:rsid w:val="39D76BF8"/>
    <w:rsid w:val="39E66E3B"/>
    <w:rsid w:val="39E7174C"/>
    <w:rsid w:val="39EB26A4"/>
    <w:rsid w:val="3A035D97"/>
    <w:rsid w:val="3A132A56"/>
    <w:rsid w:val="3A1F6EA6"/>
    <w:rsid w:val="3A804647"/>
    <w:rsid w:val="3A916DA7"/>
    <w:rsid w:val="3A944AE9"/>
    <w:rsid w:val="3A9F5D6B"/>
    <w:rsid w:val="3AA77E8B"/>
    <w:rsid w:val="3AB724E1"/>
    <w:rsid w:val="3AC34131"/>
    <w:rsid w:val="3AE159CF"/>
    <w:rsid w:val="3AEC66D3"/>
    <w:rsid w:val="3AF623CA"/>
    <w:rsid w:val="3B082C04"/>
    <w:rsid w:val="3B4E2EEA"/>
    <w:rsid w:val="3BF9665A"/>
    <w:rsid w:val="3C025A83"/>
    <w:rsid w:val="3C252E16"/>
    <w:rsid w:val="3C263D51"/>
    <w:rsid w:val="3C35255E"/>
    <w:rsid w:val="3C616C4D"/>
    <w:rsid w:val="3C73394A"/>
    <w:rsid w:val="3C8C084B"/>
    <w:rsid w:val="3C954311"/>
    <w:rsid w:val="3CAF79B9"/>
    <w:rsid w:val="3CF97D3A"/>
    <w:rsid w:val="3CFC0724"/>
    <w:rsid w:val="3D1E6969"/>
    <w:rsid w:val="3D404D73"/>
    <w:rsid w:val="3D583BAC"/>
    <w:rsid w:val="3D5C1253"/>
    <w:rsid w:val="3D7B775B"/>
    <w:rsid w:val="3DA60DBB"/>
    <w:rsid w:val="3DB86D41"/>
    <w:rsid w:val="3DCD1A36"/>
    <w:rsid w:val="3DE736EF"/>
    <w:rsid w:val="3DE9514C"/>
    <w:rsid w:val="3E60570B"/>
    <w:rsid w:val="3E691DE9"/>
    <w:rsid w:val="3E7C7D6E"/>
    <w:rsid w:val="3ED42390"/>
    <w:rsid w:val="3ED951C1"/>
    <w:rsid w:val="3EFC7E13"/>
    <w:rsid w:val="3F087854"/>
    <w:rsid w:val="3F093F8C"/>
    <w:rsid w:val="3F116709"/>
    <w:rsid w:val="3F1C6E5B"/>
    <w:rsid w:val="3F4553C3"/>
    <w:rsid w:val="3F4926B3"/>
    <w:rsid w:val="3F60708E"/>
    <w:rsid w:val="3F966D63"/>
    <w:rsid w:val="3FBE7F13"/>
    <w:rsid w:val="3FEC0F24"/>
    <w:rsid w:val="4004001B"/>
    <w:rsid w:val="40045B14"/>
    <w:rsid w:val="40107D2A"/>
    <w:rsid w:val="401A339B"/>
    <w:rsid w:val="40272E37"/>
    <w:rsid w:val="40490124"/>
    <w:rsid w:val="407C22A8"/>
    <w:rsid w:val="40923879"/>
    <w:rsid w:val="40AD420F"/>
    <w:rsid w:val="40B21825"/>
    <w:rsid w:val="411C3143"/>
    <w:rsid w:val="41313092"/>
    <w:rsid w:val="413521D1"/>
    <w:rsid w:val="416C231C"/>
    <w:rsid w:val="41945FEF"/>
    <w:rsid w:val="41962EF5"/>
    <w:rsid w:val="41C84587"/>
    <w:rsid w:val="41D8350E"/>
    <w:rsid w:val="41FB544E"/>
    <w:rsid w:val="41FD11C6"/>
    <w:rsid w:val="421F113C"/>
    <w:rsid w:val="422449A5"/>
    <w:rsid w:val="425E7398"/>
    <w:rsid w:val="42621029"/>
    <w:rsid w:val="427D40B5"/>
    <w:rsid w:val="428042FE"/>
    <w:rsid w:val="42831016"/>
    <w:rsid w:val="42925DB2"/>
    <w:rsid w:val="429518AE"/>
    <w:rsid w:val="429622E7"/>
    <w:rsid w:val="429A669A"/>
    <w:rsid w:val="42B15B0D"/>
    <w:rsid w:val="42DB075B"/>
    <w:rsid w:val="430640D4"/>
    <w:rsid w:val="4339622E"/>
    <w:rsid w:val="433C7ACC"/>
    <w:rsid w:val="43580E9D"/>
    <w:rsid w:val="43790D20"/>
    <w:rsid w:val="438C0A54"/>
    <w:rsid w:val="439416B6"/>
    <w:rsid w:val="43B458B4"/>
    <w:rsid w:val="43C52384"/>
    <w:rsid w:val="447304B6"/>
    <w:rsid w:val="447B69B3"/>
    <w:rsid w:val="4484719B"/>
    <w:rsid w:val="44873F3D"/>
    <w:rsid w:val="4493196E"/>
    <w:rsid w:val="44B24FCB"/>
    <w:rsid w:val="44C46B14"/>
    <w:rsid w:val="44CE18BB"/>
    <w:rsid w:val="45050ABD"/>
    <w:rsid w:val="452520A9"/>
    <w:rsid w:val="4550785F"/>
    <w:rsid w:val="456450B8"/>
    <w:rsid w:val="457F03A0"/>
    <w:rsid w:val="45901137"/>
    <w:rsid w:val="45991206"/>
    <w:rsid w:val="459A594E"/>
    <w:rsid w:val="45A55DFD"/>
    <w:rsid w:val="45BB5620"/>
    <w:rsid w:val="45DD5596"/>
    <w:rsid w:val="45E07111"/>
    <w:rsid w:val="45F823D0"/>
    <w:rsid w:val="46810624"/>
    <w:rsid w:val="46843C64"/>
    <w:rsid w:val="46875502"/>
    <w:rsid w:val="469A4F5E"/>
    <w:rsid w:val="46B75DE7"/>
    <w:rsid w:val="46BF496E"/>
    <w:rsid w:val="470606AF"/>
    <w:rsid w:val="470D3C59"/>
    <w:rsid w:val="473D318F"/>
    <w:rsid w:val="47460F19"/>
    <w:rsid w:val="475168EC"/>
    <w:rsid w:val="476615BC"/>
    <w:rsid w:val="47722C14"/>
    <w:rsid w:val="47730AC0"/>
    <w:rsid w:val="47A33C44"/>
    <w:rsid w:val="47B47A51"/>
    <w:rsid w:val="47B859BC"/>
    <w:rsid w:val="47E56984"/>
    <w:rsid w:val="482150A6"/>
    <w:rsid w:val="48445776"/>
    <w:rsid w:val="48626132"/>
    <w:rsid w:val="48B00D40"/>
    <w:rsid w:val="48C00021"/>
    <w:rsid w:val="48CC18F2"/>
    <w:rsid w:val="492B4BEA"/>
    <w:rsid w:val="49804BB7"/>
    <w:rsid w:val="49F96717"/>
    <w:rsid w:val="4A1D0657"/>
    <w:rsid w:val="4A1E05C8"/>
    <w:rsid w:val="4A1E617D"/>
    <w:rsid w:val="4A2F36BA"/>
    <w:rsid w:val="4A315EB1"/>
    <w:rsid w:val="4A573306"/>
    <w:rsid w:val="4A863CCA"/>
    <w:rsid w:val="4A8A3813"/>
    <w:rsid w:val="4A954692"/>
    <w:rsid w:val="4AB32D6A"/>
    <w:rsid w:val="4ADE7B43"/>
    <w:rsid w:val="4B15132F"/>
    <w:rsid w:val="4B35377F"/>
    <w:rsid w:val="4B4E1C95"/>
    <w:rsid w:val="4B551C66"/>
    <w:rsid w:val="4BBD5522"/>
    <w:rsid w:val="4BBD5601"/>
    <w:rsid w:val="4C043151"/>
    <w:rsid w:val="4C121D12"/>
    <w:rsid w:val="4C243DF8"/>
    <w:rsid w:val="4C4023DB"/>
    <w:rsid w:val="4C416153"/>
    <w:rsid w:val="4C974B11"/>
    <w:rsid w:val="4C983FC5"/>
    <w:rsid w:val="4CB43F00"/>
    <w:rsid w:val="4CE8007A"/>
    <w:rsid w:val="4D112F08"/>
    <w:rsid w:val="4D275349"/>
    <w:rsid w:val="4D302F75"/>
    <w:rsid w:val="4D35593B"/>
    <w:rsid w:val="4D5025EF"/>
    <w:rsid w:val="4D6172F1"/>
    <w:rsid w:val="4D983E55"/>
    <w:rsid w:val="4E1D2C42"/>
    <w:rsid w:val="4E231F36"/>
    <w:rsid w:val="4E790980"/>
    <w:rsid w:val="4E7B2BAB"/>
    <w:rsid w:val="4E944C60"/>
    <w:rsid w:val="4EA01857"/>
    <w:rsid w:val="4EBE7F2F"/>
    <w:rsid w:val="4EEA4880"/>
    <w:rsid w:val="4EF15C0F"/>
    <w:rsid w:val="4F070159"/>
    <w:rsid w:val="4F111C6C"/>
    <w:rsid w:val="4F241414"/>
    <w:rsid w:val="4F2A5A60"/>
    <w:rsid w:val="4F451D45"/>
    <w:rsid w:val="4F81111C"/>
    <w:rsid w:val="4FD277EE"/>
    <w:rsid w:val="4FE87012"/>
    <w:rsid w:val="4FF04118"/>
    <w:rsid w:val="500A342C"/>
    <w:rsid w:val="501C315F"/>
    <w:rsid w:val="502F2E92"/>
    <w:rsid w:val="50371D47"/>
    <w:rsid w:val="5066262C"/>
    <w:rsid w:val="50680152"/>
    <w:rsid w:val="509727E6"/>
    <w:rsid w:val="50A9645C"/>
    <w:rsid w:val="50D37AE4"/>
    <w:rsid w:val="513B13C3"/>
    <w:rsid w:val="51475FBA"/>
    <w:rsid w:val="514B3CFC"/>
    <w:rsid w:val="514F2746"/>
    <w:rsid w:val="515B6ADD"/>
    <w:rsid w:val="516F72BF"/>
    <w:rsid w:val="5173675E"/>
    <w:rsid w:val="517D7C2E"/>
    <w:rsid w:val="51A46F68"/>
    <w:rsid w:val="51D30B3A"/>
    <w:rsid w:val="51D4516C"/>
    <w:rsid w:val="51DB16D8"/>
    <w:rsid w:val="51DD22DD"/>
    <w:rsid w:val="51F7178E"/>
    <w:rsid w:val="5201085F"/>
    <w:rsid w:val="520E7E4A"/>
    <w:rsid w:val="522B58DB"/>
    <w:rsid w:val="522D3402"/>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3DF697E"/>
    <w:rsid w:val="5402266C"/>
    <w:rsid w:val="540F0456"/>
    <w:rsid w:val="541805ED"/>
    <w:rsid w:val="54280325"/>
    <w:rsid w:val="543E18F6"/>
    <w:rsid w:val="54480AFF"/>
    <w:rsid w:val="5469119F"/>
    <w:rsid w:val="549A0AF6"/>
    <w:rsid w:val="54CC6A7F"/>
    <w:rsid w:val="54D538DD"/>
    <w:rsid w:val="54E7647B"/>
    <w:rsid w:val="54F838F0"/>
    <w:rsid w:val="558275C0"/>
    <w:rsid w:val="55EA7944"/>
    <w:rsid w:val="5664316A"/>
    <w:rsid w:val="56A143BE"/>
    <w:rsid w:val="56BA5480"/>
    <w:rsid w:val="56C1680E"/>
    <w:rsid w:val="56C26C4F"/>
    <w:rsid w:val="573E7E5F"/>
    <w:rsid w:val="575E5E0B"/>
    <w:rsid w:val="57677F3F"/>
    <w:rsid w:val="57686C8A"/>
    <w:rsid w:val="578B08F8"/>
    <w:rsid w:val="57961A49"/>
    <w:rsid w:val="57F549C2"/>
    <w:rsid w:val="58313520"/>
    <w:rsid w:val="58366D88"/>
    <w:rsid w:val="585E74A3"/>
    <w:rsid w:val="588C0756"/>
    <w:rsid w:val="58D140EF"/>
    <w:rsid w:val="58F65232"/>
    <w:rsid w:val="590F3861"/>
    <w:rsid w:val="59151C5C"/>
    <w:rsid w:val="591F15CA"/>
    <w:rsid w:val="5955323E"/>
    <w:rsid w:val="599E4BE5"/>
    <w:rsid w:val="59B12B6A"/>
    <w:rsid w:val="59BA0405"/>
    <w:rsid w:val="59D2488F"/>
    <w:rsid w:val="59FD7B5D"/>
    <w:rsid w:val="5A186745"/>
    <w:rsid w:val="5A2805D1"/>
    <w:rsid w:val="5A533C21"/>
    <w:rsid w:val="5A9B5626"/>
    <w:rsid w:val="5A9F6E67"/>
    <w:rsid w:val="5AA4622B"/>
    <w:rsid w:val="5B062A42"/>
    <w:rsid w:val="5B162907"/>
    <w:rsid w:val="5B791466"/>
    <w:rsid w:val="5BFD122A"/>
    <w:rsid w:val="5C1271C4"/>
    <w:rsid w:val="5C2515ED"/>
    <w:rsid w:val="5C4C1393"/>
    <w:rsid w:val="5C520359"/>
    <w:rsid w:val="5CC0100E"/>
    <w:rsid w:val="5CEE378D"/>
    <w:rsid w:val="5D0B433F"/>
    <w:rsid w:val="5D2A46EA"/>
    <w:rsid w:val="5D301FF8"/>
    <w:rsid w:val="5D440D1C"/>
    <w:rsid w:val="5D557F31"/>
    <w:rsid w:val="5D5D3AA2"/>
    <w:rsid w:val="5D916895"/>
    <w:rsid w:val="5DA86032"/>
    <w:rsid w:val="5DDF6293"/>
    <w:rsid w:val="5E225DE5"/>
    <w:rsid w:val="5E4044BD"/>
    <w:rsid w:val="5E435D5B"/>
    <w:rsid w:val="5E457D25"/>
    <w:rsid w:val="5E7D301B"/>
    <w:rsid w:val="5E8B1BDC"/>
    <w:rsid w:val="5E8E5228"/>
    <w:rsid w:val="5E9C471A"/>
    <w:rsid w:val="5EA031AD"/>
    <w:rsid w:val="5EA92062"/>
    <w:rsid w:val="5EDC2437"/>
    <w:rsid w:val="5EDD7F5D"/>
    <w:rsid w:val="5F5D5216"/>
    <w:rsid w:val="5F604EDE"/>
    <w:rsid w:val="5F695B06"/>
    <w:rsid w:val="5F8623A3"/>
    <w:rsid w:val="5F8B357A"/>
    <w:rsid w:val="5F8C3B19"/>
    <w:rsid w:val="5FC56A5A"/>
    <w:rsid w:val="5FC609F2"/>
    <w:rsid w:val="60031C46"/>
    <w:rsid w:val="60082DB8"/>
    <w:rsid w:val="60255718"/>
    <w:rsid w:val="603A1875"/>
    <w:rsid w:val="606443C8"/>
    <w:rsid w:val="607D62D2"/>
    <w:rsid w:val="60883EF9"/>
    <w:rsid w:val="60A54AAB"/>
    <w:rsid w:val="60B463E6"/>
    <w:rsid w:val="615F6CE1"/>
    <w:rsid w:val="617F6075"/>
    <w:rsid w:val="61891252"/>
    <w:rsid w:val="61DE64C6"/>
    <w:rsid w:val="61E86C9C"/>
    <w:rsid w:val="61EE5FDE"/>
    <w:rsid w:val="61FC4B9F"/>
    <w:rsid w:val="620A72BB"/>
    <w:rsid w:val="622163B3"/>
    <w:rsid w:val="626558FD"/>
    <w:rsid w:val="6282737A"/>
    <w:rsid w:val="62967E64"/>
    <w:rsid w:val="62B334AF"/>
    <w:rsid w:val="62B9483E"/>
    <w:rsid w:val="636C180B"/>
    <w:rsid w:val="638F2F75"/>
    <w:rsid w:val="639A466F"/>
    <w:rsid w:val="63C90AB0"/>
    <w:rsid w:val="63D556A7"/>
    <w:rsid w:val="63F024E1"/>
    <w:rsid w:val="6417181C"/>
    <w:rsid w:val="64281CB1"/>
    <w:rsid w:val="64382927"/>
    <w:rsid w:val="6477139D"/>
    <w:rsid w:val="647F308A"/>
    <w:rsid w:val="64C80818"/>
    <w:rsid w:val="64F0091A"/>
    <w:rsid w:val="64F61D79"/>
    <w:rsid w:val="653B778C"/>
    <w:rsid w:val="654A5C21"/>
    <w:rsid w:val="654C1999"/>
    <w:rsid w:val="658E1C06"/>
    <w:rsid w:val="659114C6"/>
    <w:rsid w:val="65A17F37"/>
    <w:rsid w:val="65CD2ADA"/>
    <w:rsid w:val="65DA197A"/>
    <w:rsid w:val="65E240AB"/>
    <w:rsid w:val="660404C6"/>
    <w:rsid w:val="663A7A43"/>
    <w:rsid w:val="66A27DC6"/>
    <w:rsid w:val="66BC3023"/>
    <w:rsid w:val="66C11F13"/>
    <w:rsid w:val="66D60C0F"/>
    <w:rsid w:val="66F66060"/>
    <w:rsid w:val="66F978FF"/>
    <w:rsid w:val="670F2C7E"/>
    <w:rsid w:val="672506F4"/>
    <w:rsid w:val="6740552D"/>
    <w:rsid w:val="678E6299"/>
    <w:rsid w:val="67D227DF"/>
    <w:rsid w:val="67DD2D7C"/>
    <w:rsid w:val="67F87BB6"/>
    <w:rsid w:val="67FA5064"/>
    <w:rsid w:val="681A5D7E"/>
    <w:rsid w:val="682D7860"/>
    <w:rsid w:val="686B65DA"/>
    <w:rsid w:val="686F6420"/>
    <w:rsid w:val="6874548F"/>
    <w:rsid w:val="68774F7F"/>
    <w:rsid w:val="688E4077"/>
    <w:rsid w:val="6894034A"/>
    <w:rsid w:val="68D515F3"/>
    <w:rsid w:val="690F68CB"/>
    <w:rsid w:val="691B1DAE"/>
    <w:rsid w:val="69262A75"/>
    <w:rsid w:val="6942733B"/>
    <w:rsid w:val="696230A8"/>
    <w:rsid w:val="697E40EB"/>
    <w:rsid w:val="69BD10B7"/>
    <w:rsid w:val="69C60FDA"/>
    <w:rsid w:val="6A202D2A"/>
    <w:rsid w:val="6A5A6906"/>
    <w:rsid w:val="6A5C61DA"/>
    <w:rsid w:val="6B166CD1"/>
    <w:rsid w:val="6B4355EC"/>
    <w:rsid w:val="6B4849B1"/>
    <w:rsid w:val="6B721A2E"/>
    <w:rsid w:val="6B780CCD"/>
    <w:rsid w:val="6B9E0C86"/>
    <w:rsid w:val="6BA20565"/>
    <w:rsid w:val="6BC70842"/>
    <w:rsid w:val="6BE506F0"/>
    <w:rsid w:val="6C044D7B"/>
    <w:rsid w:val="6C0E79A8"/>
    <w:rsid w:val="6C0F54CE"/>
    <w:rsid w:val="6C327B3B"/>
    <w:rsid w:val="6C382C77"/>
    <w:rsid w:val="6C9A123C"/>
    <w:rsid w:val="6CF272CA"/>
    <w:rsid w:val="6D0668D1"/>
    <w:rsid w:val="6D082C5F"/>
    <w:rsid w:val="6D18471A"/>
    <w:rsid w:val="6D3D2026"/>
    <w:rsid w:val="6DA73C10"/>
    <w:rsid w:val="6DBC1C8D"/>
    <w:rsid w:val="6DDD7632"/>
    <w:rsid w:val="6DE259A9"/>
    <w:rsid w:val="6DF66946"/>
    <w:rsid w:val="6E2F6026"/>
    <w:rsid w:val="6E7855AD"/>
    <w:rsid w:val="6E7C21AC"/>
    <w:rsid w:val="6E895A0C"/>
    <w:rsid w:val="6EA168B2"/>
    <w:rsid w:val="6EAB5982"/>
    <w:rsid w:val="6EAC5256"/>
    <w:rsid w:val="6EB0191F"/>
    <w:rsid w:val="6EE25597"/>
    <w:rsid w:val="6F601862"/>
    <w:rsid w:val="6F795ED9"/>
    <w:rsid w:val="6F9310C3"/>
    <w:rsid w:val="6FB10D76"/>
    <w:rsid w:val="700568B2"/>
    <w:rsid w:val="70671D7D"/>
    <w:rsid w:val="709337C0"/>
    <w:rsid w:val="70B2124A"/>
    <w:rsid w:val="70B62B45"/>
    <w:rsid w:val="70D30E52"/>
    <w:rsid w:val="710F5CA8"/>
    <w:rsid w:val="711D243B"/>
    <w:rsid w:val="711E068D"/>
    <w:rsid w:val="712B2DAA"/>
    <w:rsid w:val="71C42E35"/>
    <w:rsid w:val="71DE16D4"/>
    <w:rsid w:val="721F290F"/>
    <w:rsid w:val="72595CB6"/>
    <w:rsid w:val="72691DDC"/>
    <w:rsid w:val="726F7E98"/>
    <w:rsid w:val="729A5190"/>
    <w:rsid w:val="72C963D7"/>
    <w:rsid w:val="72D109E6"/>
    <w:rsid w:val="731E2BC7"/>
    <w:rsid w:val="73A40BF2"/>
    <w:rsid w:val="73E21E46"/>
    <w:rsid w:val="73F04E72"/>
    <w:rsid w:val="748572FD"/>
    <w:rsid w:val="74936212"/>
    <w:rsid w:val="74A1507F"/>
    <w:rsid w:val="74D6127F"/>
    <w:rsid w:val="753541F8"/>
    <w:rsid w:val="7553467E"/>
    <w:rsid w:val="755B490D"/>
    <w:rsid w:val="75660855"/>
    <w:rsid w:val="757B3E21"/>
    <w:rsid w:val="758E502C"/>
    <w:rsid w:val="75C02056"/>
    <w:rsid w:val="75C25BD5"/>
    <w:rsid w:val="75CE68BE"/>
    <w:rsid w:val="760A5684"/>
    <w:rsid w:val="763444AF"/>
    <w:rsid w:val="76544B51"/>
    <w:rsid w:val="76C05D43"/>
    <w:rsid w:val="76D417EE"/>
    <w:rsid w:val="76EE0B02"/>
    <w:rsid w:val="770D2C12"/>
    <w:rsid w:val="77521889"/>
    <w:rsid w:val="77594071"/>
    <w:rsid w:val="77646C7D"/>
    <w:rsid w:val="77690189"/>
    <w:rsid w:val="7782124A"/>
    <w:rsid w:val="77933457"/>
    <w:rsid w:val="77B37783"/>
    <w:rsid w:val="77C17FC5"/>
    <w:rsid w:val="77C31120"/>
    <w:rsid w:val="77C70C7A"/>
    <w:rsid w:val="77D575CC"/>
    <w:rsid w:val="784B28AF"/>
    <w:rsid w:val="78694678"/>
    <w:rsid w:val="7880542D"/>
    <w:rsid w:val="78B24E6F"/>
    <w:rsid w:val="78B83176"/>
    <w:rsid w:val="78DB3308"/>
    <w:rsid w:val="78FC6FD7"/>
    <w:rsid w:val="79004B1D"/>
    <w:rsid w:val="79065C5A"/>
    <w:rsid w:val="790E6985"/>
    <w:rsid w:val="794962BC"/>
    <w:rsid w:val="794E5888"/>
    <w:rsid w:val="795135CA"/>
    <w:rsid w:val="7956298E"/>
    <w:rsid w:val="79774BB0"/>
    <w:rsid w:val="79936817"/>
    <w:rsid w:val="79C475AD"/>
    <w:rsid w:val="79E918DC"/>
    <w:rsid w:val="7A613399"/>
    <w:rsid w:val="7A946DA5"/>
    <w:rsid w:val="7AC5600F"/>
    <w:rsid w:val="7AEC7106"/>
    <w:rsid w:val="7B2E5971"/>
    <w:rsid w:val="7B3A2E24"/>
    <w:rsid w:val="7B7A0BB6"/>
    <w:rsid w:val="7BB852AE"/>
    <w:rsid w:val="7BBE3D26"/>
    <w:rsid w:val="7BBF0CBF"/>
    <w:rsid w:val="7BC77B74"/>
    <w:rsid w:val="7BCB6DE2"/>
    <w:rsid w:val="7BED75DA"/>
    <w:rsid w:val="7BF101B4"/>
    <w:rsid w:val="7BFF0E4A"/>
    <w:rsid w:val="7C091F3A"/>
    <w:rsid w:val="7C0B7A60"/>
    <w:rsid w:val="7C0F51A6"/>
    <w:rsid w:val="7C1A7CA3"/>
    <w:rsid w:val="7C2C7F8C"/>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AA7A04"/>
    <w:rsid w:val="7EC16AFC"/>
    <w:rsid w:val="7F4514DB"/>
    <w:rsid w:val="7F56212E"/>
    <w:rsid w:val="7F892165"/>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0"/>
    <w:pPr>
      <w:jc w:val="left"/>
    </w:pPr>
  </w:style>
  <w:style w:type="paragraph" w:styleId="8">
    <w:name w:val="Body Text"/>
    <w:basedOn w:val="1"/>
    <w:next w:val="9"/>
    <w:qFormat/>
    <w:uiPriority w:val="0"/>
    <w:pPr>
      <w:autoSpaceDE w:val="0"/>
      <w:autoSpaceDN w:val="0"/>
      <w:adjustRightInd w:val="0"/>
      <w:spacing w:line="360" w:lineRule="auto"/>
    </w:pPr>
    <w:rPr>
      <w:rFonts w:ascii="宋体"/>
      <w:sz w:val="24"/>
      <w:lang w:val="zh-CN"/>
    </w:rPr>
  </w:style>
  <w:style w:type="paragraph" w:styleId="9">
    <w:name w:val="Body Text First Indent"/>
    <w:basedOn w:val="8"/>
    <w:next w:val="10"/>
    <w:qFormat/>
    <w:uiPriority w:val="0"/>
    <w:pPr>
      <w:ind w:firstLine="420"/>
    </w:pPr>
  </w:style>
  <w:style w:type="paragraph" w:styleId="10">
    <w:name w:val="toc 6"/>
    <w:basedOn w:val="1"/>
    <w:next w:val="1"/>
    <w:qFormat/>
    <w:uiPriority w:val="0"/>
    <w:pPr>
      <w:ind w:left="2100" w:leftChars="1000"/>
    </w:pPr>
    <w:rPr>
      <w:rFonts w:ascii="Calibri" w:hAnsi="Calibri" w:eastAsia="微软雅黑" w:cs="Times New Roman"/>
    </w:rPr>
  </w:style>
  <w:style w:type="paragraph" w:styleId="11">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2">
    <w:name w:val="Plain Text"/>
    <w:basedOn w:val="1"/>
    <w:next w:val="13"/>
    <w:qFormat/>
    <w:uiPriority w:val="0"/>
    <w:rPr>
      <w:rFonts w:hint="default" w:ascii="宋体" w:hAnsi="Courier New"/>
    </w:rPr>
  </w:style>
  <w:style w:type="paragraph" w:styleId="13">
    <w:name w:val="Date"/>
    <w:basedOn w:val="1"/>
    <w:next w:val="1"/>
    <w:qFormat/>
    <w:uiPriority w:val="0"/>
    <w:rPr>
      <w:spacing w:val="20"/>
      <w:sz w:val="28"/>
      <w:szCs w:val="20"/>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840"/>
        <w:tab w:val="right" w:leader="dot" w:pos="8296"/>
      </w:tabs>
    </w:pPr>
  </w:style>
  <w:style w:type="paragraph" w:styleId="17">
    <w:name w:val="toc 2"/>
    <w:basedOn w:val="1"/>
    <w:next w:val="1"/>
    <w:semiHidden/>
    <w:unhideWhenUsed/>
    <w:qFormat/>
    <w:uiPriority w:val="0"/>
    <w:pPr>
      <w:ind w:left="420" w:leftChars="200"/>
    </w:pPr>
  </w:style>
  <w:style w:type="paragraph" w:styleId="18">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2"/>
    <w:basedOn w:val="11"/>
    <w:next w:val="1"/>
    <w:qFormat/>
    <w:uiPriority w:val="0"/>
    <w:pPr>
      <w:adjustRightInd/>
      <w:spacing w:after="120" w:line="240" w:lineRule="auto"/>
      <w:ind w:left="420" w:leftChars="200" w:firstLine="210"/>
    </w:pPr>
    <w:rPr>
      <w:sz w:val="21"/>
    </w:rPr>
  </w:style>
  <w:style w:type="table" w:styleId="22">
    <w:name w:val="Table Grid"/>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semiHidden/>
    <w:unhideWhenUsed/>
    <w:qFormat/>
    <w:uiPriority w:val="0"/>
    <w:rPr>
      <w:color w:val="0000FF"/>
      <w:u w:val="single"/>
    </w:rPr>
  </w:style>
  <w:style w:type="character" w:styleId="27">
    <w:name w:val="HTML Sample"/>
    <w:basedOn w:val="23"/>
    <w:qFormat/>
    <w:uiPriority w:val="0"/>
    <w:rPr>
      <w:rFonts w:ascii="Courier New" w:hAnsi="Courier New"/>
    </w:rPr>
  </w:style>
  <w:style w:type="paragraph" w:customStyle="1" w:styleId="28">
    <w:name w:val="Default"/>
    <w:next w:val="2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表格文字"/>
    <w:basedOn w:val="31"/>
    <w:next w:val="8"/>
    <w:qFormat/>
    <w:uiPriority w:val="99"/>
    <w:pPr>
      <w:adjustRightInd w:val="0"/>
      <w:spacing w:line="420" w:lineRule="atLeast"/>
      <w:jc w:val="left"/>
      <w:textAlignment w:val="baseline"/>
    </w:pPr>
    <w:rPr>
      <w:rFonts w:ascii="Times New Roman" w:hAnsi="Times New Roman"/>
      <w:kern w:val="0"/>
    </w:rPr>
  </w:style>
  <w:style w:type="paragraph" w:customStyle="1" w:styleId="31">
    <w:name w:val="正文11"/>
    <w:basedOn w:val="32"/>
    <w:next w:val="30"/>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2">
    <w:name w:val="Normal_0"/>
    <w:basedOn w:val="33"/>
    <w:qFormat/>
    <w:uiPriority w:val="99"/>
    <w:rPr>
      <w:rFonts w:ascii="Times New Roman" w:hAnsi="Times New Roman" w:cs="Calibri"/>
      <w:szCs w:val="21"/>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_Style 2"/>
    <w:basedOn w:val="1"/>
    <w:qFormat/>
    <w:uiPriority w:val="0"/>
    <w:pPr>
      <w:ind w:firstLine="200" w:firstLineChars="200"/>
    </w:pPr>
    <w:rPr>
      <w:rFonts w:ascii="Calibri" w:hAnsi="Calibri"/>
      <w:sz w:val="28"/>
      <w:szCs w:val="22"/>
    </w:rPr>
  </w:style>
  <w:style w:type="character" w:customStyle="1" w:styleId="35">
    <w:name w:val="页眉 字符"/>
    <w:basedOn w:val="23"/>
    <w:link w:val="15"/>
    <w:qFormat/>
    <w:uiPriority w:val="0"/>
    <w:rPr>
      <w:kern w:val="2"/>
      <w:sz w:val="18"/>
      <w:szCs w:val="18"/>
    </w:rPr>
  </w:style>
  <w:style w:type="character" w:customStyle="1" w:styleId="36">
    <w:name w:val="页脚 字符"/>
    <w:basedOn w:val="23"/>
    <w:link w:val="14"/>
    <w:qFormat/>
    <w:uiPriority w:val="0"/>
    <w:rPr>
      <w:kern w:val="2"/>
      <w:sz w:val="18"/>
      <w:szCs w:val="18"/>
    </w:rPr>
  </w:style>
  <w:style w:type="paragraph" w:customStyle="1" w:styleId="37">
    <w:name w:val="Plain Text"/>
    <w:basedOn w:val="1"/>
    <w:unhideWhenUsed/>
    <w:qFormat/>
    <w:uiPriority w:val="99"/>
    <w:rPr>
      <w:rFonts w:ascii="宋体" w:hAnsi="Courier New"/>
    </w:rPr>
  </w:style>
  <w:style w:type="paragraph" w:customStyle="1" w:styleId="38">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9">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40">
    <w:name w:val="列出段落1"/>
    <w:basedOn w:val="1"/>
    <w:qFormat/>
    <w:uiPriority w:val="0"/>
    <w:pPr>
      <w:ind w:firstLine="420" w:firstLineChars="200"/>
    </w:pPr>
    <w:rPr>
      <w:rFonts w:ascii="Calibri" w:hAnsi="Calibri" w:eastAsia="微软雅黑" w:cs="Times New Roman"/>
    </w:rPr>
  </w:style>
  <w:style w:type="paragraph" w:customStyle="1" w:styleId="41">
    <w:name w:val="列出段落2"/>
    <w:basedOn w:val="1"/>
    <w:qFormat/>
    <w:uiPriority w:val="99"/>
    <w:pPr>
      <w:ind w:firstLine="420" w:firstLineChars="200"/>
    </w:pPr>
  </w:style>
  <w:style w:type="paragraph" w:customStyle="1" w:styleId="42">
    <w:name w:val="表正文"/>
    <w:basedOn w:val="1"/>
    <w:next w:val="12"/>
    <w:qFormat/>
    <w:uiPriority w:val="0"/>
    <w:pPr>
      <w:widowControl w:val="0"/>
      <w:jc w:val="both"/>
    </w:pPr>
    <w:rPr>
      <w:rFonts w:ascii="宋体" w:hAnsi="Courier New"/>
      <w:kern w:val="2"/>
      <w:sz w:val="21"/>
      <w:szCs w:val="24"/>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样式 标题 1 + 四号 加粗"/>
    <w:basedOn w:val="2"/>
    <w:qFormat/>
    <w:uiPriority w:val="0"/>
  </w:style>
  <w:style w:type="paragraph" w:customStyle="1" w:styleId="47">
    <w:name w:val="[Normal]"/>
    <w:qFormat/>
    <w:uiPriority w:val="0"/>
    <w:rPr>
      <w:rFonts w:ascii="宋体" w:hAnsi="宋体" w:eastAsia="宋体" w:cs="Times New Roman"/>
      <w:sz w:val="24"/>
      <w:szCs w:val="22"/>
      <w:lang w:val="zh-CN" w:eastAsia="zh-CN" w:bidi="ar-SA"/>
    </w:rPr>
  </w:style>
  <w:style w:type="character" w:customStyle="1" w:styleId="48">
    <w:name w:val="标题 2 Char"/>
    <w:link w:val="3"/>
    <w:qFormat/>
    <w:uiPriority w:val="0"/>
    <w:rPr>
      <w:rFonts w:ascii="仿宋_GB2312" w:hAnsi="仿宋" w:eastAsia="仿宋_GB2312"/>
      <w:b/>
      <w:bCs/>
      <w:sz w:val="32"/>
      <w:szCs w:val="32"/>
      <w:lang w:val="zh-CN"/>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styleId="5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3260</Words>
  <Characters>3665</Characters>
  <Lines>20</Lines>
  <Paragraphs>5</Paragraphs>
  <TotalTime>3</TotalTime>
  <ScaleCrop>false</ScaleCrop>
  <LinksUpToDate>false</LinksUpToDate>
  <CharactersWithSpaces>4031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2025-02-24T00:44:00Z</cp:lastPrinted>
  <dcterms:modified xsi:type="dcterms:W3CDTF">2025-02-25T01:32:55Z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91AD53115DF74CD0A16C87F60A5A5B80_13</vt:lpwstr>
  </property>
  <property fmtid="{D5CDD505-2E9C-101B-9397-08002B2CF9AE}" pid="4" name="KSOTemplateDocerSaveRecord">
    <vt:lpwstr>eyJoZGlkIjoiOTU5NzgyYmU1OTZhOTU1Y2YxYzkyYTBkYmY1MDEwYTEiLCJ1c2VySWQiOiIxNTkwNjY1MTc2In0=</vt:lpwstr>
  </property>
</Properties>
</file>