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5"/>
        <w:rPr>
          <w:rFonts w:ascii="仿宋" w:hAnsi="仿宋" w:eastAsia="仿宋" w:cs="仿宋"/>
          <w:b/>
          <w:bCs/>
          <w:color w:val="auto"/>
          <w:sz w:val="30"/>
          <w:szCs w:val="30"/>
          <w:highlight w:val="none"/>
        </w:rPr>
      </w:pPr>
    </w:p>
    <w:p>
      <w:pPr>
        <w:spacing w:line="360" w:lineRule="auto"/>
        <w:jc w:val="center"/>
        <w:outlineLvl w:val="0"/>
        <w:rPr>
          <w:rFonts w:ascii="仿宋" w:hAnsi="仿宋" w:eastAsia="仿宋" w:cs="仿宋"/>
          <w:b/>
          <w:color w:val="auto"/>
          <w:sz w:val="44"/>
          <w:szCs w:val="44"/>
          <w:highlight w:val="none"/>
        </w:rPr>
      </w:pPr>
      <w:bookmarkStart w:id="0" w:name="_Toc14961"/>
      <w:bookmarkStart w:id="1" w:name="_Toc11282"/>
      <w:r>
        <w:rPr>
          <w:rFonts w:hint="eastAsia" w:ascii="仿宋" w:hAnsi="仿宋" w:eastAsia="仿宋" w:cs="仿宋"/>
          <w:b/>
          <w:color w:val="auto"/>
          <w:sz w:val="44"/>
          <w:szCs w:val="44"/>
          <w:highlight w:val="none"/>
        </w:rPr>
        <w:t>杭州市能源集团工程科技有限公司</w:t>
      </w:r>
      <w:bookmarkEnd w:id="0"/>
      <w:bookmarkEnd w:id="1"/>
    </w:p>
    <w:p>
      <w:pPr>
        <w:pStyle w:val="4"/>
        <w:spacing w:line="360" w:lineRule="auto"/>
        <w:jc w:val="center"/>
        <w:rPr>
          <w:rFonts w:hint="eastAsia" w:ascii="仿宋" w:hAnsi="仿宋" w:eastAsia="仿宋" w:cs="仿宋"/>
          <w:color w:val="auto"/>
          <w:highlight w:val="none"/>
        </w:rPr>
      </w:pPr>
      <w:bookmarkStart w:id="2" w:name="OLE_LINK13"/>
      <w:bookmarkStart w:id="3" w:name="OLE_LINK6"/>
      <w:bookmarkStart w:id="4" w:name="_Toc7601"/>
      <w:bookmarkStart w:id="5" w:name="_Toc3575"/>
      <w:r>
        <w:rPr>
          <w:rFonts w:hint="eastAsia" w:ascii="仿宋" w:hAnsi="仿宋" w:eastAsia="仿宋" w:cs="仿宋"/>
          <w:color w:val="auto"/>
          <w:highlight w:val="none"/>
        </w:rPr>
        <w:t>广州水线</w:t>
      </w:r>
      <w:r>
        <w:rPr>
          <w:rFonts w:hint="eastAsia" w:ascii="仿宋" w:hAnsi="仿宋" w:eastAsia="仿宋" w:cs="仿宋"/>
          <w:color w:val="auto"/>
          <w:highlight w:val="none"/>
          <w:lang w:val="en-US" w:eastAsia="zh-CN"/>
        </w:rPr>
        <w:t>公用</w:t>
      </w:r>
      <w:r>
        <w:rPr>
          <w:rFonts w:hint="eastAsia" w:ascii="仿宋" w:hAnsi="仿宋" w:eastAsia="仿宋" w:cs="仿宋"/>
          <w:color w:val="auto"/>
          <w:highlight w:val="none"/>
          <w:lang w:eastAsia="zh-CN"/>
        </w:rPr>
        <w:t>工程蝶阀、球阀</w:t>
      </w:r>
      <w:r>
        <w:rPr>
          <w:rFonts w:hint="eastAsia" w:ascii="仿宋" w:hAnsi="仿宋" w:eastAsia="仿宋" w:cs="仿宋"/>
          <w:color w:val="auto"/>
          <w:highlight w:val="none"/>
          <w:lang w:val="en-US" w:eastAsia="zh-CN"/>
        </w:rPr>
        <w:t>等辅材</w:t>
      </w:r>
      <w:r>
        <w:rPr>
          <w:rFonts w:hint="eastAsia" w:ascii="仿宋" w:hAnsi="仿宋" w:eastAsia="仿宋" w:cs="仿宋"/>
          <w:color w:val="auto"/>
          <w:highlight w:val="none"/>
        </w:rPr>
        <w:t>采购项目</w:t>
      </w:r>
      <w:bookmarkEnd w:id="2"/>
    </w:p>
    <w:bookmarkEnd w:id="3"/>
    <w:p>
      <w:pPr>
        <w:pStyle w:val="4"/>
        <w:spacing w:line="360" w:lineRule="auto"/>
        <w:jc w:val="center"/>
        <w:rPr>
          <w:rFonts w:hint="eastAsia" w:ascii="仿宋" w:hAnsi="仿宋" w:eastAsia="仿宋" w:cs="仿宋"/>
          <w:color w:val="auto"/>
          <w:highlight w:val="none"/>
        </w:rPr>
      </w:pPr>
    </w:p>
    <w:p>
      <w:pPr>
        <w:spacing w:line="360" w:lineRule="auto"/>
        <w:jc w:val="center"/>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询</w:t>
      </w:r>
      <w:bookmarkEnd w:id="4"/>
      <w:bookmarkEnd w:id="5"/>
    </w:p>
    <w:p>
      <w:pPr>
        <w:pStyle w:val="17"/>
        <w:spacing w:line="360" w:lineRule="auto"/>
        <w:rPr>
          <w:rFonts w:hint="default" w:ascii="仿宋" w:hAnsi="仿宋" w:eastAsia="仿宋" w:cs="仿宋"/>
          <w:color w:val="auto"/>
          <w:highlight w:val="none"/>
        </w:rPr>
      </w:pPr>
    </w:p>
    <w:p>
      <w:pPr>
        <w:spacing w:line="360" w:lineRule="auto"/>
        <w:jc w:val="center"/>
        <w:outlineLvl w:val="0"/>
        <w:rPr>
          <w:rFonts w:ascii="仿宋" w:hAnsi="仿宋" w:eastAsia="仿宋" w:cs="仿宋"/>
          <w:b/>
          <w:color w:val="auto"/>
          <w:sz w:val="52"/>
          <w:szCs w:val="52"/>
          <w:highlight w:val="none"/>
        </w:rPr>
      </w:pPr>
      <w:bookmarkStart w:id="6" w:name="_Toc16074"/>
      <w:bookmarkStart w:id="7" w:name="_Toc31318"/>
      <w:r>
        <w:rPr>
          <w:rFonts w:hint="eastAsia" w:ascii="仿宋" w:hAnsi="仿宋" w:eastAsia="仿宋" w:cs="仿宋"/>
          <w:b/>
          <w:color w:val="auto"/>
          <w:sz w:val="52"/>
          <w:szCs w:val="52"/>
          <w:highlight w:val="none"/>
        </w:rPr>
        <w:t>价</w:t>
      </w:r>
      <w:bookmarkEnd w:id="6"/>
      <w:bookmarkEnd w:id="7"/>
    </w:p>
    <w:p>
      <w:pPr>
        <w:pStyle w:val="17"/>
        <w:spacing w:line="360" w:lineRule="auto"/>
        <w:rPr>
          <w:rFonts w:hint="default" w:ascii="仿宋" w:hAnsi="仿宋" w:eastAsia="仿宋" w:cs="仿宋"/>
          <w:color w:val="auto"/>
          <w:highlight w:val="none"/>
        </w:rPr>
      </w:pPr>
    </w:p>
    <w:p>
      <w:pPr>
        <w:spacing w:line="360" w:lineRule="auto"/>
        <w:jc w:val="center"/>
        <w:outlineLvl w:val="0"/>
        <w:rPr>
          <w:rFonts w:ascii="仿宋" w:hAnsi="仿宋" w:eastAsia="仿宋" w:cs="仿宋"/>
          <w:b/>
          <w:color w:val="auto"/>
          <w:sz w:val="52"/>
          <w:szCs w:val="52"/>
          <w:highlight w:val="none"/>
        </w:rPr>
      </w:pPr>
      <w:bookmarkStart w:id="8" w:name="_Toc7946"/>
      <w:bookmarkStart w:id="9" w:name="_Toc31929"/>
      <w:r>
        <w:rPr>
          <w:rFonts w:hint="eastAsia" w:ascii="仿宋" w:hAnsi="仿宋" w:eastAsia="仿宋" w:cs="仿宋"/>
          <w:b/>
          <w:color w:val="auto"/>
          <w:sz w:val="52"/>
          <w:szCs w:val="52"/>
          <w:highlight w:val="none"/>
        </w:rPr>
        <w:t>文</w:t>
      </w:r>
      <w:bookmarkEnd w:id="8"/>
      <w:bookmarkEnd w:id="9"/>
    </w:p>
    <w:p>
      <w:pPr>
        <w:pStyle w:val="17"/>
        <w:spacing w:line="360" w:lineRule="auto"/>
        <w:rPr>
          <w:rFonts w:hint="default" w:ascii="仿宋" w:hAnsi="仿宋" w:eastAsia="仿宋" w:cs="仿宋"/>
          <w:color w:val="auto"/>
          <w:highlight w:val="none"/>
        </w:rPr>
      </w:pPr>
    </w:p>
    <w:p>
      <w:pPr>
        <w:spacing w:line="360" w:lineRule="auto"/>
        <w:jc w:val="center"/>
        <w:outlineLvl w:val="0"/>
        <w:rPr>
          <w:rFonts w:ascii="仿宋" w:hAnsi="仿宋" w:eastAsia="仿宋" w:cs="仿宋"/>
          <w:b/>
          <w:color w:val="auto"/>
          <w:sz w:val="52"/>
          <w:szCs w:val="52"/>
          <w:highlight w:val="none"/>
        </w:rPr>
      </w:pPr>
      <w:bookmarkStart w:id="10" w:name="_Toc30351"/>
      <w:bookmarkStart w:id="11" w:name="_Toc15118"/>
      <w:r>
        <w:rPr>
          <w:rFonts w:hint="eastAsia" w:ascii="仿宋" w:hAnsi="仿宋" w:eastAsia="仿宋" w:cs="仿宋"/>
          <w:b/>
          <w:color w:val="auto"/>
          <w:sz w:val="52"/>
          <w:szCs w:val="52"/>
          <w:highlight w:val="none"/>
        </w:rPr>
        <w:t>件</w:t>
      </w:r>
      <w:bookmarkEnd w:id="10"/>
      <w:bookmarkEnd w:id="11"/>
    </w:p>
    <w:p>
      <w:pPr>
        <w:pStyle w:val="9"/>
        <w:spacing w:line="360" w:lineRule="auto"/>
        <w:rPr>
          <w:rFonts w:ascii="仿宋" w:hAnsi="仿宋" w:eastAsia="仿宋" w:cs="仿宋"/>
          <w:b/>
          <w:bCs/>
          <w:color w:val="auto"/>
          <w:sz w:val="48"/>
          <w:szCs w:val="48"/>
          <w:highlight w:val="none"/>
          <w:u w:val="single"/>
        </w:rPr>
      </w:pPr>
    </w:p>
    <w:p>
      <w:pPr>
        <w:pStyle w:val="9"/>
        <w:spacing w:line="360" w:lineRule="auto"/>
        <w:rPr>
          <w:rFonts w:ascii="仿宋" w:hAnsi="仿宋" w:eastAsia="仿宋" w:cs="仿宋"/>
          <w:b/>
          <w:bCs/>
          <w:color w:val="auto"/>
          <w:sz w:val="48"/>
          <w:szCs w:val="48"/>
          <w:highlight w:val="none"/>
          <w:u w:val="single"/>
        </w:rPr>
      </w:pPr>
    </w:p>
    <w:p>
      <w:pPr>
        <w:spacing w:line="360" w:lineRule="auto"/>
        <w:jc w:val="center"/>
        <w:outlineLvl w:val="0"/>
        <w:rPr>
          <w:rFonts w:ascii="仿宋" w:hAnsi="仿宋" w:eastAsia="仿宋" w:cs="仿宋"/>
          <w:b/>
          <w:bCs/>
          <w:color w:val="auto"/>
          <w:sz w:val="44"/>
          <w:szCs w:val="44"/>
          <w:highlight w:val="none"/>
        </w:rPr>
      </w:pPr>
      <w:bookmarkStart w:id="12" w:name="_Toc17477"/>
      <w:bookmarkStart w:id="13" w:name="_Toc21987"/>
      <w:r>
        <w:rPr>
          <w:rFonts w:hint="eastAsia" w:ascii="仿宋" w:hAnsi="仿宋" w:eastAsia="仿宋" w:cs="仿宋"/>
          <w:b/>
          <w:bCs/>
          <w:color w:val="auto"/>
          <w:sz w:val="44"/>
          <w:szCs w:val="44"/>
          <w:highlight w:val="none"/>
        </w:rPr>
        <w:t>询价人：杭州市能源集团工程科技有限公司</w:t>
      </w:r>
      <w:bookmarkEnd w:id="12"/>
      <w:bookmarkEnd w:id="13"/>
    </w:p>
    <w:p>
      <w:pPr>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2025年</w:t>
      </w:r>
      <w:r>
        <w:rPr>
          <w:rFonts w:hint="eastAsia" w:ascii="仿宋" w:hAnsi="仿宋" w:eastAsia="仿宋" w:cs="仿宋"/>
          <w:b/>
          <w:bCs/>
          <w:color w:val="auto"/>
          <w:sz w:val="44"/>
          <w:szCs w:val="44"/>
          <w:highlight w:val="none"/>
          <w:lang w:val="en-US" w:eastAsia="zh-CN"/>
        </w:rPr>
        <w:t>2</w:t>
      </w:r>
      <w:r>
        <w:rPr>
          <w:rFonts w:hint="eastAsia" w:ascii="仿宋" w:hAnsi="仿宋" w:eastAsia="仿宋" w:cs="仿宋"/>
          <w:b/>
          <w:bCs/>
          <w:color w:val="auto"/>
          <w:sz w:val="44"/>
          <w:szCs w:val="44"/>
          <w:highlight w:val="none"/>
        </w:rPr>
        <w:t>月</w:t>
      </w:r>
      <w:r>
        <w:rPr>
          <w:rFonts w:hint="eastAsia" w:ascii="仿宋" w:hAnsi="仿宋" w:eastAsia="仿宋" w:cs="仿宋"/>
          <w:b/>
          <w:bCs/>
          <w:color w:val="auto"/>
          <w:sz w:val="44"/>
          <w:szCs w:val="44"/>
          <w:highlight w:val="none"/>
          <w:lang w:val="en-US" w:eastAsia="zh-CN"/>
        </w:rPr>
        <w:t>17</w:t>
      </w:r>
      <w:r>
        <w:rPr>
          <w:rFonts w:hint="eastAsia" w:ascii="仿宋" w:hAnsi="仿宋" w:eastAsia="仿宋" w:cs="仿宋"/>
          <w:b/>
          <w:bCs/>
          <w:color w:val="auto"/>
          <w:sz w:val="44"/>
          <w:szCs w:val="44"/>
          <w:highlight w:val="none"/>
        </w:rPr>
        <w:t>日</w:t>
      </w:r>
    </w:p>
    <w:p>
      <w:pPr>
        <w:spacing w:line="360" w:lineRule="auto"/>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pPr>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目录</w:t>
      </w:r>
    </w:p>
    <w:p>
      <w:pPr>
        <w:pStyle w:val="12"/>
        <w:tabs>
          <w:tab w:val="right" w:leader="dot" w:pos="9355"/>
          <w:tab w:val="clear" w:pos="840"/>
          <w:tab w:val="clear" w:pos="8296"/>
        </w:tabs>
        <w:spacing w:line="360" w:lineRule="auto"/>
        <w:rPr>
          <w:rFonts w:ascii="仿宋" w:hAnsi="仿宋" w:eastAsia="仿宋" w:cs="仿宋"/>
          <w:color w:val="auto"/>
          <w:sz w:val="24"/>
          <w:highlight w:val="none"/>
        </w:rPr>
      </w:pPr>
    </w:p>
    <w:p>
      <w:pPr>
        <w:spacing w:line="360" w:lineRule="auto"/>
        <w:jc w:val="center"/>
        <w:rPr>
          <w:rFonts w:ascii="仿宋" w:hAnsi="仿宋" w:eastAsia="仿宋" w:cs="仿宋"/>
          <w:color w:val="auto"/>
          <w:highlight w:val="none"/>
        </w:rPr>
      </w:pPr>
    </w:p>
    <w:p>
      <w:pPr>
        <w:pStyle w:val="12"/>
        <w:tabs>
          <w:tab w:val="right" w:leader="dot" w:pos="9355"/>
          <w:tab w:val="clear" w:pos="840"/>
          <w:tab w:val="clear" w:pos="8296"/>
        </w:tabs>
        <w:spacing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r>
        <w:rPr>
          <w:color w:val="auto"/>
          <w:highlight w:val="none"/>
        </w:rPr>
        <w:fldChar w:fldCharType="begin"/>
      </w:r>
      <w:r>
        <w:rPr>
          <w:color w:val="auto"/>
          <w:highlight w:val="none"/>
        </w:rPr>
        <w:instrText xml:space="preserve"> HYPERLINK \l "_Toc9753" </w:instrText>
      </w:r>
      <w:r>
        <w:rPr>
          <w:color w:val="auto"/>
          <w:highlight w:val="none"/>
        </w:rPr>
        <w:fldChar w:fldCharType="separate"/>
      </w:r>
      <w:r>
        <w:rPr>
          <w:rFonts w:hint="eastAsia" w:ascii="仿宋" w:hAnsi="仿宋" w:eastAsia="仿宋" w:cs="仿宋"/>
          <w:color w:val="auto"/>
          <w:sz w:val="28"/>
          <w:szCs w:val="28"/>
          <w:highlight w:val="none"/>
        </w:rPr>
        <w:t>第一章 询价公告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p>
    <w:p>
      <w:pPr>
        <w:pStyle w:val="12"/>
        <w:tabs>
          <w:tab w:val="right" w:leader="dot" w:pos="9355"/>
          <w:tab w:val="clear" w:pos="840"/>
          <w:tab w:val="clear" w:pos="8296"/>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"_Toc9274" </w:instrText>
      </w:r>
      <w:r>
        <w:rPr>
          <w:color w:val="auto"/>
          <w:highlight w:val="none"/>
        </w:rPr>
        <w:fldChar w:fldCharType="separate"/>
      </w:r>
      <w:r>
        <w:rPr>
          <w:rFonts w:hint="eastAsia" w:ascii="仿宋" w:hAnsi="仿宋" w:eastAsia="仿宋" w:cs="仿宋"/>
          <w:color w:val="auto"/>
          <w:sz w:val="28"/>
          <w:szCs w:val="28"/>
          <w:highlight w:val="none"/>
        </w:rPr>
        <w:t>第二章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5</w:t>
      </w:r>
    </w:p>
    <w:p>
      <w:pPr>
        <w:pStyle w:val="12"/>
        <w:tabs>
          <w:tab w:val="right" w:leader="dot" w:pos="9355"/>
          <w:tab w:val="clear" w:pos="840"/>
          <w:tab w:val="clear" w:pos="8296"/>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"_Toc15001" </w:instrText>
      </w:r>
      <w:r>
        <w:rPr>
          <w:color w:val="auto"/>
          <w:highlight w:val="none"/>
        </w:rPr>
        <w:fldChar w:fldCharType="separate"/>
      </w:r>
      <w:r>
        <w:rPr>
          <w:rFonts w:hint="eastAsia" w:ascii="仿宋" w:hAnsi="仿宋" w:eastAsia="仿宋" w:cs="仿宋"/>
          <w:bCs/>
          <w:color w:val="auto"/>
          <w:sz w:val="28"/>
          <w:szCs w:val="28"/>
          <w:highlight w:val="none"/>
        </w:rPr>
        <w:t>第三章 采购需求和技术要求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2</w:t>
      </w:r>
    </w:p>
    <w:p>
      <w:pPr>
        <w:pStyle w:val="12"/>
        <w:tabs>
          <w:tab w:val="right" w:leader="dot" w:pos="9355"/>
          <w:tab w:val="clear" w:pos="840"/>
          <w:tab w:val="clear" w:pos="8296"/>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"_Toc16422" </w:instrText>
      </w:r>
      <w:r>
        <w:rPr>
          <w:color w:val="auto"/>
          <w:highlight w:val="none"/>
        </w:rPr>
        <w:fldChar w:fldCharType="separate"/>
      </w:r>
      <w:r>
        <w:rPr>
          <w:rFonts w:hint="eastAsia" w:ascii="仿宋" w:hAnsi="仿宋" w:eastAsia="仿宋" w:cs="仿宋"/>
          <w:color w:val="auto"/>
          <w:sz w:val="28"/>
          <w:szCs w:val="28"/>
          <w:highlight w:val="none"/>
        </w:rPr>
        <w:t>第四章 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4</w:t>
      </w:r>
    </w:p>
    <w:p>
      <w:pPr>
        <w:pStyle w:val="12"/>
        <w:tabs>
          <w:tab w:val="right" w:leader="dot" w:pos="9355"/>
          <w:tab w:val="clear" w:pos="840"/>
          <w:tab w:val="clear" w:pos="8296"/>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"_Toc27112" </w:instrText>
      </w:r>
      <w:r>
        <w:rPr>
          <w:color w:val="auto"/>
          <w:highlight w:val="none"/>
        </w:rPr>
        <w:fldChar w:fldCharType="separate"/>
      </w:r>
      <w:r>
        <w:rPr>
          <w:rFonts w:hint="eastAsia" w:ascii="仿宋" w:hAnsi="仿宋" w:eastAsia="仿宋" w:cs="仿宋"/>
          <w:color w:val="auto"/>
          <w:sz w:val="28"/>
          <w:szCs w:val="28"/>
          <w:highlight w:val="none"/>
        </w:rPr>
        <w:t>第五章 响应文件格式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21</w:t>
      </w:r>
    </w:p>
    <w:p>
      <w:pPr>
        <w:pStyle w:val="12"/>
        <w:tabs>
          <w:tab w:val="right" w:leader="dot" w:pos="9355"/>
          <w:tab w:val="clear" w:pos="840"/>
          <w:tab w:val="clear" w:pos="8296"/>
        </w:tabs>
        <w:spacing w:line="360" w:lineRule="auto"/>
        <w:rPr>
          <w:rFonts w:ascii="仿宋" w:hAnsi="仿宋" w:eastAsia="仿宋" w:cs="仿宋"/>
          <w:color w:val="auto"/>
          <w:highlight w:val="none"/>
        </w:rPr>
      </w:pPr>
    </w:p>
    <w:p>
      <w:pPr>
        <w:spacing w:line="360" w:lineRule="auto"/>
        <w:rPr>
          <w:rFonts w:ascii="仿宋" w:hAnsi="仿宋" w:eastAsia="仿宋" w:cs="仿宋"/>
          <w:color w:val="auto"/>
          <w:sz w:val="44"/>
          <w:szCs w:val="44"/>
          <w:highlight w:val="none"/>
        </w:rPr>
      </w:pPr>
      <w:r>
        <w:rPr>
          <w:rFonts w:hint="eastAsia" w:ascii="仿宋" w:hAnsi="仿宋" w:eastAsia="仿宋" w:cs="仿宋"/>
          <w:color w:val="auto"/>
          <w:highlight w:val="none"/>
        </w:rPr>
        <w:fldChar w:fldCharType="end"/>
      </w:r>
    </w:p>
    <w:p>
      <w:pPr>
        <w:numPr>
          <w:ilvl w:val="255"/>
          <w:numId w:val="0"/>
        </w:numPr>
        <w:spacing w:line="360" w:lineRule="auto"/>
        <w:jc w:val="center"/>
        <w:outlineLvl w:val="0"/>
        <w:rPr>
          <w:rStyle w:val="23"/>
          <w:rFonts w:ascii="仿宋" w:hAnsi="仿宋" w:eastAsia="仿宋" w:cs="仿宋"/>
          <w:b/>
          <w:color w:val="auto"/>
          <w:sz w:val="36"/>
          <w:szCs w:val="36"/>
          <w:highlight w:val="none"/>
        </w:rPr>
      </w:pPr>
      <w:bookmarkStart w:id="14" w:name="_Toc24043"/>
      <w:bookmarkStart w:id="15" w:name="_Toc18742"/>
      <w:bookmarkStart w:id="16" w:name="_Toc10940"/>
    </w:p>
    <w:p>
      <w:pPr>
        <w:numPr>
          <w:ilvl w:val="255"/>
          <w:numId w:val="0"/>
        </w:numPr>
        <w:spacing w:line="360" w:lineRule="auto"/>
        <w:jc w:val="center"/>
        <w:outlineLvl w:val="0"/>
        <w:rPr>
          <w:rStyle w:val="23"/>
          <w:rFonts w:ascii="仿宋" w:hAnsi="仿宋" w:eastAsia="仿宋" w:cs="仿宋"/>
          <w:b/>
          <w:color w:val="auto"/>
          <w:sz w:val="36"/>
          <w:szCs w:val="36"/>
          <w:highlight w:val="none"/>
        </w:rPr>
      </w:pPr>
    </w:p>
    <w:p>
      <w:pPr>
        <w:numPr>
          <w:ilvl w:val="255"/>
          <w:numId w:val="0"/>
        </w:numPr>
        <w:spacing w:line="360" w:lineRule="auto"/>
        <w:jc w:val="center"/>
        <w:outlineLvl w:val="0"/>
        <w:rPr>
          <w:rStyle w:val="23"/>
          <w:rFonts w:ascii="仿宋" w:hAnsi="仿宋" w:eastAsia="仿宋" w:cs="仿宋"/>
          <w:b/>
          <w:color w:val="auto"/>
          <w:sz w:val="36"/>
          <w:szCs w:val="36"/>
          <w:highlight w:val="none"/>
        </w:rPr>
      </w:pPr>
    </w:p>
    <w:p>
      <w:pPr>
        <w:numPr>
          <w:ilvl w:val="255"/>
          <w:numId w:val="0"/>
        </w:numPr>
        <w:spacing w:line="360" w:lineRule="auto"/>
        <w:outlineLvl w:val="0"/>
        <w:rPr>
          <w:rStyle w:val="23"/>
          <w:rFonts w:ascii="仿宋" w:hAnsi="仿宋" w:eastAsia="仿宋" w:cs="仿宋"/>
          <w:b/>
          <w:color w:val="auto"/>
          <w:sz w:val="36"/>
          <w:szCs w:val="36"/>
          <w:highlight w:val="none"/>
        </w:rPr>
      </w:pPr>
    </w:p>
    <w:p>
      <w:pPr>
        <w:numPr>
          <w:ilvl w:val="255"/>
          <w:numId w:val="0"/>
        </w:numPr>
        <w:spacing w:line="360" w:lineRule="auto"/>
        <w:jc w:val="center"/>
        <w:outlineLvl w:val="0"/>
        <w:rPr>
          <w:rStyle w:val="23"/>
          <w:rFonts w:ascii="仿宋" w:hAnsi="仿宋" w:eastAsia="仿宋" w:cs="仿宋"/>
          <w:b/>
          <w:color w:val="auto"/>
          <w:sz w:val="36"/>
          <w:szCs w:val="36"/>
          <w:highlight w:val="none"/>
        </w:rPr>
      </w:pPr>
    </w:p>
    <w:p>
      <w:pPr>
        <w:numPr>
          <w:ilvl w:val="255"/>
          <w:numId w:val="0"/>
        </w:numPr>
        <w:spacing w:line="360" w:lineRule="auto"/>
        <w:jc w:val="center"/>
        <w:outlineLvl w:val="0"/>
        <w:rPr>
          <w:rStyle w:val="23"/>
          <w:rFonts w:ascii="仿宋" w:hAnsi="仿宋" w:eastAsia="仿宋" w:cs="仿宋"/>
          <w:b/>
          <w:color w:val="auto"/>
          <w:sz w:val="36"/>
          <w:szCs w:val="36"/>
          <w:highlight w:val="none"/>
        </w:rPr>
      </w:pPr>
    </w:p>
    <w:p>
      <w:pPr>
        <w:numPr>
          <w:ilvl w:val="255"/>
          <w:numId w:val="0"/>
        </w:numPr>
        <w:spacing w:line="360" w:lineRule="auto"/>
        <w:jc w:val="center"/>
        <w:outlineLvl w:val="0"/>
        <w:rPr>
          <w:rStyle w:val="23"/>
          <w:rFonts w:ascii="仿宋" w:hAnsi="仿宋" w:eastAsia="仿宋" w:cs="仿宋"/>
          <w:b/>
          <w:color w:val="auto"/>
          <w:sz w:val="36"/>
          <w:szCs w:val="36"/>
          <w:highlight w:val="none"/>
        </w:rPr>
      </w:pPr>
    </w:p>
    <w:p>
      <w:pPr>
        <w:numPr>
          <w:ilvl w:val="255"/>
          <w:numId w:val="0"/>
        </w:numPr>
        <w:spacing w:line="360" w:lineRule="auto"/>
        <w:jc w:val="center"/>
        <w:outlineLvl w:val="0"/>
        <w:rPr>
          <w:rStyle w:val="23"/>
          <w:rFonts w:ascii="仿宋" w:hAnsi="仿宋" w:eastAsia="仿宋" w:cs="仿宋"/>
          <w:b/>
          <w:color w:val="auto"/>
          <w:sz w:val="36"/>
          <w:szCs w:val="36"/>
          <w:highlight w:val="none"/>
        </w:rPr>
      </w:pPr>
    </w:p>
    <w:p>
      <w:pPr>
        <w:numPr>
          <w:ilvl w:val="255"/>
          <w:numId w:val="0"/>
        </w:numPr>
        <w:spacing w:line="360" w:lineRule="auto"/>
        <w:jc w:val="center"/>
        <w:outlineLvl w:val="0"/>
        <w:rPr>
          <w:rStyle w:val="23"/>
          <w:rFonts w:ascii="仿宋" w:hAnsi="仿宋" w:eastAsia="仿宋" w:cs="仿宋"/>
          <w:b/>
          <w:color w:val="auto"/>
          <w:sz w:val="36"/>
          <w:szCs w:val="36"/>
          <w:highlight w:val="none"/>
        </w:rPr>
      </w:pPr>
    </w:p>
    <w:p>
      <w:pPr>
        <w:numPr>
          <w:ilvl w:val="255"/>
          <w:numId w:val="0"/>
        </w:numPr>
        <w:spacing w:line="360" w:lineRule="auto"/>
        <w:jc w:val="center"/>
        <w:outlineLvl w:val="0"/>
        <w:rPr>
          <w:rStyle w:val="23"/>
          <w:rFonts w:ascii="仿宋" w:hAnsi="仿宋" w:eastAsia="仿宋" w:cs="仿宋"/>
          <w:b/>
          <w:color w:val="auto"/>
          <w:sz w:val="36"/>
          <w:szCs w:val="36"/>
          <w:highlight w:val="none"/>
        </w:rPr>
      </w:pPr>
    </w:p>
    <w:p>
      <w:pPr>
        <w:pStyle w:val="4"/>
        <w:spacing w:line="360" w:lineRule="auto"/>
        <w:rPr>
          <w:rStyle w:val="23"/>
          <w:rFonts w:ascii="仿宋" w:hAnsi="仿宋" w:eastAsia="仿宋" w:cs="仿宋"/>
          <w:color w:val="auto"/>
          <w:sz w:val="36"/>
          <w:szCs w:val="36"/>
          <w:highlight w:val="none"/>
        </w:rPr>
      </w:pPr>
    </w:p>
    <w:p>
      <w:pPr>
        <w:numPr>
          <w:ilvl w:val="255"/>
          <w:numId w:val="0"/>
        </w:numPr>
        <w:spacing w:line="360" w:lineRule="auto"/>
        <w:outlineLvl w:val="0"/>
        <w:rPr>
          <w:rStyle w:val="23"/>
          <w:rFonts w:ascii="仿宋" w:hAnsi="仿宋" w:eastAsia="仿宋" w:cs="仿宋"/>
          <w:b/>
          <w:color w:val="auto"/>
          <w:sz w:val="36"/>
          <w:szCs w:val="36"/>
          <w:highlight w:val="none"/>
        </w:rPr>
      </w:pPr>
    </w:p>
    <w:p>
      <w:pPr>
        <w:numPr>
          <w:ilvl w:val="0"/>
          <w:numId w:val="1"/>
        </w:numPr>
        <w:spacing w:line="360" w:lineRule="auto"/>
        <w:jc w:val="center"/>
        <w:outlineLvl w:val="0"/>
        <w:rPr>
          <w:rStyle w:val="23"/>
          <w:rFonts w:ascii="仿宋" w:hAnsi="仿宋" w:eastAsia="仿宋" w:cs="仿宋"/>
          <w:b/>
          <w:color w:val="auto"/>
          <w:sz w:val="44"/>
          <w:szCs w:val="44"/>
          <w:highlight w:val="none"/>
        </w:rPr>
      </w:pPr>
      <w:r>
        <w:rPr>
          <w:rStyle w:val="23"/>
          <w:rFonts w:hint="eastAsia" w:ascii="仿宋" w:hAnsi="仿宋" w:eastAsia="仿宋" w:cs="仿宋"/>
          <w:b/>
          <w:color w:val="auto"/>
          <w:sz w:val="44"/>
          <w:szCs w:val="44"/>
          <w:highlight w:val="none"/>
        </w:rPr>
        <w:t>询价公告</w:t>
      </w:r>
      <w:bookmarkEnd w:id="14"/>
      <w:bookmarkEnd w:id="15"/>
      <w:bookmarkEnd w:id="16"/>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杭州市能源集团工程科技有限公司就</w:t>
      </w:r>
      <w:r>
        <w:rPr>
          <w:rStyle w:val="23"/>
          <w:rFonts w:hint="eastAsia" w:ascii="仿宋" w:hAnsi="仿宋" w:eastAsia="仿宋" w:cs="仿宋"/>
          <w:color w:val="auto"/>
          <w:sz w:val="24"/>
          <w:highlight w:val="none"/>
          <w:u w:val="single"/>
        </w:rPr>
        <w:t xml:space="preserve"> 广州水线</w:t>
      </w:r>
      <w:r>
        <w:rPr>
          <w:rStyle w:val="23"/>
          <w:rFonts w:hint="eastAsia" w:ascii="仿宋" w:hAnsi="仿宋" w:eastAsia="仿宋" w:cs="仿宋"/>
          <w:color w:val="auto"/>
          <w:sz w:val="24"/>
          <w:highlight w:val="none"/>
          <w:u w:val="single"/>
          <w:lang w:val="en-US" w:eastAsia="zh-CN"/>
        </w:rPr>
        <w:t>公用</w:t>
      </w:r>
      <w:r>
        <w:rPr>
          <w:rStyle w:val="23"/>
          <w:rFonts w:hint="eastAsia" w:ascii="仿宋" w:hAnsi="仿宋" w:eastAsia="仿宋" w:cs="仿宋"/>
          <w:color w:val="auto"/>
          <w:sz w:val="24"/>
          <w:highlight w:val="none"/>
          <w:u w:val="single"/>
          <w:lang w:eastAsia="zh-CN"/>
        </w:rPr>
        <w:t>工程蝶阀、球阀</w:t>
      </w:r>
      <w:r>
        <w:rPr>
          <w:rStyle w:val="23"/>
          <w:rFonts w:hint="eastAsia" w:ascii="仿宋" w:hAnsi="仿宋" w:eastAsia="仿宋" w:cs="仿宋"/>
          <w:color w:val="auto"/>
          <w:sz w:val="24"/>
          <w:highlight w:val="none"/>
          <w:u w:val="single"/>
          <w:lang w:val="en-US" w:eastAsia="zh-CN"/>
        </w:rPr>
        <w:t>等辅材</w:t>
      </w:r>
      <w:r>
        <w:rPr>
          <w:rStyle w:val="23"/>
          <w:rFonts w:hint="eastAsia" w:ascii="仿宋" w:hAnsi="仿宋" w:eastAsia="仿宋" w:cs="仿宋"/>
          <w:color w:val="auto"/>
          <w:sz w:val="24"/>
          <w:highlight w:val="none"/>
          <w:u w:val="single"/>
        </w:rPr>
        <w:t xml:space="preserve">采购项目 </w:t>
      </w:r>
      <w:r>
        <w:rPr>
          <w:rFonts w:hint="eastAsia" w:ascii="仿宋" w:hAnsi="仿宋" w:eastAsia="仿宋" w:cs="仿宋"/>
          <w:color w:val="auto"/>
          <w:sz w:val="24"/>
          <w:highlight w:val="none"/>
        </w:rPr>
        <w:t>进行公开询价，欢迎符合资格条件的供应商前来报价。</w:t>
      </w:r>
    </w:p>
    <w:p>
      <w:pPr>
        <w:numPr>
          <w:ilvl w:val="0"/>
          <w:numId w:val="2"/>
        </w:numPr>
        <w:spacing w:line="360" w:lineRule="auto"/>
        <w:rPr>
          <w:rStyle w:val="23"/>
          <w:rFonts w:hint="eastAsia" w:ascii="仿宋" w:hAnsi="仿宋" w:eastAsia="仿宋" w:cs="仿宋"/>
          <w:color w:val="auto"/>
          <w:sz w:val="24"/>
          <w:highlight w:val="none"/>
          <w:u w:val="none"/>
        </w:rPr>
      </w:pPr>
      <w:r>
        <w:rPr>
          <w:rStyle w:val="20"/>
          <w:rFonts w:hint="eastAsia" w:ascii="仿宋" w:hAnsi="仿宋" w:eastAsia="仿宋" w:cs="仿宋"/>
          <w:color w:val="auto"/>
          <w:kern w:val="0"/>
          <w:sz w:val="24"/>
          <w:highlight w:val="none"/>
        </w:rPr>
        <w:t>项目名称</w:t>
      </w:r>
      <w:r>
        <w:rPr>
          <w:rStyle w:val="23"/>
          <w:rFonts w:hint="eastAsia" w:ascii="仿宋" w:hAnsi="仿宋" w:eastAsia="仿宋" w:cs="仿宋"/>
          <w:color w:val="auto"/>
          <w:sz w:val="24"/>
          <w:highlight w:val="none"/>
        </w:rPr>
        <w:t>：广州水线</w:t>
      </w:r>
      <w:r>
        <w:rPr>
          <w:rStyle w:val="23"/>
          <w:rFonts w:hint="eastAsia" w:ascii="仿宋" w:hAnsi="仿宋" w:eastAsia="仿宋" w:cs="仿宋"/>
          <w:color w:val="auto"/>
          <w:sz w:val="24"/>
          <w:highlight w:val="none"/>
          <w:lang w:val="en-US" w:eastAsia="zh-CN"/>
        </w:rPr>
        <w:t>公用</w:t>
      </w:r>
      <w:r>
        <w:rPr>
          <w:rStyle w:val="23"/>
          <w:rFonts w:hint="eastAsia" w:ascii="仿宋" w:hAnsi="仿宋" w:eastAsia="仿宋" w:cs="仿宋"/>
          <w:color w:val="auto"/>
          <w:sz w:val="24"/>
          <w:highlight w:val="none"/>
          <w:lang w:eastAsia="zh-CN"/>
        </w:rPr>
        <w:t>工程蝶阀、球阀</w:t>
      </w:r>
      <w:r>
        <w:rPr>
          <w:rStyle w:val="23"/>
          <w:rFonts w:hint="eastAsia" w:ascii="仿宋" w:hAnsi="仿宋" w:eastAsia="仿宋" w:cs="仿宋"/>
          <w:color w:val="auto"/>
          <w:sz w:val="24"/>
          <w:highlight w:val="none"/>
          <w:lang w:val="en-US" w:eastAsia="zh-CN"/>
        </w:rPr>
        <w:t>等辅材</w:t>
      </w:r>
      <w:r>
        <w:rPr>
          <w:rStyle w:val="23"/>
          <w:rFonts w:hint="eastAsia" w:ascii="仿宋" w:hAnsi="仿宋" w:eastAsia="仿宋" w:cs="仿宋"/>
          <w:color w:val="auto"/>
          <w:sz w:val="24"/>
          <w:highlight w:val="none"/>
        </w:rPr>
        <w:t>采购项目</w:t>
      </w:r>
    </w:p>
    <w:p>
      <w:pPr>
        <w:numPr>
          <w:ilvl w:val="0"/>
          <w:numId w:val="2"/>
        </w:numPr>
        <w:spacing w:line="360" w:lineRule="auto"/>
        <w:rPr>
          <w:rStyle w:val="23"/>
          <w:rFonts w:ascii="仿宋" w:hAnsi="仿宋" w:eastAsia="仿宋" w:cs="仿宋"/>
          <w:b w:val="0"/>
          <w:bCs/>
          <w:color w:val="auto"/>
          <w:sz w:val="24"/>
          <w:highlight w:val="none"/>
        </w:rPr>
      </w:pPr>
      <w:r>
        <w:rPr>
          <w:rStyle w:val="20"/>
          <w:rFonts w:hint="eastAsia" w:ascii="仿宋" w:hAnsi="仿宋" w:eastAsia="仿宋" w:cs="仿宋"/>
          <w:color w:val="auto"/>
          <w:kern w:val="0"/>
          <w:sz w:val="24"/>
          <w:highlight w:val="none"/>
        </w:rPr>
        <w:t>项目编号：</w:t>
      </w:r>
      <w:r>
        <w:rPr>
          <w:rStyle w:val="20"/>
          <w:rFonts w:hint="eastAsia" w:ascii="仿宋" w:hAnsi="仿宋" w:eastAsia="仿宋" w:cs="仿宋"/>
          <w:b w:val="0"/>
          <w:bCs/>
          <w:color w:val="auto"/>
          <w:kern w:val="0"/>
          <w:sz w:val="24"/>
          <w:highlight w:val="none"/>
        </w:rPr>
        <w:t>GKXJ202502003</w:t>
      </w:r>
    </w:p>
    <w:p>
      <w:pPr>
        <w:pStyle w:val="15"/>
        <w:widowControl/>
        <w:snapToGrid w:val="0"/>
        <w:spacing w:beforeAutospacing="0" w:afterAutospacing="0" w:line="360" w:lineRule="auto"/>
        <w:rPr>
          <w:rStyle w:val="23"/>
          <w:rFonts w:ascii="仿宋" w:hAnsi="仿宋" w:eastAsia="仿宋" w:cs="仿宋"/>
          <w:color w:val="auto"/>
          <w:highlight w:val="none"/>
        </w:rPr>
      </w:pPr>
      <w:r>
        <w:rPr>
          <w:rFonts w:hint="eastAsia" w:ascii="仿宋" w:hAnsi="仿宋" w:eastAsia="仿宋" w:cs="仿宋"/>
          <w:b/>
          <w:color w:val="auto"/>
          <w:kern w:val="2"/>
          <w:highlight w:val="none"/>
        </w:rPr>
        <w:t>三、</w:t>
      </w:r>
      <w:r>
        <w:rPr>
          <w:rStyle w:val="20"/>
          <w:rFonts w:hint="eastAsia" w:ascii="仿宋" w:hAnsi="仿宋" w:eastAsia="仿宋" w:cs="仿宋"/>
          <w:color w:val="auto"/>
          <w:highlight w:val="none"/>
        </w:rPr>
        <w:t>采购方式</w:t>
      </w:r>
      <w:r>
        <w:rPr>
          <w:rStyle w:val="23"/>
          <w:rFonts w:hint="eastAsia" w:ascii="仿宋" w:hAnsi="仿宋" w:eastAsia="仿宋" w:cs="仿宋"/>
          <w:color w:val="auto"/>
          <w:highlight w:val="none"/>
        </w:rPr>
        <w:t>：</w:t>
      </w:r>
      <w:bookmarkStart w:id="17" w:name="OLE_LINK3"/>
      <w:r>
        <w:rPr>
          <w:rStyle w:val="23"/>
          <w:rFonts w:hint="eastAsia" w:ascii="仿宋" w:hAnsi="仿宋" w:eastAsia="仿宋" w:cs="仿宋"/>
          <w:color w:val="auto"/>
          <w:highlight w:val="none"/>
        </w:rPr>
        <w:t>公开询</w:t>
      </w:r>
      <w:bookmarkEnd w:id="17"/>
      <w:r>
        <w:rPr>
          <w:rStyle w:val="23"/>
          <w:rFonts w:hint="eastAsia" w:ascii="仿宋" w:hAnsi="仿宋" w:eastAsia="仿宋" w:cs="仿宋"/>
          <w:color w:val="auto"/>
          <w:highlight w:val="none"/>
        </w:rPr>
        <w:t>价</w:t>
      </w:r>
    </w:p>
    <w:p>
      <w:pPr>
        <w:pStyle w:val="15"/>
        <w:widowControl/>
        <w:snapToGrid w:val="0"/>
        <w:spacing w:beforeAutospacing="0" w:afterAutospacing="0" w:line="360" w:lineRule="auto"/>
        <w:rPr>
          <w:rStyle w:val="20"/>
          <w:rFonts w:ascii="仿宋" w:hAnsi="仿宋" w:eastAsia="仿宋" w:cs="仿宋"/>
          <w:color w:val="auto"/>
          <w:highlight w:val="none"/>
        </w:rPr>
      </w:pPr>
      <w:bookmarkStart w:id="18" w:name="_Toc16380"/>
      <w:bookmarkStart w:id="19" w:name="_Toc5187"/>
      <w:r>
        <w:rPr>
          <w:rFonts w:hint="eastAsia" w:ascii="仿宋" w:hAnsi="仿宋" w:eastAsia="仿宋" w:cs="仿宋"/>
          <w:b/>
          <w:color w:val="auto"/>
          <w:kern w:val="2"/>
          <w:highlight w:val="none"/>
        </w:rPr>
        <w:t>四、</w:t>
      </w:r>
      <w:bookmarkEnd w:id="18"/>
      <w:bookmarkEnd w:id="19"/>
      <w:r>
        <w:rPr>
          <w:rFonts w:hint="eastAsia" w:ascii="仿宋" w:hAnsi="仿宋" w:eastAsia="仿宋" w:cs="仿宋"/>
          <w:b/>
          <w:bCs/>
          <w:color w:val="auto"/>
          <w:highlight w:val="none"/>
        </w:rPr>
        <w:t>采购项目概况（内容、用途、数量、简要技术要求等）</w:t>
      </w:r>
      <w:r>
        <w:rPr>
          <w:rStyle w:val="20"/>
          <w:rFonts w:hint="eastAsia" w:ascii="仿宋" w:hAnsi="仿宋" w:eastAsia="仿宋" w:cs="仿宋"/>
          <w:color w:val="auto"/>
          <w:highlight w:val="none"/>
        </w:rPr>
        <w:t>：</w:t>
      </w:r>
    </w:p>
    <w:p>
      <w:pPr>
        <w:pStyle w:val="14"/>
        <w:widowControl/>
        <w:shd w:val="clear" w:color="auto" w:fill="FFFFFF"/>
        <w:wordWrap w:val="0"/>
        <w:spacing w:line="360" w:lineRule="auto"/>
        <w:ind w:firstLine="480" w:firstLineChars="200"/>
        <w:rPr>
          <w:rFonts w:hint="default" w:ascii="仿宋" w:hAnsi="仿宋" w:eastAsia="仿宋" w:cs="仿宋"/>
          <w:color w:val="auto"/>
          <w:highlight w:val="none"/>
        </w:rPr>
      </w:pPr>
      <w:bookmarkStart w:id="20" w:name="_Toc10372"/>
      <w:bookmarkStart w:id="21" w:name="_Toc1427"/>
      <w:bookmarkStart w:id="22" w:name="_Toc11175"/>
      <w:r>
        <w:rPr>
          <w:rFonts w:ascii="仿宋" w:hAnsi="仿宋" w:eastAsia="仿宋" w:cs="仿宋"/>
          <w:color w:val="auto"/>
          <w:highlight w:val="none"/>
        </w:rPr>
        <w:t>1、采购概况：为确保杭州市能源集团工程科技有限公司承接的</w:t>
      </w:r>
      <w:r>
        <w:rPr>
          <w:rStyle w:val="23"/>
          <w:rFonts w:hint="eastAsia" w:ascii="仿宋" w:hAnsi="仿宋" w:eastAsia="仿宋" w:cs="仿宋"/>
          <w:color w:val="auto"/>
          <w:sz w:val="24"/>
          <w:highlight w:val="none"/>
          <w:u w:val="none"/>
        </w:rPr>
        <w:t>广州水线</w:t>
      </w:r>
      <w:r>
        <w:rPr>
          <w:rStyle w:val="23"/>
          <w:rFonts w:hint="eastAsia" w:ascii="仿宋" w:hAnsi="仿宋" w:eastAsia="仿宋" w:cs="仿宋"/>
          <w:color w:val="auto"/>
          <w:sz w:val="24"/>
          <w:highlight w:val="none"/>
          <w:u w:val="none"/>
          <w:lang w:val="en-US" w:eastAsia="zh-CN"/>
        </w:rPr>
        <w:t>公用</w:t>
      </w:r>
      <w:r>
        <w:rPr>
          <w:rStyle w:val="23"/>
          <w:rFonts w:hint="eastAsia" w:ascii="仿宋" w:hAnsi="仿宋" w:eastAsia="仿宋" w:cs="仿宋"/>
          <w:color w:val="auto"/>
          <w:sz w:val="24"/>
          <w:highlight w:val="none"/>
          <w:u w:val="none"/>
          <w:lang w:eastAsia="zh-CN"/>
        </w:rPr>
        <w:t>工程</w:t>
      </w:r>
      <w:r>
        <w:rPr>
          <w:rFonts w:ascii="仿宋" w:hAnsi="仿宋" w:eastAsia="仿宋" w:cs="仿宋"/>
          <w:color w:val="auto"/>
          <w:highlight w:val="none"/>
        </w:rPr>
        <w:t>的施工质量、保障施工进度，现对其所需的</w:t>
      </w:r>
      <w:r>
        <w:rPr>
          <w:rFonts w:hint="eastAsia" w:ascii="仿宋" w:hAnsi="仿宋" w:eastAsia="仿宋" w:cs="仿宋"/>
          <w:color w:val="auto"/>
          <w:highlight w:val="none"/>
          <w:lang w:eastAsia="zh-CN"/>
        </w:rPr>
        <w:t>蝶阀、球阀</w:t>
      </w:r>
      <w:r>
        <w:rPr>
          <w:rFonts w:hint="eastAsia" w:ascii="仿宋" w:hAnsi="仿宋" w:eastAsia="仿宋" w:cs="仿宋"/>
          <w:color w:val="auto"/>
          <w:highlight w:val="none"/>
          <w:lang w:val="en-US" w:eastAsia="zh-CN"/>
        </w:rPr>
        <w:t>等辅材</w:t>
      </w:r>
      <w:r>
        <w:rPr>
          <w:rFonts w:ascii="仿宋" w:hAnsi="仿宋" w:eastAsia="仿宋" w:cs="仿宋"/>
          <w:color w:val="auto"/>
          <w:highlight w:val="none"/>
        </w:rPr>
        <w:t>进行采购。</w:t>
      </w:r>
    </w:p>
    <w:p>
      <w:pPr>
        <w:pStyle w:val="14"/>
        <w:widowControl/>
        <w:shd w:val="clear" w:color="auto" w:fill="FFFFFF"/>
        <w:wordWrap w:val="0"/>
        <w:spacing w:line="360" w:lineRule="auto"/>
        <w:ind w:firstLine="480" w:firstLineChars="200"/>
        <w:rPr>
          <w:rFonts w:hint="eastAsia" w:ascii="仿宋" w:hAnsi="仿宋" w:eastAsia="仿宋" w:cs="仿宋"/>
          <w:color w:val="auto"/>
          <w:highlight w:val="none"/>
          <w:lang w:eastAsia="zh-CN"/>
        </w:rPr>
      </w:pPr>
      <w:r>
        <w:rPr>
          <w:rFonts w:ascii="仿宋" w:hAnsi="仿宋" w:eastAsia="仿宋" w:cs="仿宋"/>
          <w:color w:val="auto"/>
          <w:highlight w:val="none"/>
        </w:rPr>
        <w:t>2、采购内容：</w:t>
      </w:r>
      <w:bookmarkStart w:id="23" w:name="OLE_LINK8"/>
      <w:bookmarkStart w:id="24" w:name="OLE_LINK15"/>
      <w:r>
        <w:rPr>
          <w:rFonts w:hint="eastAsia" w:ascii="仿宋" w:hAnsi="仿宋" w:eastAsia="仿宋" w:cs="仿宋"/>
          <w:color w:val="auto"/>
          <w:highlight w:val="none"/>
          <w:lang w:eastAsia="zh-CN"/>
        </w:rPr>
        <w:t>蝶阀、球阀</w:t>
      </w:r>
      <w:r>
        <w:rPr>
          <w:rFonts w:hint="eastAsia" w:ascii="仿宋" w:hAnsi="仿宋" w:eastAsia="仿宋" w:cs="仿宋"/>
          <w:color w:val="auto"/>
          <w:highlight w:val="none"/>
          <w:lang w:val="en-US" w:eastAsia="zh-CN"/>
        </w:rPr>
        <w:t>等辅材</w:t>
      </w:r>
      <w:r>
        <w:rPr>
          <w:rStyle w:val="23"/>
          <w:rFonts w:ascii="仿宋" w:hAnsi="仿宋" w:eastAsia="仿宋" w:cs="仿宋"/>
          <w:color w:val="auto"/>
          <w:highlight w:val="none"/>
        </w:rPr>
        <w:t>的供货、运输、</w:t>
      </w:r>
      <w:r>
        <w:rPr>
          <w:rFonts w:ascii="仿宋" w:hAnsi="仿宋" w:eastAsia="仿宋" w:cs="仿宋"/>
          <w:color w:val="auto"/>
          <w:highlight w:val="none"/>
        </w:rPr>
        <w:t>装</w:t>
      </w:r>
      <w:r>
        <w:rPr>
          <w:rFonts w:hint="eastAsia" w:ascii="仿宋" w:hAnsi="仿宋" w:eastAsia="仿宋" w:cs="仿宋"/>
          <w:color w:val="auto"/>
          <w:highlight w:val="none"/>
          <w:lang w:eastAsia="zh-CN"/>
        </w:rPr>
        <w:t>车</w:t>
      </w:r>
      <w:r>
        <w:rPr>
          <w:rFonts w:ascii="仿宋" w:hAnsi="仿宋" w:eastAsia="仿宋" w:cs="仿宋"/>
          <w:color w:val="auto"/>
          <w:highlight w:val="none"/>
        </w:rPr>
        <w:t>、验收、售后及质保服务</w:t>
      </w:r>
      <w:bookmarkEnd w:id="23"/>
      <w:r>
        <w:rPr>
          <w:rFonts w:ascii="仿宋" w:hAnsi="仿宋" w:eastAsia="仿宋" w:cs="仿宋"/>
          <w:color w:val="auto"/>
          <w:highlight w:val="none"/>
        </w:rPr>
        <w:t>。</w:t>
      </w:r>
      <w:bookmarkEnd w:id="24"/>
      <w:r>
        <w:rPr>
          <w:rFonts w:hint="eastAsia" w:ascii="仿宋" w:hAnsi="仿宋" w:eastAsia="仿宋" w:cs="仿宋"/>
          <w:color w:val="auto"/>
          <w:highlight w:val="none"/>
          <w:lang w:eastAsia="zh-CN"/>
        </w:rPr>
        <w:t>具体需求详见“第三章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采购需求和技术要求”。</w:t>
      </w:r>
    </w:p>
    <w:p>
      <w:pPr>
        <w:pStyle w:val="14"/>
        <w:widowControl/>
        <w:shd w:val="clear" w:color="auto" w:fill="FFFFFF"/>
        <w:wordWrap w:val="0"/>
        <w:spacing w:line="360" w:lineRule="auto"/>
        <w:ind w:firstLine="480" w:firstLineChars="200"/>
        <w:rPr>
          <w:rFonts w:hint="default" w:ascii="仿宋" w:hAnsi="仿宋" w:eastAsia="仿宋" w:cs="仿宋"/>
          <w:color w:val="auto"/>
          <w:highlight w:val="none"/>
        </w:rPr>
      </w:pPr>
      <w:r>
        <w:rPr>
          <w:rFonts w:ascii="仿宋" w:hAnsi="仿宋" w:eastAsia="仿宋" w:cs="仿宋"/>
          <w:color w:val="auto"/>
          <w:highlight w:val="none"/>
        </w:rPr>
        <w:t>3、</w:t>
      </w:r>
      <w:bookmarkStart w:id="25" w:name="OLE_LINK18"/>
      <w:r>
        <w:rPr>
          <w:rFonts w:ascii="仿宋" w:hAnsi="仿宋" w:eastAsia="仿宋" w:cs="仿宋"/>
          <w:color w:val="auto"/>
          <w:highlight w:val="none"/>
        </w:rPr>
        <w:t>最高含税总价限价：</w:t>
      </w:r>
      <w:bookmarkStart w:id="26" w:name="OLE_LINK7"/>
      <w:r>
        <w:rPr>
          <w:rFonts w:hint="eastAsia" w:ascii="仿宋" w:hAnsi="仿宋" w:eastAsia="仿宋" w:cs="仿宋"/>
          <w:color w:val="auto"/>
          <w:highlight w:val="none"/>
          <w:lang w:val="en-US" w:eastAsia="zh-CN"/>
        </w:rPr>
        <w:t>668283</w:t>
      </w:r>
      <w:bookmarkEnd w:id="26"/>
      <w:r>
        <w:rPr>
          <w:rFonts w:ascii="仿宋" w:hAnsi="仿宋" w:eastAsia="仿宋" w:cs="仿宋"/>
          <w:bCs/>
          <w:color w:val="auto"/>
          <w:highlight w:val="none"/>
        </w:rPr>
        <w:t>元</w:t>
      </w:r>
      <w:r>
        <w:rPr>
          <w:rFonts w:ascii="仿宋" w:hAnsi="仿宋" w:eastAsia="仿宋" w:cs="仿宋"/>
          <w:color w:val="auto"/>
          <w:highlight w:val="none"/>
        </w:rPr>
        <w:t>，</w:t>
      </w:r>
      <w:r>
        <w:rPr>
          <w:rFonts w:ascii="仿宋" w:hAnsi="仿宋" w:eastAsia="仿宋" w:cs="仿宋"/>
          <w:bCs/>
          <w:color w:val="auto"/>
          <w:highlight w:val="none"/>
        </w:rPr>
        <w:t>响应报价超过</w:t>
      </w:r>
      <w:r>
        <w:rPr>
          <w:rFonts w:ascii="仿宋" w:hAnsi="仿宋" w:eastAsia="仿宋" w:cs="仿宋"/>
          <w:color w:val="auto"/>
          <w:highlight w:val="none"/>
        </w:rPr>
        <w:t>总价限价</w:t>
      </w:r>
      <w:r>
        <w:rPr>
          <w:rFonts w:ascii="仿宋" w:hAnsi="仿宋" w:eastAsia="仿宋" w:cs="仿宋"/>
          <w:bCs/>
          <w:color w:val="auto"/>
          <w:highlight w:val="none"/>
        </w:rPr>
        <w:t>的按无效处理。</w:t>
      </w:r>
      <w:bookmarkEnd w:id="25"/>
    </w:p>
    <w:p>
      <w:pPr>
        <w:snapToGrid w:val="0"/>
        <w:spacing w:line="360" w:lineRule="auto"/>
        <w:outlineLvl w:val="1"/>
        <w:rPr>
          <w:rStyle w:val="20"/>
          <w:rFonts w:ascii="仿宋" w:hAnsi="仿宋" w:eastAsia="仿宋" w:cs="仿宋"/>
          <w:color w:val="auto"/>
          <w:kern w:val="0"/>
          <w:sz w:val="24"/>
          <w:highlight w:val="none"/>
        </w:rPr>
      </w:pPr>
      <w:bookmarkStart w:id="27" w:name="_Toc1965"/>
      <w:r>
        <w:rPr>
          <w:rFonts w:hint="eastAsia" w:ascii="仿宋" w:hAnsi="仿宋" w:eastAsia="仿宋" w:cs="仿宋"/>
          <w:b/>
          <w:color w:val="auto"/>
          <w:sz w:val="24"/>
          <w:highlight w:val="none"/>
        </w:rPr>
        <w:t>五、</w:t>
      </w:r>
      <w:bookmarkEnd w:id="27"/>
      <w:bookmarkStart w:id="28" w:name="_Toc11385"/>
      <w:bookmarkStart w:id="29" w:name="_Toc5881"/>
      <w:r>
        <w:rPr>
          <w:rStyle w:val="20"/>
          <w:rFonts w:hint="eastAsia" w:ascii="仿宋" w:hAnsi="仿宋" w:eastAsia="仿宋" w:cs="仿宋"/>
          <w:color w:val="auto"/>
          <w:kern w:val="0"/>
          <w:sz w:val="24"/>
          <w:highlight w:val="none"/>
        </w:rPr>
        <w:t>供应商资格条件：</w:t>
      </w:r>
    </w:p>
    <w:p>
      <w:pPr>
        <w:snapToGrid w:val="0"/>
        <w:spacing w:line="360" w:lineRule="auto"/>
        <w:ind w:firstLine="480" w:firstLineChars="200"/>
        <w:outlineLvl w:val="2"/>
        <w:rPr>
          <w:rFonts w:ascii="仿宋" w:hAnsi="仿宋" w:eastAsia="仿宋" w:cs="仿宋"/>
          <w:color w:val="auto"/>
          <w:sz w:val="24"/>
          <w:highlight w:val="none"/>
        </w:rPr>
      </w:pPr>
      <w:bookmarkStart w:id="30" w:name="_Toc15144"/>
      <w:bookmarkStart w:id="31" w:name="_Toc30853"/>
      <w:r>
        <w:rPr>
          <w:rFonts w:hint="eastAsia" w:ascii="仿宋" w:hAnsi="仿宋" w:eastAsia="仿宋" w:cs="仿宋"/>
          <w:color w:val="auto"/>
          <w:sz w:val="24"/>
          <w:highlight w:val="none"/>
        </w:rPr>
        <w:t>1、</w:t>
      </w:r>
      <w:bookmarkEnd w:id="30"/>
      <w:r>
        <w:rPr>
          <w:rFonts w:hint="eastAsia" w:ascii="仿宋" w:hAnsi="仿宋" w:eastAsia="仿宋" w:cs="仿宋"/>
          <w:color w:val="auto"/>
          <w:sz w:val="24"/>
          <w:highlight w:val="none"/>
        </w:rPr>
        <w:t>具有独立承担民事责任能力的供应商；</w:t>
      </w:r>
      <w:bookmarkEnd w:id="31"/>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2、单位负责人为同一人或者存在直接控股、管理关系的不同单位，不得同时参加本项目应价。（以开启当天询价人</w:t>
      </w:r>
      <w:r>
        <w:rPr>
          <w:rFonts w:hint="eastAsia" w:ascii="仿宋" w:hAnsi="仿宋" w:eastAsia="仿宋" w:cs="仿宋"/>
          <w:color w:val="auto"/>
          <w:sz w:val="24"/>
          <w:highlight w:val="none"/>
          <w:lang w:val="zh-TW" w:eastAsia="zh-TW"/>
        </w:rPr>
        <w:t>通过</w:t>
      </w:r>
      <w:r>
        <w:rPr>
          <w:rFonts w:hint="eastAsia" w:ascii="仿宋" w:hAnsi="仿宋" w:eastAsia="仿宋" w:cs="仿宋"/>
          <w:color w:val="auto"/>
          <w:sz w:val="24"/>
          <w:highlight w:val="none"/>
        </w:rPr>
        <w:t>“天眼查”网站查询结果为准）；</w:t>
      </w:r>
    </w:p>
    <w:p>
      <w:pPr>
        <w:wordWrap w:val="0"/>
        <w:spacing w:line="360" w:lineRule="auto"/>
        <w:ind w:firstLine="480" w:firstLineChars="200"/>
        <w:outlineLvl w:val="1"/>
        <w:rPr>
          <w:rFonts w:ascii="仿宋" w:hAnsi="仿宋" w:eastAsia="仿宋" w:cs="仿宋"/>
          <w:color w:val="auto"/>
          <w:sz w:val="24"/>
          <w:highlight w:val="none"/>
        </w:rPr>
      </w:pPr>
      <w:bookmarkStart w:id="32" w:name="_Toc27642"/>
      <w:r>
        <w:rPr>
          <w:rFonts w:hint="eastAsia" w:ascii="仿宋" w:hAnsi="仿宋" w:eastAsia="仿宋" w:cs="仿宋"/>
          <w:color w:val="auto"/>
          <w:sz w:val="24"/>
          <w:highlight w:val="none"/>
        </w:rPr>
        <w:t>3、不接受联合体应价</w:t>
      </w:r>
      <w:bookmarkEnd w:id="32"/>
      <w:r>
        <w:rPr>
          <w:rFonts w:hint="eastAsia" w:ascii="仿宋" w:hAnsi="仿宋" w:eastAsia="仿宋" w:cs="仿宋"/>
          <w:color w:val="auto"/>
          <w:sz w:val="24"/>
          <w:highlight w:val="none"/>
        </w:rPr>
        <w:t>；</w:t>
      </w:r>
    </w:p>
    <w:p>
      <w:pPr>
        <w:widowControl/>
        <w:numPr>
          <w:ilvl w:val="0"/>
          <w:numId w:val="0"/>
        </w:numPr>
        <w:snapToGrid w:val="0"/>
        <w:spacing w:line="360" w:lineRule="auto"/>
        <w:jc w:val="left"/>
        <w:outlineLvl w:val="1"/>
        <w:rPr>
          <w:rFonts w:ascii="仿宋" w:hAnsi="仿宋" w:eastAsia="仿宋" w:cs="仿宋"/>
          <w:b/>
          <w:color w:val="auto"/>
          <w:sz w:val="24"/>
          <w:highlight w:val="none"/>
          <w:lang w:bidi="ar"/>
        </w:rPr>
      </w:pPr>
      <w:r>
        <w:rPr>
          <w:rFonts w:hint="eastAsia" w:ascii="仿宋" w:hAnsi="仿宋" w:eastAsia="仿宋" w:cs="仿宋"/>
          <w:b/>
          <w:color w:val="auto"/>
          <w:sz w:val="24"/>
          <w:highlight w:val="none"/>
          <w:lang w:eastAsia="zh-CN" w:bidi="ar"/>
        </w:rPr>
        <w:t>六、</w:t>
      </w:r>
      <w:r>
        <w:rPr>
          <w:rFonts w:hint="eastAsia" w:ascii="仿宋" w:hAnsi="仿宋" w:eastAsia="仿宋" w:cs="仿宋"/>
          <w:b/>
          <w:color w:val="auto"/>
          <w:sz w:val="24"/>
          <w:highlight w:val="none"/>
          <w:lang w:bidi="ar"/>
        </w:rPr>
        <w:t>采购文件获取方式：</w:t>
      </w:r>
    </w:p>
    <w:p>
      <w:pPr>
        <w:numPr>
          <w:ilvl w:val="0"/>
          <w:numId w:val="3"/>
        </w:numPr>
        <w:spacing w:line="360" w:lineRule="auto"/>
        <w:ind w:left="-60" w:leftChars="0" w:firstLine="480" w:firstLineChars="0"/>
        <w:rPr>
          <w:rStyle w:val="22"/>
          <w:rFonts w:hint="eastAsia" w:ascii="仿宋" w:hAnsi="仿宋" w:eastAsia="仿宋" w:cs="仿宋"/>
          <w:color w:val="auto"/>
          <w:kern w:val="0"/>
          <w:sz w:val="24"/>
          <w:highlight w:val="none"/>
        </w:rPr>
      </w:pPr>
      <w:r>
        <w:rPr>
          <w:rStyle w:val="22"/>
          <w:rFonts w:hint="eastAsia" w:ascii="仿宋" w:hAnsi="仿宋" w:eastAsia="仿宋" w:cs="仿宋"/>
          <w:color w:val="auto"/>
          <w:kern w:val="0"/>
          <w:sz w:val="24"/>
          <w:highlight w:val="none"/>
        </w:rPr>
        <w:t>供应商在</w:t>
      </w:r>
      <w:r>
        <w:rPr>
          <w:rFonts w:hint="eastAsia" w:ascii="仿宋" w:hAnsi="仿宋" w:eastAsia="仿宋" w:cs="仿宋"/>
          <w:color w:val="auto"/>
          <w:sz w:val="24"/>
          <w:highlight w:val="none"/>
          <w:u w:val="single"/>
          <w:lang w:bidi="ar"/>
        </w:rPr>
        <w:t>浙江省政府采购网</w:t>
      </w:r>
      <w:r>
        <w:rPr>
          <w:rStyle w:val="22"/>
          <w:rFonts w:hint="eastAsia" w:ascii="仿宋" w:hAnsi="仿宋" w:eastAsia="仿宋" w:cs="仿宋"/>
          <w:color w:val="auto"/>
          <w:kern w:val="0"/>
          <w:sz w:val="24"/>
          <w:highlight w:val="none"/>
        </w:rPr>
        <w:t>公告下方“游客”-点击“浏览采购文件”获取采购文件。</w:t>
      </w:r>
    </w:p>
    <w:p>
      <w:pPr>
        <w:numPr>
          <w:ilvl w:val="0"/>
          <w:numId w:val="3"/>
        </w:numPr>
        <w:spacing w:line="360" w:lineRule="auto"/>
        <w:ind w:left="-60" w:leftChars="0" w:firstLine="480" w:firstLineChars="0"/>
        <w:rPr>
          <w:rStyle w:val="22"/>
          <w:rFonts w:hint="eastAsia" w:ascii="仿宋" w:hAnsi="仿宋" w:eastAsia="仿宋" w:cs="仿宋"/>
          <w:color w:val="auto"/>
          <w:kern w:val="0"/>
          <w:sz w:val="24"/>
          <w:highlight w:val="none"/>
        </w:rPr>
      </w:pPr>
      <w:r>
        <w:rPr>
          <w:rStyle w:val="22"/>
          <w:rFonts w:hint="eastAsia" w:ascii="仿宋" w:hAnsi="仿宋" w:eastAsia="仿宋" w:cs="仿宋"/>
          <w:color w:val="auto"/>
          <w:kern w:val="0"/>
          <w:sz w:val="24"/>
          <w:highlight w:val="none"/>
        </w:rPr>
        <w:t>供应商在中国招标投标公共服务平台</w:t>
      </w:r>
      <w:r>
        <w:rPr>
          <w:rStyle w:val="22"/>
          <w:rFonts w:hint="eastAsia" w:ascii="仿宋" w:hAnsi="仿宋" w:eastAsia="仿宋" w:cs="仿宋"/>
          <w:color w:val="auto"/>
          <w:kern w:val="0"/>
          <w:sz w:val="24"/>
          <w:highlight w:val="none"/>
          <w:lang w:eastAsia="zh-CN"/>
        </w:rPr>
        <w:t>获取采购文件。</w:t>
      </w:r>
    </w:p>
    <w:p>
      <w:pPr>
        <w:widowControl/>
        <w:snapToGrid w:val="0"/>
        <w:spacing w:line="360" w:lineRule="auto"/>
        <w:jc w:val="left"/>
        <w:outlineLvl w:val="1"/>
        <w:rPr>
          <w:rFonts w:ascii="仿宋" w:hAnsi="仿宋" w:eastAsia="仿宋" w:cs="仿宋"/>
          <w:b/>
          <w:color w:val="auto"/>
          <w:sz w:val="24"/>
          <w:highlight w:val="none"/>
          <w:lang w:bidi="ar"/>
        </w:rPr>
      </w:pPr>
      <w:r>
        <w:rPr>
          <w:rFonts w:hint="eastAsia" w:ascii="仿宋" w:hAnsi="仿宋" w:eastAsia="仿宋" w:cs="仿宋"/>
          <w:b/>
          <w:color w:val="auto"/>
          <w:sz w:val="24"/>
          <w:highlight w:val="none"/>
          <w:lang w:eastAsia="zh-CN" w:bidi="ar"/>
        </w:rPr>
        <w:t>七</w:t>
      </w:r>
      <w:r>
        <w:rPr>
          <w:rFonts w:hint="eastAsia" w:ascii="仿宋" w:hAnsi="仿宋" w:eastAsia="仿宋" w:cs="仿宋"/>
          <w:b/>
          <w:color w:val="auto"/>
          <w:sz w:val="24"/>
          <w:highlight w:val="none"/>
          <w:lang w:bidi="ar"/>
        </w:rPr>
        <w:t>、报价文件递交：</w:t>
      </w:r>
    </w:p>
    <w:p>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1、截止时间：</w:t>
      </w:r>
      <w:bookmarkStart w:id="33" w:name="OLE_LINK1"/>
      <w:r>
        <w:rPr>
          <w:rFonts w:hint="eastAsia" w:ascii="仿宋" w:hAnsi="仿宋" w:eastAsia="仿宋" w:cs="仿宋"/>
          <w:color w:val="auto"/>
          <w:sz w:val="24"/>
          <w:highlight w:val="none"/>
        </w:rPr>
        <w:t xml:space="preserve"> </w:t>
      </w:r>
      <w:bookmarkStart w:id="34" w:name="OLE_LINK4"/>
      <w:r>
        <w:rPr>
          <w:rFonts w:hint="eastAsia" w:ascii="仿宋" w:hAnsi="仿宋" w:eastAsia="仿宋" w:cs="仿宋"/>
          <w:color w:val="auto"/>
          <w:sz w:val="24"/>
          <w:highlight w:val="none"/>
        </w:rPr>
        <w:t>2025年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w:t>
      </w:r>
      <w:bookmarkStart w:id="35" w:name="OLE_LINK2"/>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时</w:t>
      </w:r>
      <w:bookmarkEnd w:id="33"/>
      <w:bookmarkEnd w:id="34"/>
      <w:bookmarkEnd w:id="35"/>
      <w:bookmarkStart w:id="190" w:name="_GoBack"/>
      <w:bookmarkEnd w:id="190"/>
    </w:p>
    <w:p>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
        </w:rPr>
        <w:t>递交</w:t>
      </w:r>
      <w:r>
        <w:rPr>
          <w:rFonts w:hint="eastAsia" w:ascii="仿宋" w:hAnsi="仿宋" w:eastAsia="仿宋" w:cs="仿宋"/>
          <w:color w:val="auto"/>
          <w:sz w:val="24"/>
          <w:highlight w:val="none"/>
        </w:rPr>
        <w:t>地点：</w:t>
      </w:r>
      <w:r>
        <w:rPr>
          <w:rFonts w:hint="eastAsia" w:ascii="仿宋" w:hAnsi="仿宋" w:eastAsia="仿宋" w:cs="仿宋"/>
          <w:color w:val="auto"/>
          <w:sz w:val="24"/>
          <w:szCs w:val="24"/>
          <w:highlight w:val="none"/>
          <w:lang w:val="en-US" w:eastAsia="zh-CN"/>
        </w:rPr>
        <w:t>杭州市滨江区聚园路290号五楼杭州市能源集团工程科技有限公司成本管理部（招投标中心）。</w:t>
      </w:r>
    </w:p>
    <w:p>
      <w:pPr>
        <w:keepNext w:val="0"/>
        <w:keepLines w:val="0"/>
        <w:pageBreakBefore w:val="0"/>
        <w:kinsoku/>
        <w:wordWrap w:val="0"/>
        <w:overflowPunct/>
        <w:topLinePunct w:val="0"/>
        <w:autoSpaceDE/>
        <w:autoSpaceDN/>
        <w:bidi w:val="0"/>
        <w:adjustRightInd/>
        <w:snapToGrid w:val="0"/>
        <w:spacing w:line="312"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3、未在规定时间内送到的询价文件不予接受。若快递方式递交的，则以快递送达时间为准。</w:t>
      </w:r>
    </w:p>
    <w:p>
      <w:pPr>
        <w:keepNext w:val="0"/>
        <w:keepLines w:val="0"/>
        <w:pageBreakBefore w:val="0"/>
        <w:kinsoku/>
        <w:wordWrap w:val="0"/>
        <w:overflowPunct/>
        <w:topLinePunct w:val="0"/>
        <w:autoSpaceDE/>
        <w:autoSpaceDN/>
        <w:bidi w:val="0"/>
        <w:adjustRightInd/>
        <w:snapToGrid w:val="0"/>
        <w:spacing w:line="312"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4、快递单上备注项目名称。</w:t>
      </w:r>
    </w:p>
    <w:p>
      <w:pPr>
        <w:widowControl/>
        <w:snapToGrid w:val="0"/>
        <w:spacing w:line="360" w:lineRule="auto"/>
        <w:jc w:val="left"/>
        <w:outlineLvl w:val="1"/>
        <w:rPr>
          <w:rFonts w:hint="eastAsia" w:ascii="仿宋" w:hAnsi="仿宋" w:eastAsia="仿宋" w:cs="仿宋"/>
          <w:b/>
          <w:color w:val="auto"/>
          <w:sz w:val="24"/>
          <w:highlight w:val="none"/>
          <w:lang w:bidi="ar"/>
        </w:rPr>
      </w:pPr>
      <w:r>
        <w:rPr>
          <w:rFonts w:hint="eastAsia" w:ascii="仿宋" w:hAnsi="仿宋" w:eastAsia="仿宋" w:cs="仿宋"/>
          <w:b/>
          <w:color w:val="auto"/>
          <w:sz w:val="24"/>
          <w:highlight w:val="none"/>
          <w:lang w:bidi="ar"/>
        </w:rPr>
        <w:t>八、</w:t>
      </w:r>
      <w:r>
        <w:rPr>
          <w:rFonts w:hint="eastAsia" w:ascii="仿宋" w:hAnsi="仿宋" w:eastAsia="仿宋" w:cs="仿宋"/>
          <w:b/>
          <w:bCs/>
          <w:color w:val="auto"/>
          <w:sz w:val="24"/>
          <w:szCs w:val="24"/>
          <w:highlight w:val="none"/>
          <w:lang w:eastAsia="zh-CN"/>
        </w:rPr>
        <w:t>响应文件开启时间及地点：</w:t>
      </w:r>
    </w:p>
    <w:p>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szCs w:val="24"/>
          <w:highlight w:val="none"/>
          <w:lang w:val="en-US" w:eastAsia="zh-CN"/>
        </w:rPr>
        <w:t>文件开启时间</w:t>
      </w:r>
      <w:r>
        <w:rPr>
          <w:rFonts w:hint="eastAsia" w:ascii="仿宋" w:hAnsi="仿宋" w:eastAsia="仿宋" w:cs="仿宋"/>
          <w:color w:val="auto"/>
          <w:sz w:val="24"/>
          <w:highlight w:val="none"/>
        </w:rPr>
        <w:t>： 2025年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时</w:t>
      </w:r>
    </w:p>
    <w:p>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lang w:val="en-US" w:eastAsia="zh-CN"/>
        </w:rPr>
        <w:t>文件开启地点</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杭州市滨江区聚园路290号五楼会议室。</w:t>
      </w:r>
    </w:p>
    <w:p>
      <w:pPr>
        <w:widowControl/>
        <w:snapToGrid w:val="0"/>
        <w:spacing w:line="360" w:lineRule="auto"/>
        <w:jc w:val="left"/>
        <w:outlineLvl w:val="1"/>
        <w:rPr>
          <w:rFonts w:hint="eastAsia" w:ascii="仿宋" w:hAnsi="仿宋" w:eastAsia="仿宋" w:cs="仿宋"/>
          <w:b/>
          <w:color w:val="auto"/>
          <w:sz w:val="24"/>
          <w:highlight w:val="none"/>
          <w:lang w:bidi="ar"/>
        </w:rPr>
      </w:pPr>
    </w:p>
    <w:p>
      <w:pPr>
        <w:widowControl/>
        <w:snapToGrid w:val="0"/>
        <w:spacing w:line="360" w:lineRule="auto"/>
        <w:jc w:val="left"/>
        <w:outlineLvl w:val="1"/>
        <w:rPr>
          <w:rFonts w:hint="eastAsia" w:ascii="仿宋" w:hAnsi="仿宋" w:eastAsia="仿宋" w:cs="仿宋"/>
          <w:b/>
          <w:color w:val="auto"/>
          <w:sz w:val="24"/>
          <w:highlight w:val="none"/>
          <w:lang w:bidi="ar"/>
        </w:rPr>
      </w:pPr>
      <w:r>
        <w:rPr>
          <w:rFonts w:hint="eastAsia" w:ascii="仿宋" w:hAnsi="仿宋" w:eastAsia="仿宋" w:cs="仿宋"/>
          <w:b/>
          <w:color w:val="auto"/>
          <w:sz w:val="24"/>
          <w:highlight w:val="none"/>
          <w:lang w:eastAsia="zh-CN" w:bidi="ar"/>
        </w:rPr>
        <w:t>九</w:t>
      </w:r>
      <w:r>
        <w:rPr>
          <w:rFonts w:hint="eastAsia" w:ascii="仿宋" w:hAnsi="仿宋" w:eastAsia="仿宋" w:cs="仿宋"/>
          <w:b/>
          <w:color w:val="auto"/>
          <w:sz w:val="24"/>
          <w:highlight w:val="none"/>
          <w:lang w:bidi="ar"/>
        </w:rPr>
        <w:t>、发布公告的媒介</w:t>
      </w:r>
    </w:p>
    <w:p>
      <w:pPr>
        <w:wordWrap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本项目相关公告在浙江省政府采购网(www.zizfcg.gov.cn)、</w:t>
      </w:r>
      <w:r>
        <w:rPr>
          <w:rFonts w:hint="eastAsia" w:ascii="仿宋" w:hAnsi="仿宋" w:eastAsia="仿宋" w:cs="仿宋"/>
          <w:color w:val="auto"/>
          <w:sz w:val="24"/>
          <w:szCs w:val="24"/>
          <w:highlight w:val="none"/>
          <w:lang w:val="zh-CN" w:eastAsia="zh-CN"/>
        </w:rPr>
        <w:t>中国招标投标公共服务平台</w:t>
      </w:r>
      <w:r>
        <w:rPr>
          <w:rFonts w:hint="eastAsia" w:ascii="仿宋" w:hAnsi="仿宋" w:eastAsia="仿宋" w:cs="仿宋"/>
          <w:color w:val="auto"/>
          <w:sz w:val="24"/>
          <w:szCs w:val="24"/>
          <w:highlight w:val="none"/>
          <w:lang w:val="en-US" w:eastAsia="zh-CN"/>
        </w:rPr>
        <w:t>（https://bulletin.cebpubservice.com/）发布，如公告内容、时间不一致的以浙江省政府采购网(www.zizfcg.gov.cn)发布的信息、时间为准。</w:t>
      </w:r>
    </w:p>
    <w:p>
      <w:pPr>
        <w:spacing w:line="360" w:lineRule="auto"/>
        <w:jc w:val="left"/>
        <w:rPr>
          <w:rFonts w:ascii="仿宋" w:hAnsi="仿宋" w:eastAsia="仿宋" w:cs="仿宋"/>
          <w:b/>
          <w:color w:val="auto"/>
          <w:sz w:val="24"/>
          <w:highlight w:val="none"/>
          <w:lang w:bidi="ar"/>
        </w:rPr>
      </w:pPr>
      <w:r>
        <w:rPr>
          <w:rFonts w:hint="eastAsia" w:ascii="仿宋" w:hAnsi="仿宋" w:eastAsia="仿宋" w:cs="仿宋"/>
          <w:b/>
          <w:color w:val="auto"/>
          <w:sz w:val="24"/>
          <w:highlight w:val="none"/>
          <w:lang w:eastAsia="zh-CN" w:bidi="ar"/>
        </w:rPr>
        <w:t>十</w:t>
      </w:r>
      <w:r>
        <w:rPr>
          <w:rFonts w:hint="eastAsia" w:ascii="仿宋" w:hAnsi="仿宋" w:eastAsia="仿宋" w:cs="仿宋"/>
          <w:b/>
          <w:color w:val="auto"/>
          <w:sz w:val="24"/>
          <w:highlight w:val="none"/>
          <w:lang w:bidi="ar"/>
        </w:rPr>
        <w:t>、联系方式：</w:t>
      </w:r>
    </w:p>
    <w:p>
      <w:pPr>
        <w:snapToGrid w:val="0"/>
        <w:spacing w:line="360" w:lineRule="auto"/>
        <w:ind w:firstLine="482" w:firstLineChars="200"/>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采购人：</w:t>
      </w:r>
      <w:r>
        <w:rPr>
          <w:rFonts w:hint="eastAsia" w:ascii="仿宋" w:hAnsi="仿宋" w:eastAsia="仿宋" w:cs="仿宋"/>
          <w:color w:val="auto"/>
          <w:sz w:val="24"/>
          <w:highlight w:val="none"/>
        </w:rPr>
        <w:t>杭州市能源集团工程科技有限公司</w:t>
      </w:r>
    </w:p>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地址：</w:t>
      </w:r>
      <w:bookmarkStart w:id="36" w:name="OLE_LINK33"/>
      <w:r>
        <w:rPr>
          <w:rFonts w:hint="eastAsia" w:ascii="仿宋" w:hAnsi="仿宋" w:eastAsia="仿宋" w:cs="仿宋"/>
          <w:color w:val="auto"/>
          <w:sz w:val="24"/>
          <w:highlight w:val="none"/>
        </w:rPr>
        <w:t>杭州市聚园路290号</w:t>
      </w:r>
      <w:r>
        <w:rPr>
          <w:rFonts w:hint="eastAsia" w:ascii="仿宋" w:hAnsi="仿宋" w:eastAsia="仿宋" w:cs="仿宋"/>
          <w:color w:val="auto"/>
          <w:sz w:val="24"/>
          <w:highlight w:val="none"/>
          <w:lang w:val="en-US" w:eastAsia="zh-CN"/>
        </w:rPr>
        <w:t>杭州市能源集团大楼</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楼</w:t>
      </w:r>
      <w:bookmarkEnd w:id="36"/>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联系人：</w:t>
      </w:r>
      <w:r>
        <w:rPr>
          <w:rFonts w:hint="eastAsia" w:ascii="仿宋" w:hAnsi="仿宋" w:eastAsia="仿宋" w:cs="仿宋"/>
          <w:b w:val="0"/>
          <w:bCs/>
          <w:color w:val="auto"/>
          <w:sz w:val="24"/>
          <w:highlight w:val="none"/>
          <w:lang w:val="en-US" w:eastAsia="zh-CN"/>
        </w:rPr>
        <w:t>王羽蓉</w:t>
      </w:r>
      <w:r>
        <w:rPr>
          <w:rFonts w:hint="eastAsia" w:ascii="仿宋" w:hAnsi="仿宋" w:eastAsia="仿宋" w:cs="仿宋"/>
          <w:color w:val="auto"/>
          <w:sz w:val="24"/>
          <w:highlight w:val="none"/>
        </w:rPr>
        <w:t>、周旻</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highlight w:val="none"/>
        </w:rPr>
        <w:t>联系电话：</w:t>
      </w:r>
      <w:r>
        <w:rPr>
          <w:rFonts w:hint="eastAsia" w:ascii="仿宋" w:hAnsi="仿宋" w:eastAsia="仿宋" w:cs="仿宋"/>
          <w:color w:val="auto"/>
          <w:sz w:val="24"/>
          <w:highlight w:val="none"/>
          <w:lang w:val="en-US" w:eastAsia="zh-CN"/>
        </w:rPr>
        <w:t>13735482221</w:t>
      </w:r>
      <w:r>
        <w:rPr>
          <w:rFonts w:hint="eastAsia" w:ascii="仿宋" w:hAnsi="仿宋" w:eastAsia="仿宋" w:cs="仿宋"/>
          <w:color w:val="auto"/>
          <w:sz w:val="24"/>
          <w:highlight w:val="none"/>
        </w:rPr>
        <w:t>、13666675370</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纪检监督电话：</w:t>
      </w:r>
      <w:r>
        <w:rPr>
          <w:rFonts w:hint="eastAsia" w:ascii="仿宋" w:hAnsi="仿宋" w:eastAsia="仿宋" w:cs="仿宋"/>
          <w:color w:val="auto"/>
          <w:sz w:val="24"/>
          <w:highlight w:val="none"/>
        </w:rPr>
        <w:t>0571-86029152</w:t>
      </w:r>
    </w:p>
    <w:p>
      <w:pPr>
        <w:snapToGrid w:val="0"/>
        <w:spacing w:line="360" w:lineRule="auto"/>
        <w:ind w:firstLine="480" w:firstLineChars="200"/>
        <w:rPr>
          <w:rFonts w:ascii="仿宋" w:hAnsi="仿宋" w:eastAsia="仿宋" w:cs="仿宋"/>
          <w:color w:val="auto"/>
          <w:sz w:val="24"/>
          <w:highlight w:val="none"/>
        </w:rPr>
      </w:pPr>
    </w:p>
    <w:p>
      <w:pPr>
        <w:spacing w:line="360" w:lineRule="auto"/>
        <w:jc w:val="right"/>
        <w:rPr>
          <w:rFonts w:ascii="仿宋" w:hAnsi="仿宋" w:eastAsia="仿宋" w:cs="仿宋"/>
          <w:bCs/>
          <w:color w:val="auto"/>
          <w:sz w:val="24"/>
          <w:highlight w:val="none"/>
        </w:rPr>
      </w:pPr>
      <w:r>
        <w:rPr>
          <w:rFonts w:hint="eastAsia" w:ascii="仿宋" w:hAnsi="仿宋" w:eastAsia="仿宋" w:cs="仿宋"/>
          <w:bCs/>
          <w:color w:val="auto"/>
          <w:sz w:val="24"/>
          <w:highlight w:val="none"/>
        </w:rPr>
        <w:t>杭州市能源集团工程科技有限公司</w:t>
      </w:r>
    </w:p>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日期：2025年</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17</w:t>
      </w:r>
      <w:r>
        <w:rPr>
          <w:rFonts w:hint="eastAsia" w:ascii="仿宋" w:hAnsi="仿宋" w:eastAsia="仿宋" w:cs="仿宋"/>
          <w:bCs/>
          <w:color w:val="auto"/>
          <w:sz w:val="24"/>
          <w:highlight w:val="none"/>
        </w:rPr>
        <w:t>日</w:t>
      </w:r>
    </w:p>
    <w:p>
      <w:pPr>
        <w:pStyle w:val="16"/>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rPr>
          <w:rFonts w:ascii="仿宋" w:hAnsi="仿宋" w:eastAsia="仿宋" w:cs="仿宋"/>
          <w:bCs/>
          <w:color w:val="auto"/>
          <w:highlight w:val="none"/>
        </w:rPr>
      </w:pPr>
    </w:p>
    <w:p>
      <w:pPr>
        <w:pStyle w:val="4"/>
        <w:spacing w:line="288" w:lineRule="auto"/>
        <w:jc w:val="center"/>
        <w:rPr>
          <w:rFonts w:ascii="仿宋" w:hAnsi="仿宋" w:eastAsia="仿宋" w:cs="仿宋"/>
          <w:color w:val="auto"/>
          <w:highlight w:val="none"/>
        </w:rPr>
      </w:pPr>
      <w:bookmarkStart w:id="37" w:name="_Toc30543"/>
      <w:bookmarkStart w:id="38" w:name="_Toc9533"/>
      <w:bookmarkStart w:id="39" w:name="_Toc32767"/>
      <w:bookmarkStart w:id="40" w:name="_Toc6135"/>
      <w:bookmarkStart w:id="41" w:name="_Toc23248"/>
      <w:bookmarkStart w:id="42" w:name="_Toc12355"/>
      <w:bookmarkStart w:id="43" w:name="_Toc7065"/>
      <w:bookmarkStart w:id="44" w:name="_Toc5919"/>
      <w:bookmarkStart w:id="45" w:name="_Toc29791"/>
      <w:bookmarkStart w:id="46" w:name="_Toc9274"/>
      <w:bookmarkStart w:id="47" w:name="_Toc25103"/>
      <w:bookmarkStart w:id="48" w:name="_Toc27594"/>
      <w:bookmarkStart w:id="49" w:name="_Toc7087"/>
      <w:bookmarkStart w:id="50" w:name="_Toc32124"/>
      <w:bookmarkStart w:id="51" w:name="_Toc6927"/>
      <w:bookmarkStart w:id="52" w:name="_Toc27769"/>
      <w:bookmarkStart w:id="53" w:name="_Toc4914"/>
      <w:bookmarkStart w:id="54" w:name="_Toc14201"/>
      <w:bookmarkStart w:id="55" w:name="_Toc15992"/>
      <w:bookmarkStart w:id="56" w:name="_Toc28733"/>
      <w:bookmarkStart w:id="57" w:name="_Toc30115"/>
      <w:bookmarkStart w:id="58" w:name="_Toc28066"/>
      <w:bookmarkStart w:id="59" w:name="_Toc13690"/>
      <w:bookmarkStart w:id="60" w:name="_Toc7774"/>
      <w:bookmarkStart w:id="61" w:name="_Toc9480"/>
      <w:bookmarkStart w:id="62" w:name="_Toc1976"/>
      <w:bookmarkStart w:id="63" w:name="_Toc30778"/>
      <w:bookmarkStart w:id="64" w:name="_Toc17154"/>
      <w:bookmarkStart w:id="65" w:name="_Toc28795"/>
      <w:bookmarkStart w:id="66" w:name="_Toc13725"/>
      <w:bookmarkStart w:id="67" w:name="_Toc18111"/>
      <w:bookmarkStart w:id="68" w:name="_Toc26535"/>
      <w:bookmarkStart w:id="69" w:name="_Toc1581"/>
      <w:bookmarkStart w:id="70" w:name="_Toc11361"/>
      <w:bookmarkStart w:id="71" w:name="_Toc24819"/>
      <w:bookmarkStart w:id="72" w:name="_Toc10965"/>
      <w:bookmarkStart w:id="73" w:name="_Toc29109"/>
      <w:bookmarkStart w:id="74" w:name="_Toc28203"/>
      <w:bookmarkStart w:id="75" w:name="_Toc20265"/>
      <w:bookmarkStart w:id="76" w:name="_Toc6330"/>
      <w:bookmarkStart w:id="77" w:name="_Toc1942"/>
      <w:bookmarkStart w:id="78" w:name="_Toc25277"/>
      <w:bookmarkStart w:id="79" w:name="_Toc220"/>
      <w:bookmarkStart w:id="80" w:name="_Toc6667"/>
      <w:bookmarkStart w:id="81" w:name="_Toc29925"/>
      <w:bookmarkStart w:id="82" w:name="_Toc14874"/>
      <w:bookmarkStart w:id="83" w:name="_Toc8522"/>
      <w:bookmarkStart w:id="84" w:name="_Toc8759"/>
      <w:bookmarkStart w:id="85" w:name="_Toc19483"/>
      <w:bookmarkStart w:id="86" w:name="_Toc11911"/>
      <w:bookmarkStart w:id="87" w:name="_Toc42"/>
      <w:bookmarkStart w:id="88" w:name="_Toc5714"/>
      <w:bookmarkStart w:id="89" w:name="_Toc862"/>
      <w:bookmarkStart w:id="90" w:name="_Toc19846"/>
      <w:bookmarkStart w:id="91" w:name="_Toc16450"/>
      <w:bookmarkStart w:id="92" w:name="_Toc175"/>
      <w:bookmarkStart w:id="93" w:name="_Toc189"/>
      <w:bookmarkStart w:id="94" w:name="_Toc27982"/>
      <w:bookmarkStart w:id="95" w:name="_Toc26878"/>
      <w:bookmarkStart w:id="96" w:name="_Toc1160"/>
      <w:bookmarkStart w:id="97" w:name="_Toc10020"/>
      <w:bookmarkStart w:id="98" w:name="_Toc25076"/>
      <w:bookmarkStart w:id="99" w:name="_Toc3076"/>
      <w:bookmarkStart w:id="100" w:name="_Toc26705"/>
      <w:bookmarkStart w:id="101" w:name="_Toc22074"/>
      <w:bookmarkStart w:id="102" w:name="_Toc26899"/>
      <w:bookmarkStart w:id="103" w:name="_Toc2973"/>
      <w:bookmarkStart w:id="104" w:name="_Toc29528"/>
      <w:bookmarkStart w:id="105" w:name="_Toc19706"/>
      <w:bookmarkStart w:id="106" w:name="_Toc3171"/>
      <w:bookmarkStart w:id="107" w:name="_Toc25786"/>
      <w:bookmarkStart w:id="108" w:name="_Toc14853"/>
      <w:bookmarkStart w:id="109" w:name="_Toc11121"/>
      <w:bookmarkStart w:id="110" w:name="_Toc16824"/>
      <w:bookmarkStart w:id="111" w:name="_Toc17366"/>
      <w:bookmarkStart w:id="112" w:name="_Toc11145"/>
      <w:bookmarkStart w:id="113" w:name="_Toc23577"/>
      <w:bookmarkStart w:id="114" w:name="_Toc23569"/>
      <w:bookmarkStart w:id="115" w:name="_Toc14522"/>
      <w:bookmarkStart w:id="116" w:name="_Toc19801"/>
      <w:bookmarkStart w:id="117" w:name="_Toc25063"/>
      <w:bookmarkStart w:id="118" w:name="_Toc20814"/>
      <w:bookmarkStart w:id="119" w:name="_Toc26623"/>
      <w:r>
        <w:rPr>
          <w:rFonts w:hint="eastAsia" w:ascii="仿宋" w:hAnsi="仿宋" w:eastAsia="仿宋" w:cs="仿宋"/>
          <w:color w:val="auto"/>
          <w:highlight w:val="none"/>
        </w:rPr>
        <w:t>第二章、供应商须知</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5"/>
        <w:spacing w:before="120" w:beforeLines="50" w:after="120" w:afterLines="50" w:line="288" w:lineRule="auto"/>
        <w:jc w:val="center"/>
        <w:rPr>
          <w:rFonts w:ascii="仿宋" w:eastAsia="仿宋" w:cs="仿宋"/>
          <w:bCs w:val="0"/>
          <w:color w:val="auto"/>
          <w:szCs w:val="36"/>
          <w:highlight w:val="none"/>
        </w:rPr>
      </w:pPr>
      <w:bookmarkStart w:id="120" w:name="_Toc3045"/>
      <w:bookmarkStart w:id="121" w:name="_Toc28799"/>
      <w:bookmarkStart w:id="122" w:name="_Toc30622"/>
      <w:bookmarkStart w:id="123" w:name="_Toc24367"/>
      <w:bookmarkStart w:id="124" w:name="_Toc10803"/>
      <w:bookmarkStart w:id="125" w:name="_Toc31485"/>
      <w:bookmarkStart w:id="126" w:name="_Toc16976"/>
      <w:bookmarkStart w:id="127" w:name="_Toc18162"/>
      <w:bookmarkStart w:id="128" w:name="_Toc9954"/>
      <w:bookmarkStart w:id="129" w:name="_Toc31994"/>
      <w:bookmarkStart w:id="130" w:name="_Toc27632"/>
      <w:bookmarkStart w:id="131" w:name="_Toc12281"/>
      <w:bookmarkStart w:id="132" w:name="_Toc29864"/>
      <w:bookmarkStart w:id="133" w:name="_Toc27782"/>
      <w:bookmarkStart w:id="134" w:name="_Toc9977"/>
      <w:bookmarkStart w:id="135" w:name="_Toc32087"/>
      <w:bookmarkStart w:id="136" w:name="_Toc6721"/>
      <w:bookmarkStart w:id="137" w:name="_Toc8268"/>
      <w:bookmarkStart w:id="138" w:name="_Toc29237"/>
      <w:bookmarkStart w:id="139" w:name="_Toc23890"/>
      <w:bookmarkStart w:id="140" w:name="_Toc10197"/>
      <w:bookmarkStart w:id="141" w:name="_Toc31527"/>
      <w:bookmarkStart w:id="142" w:name="_Toc30613"/>
      <w:bookmarkStart w:id="143" w:name="_Toc14883"/>
      <w:bookmarkStart w:id="144" w:name="_Toc18220"/>
      <w:bookmarkStart w:id="145" w:name="_Toc5479"/>
      <w:bookmarkStart w:id="146" w:name="_Toc16606"/>
      <w:bookmarkStart w:id="147" w:name="_Toc30047"/>
      <w:bookmarkStart w:id="148" w:name="_Toc24131"/>
      <w:bookmarkStart w:id="149" w:name="_Toc5343"/>
      <w:bookmarkStart w:id="150" w:name="_Toc30296"/>
      <w:bookmarkStart w:id="151" w:name="_Toc4889"/>
      <w:bookmarkStart w:id="152" w:name="_Toc239"/>
      <w:bookmarkStart w:id="153" w:name="_Toc13241"/>
      <w:bookmarkStart w:id="154" w:name="_Toc24638"/>
      <w:bookmarkStart w:id="155" w:name="_Toc4704"/>
      <w:bookmarkStart w:id="156" w:name="_Toc14743"/>
      <w:bookmarkStart w:id="157" w:name="_Toc16271"/>
      <w:bookmarkStart w:id="158" w:name="_Toc14492"/>
      <w:bookmarkStart w:id="159" w:name="_Toc5509"/>
      <w:bookmarkStart w:id="160" w:name="_Toc6140"/>
      <w:bookmarkStart w:id="161" w:name="_Toc30096"/>
      <w:bookmarkStart w:id="162" w:name="_Toc6241"/>
      <w:bookmarkStart w:id="163" w:name="_Toc10972"/>
      <w:bookmarkStart w:id="164" w:name="_Toc4517"/>
      <w:bookmarkStart w:id="165" w:name="_Toc6834"/>
      <w:bookmarkStart w:id="166" w:name="_Toc23765"/>
      <w:bookmarkStart w:id="167" w:name="_Toc10990"/>
      <w:r>
        <w:rPr>
          <w:rFonts w:hint="eastAsia" w:ascii="仿宋" w:eastAsia="仿宋" w:cs="仿宋"/>
          <w:bCs w:val="0"/>
          <w:color w:val="auto"/>
          <w:szCs w:val="36"/>
          <w:highlight w:val="none"/>
        </w:rPr>
        <w:t>一、须知前附表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84"/>
        <w:gridCol w:w="57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名  称</w:t>
            </w:r>
          </w:p>
        </w:tc>
        <w:tc>
          <w:tcPr>
            <w:tcW w:w="5786"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86"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见公告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采购内容</w:t>
            </w:r>
          </w:p>
        </w:tc>
        <w:tc>
          <w:tcPr>
            <w:tcW w:w="5786"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采购方式</w:t>
            </w:r>
          </w:p>
        </w:tc>
        <w:tc>
          <w:tcPr>
            <w:tcW w:w="5786"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w:t>
            </w:r>
          </w:p>
        </w:tc>
        <w:tc>
          <w:tcPr>
            <w:tcW w:w="5786"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4" w:type="dxa"/>
            <w:vAlign w:val="center"/>
          </w:tcPr>
          <w:p>
            <w:pPr>
              <w:snapToGrid w:val="0"/>
              <w:spacing w:line="360" w:lineRule="auto"/>
              <w:jc w:val="center"/>
              <w:rPr>
                <w:rFonts w:ascii="仿宋" w:hAnsi="仿宋" w:eastAsia="仿宋" w:cs="仿宋"/>
                <w:color w:val="auto"/>
                <w:sz w:val="24"/>
                <w:highlight w:val="yellow"/>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供货期</w:t>
            </w:r>
          </w:p>
        </w:tc>
        <w:tc>
          <w:tcPr>
            <w:tcW w:w="5786" w:type="dxa"/>
            <w:vAlign w:val="center"/>
          </w:tcPr>
          <w:p>
            <w:pPr>
              <w:snapToGrid w:val="0"/>
              <w:spacing w:line="360" w:lineRule="auto"/>
              <w:jc w:val="left"/>
              <w:rPr>
                <w:rFonts w:ascii="仿宋" w:hAnsi="仿宋" w:eastAsia="仿宋" w:cs="仿宋"/>
                <w:color w:val="auto"/>
                <w:sz w:val="24"/>
                <w:highlight w:val="yellow"/>
              </w:rPr>
            </w:pPr>
            <w:r>
              <w:rPr>
                <w:rFonts w:hint="eastAsia" w:ascii="仿宋" w:hAnsi="仿宋" w:eastAsia="仿宋" w:cs="仿宋"/>
                <w:color w:val="auto"/>
                <w:kern w:val="0"/>
                <w:sz w:val="24"/>
                <w:highlight w:val="none"/>
              </w:rPr>
              <w:t>收到需方供货订单之日起</w:t>
            </w: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天内将货物送至施工现场（</w:t>
            </w:r>
            <w:r>
              <w:rPr>
                <w:rFonts w:hint="eastAsia" w:ascii="仿宋" w:hAnsi="仿宋" w:eastAsia="仿宋" w:cs="仿宋"/>
                <w:color w:val="auto"/>
                <w:kern w:val="0"/>
                <w:sz w:val="24"/>
                <w:highlight w:val="none"/>
                <w:lang w:eastAsia="zh-CN"/>
              </w:rPr>
              <w:t>广州黄浦区</w:t>
            </w:r>
            <w:r>
              <w:rPr>
                <w:rFonts w:hint="eastAsia" w:ascii="仿宋" w:hAnsi="仿宋" w:eastAsia="仿宋" w:cs="仿宋"/>
                <w:color w:val="auto"/>
                <w:kern w:val="0"/>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84" w:type="dxa"/>
            <w:vAlign w:val="center"/>
          </w:tcPr>
          <w:p>
            <w:pPr>
              <w:snapToGrid w:val="0"/>
              <w:spacing w:line="360" w:lineRule="auto"/>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★验收要求</w:t>
            </w:r>
          </w:p>
        </w:tc>
        <w:tc>
          <w:tcPr>
            <w:tcW w:w="5786" w:type="dxa"/>
            <w:vAlign w:val="center"/>
          </w:tcPr>
          <w:p>
            <w:pPr>
              <w:snapToGrid w:val="0"/>
              <w:spacing w:line="360" w:lineRule="auto"/>
              <w:jc w:val="left"/>
              <w:rPr>
                <w:rFonts w:hint="eastAsia" w:ascii="仿宋" w:hAnsi="仿宋" w:eastAsia="仿宋" w:cs="仿宋"/>
                <w:color w:val="auto"/>
                <w:kern w:val="0"/>
                <w:sz w:val="24"/>
                <w:highlight w:val="none"/>
                <w:lang w:eastAsia="zh-CN"/>
              </w:rPr>
            </w:pPr>
            <w:bookmarkStart w:id="168" w:name="OLE_LINK14"/>
            <w:r>
              <w:rPr>
                <w:rFonts w:hint="eastAsia" w:ascii="仿宋" w:hAnsi="仿宋" w:eastAsia="仿宋" w:cs="仿宋"/>
                <w:color w:val="auto"/>
                <w:sz w:val="24"/>
                <w:highlight w:val="none"/>
              </w:rPr>
              <w:t>货物到达现场后，供方需提供货物的</w:t>
            </w:r>
            <w:bookmarkEnd w:id="168"/>
            <w:r>
              <w:rPr>
                <w:rFonts w:hint="eastAsia" w:ascii="仿宋" w:hAnsi="仿宋" w:eastAsia="仿宋" w:cs="仿宋"/>
                <w:color w:val="auto"/>
                <w:sz w:val="24"/>
                <w:highlight w:val="none"/>
                <w:lang w:eastAsia="zh-CN"/>
              </w:rPr>
              <w:t>出厂合格证、检验证书等产品质量证明文件。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现场踏勘</w:t>
            </w:r>
          </w:p>
        </w:tc>
        <w:tc>
          <w:tcPr>
            <w:tcW w:w="5786" w:type="dxa"/>
            <w:vAlign w:val="center"/>
          </w:tcPr>
          <w:p>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采购人不集中组织响应供应商踏勘现场。响应截止前，供应商应自行到项目所在地予以踏勘，对项目实施现场及周边环境等进行勘察，以获取编制响应文件和签署合同所需的所有资料，否则，由此所造成的一切后果由响应供应商自行承担。无论响应供应商是否踏勘现场，均被视作对项目现场的了解已完全满足本采购项目响应报价的需要。有关踏勘现场需要发生的一切费用由响应供应商自理，响应供应商自行负责在踏勘现场中所发生的任何风险责任和财产损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响应报价</w:t>
            </w:r>
          </w:p>
        </w:tc>
        <w:tc>
          <w:tcPr>
            <w:tcW w:w="5786" w:type="dxa"/>
            <w:vAlign w:val="center"/>
          </w:tcPr>
          <w:p>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（1）本项目响应应以人民币报价；</w:t>
            </w:r>
          </w:p>
          <w:p>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（2）报价包括</w:t>
            </w:r>
            <w:bookmarkStart w:id="169" w:name="OLE_LINK12"/>
            <w:r>
              <w:rPr>
                <w:rFonts w:hint="eastAsia" w:ascii="仿宋" w:hAnsi="仿宋" w:eastAsia="仿宋" w:cs="仿宋"/>
                <w:color w:val="auto"/>
                <w:sz w:val="24"/>
                <w:highlight w:val="none"/>
              </w:rPr>
              <w:t>货物费、包装运输费、运输保险费、</w:t>
            </w:r>
            <w:bookmarkStart w:id="170" w:name="OLE_LINK21"/>
            <w:r>
              <w:rPr>
                <w:rFonts w:hint="eastAsia" w:ascii="仿宋" w:hAnsi="仿宋" w:eastAsia="仿宋" w:cs="仿宋"/>
                <w:color w:val="auto"/>
                <w:sz w:val="24"/>
                <w:highlight w:val="none"/>
              </w:rPr>
              <w:t>运杂费、</w:t>
            </w:r>
            <w:bookmarkEnd w:id="170"/>
            <w:bookmarkStart w:id="171" w:name="OLE_LINK20"/>
            <w:r>
              <w:rPr>
                <w:rFonts w:hint="eastAsia" w:ascii="仿宋" w:hAnsi="仿宋" w:eastAsia="仿宋" w:cs="仿宋"/>
                <w:color w:val="auto"/>
                <w:sz w:val="24"/>
                <w:highlight w:val="none"/>
              </w:rPr>
              <w:t>装</w:t>
            </w:r>
            <w:r>
              <w:rPr>
                <w:rFonts w:hint="eastAsia" w:ascii="仿宋" w:hAnsi="仿宋" w:eastAsia="仿宋" w:cs="仿宋"/>
                <w:color w:val="auto"/>
                <w:sz w:val="24"/>
                <w:highlight w:val="none"/>
                <w:lang w:eastAsia="zh-CN"/>
              </w:rPr>
              <w:t>车</w:t>
            </w:r>
            <w:r>
              <w:rPr>
                <w:rFonts w:hint="eastAsia" w:ascii="仿宋" w:hAnsi="仿宋" w:eastAsia="仿宋" w:cs="仿宋"/>
                <w:color w:val="auto"/>
                <w:sz w:val="24"/>
                <w:highlight w:val="none"/>
              </w:rPr>
              <w:t>费、</w:t>
            </w:r>
            <w:bookmarkEnd w:id="171"/>
            <w:r>
              <w:rPr>
                <w:rFonts w:hint="eastAsia" w:ascii="仿宋" w:hAnsi="仿宋" w:eastAsia="仿宋" w:cs="仿宋"/>
                <w:color w:val="auto"/>
                <w:sz w:val="24"/>
                <w:highlight w:val="none"/>
              </w:rPr>
              <w:t>验收费、质保费、售后服务费、企业管理费、利润、税金等一切费用</w:t>
            </w:r>
            <w:bookmarkEnd w:id="169"/>
            <w:r>
              <w:rPr>
                <w:rFonts w:hint="eastAsia" w:ascii="仿宋" w:hAnsi="仿宋" w:eastAsia="仿宋" w:cs="仿宋"/>
                <w:color w:val="auto"/>
                <w:sz w:val="24"/>
                <w:highlight w:val="none"/>
              </w:rPr>
              <w:t>；</w:t>
            </w:r>
          </w:p>
          <w:p>
            <w:pPr>
              <w:autoSpaceDE w:val="0"/>
              <w:autoSpaceDN w:val="0"/>
              <w:snapToGrid w:val="0"/>
              <w:spacing w:line="360" w:lineRule="auto"/>
              <w:textAlignment w:val="bottom"/>
              <w:rPr>
                <w:rFonts w:ascii="仿宋" w:hAnsi="仿宋" w:eastAsia="仿宋" w:cs="仿宋"/>
                <w:color w:val="auto"/>
                <w:highlight w:val="none"/>
              </w:rPr>
            </w:pPr>
            <w:r>
              <w:rPr>
                <w:rFonts w:hint="eastAsia" w:ascii="仿宋" w:hAnsi="仿宋" w:eastAsia="仿宋" w:cs="仿宋"/>
                <w:color w:val="auto"/>
                <w:sz w:val="24"/>
                <w:highlight w:val="none"/>
              </w:rPr>
              <w:t>（3）不论结果如何，供应商均应自行承担所有与响应有关的全部费用（采购文件有相反规定除外）。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响应文件份数</w:t>
            </w:r>
          </w:p>
        </w:tc>
        <w:tc>
          <w:tcPr>
            <w:tcW w:w="5786" w:type="dxa"/>
            <w:vAlign w:val="center"/>
          </w:tcPr>
          <w:p>
            <w:pPr>
              <w:autoSpaceDE w:val="0"/>
              <w:autoSpaceDN w:val="0"/>
              <w:snapToGrid w:val="0"/>
              <w:spacing w:line="360" w:lineRule="auto"/>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正本1份，副本2份（正本和副本内容有出入，以正本为准，副本可用正本复印。）</w:t>
            </w:r>
          </w:p>
          <w:p>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kern w:val="0"/>
                <w:sz w:val="24"/>
                <w:highlight w:val="none"/>
              </w:rPr>
              <w:t>副本可为正本的复印件加盖公章。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w:t>
            </w: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组成及盖章</w:t>
            </w:r>
          </w:p>
        </w:tc>
        <w:tc>
          <w:tcPr>
            <w:tcW w:w="5786" w:type="dxa"/>
            <w:vAlign w:val="center"/>
          </w:tcPr>
          <w:p>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响应文件包括</w:t>
            </w:r>
            <w:r>
              <w:rPr>
                <w:rFonts w:hint="eastAsia" w:ascii="仿宋" w:hAnsi="仿宋" w:eastAsia="仿宋" w:cs="仿宋"/>
                <w:color w:val="auto"/>
                <w:kern w:val="0"/>
                <w:sz w:val="24"/>
                <w:highlight w:val="none"/>
                <w:lang w:bidi="ar"/>
              </w:rPr>
              <w:t>封面</w:t>
            </w:r>
            <w:r>
              <w:rPr>
                <w:rFonts w:hint="eastAsia" w:ascii="仿宋" w:hAnsi="仿宋" w:eastAsia="仿宋" w:cs="仿宋"/>
                <w:color w:val="auto"/>
                <w:sz w:val="24"/>
                <w:highlight w:val="none"/>
              </w:rPr>
              <w:t>、响应函、报价明细表、</w:t>
            </w:r>
            <w:r>
              <w:rPr>
                <w:rFonts w:hint="eastAsia" w:ascii="仿宋" w:hAnsi="仿宋" w:eastAsia="仿宋" w:cs="仿宋"/>
                <w:color w:val="auto"/>
                <w:kern w:val="0"/>
                <w:sz w:val="24"/>
                <w:highlight w:val="none"/>
                <w:lang w:bidi="ar"/>
              </w:rPr>
              <w:t>法定代表人资格证明和身份证复印件、法定代表人</w:t>
            </w:r>
            <w:r>
              <w:rPr>
                <w:rFonts w:hint="eastAsia" w:ascii="仿宋" w:hAnsi="仿宋" w:eastAsia="仿宋" w:cs="仿宋"/>
                <w:color w:val="auto"/>
                <w:sz w:val="24"/>
                <w:highlight w:val="none"/>
              </w:rPr>
              <w:t>授权委托书和授权人身份证复印件（若需要）</w:t>
            </w:r>
            <w:r>
              <w:rPr>
                <w:rFonts w:hint="eastAsia" w:ascii="仿宋" w:hAnsi="仿宋" w:eastAsia="仿宋" w:cs="仿宋"/>
                <w:color w:val="auto"/>
                <w:kern w:val="0"/>
                <w:sz w:val="24"/>
                <w:highlight w:val="none"/>
                <w:lang w:bidi="ar"/>
              </w:rPr>
              <w:t>、营业执照复印件</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投</w:t>
            </w:r>
            <w:r>
              <w:rPr>
                <w:rFonts w:hint="eastAsia" w:ascii="仿宋" w:hAnsi="仿宋" w:eastAsia="仿宋" w:cs="仿宋"/>
                <w:color w:val="auto"/>
                <w:sz w:val="24"/>
                <w:highlight w:val="none"/>
              </w:rPr>
              <w:t>标单位基本情况表、</w:t>
            </w:r>
            <w:r>
              <w:rPr>
                <w:rFonts w:hint="eastAsia" w:ascii="仿宋" w:hAnsi="仿宋" w:eastAsia="仿宋" w:cs="仿宋"/>
                <w:color w:val="auto"/>
                <w:kern w:val="0"/>
                <w:sz w:val="24"/>
                <w:highlight w:val="none"/>
                <w:lang w:bidi="ar"/>
              </w:rPr>
              <w:t>合同条款偏离表、技术偏离表</w:t>
            </w:r>
            <w:r>
              <w:rPr>
                <w:rFonts w:hint="eastAsia" w:ascii="仿宋" w:hAnsi="仿宋" w:eastAsia="仿宋" w:cs="仿宋"/>
                <w:color w:val="auto"/>
                <w:sz w:val="24"/>
                <w:highlight w:val="none"/>
              </w:rPr>
              <w:t>等。以上资料按询价文件格式要求提供并加盖公章，严禁涂改，否则视为无效报价。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w:t>
            </w: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密封要求</w:t>
            </w:r>
          </w:p>
        </w:tc>
        <w:tc>
          <w:tcPr>
            <w:tcW w:w="5786" w:type="dxa"/>
            <w:vAlign w:val="center"/>
          </w:tcPr>
          <w:p>
            <w:pPr>
              <w:numPr>
                <w:ilvl w:val="0"/>
                <w:numId w:val="4"/>
              </w:numPr>
              <w:spacing w:line="360" w:lineRule="auto"/>
              <w:rPr>
                <w:rFonts w:ascii="仿宋" w:hAnsi="仿宋" w:eastAsia="仿宋" w:cs="仿宋"/>
                <w:bCs/>
                <w:color w:val="auto"/>
                <w:sz w:val="24"/>
                <w:szCs w:val="32"/>
                <w:highlight w:val="none"/>
              </w:rPr>
            </w:pPr>
            <w:r>
              <w:rPr>
                <w:rFonts w:hint="eastAsia" w:ascii="仿宋" w:hAnsi="仿宋" w:eastAsia="仿宋" w:cs="仿宋"/>
                <w:bCs/>
                <w:color w:val="auto"/>
                <w:sz w:val="24"/>
                <w:szCs w:val="32"/>
                <w:highlight w:val="none"/>
                <w:lang w:val="zh-CN"/>
              </w:rPr>
              <w:t>响应文件用文件袋密封</w:t>
            </w:r>
            <w:r>
              <w:rPr>
                <w:rFonts w:hint="eastAsia" w:ascii="仿宋" w:hAnsi="仿宋" w:eastAsia="仿宋" w:cs="仿宋"/>
                <w:bCs/>
                <w:color w:val="auto"/>
                <w:sz w:val="24"/>
                <w:szCs w:val="32"/>
                <w:highlight w:val="none"/>
              </w:rPr>
              <w:t>包装</w:t>
            </w:r>
            <w:r>
              <w:rPr>
                <w:rFonts w:hint="eastAsia" w:ascii="仿宋" w:hAnsi="仿宋" w:eastAsia="仿宋" w:cs="仿宋"/>
                <w:bCs/>
                <w:color w:val="auto"/>
                <w:sz w:val="24"/>
                <w:szCs w:val="32"/>
                <w:highlight w:val="none"/>
                <w:lang w:val="zh-CN"/>
              </w:rPr>
              <w:t>，</w:t>
            </w:r>
            <w:r>
              <w:rPr>
                <w:rFonts w:hint="eastAsia" w:ascii="仿宋" w:hAnsi="仿宋" w:eastAsia="仿宋" w:cs="仿宋"/>
                <w:bCs/>
                <w:color w:val="auto"/>
                <w:sz w:val="24"/>
                <w:szCs w:val="32"/>
                <w:highlight w:val="none"/>
              </w:rPr>
              <w:t>密封袋的封口处加盖单位公章或密封章。响应文件的包装封面上应注明供应商名称、供应商地址、响应文件名称、项目名称、项目编号及“首提交响应截止时间之前不得启封”字样，并加盖供应商公章。</w:t>
            </w:r>
          </w:p>
          <w:p>
            <w:pPr>
              <w:numPr>
                <w:ilvl w:val="0"/>
                <w:numId w:val="4"/>
              </w:numPr>
              <w:spacing w:line="360" w:lineRule="auto"/>
              <w:rPr>
                <w:rFonts w:ascii="仿宋" w:hAnsi="仿宋" w:eastAsia="仿宋" w:cs="仿宋"/>
                <w:bCs/>
                <w:color w:val="auto"/>
                <w:sz w:val="24"/>
                <w:szCs w:val="32"/>
                <w:highlight w:val="none"/>
              </w:rPr>
            </w:pPr>
            <w:r>
              <w:rPr>
                <w:rFonts w:hint="eastAsia" w:ascii="仿宋" w:hAnsi="仿宋" w:eastAsia="仿宋" w:cs="仿宋"/>
                <w:bCs/>
                <w:color w:val="auto"/>
                <w:sz w:val="24"/>
                <w:szCs w:val="32"/>
                <w:highlight w:val="none"/>
              </w:rPr>
              <w:t>未按要求包装导致询价人提前拆封的，后果由应价人负责。</w:t>
            </w:r>
          </w:p>
          <w:p>
            <w:pPr>
              <w:spacing w:line="360" w:lineRule="auto"/>
              <w:rPr>
                <w:rFonts w:ascii="仿宋" w:hAnsi="仿宋" w:eastAsia="仿宋" w:cs="仿宋"/>
                <w:color w:val="auto"/>
                <w:sz w:val="24"/>
                <w:highlight w:val="none"/>
              </w:rPr>
            </w:pPr>
            <w:r>
              <w:rPr>
                <w:rFonts w:hint="eastAsia" w:ascii="仿宋" w:hAnsi="仿宋" w:eastAsia="仿宋" w:cs="仿宋"/>
                <w:bCs/>
                <w:color w:val="auto"/>
                <w:sz w:val="24"/>
                <w:szCs w:val="32"/>
                <w:highlight w:val="none"/>
              </w:rPr>
              <w:t>3.供应商在响应截止时间之前，可以对已提交的响应文件进行修改或撤回，并书面通知询价人；响应截止时间后，供应商不得撤回、修改响应文件。修改后重新递交的响应文件应当按本采购文件的要求签署、盖章和密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984" w:type="dxa"/>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响应文件递交截止时间和地点</w:t>
            </w:r>
          </w:p>
        </w:tc>
        <w:tc>
          <w:tcPr>
            <w:tcW w:w="5786" w:type="dxa"/>
            <w:vAlign w:val="center"/>
          </w:tcPr>
          <w:p>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1、截止时间：2025年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时</w:t>
            </w:r>
          </w:p>
          <w:p>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
              </w:rPr>
              <w:t>递交</w:t>
            </w:r>
            <w:r>
              <w:rPr>
                <w:rFonts w:hint="eastAsia" w:ascii="仿宋" w:hAnsi="仿宋" w:eastAsia="仿宋" w:cs="仿宋"/>
                <w:color w:val="auto"/>
                <w:sz w:val="24"/>
                <w:highlight w:val="none"/>
              </w:rPr>
              <w:t>地点：</w:t>
            </w:r>
            <w:r>
              <w:rPr>
                <w:rFonts w:hint="eastAsia" w:ascii="仿宋" w:hAnsi="仿宋" w:eastAsia="仿宋" w:cs="仿宋"/>
                <w:color w:val="auto"/>
                <w:sz w:val="24"/>
                <w:szCs w:val="24"/>
                <w:highlight w:val="none"/>
                <w:lang w:val="en-US" w:eastAsia="zh-CN"/>
              </w:rPr>
              <w:t>杭州市滨江区聚园路290号五楼杭州市能源集团工程科技有限公司成本管理部（招投标中心）。</w:t>
            </w:r>
          </w:p>
          <w:p>
            <w:pPr>
              <w:keepNext w:val="0"/>
              <w:keepLines w:val="0"/>
              <w:pageBreakBefore w:val="0"/>
              <w:kinsoku/>
              <w:wordWrap w:val="0"/>
              <w:overflowPunct/>
              <w:topLinePunct w:val="0"/>
              <w:autoSpaceDE/>
              <w:autoSpaceDN/>
              <w:bidi w:val="0"/>
              <w:adjustRightInd/>
              <w:snapToGrid w:val="0"/>
              <w:spacing w:line="312"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3、未在规定时间内送到的询价文件不予接受。若快递方式递交的，则以快递送达时间为准。</w:t>
            </w:r>
          </w:p>
          <w:p>
            <w:pPr>
              <w:keepNext w:val="0"/>
              <w:keepLines w:val="0"/>
              <w:pageBreakBefore w:val="0"/>
              <w:kinsoku/>
              <w:wordWrap w:val="0"/>
              <w:overflowPunct/>
              <w:topLinePunct w:val="0"/>
              <w:autoSpaceDE/>
              <w:autoSpaceDN/>
              <w:bidi w:val="0"/>
              <w:adjustRightInd/>
              <w:snapToGrid w:val="0"/>
              <w:spacing w:line="312" w:lineRule="auto"/>
              <w:textAlignment w:val="auto"/>
              <w:outlineLvl w:val="9"/>
              <w:rPr>
                <w:rFonts w:ascii="仿宋" w:hAnsi="仿宋" w:eastAsia="仿宋" w:cs="仿宋"/>
                <w:color w:val="auto"/>
                <w:highlight w:val="none"/>
              </w:rPr>
            </w:pPr>
            <w:r>
              <w:rPr>
                <w:rFonts w:hint="eastAsia" w:ascii="仿宋" w:hAnsi="仿宋" w:eastAsia="仿宋" w:cs="仿宋"/>
                <w:b w:val="0"/>
                <w:bCs w:val="0"/>
                <w:color w:val="auto"/>
                <w:sz w:val="24"/>
                <w:szCs w:val="24"/>
                <w:highlight w:val="none"/>
                <w:lang w:val="en-US" w:eastAsia="zh-CN"/>
              </w:rPr>
              <w:t>4、快递单上备注项目名称。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0"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响应文件开启时间和地点</w:t>
            </w:r>
          </w:p>
        </w:tc>
        <w:tc>
          <w:tcPr>
            <w:tcW w:w="5786" w:type="dxa"/>
            <w:vAlign w:val="center"/>
          </w:tcPr>
          <w:p>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文件开启时间：2025年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w:t>
            </w:r>
            <w:bookmarkStart w:id="172" w:name="OLE_LINK24"/>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时</w:t>
            </w:r>
            <w:bookmarkEnd w:id="172"/>
          </w:p>
          <w:p>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文件开启地点：</w:t>
            </w:r>
            <w:r>
              <w:rPr>
                <w:rFonts w:hint="eastAsia" w:ascii="仿宋" w:hAnsi="仿宋" w:eastAsia="仿宋" w:cs="仿宋"/>
                <w:color w:val="auto"/>
                <w:sz w:val="24"/>
                <w:szCs w:val="24"/>
                <w:highlight w:val="none"/>
                <w:lang w:val="en-US" w:eastAsia="zh-CN"/>
              </w:rPr>
              <w:t>杭州市滨江区聚园路290号五楼会议室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评标原则</w:t>
            </w:r>
          </w:p>
        </w:tc>
        <w:tc>
          <w:tcPr>
            <w:tcW w:w="5786" w:type="dxa"/>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采用最低总价（除税价）成交方式确定成交供应商（除税价精确到小数点后2位，除税价一致的摇号确定成交供应商）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pPr>
              <w:pStyle w:val="24"/>
              <w:spacing w:line="360" w:lineRule="auto"/>
              <w:ind w:left="0" w:firstLine="0"/>
              <w:jc w:val="center"/>
              <w:rPr>
                <w:rFonts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15</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成交候选人</w:t>
            </w:r>
          </w:p>
        </w:tc>
        <w:tc>
          <w:tcPr>
            <w:tcW w:w="5786"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评审小组根据响应人报价从低到高的排名顺序推荐1名成交候选人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响应有效期</w:t>
            </w:r>
          </w:p>
        </w:tc>
        <w:tc>
          <w:tcPr>
            <w:tcW w:w="5786"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90天。在响应文件递交截止时间至响应有效期满之前，报价人不得撤回其响应文件。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报价保证金</w:t>
            </w:r>
          </w:p>
        </w:tc>
        <w:tc>
          <w:tcPr>
            <w:tcW w:w="5786" w:type="dxa"/>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是否缴纳：</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否。</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缴纳金额：人民币 / 元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报价保证金形式：转账、现金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报价保证金的有效期与报价有效期一致。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报价保证金转账需备注“单位名称全称、XXX（项目名称）的报价保证金；报价保证金应当在询价响应文件递交截止时间前到帐，询价响应文件递交截止时间前报价保证金未到账的，报价无效。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收款人（全称）：杭州市能源集团有限公司</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开户银行：宁波银行杭州分行营业部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账号：86041110000078615</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开户银行代码：313331090013</w:t>
            </w:r>
          </w:p>
          <w:p>
            <w:pPr>
              <w:snapToGrid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保证金退还：成交结果发出7天后，无息退还成交候选人以外的报价保证金；成交供应商的报价保证金于合同签定后5日内无息退还。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1984" w:type="dxa"/>
            <w:vAlign w:val="center"/>
          </w:tcPr>
          <w:p>
            <w:pPr>
              <w:snapToGrid w:val="0"/>
              <w:spacing w:before="96" w:after="96"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履约保证金</w:t>
            </w:r>
          </w:p>
        </w:tc>
        <w:tc>
          <w:tcPr>
            <w:tcW w:w="5786" w:type="dxa"/>
            <w:vAlign w:val="center"/>
          </w:tcPr>
          <w:p>
            <w:pPr>
              <w:pStyle w:val="25"/>
              <w:spacing w:line="360" w:lineRule="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是否缴纳：</w:t>
            </w:r>
            <w:r>
              <w:rPr>
                <w:rFonts w:hint="eastAsia" w:ascii="仿宋" w:hAnsi="仿宋" w:eastAsia="仿宋" w:cs="仿宋"/>
                <w:color w:val="auto"/>
                <w:kern w:val="2"/>
                <w:szCs w:val="24"/>
                <w:highlight w:val="none"/>
                <w:lang w:val="en-US"/>
              </w:rPr>
              <w:sym w:font="Wingdings 2" w:char="00A3"/>
            </w:r>
            <w:r>
              <w:rPr>
                <w:rFonts w:hint="eastAsia" w:ascii="仿宋" w:hAnsi="仿宋" w:eastAsia="仿宋" w:cs="仿宋"/>
                <w:color w:val="auto"/>
                <w:kern w:val="2"/>
                <w:szCs w:val="24"/>
                <w:highlight w:val="none"/>
                <w:lang w:val="en-US"/>
              </w:rPr>
              <w:t>是；</w:t>
            </w:r>
            <w:r>
              <w:rPr>
                <w:rFonts w:hint="eastAsia" w:ascii="仿宋" w:hAnsi="仿宋" w:eastAsia="仿宋" w:cs="仿宋"/>
                <w:color w:val="auto"/>
                <w:kern w:val="2"/>
                <w:szCs w:val="24"/>
                <w:highlight w:val="none"/>
                <w:lang w:val="en-US"/>
              </w:rPr>
              <w:sym w:font="Wingdings 2" w:char="0052"/>
            </w:r>
            <w:r>
              <w:rPr>
                <w:rFonts w:hint="eastAsia" w:ascii="仿宋" w:hAnsi="仿宋" w:eastAsia="仿宋" w:cs="仿宋"/>
                <w:color w:val="auto"/>
                <w:kern w:val="2"/>
                <w:szCs w:val="24"/>
                <w:highlight w:val="none"/>
                <w:lang w:val="en-US"/>
              </w:rPr>
              <w:t>否。</w:t>
            </w:r>
          </w:p>
          <w:p>
            <w:pPr>
              <w:pStyle w:val="25"/>
              <w:spacing w:line="360" w:lineRule="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缴纳金额： / 元。</w:t>
            </w:r>
          </w:p>
          <w:p>
            <w:pPr>
              <w:pStyle w:val="25"/>
              <w:spacing w:line="360" w:lineRule="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履约保证金的形式：银行转账或银行保函</w:t>
            </w:r>
          </w:p>
          <w:p>
            <w:pPr>
              <w:pStyle w:val="25"/>
              <w:spacing w:line="360" w:lineRule="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提交时间：成交通知书发出后10天内缴纳至采购人指定账户。若以银行保函形式缴纳，需确保保函到期时限覆盖至合同履约期结束。若成交供应商拒交履约保证金的，则视为主动放弃成交资格，询价人有权</w:t>
            </w:r>
            <w:r>
              <w:rPr>
                <w:rFonts w:hint="eastAsia" w:ascii="仿宋" w:hAnsi="仿宋" w:eastAsia="仿宋" w:cs="仿宋"/>
                <w:color w:val="auto"/>
                <w:szCs w:val="24"/>
                <w:highlight w:val="none"/>
              </w:rPr>
              <w:t>不予退还其报价保证金。</w:t>
            </w:r>
          </w:p>
          <w:p>
            <w:pPr>
              <w:pStyle w:val="25"/>
              <w:spacing w:line="360" w:lineRule="auto"/>
              <w:rPr>
                <w:rFonts w:ascii="仿宋" w:hAnsi="仿宋" w:eastAsia="仿宋" w:cs="仿宋"/>
                <w:color w:val="auto"/>
                <w:szCs w:val="24"/>
                <w:highlight w:val="none"/>
                <w:lang w:val="en-US"/>
              </w:rPr>
            </w:pPr>
            <w:r>
              <w:rPr>
                <w:rFonts w:hint="eastAsia" w:ascii="仿宋" w:hAnsi="仿宋" w:eastAsia="仿宋" w:cs="仿宋"/>
                <w:color w:val="auto"/>
                <w:kern w:val="2"/>
                <w:szCs w:val="24"/>
                <w:highlight w:val="none"/>
                <w:lang w:val="en-US"/>
              </w:rPr>
              <w:t>退还时间：合同履约期结束后无息退还。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1984" w:type="dxa"/>
            <w:vAlign w:val="center"/>
          </w:tcPr>
          <w:p>
            <w:pPr>
              <w:snapToGrid w:val="0"/>
              <w:spacing w:before="96" w:after="96"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质量保证金</w:t>
            </w:r>
          </w:p>
        </w:tc>
        <w:tc>
          <w:tcPr>
            <w:tcW w:w="5786" w:type="dxa"/>
            <w:vAlign w:val="center"/>
          </w:tcPr>
          <w:p>
            <w:pPr>
              <w:pStyle w:val="25"/>
              <w:spacing w:before="96" w:after="96" w:line="360" w:lineRule="auto"/>
              <w:rPr>
                <w:rFonts w:ascii="仿宋" w:hAnsi="仿宋" w:eastAsia="仿宋" w:cs="仿宋"/>
                <w:color w:val="auto"/>
                <w:highlight w:val="none"/>
              </w:rPr>
            </w:pPr>
            <w:r>
              <w:rPr>
                <w:rFonts w:hint="eastAsia" w:ascii="仿宋" w:hAnsi="仿宋" w:eastAsia="仿宋" w:cs="仿宋"/>
                <w:color w:val="auto"/>
                <w:highlight w:val="none"/>
              </w:rPr>
              <w:t>是否缴纳：</w:t>
            </w: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是；</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否。</w:t>
            </w:r>
          </w:p>
          <w:p>
            <w:pPr>
              <w:pStyle w:val="25"/>
              <w:spacing w:before="96" w:after="96" w:line="360" w:lineRule="auto"/>
              <w:rPr>
                <w:rFonts w:ascii="仿宋" w:hAnsi="仿宋" w:eastAsia="仿宋" w:cs="仿宋"/>
                <w:color w:val="auto"/>
                <w:highlight w:val="none"/>
              </w:rPr>
            </w:pPr>
            <w:r>
              <w:rPr>
                <w:rFonts w:hint="eastAsia" w:ascii="仿宋" w:hAnsi="仿宋" w:eastAsia="仿宋" w:cs="仿宋"/>
                <w:color w:val="auto"/>
                <w:highlight w:val="none"/>
              </w:rPr>
              <w:t>缴纳金额：</w:t>
            </w:r>
            <w:r>
              <w:rPr>
                <w:rFonts w:hint="eastAsia" w:ascii="仿宋" w:hAnsi="仿宋" w:eastAsia="仿宋" w:cs="仿宋"/>
                <w:color w:val="auto"/>
                <w:highlight w:val="none"/>
                <w:lang w:val="en-US" w:eastAsia="zh-CN"/>
              </w:rPr>
              <w:t>结算价的2.5%</w:t>
            </w:r>
            <w:r>
              <w:rPr>
                <w:rFonts w:hint="eastAsia" w:ascii="仿宋" w:hAnsi="仿宋" w:eastAsia="仿宋" w:cs="仿宋"/>
                <w:color w:val="auto"/>
                <w:kern w:val="2"/>
                <w:szCs w:val="24"/>
                <w:highlight w:val="none"/>
                <w:lang w:val="en-US"/>
              </w:rPr>
              <w:t>。</w:t>
            </w:r>
            <w:r>
              <w:rPr>
                <w:rFonts w:hint="eastAsia" w:ascii="仿宋" w:hAnsi="仿宋" w:eastAsia="仿宋" w:cs="仿宋"/>
                <w:color w:val="auto"/>
                <w:highlight w:val="none"/>
                <w:lang w:val="en-US"/>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形式：□履约保证金在工程验收合格后转为质量保证金；</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银行转账方式或支票、银行汇票；</w:t>
            </w: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合同款项中一次性扣留。</w:t>
            </w:r>
          </w:p>
          <w:p>
            <w:p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退还时间：</w:t>
            </w:r>
            <w:r>
              <w:rPr>
                <w:rFonts w:hint="eastAsia" w:ascii="仿宋" w:hAnsi="仿宋" w:eastAsia="仿宋" w:cs="仿宋"/>
                <w:color w:val="auto"/>
                <w:sz w:val="24"/>
                <w:highlight w:val="none"/>
                <w:lang w:eastAsia="zh-CN"/>
              </w:rPr>
              <w:t>质保期内未发生质量问题的前提下期满后</w:t>
            </w:r>
            <w:r>
              <w:rPr>
                <w:rFonts w:hint="eastAsia" w:ascii="仿宋" w:hAnsi="仿宋" w:eastAsia="仿宋" w:cs="仿宋"/>
                <w:color w:val="auto"/>
                <w:sz w:val="24"/>
                <w:highlight w:val="none"/>
              </w:rPr>
              <w:t>无息退还。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5786" w:type="dxa"/>
            <w:vAlign w:val="center"/>
          </w:tcPr>
          <w:p>
            <w:pPr>
              <w:numPr>
                <w:ilvl w:val="0"/>
                <w:numId w:val="5"/>
              </w:num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响应文件拆封唱标顺序：不分先后。</w:t>
            </w:r>
          </w:p>
          <w:p>
            <w:pPr>
              <w:numPr>
                <w:ilvl w:val="0"/>
                <w:numId w:val="5"/>
              </w:numPr>
              <w:spacing w:line="360" w:lineRule="auto"/>
              <w:rPr>
                <w:rFonts w:ascii="仿宋" w:hAnsi="仿宋" w:eastAsia="仿宋" w:cs="仿宋"/>
                <w:color w:val="auto"/>
                <w:highlight w:val="none"/>
              </w:rPr>
            </w:pPr>
            <w:r>
              <w:rPr>
                <w:rFonts w:hint="eastAsia" w:ascii="仿宋" w:hAnsi="仿宋" w:eastAsia="仿宋" w:cs="仿宋"/>
                <w:color w:val="auto"/>
                <w:kern w:val="21"/>
                <w:sz w:val="24"/>
                <w:highlight w:val="none"/>
              </w:rPr>
              <w:t>截至响应文件递交截止时间，递交响应文件的响应单位不足 3 家，则不予开标，本次询价失败。</w:t>
            </w:r>
          </w:p>
          <w:p>
            <w:pPr>
              <w:numPr>
                <w:ilvl w:val="0"/>
                <w:numId w:val="5"/>
              </w:num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如果采购文件中有文字表述与本供应商须知前附表内容不一致时,以本供应商须知前附表为准。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198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解释权</w:t>
            </w:r>
          </w:p>
        </w:tc>
        <w:tc>
          <w:tcPr>
            <w:tcW w:w="5786"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本采购文件的解释权属于询价人。</w:t>
            </w:r>
          </w:p>
        </w:tc>
      </w:tr>
    </w:tbl>
    <w:p>
      <w:pPr>
        <w:pStyle w:val="5"/>
        <w:spacing w:before="120" w:beforeLines="50" w:after="120" w:afterLines="50"/>
        <w:jc w:val="center"/>
        <w:rPr>
          <w:rFonts w:ascii="仿宋" w:eastAsia="仿宋" w:cs="仿宋"/>
          <w:bCs w:val="0"/>
          <w:color w:val="auto"/>
          <w:szCs w:val="36"/>
          <w:highlight w:val="none"/>
          <w:lang w:val="en-US"/>
        </w:rPr>
      </w:pPr>
    </w:p>
    <w:p>
      <w:pPr>
        <w:pStyle w:val="5"/>
        <w:spacing w:before="120" w:beforeLines="50" w:after="120" w:afterLines="50"/>
        <w:jc w:val="center"/>
        <w:rPr>
          <w:rFonts w:ascii="仿宋" w:eastAsia="仿宋" w:cs="仿宋"/>
          <w:bCs w:val="0"/>
          <w:color w:val="auto"/>
          <w:szCs w:val="36"/>
          <w:highlight w:val="none"/>
        </w:rPr>
      </w:pPr>
      <w:r>
        <w:rPr>
          <w:rFonts w:hint="eastAsia" w:ascii="仿宋" w:eastAsia="仿宋" w:cs="仿宋"/>
          <w:bCs w:val="0"/>
          <w:color w:val="auto"/>
          <w:szCs w:val="36"/>
          <w:highlight w:val="none"/>
          <w:lang w:val="en-US"/>
        </w:rPr>
        <w:t xml:space="preserve">二、询价响应文件的编制 </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 询价响应文件的组成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询价响应文件由以下内容组成</w:t>
      </w:r>
      <w:r>
        <w:rPr>
          <w:rFonts w:hint="eastAsia" w:ascii="仿宋" w:hAnsi="仿宋" w:eastAsia="仿宋" w:cs="仿宋"/>
          <w:b/>
          <w:bCs/>
          <w:color w:val="auto"/>
          <w:kern w:val="0"/>
          <w:sz w:val="24"/>
          <w:highlight w:val="none"/>
          <w:lang w:bidi="ar"/>
        </w:rPr>
        <w:t xml:space="preserve">： </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（1）封面（格式详见附件）；</w:t>
      </w:r>
    </w:p>
    <w:p>
      <w:pPr>
        <w:widowControl/>
        <w:spacing w:line="360" w:lineRule="auto"/>
        <w:ind w:firstLine="480" w:firstLineChars="200"/>
        <w:jc w:val="left"/>
        <w:rPr>
          <w:rFonts w:ascii="仿宋" w:hAnsi="仿宋" w:eastAsia="仿宋" w:cs="仿宋"/>
          <w:color w:val="auto"/>
          <w:kern w:val="0"/>
          <w:sz w:val="24"/>
          <w:highlight w:val="none"/>
          <w:lang w:eastAsia="zh" w:bidi="ar"/>
        </w:rPr>
      </w:pPr>
      <w:r>
        <w:rPr>
          <w:rFonts w:hint="eastAsia" w:ascii="仿宋" w:hAnsi="仿宋" w:eastAsia="仿宋" w:cs="仿宋"/>
          <w:color w:val="auto"/>
          <w:kern w:val="0"/>
          <w:sz w:val="24"/>
          <w:highlight w:val="none"/>
          <w:lang w:bidi="ar"/>
        </w:rPr>
        <w:t>（2）响应函（格式详见附件）</w:t>
      </w:r>
      <w:r>
        <w:rPr>
          <w:rFonts w:hint="eastAsia" w:ascii="仿宋" w:hAnsi="仿宋" w:eastAsia="仿宋" w:cs="仿宋"/>
          <w:color w:val="auto"/>
          <w:kern w:val="0"/>
          <w:sz w:val="24"/>
          <w:highlight w:val="none"/>
          <w:lang w:eastAsia="zh" w:bidi="ar"/>
        </w:rPr>
        <w:t>；</w:t>
      </w:r>
    </w:p>
    <w:p>
      <w:pPr>
        <w:widowControl/>
        <w:spacing w:line="360" w:lineRule="auto"/>
        <w:ind w:firstLine="480" w:firstLineChars="200"/>
        <w:jc w:val="left"/>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（3）报价明细表 （格式详见附件）</w:t>
      </w:r>
      <w:r>
        <w:rPr>
          <w:rFonts w:hint="eastAsia" w:ascii="仿宋" w:hAnsi="仿宋" w:eastAsia="仿宋" w:cs="仿宋"/>
          <w:color w:val="auto"/>
          <w:kern w:val="0"/>
          <w:sz w:val="24"/>
          <w:highlight w:val="none"/>
          <w:lang w:eastAsia="zh" w:bidi="ar"/>
        </w:rPr>
        <w:t>；</w:t>
      </w:r>
    </w:p>
    <w:p>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（4）法定代表人身份证明（格式详见附件）；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（5）法定代表人授权书（格式详见附件）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（6）资格证明材料： </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①提供在工商部门注册的有效“企业法人营业执照”或“营业执照”</w:t>
      </w:r>
      <w:r>
        <w:rPr>
          <w:rFonts w:hint="eastAsia" w:ascii="仿宋" w:hAnsi="仿宋" w:eastAsia="仿宋" w:cs="仿宋"/>
          <w:color w:val="auto"/>
          <w:kern w:val="0"/>
          <w:sz w:val="24"/>
          <w:highlight w:val="none"/>
          <w:lang w:eastAsia="zh" w:bidi="ar"/>
        </w:rPr>
        <w:t>复印件</w:t>
      </w:r>
    </w:p>
    <w:p>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②公司或者拟派人员资质证书（若需要）</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③业绩证明（中标通知书或合同）（若需要）</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④生产商或制造商授权书（若需要）</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（7）报价单位基本情况表（格式详见附件）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pPr>
        <w:spacing w:line="360" w:lineRule="auto"/>
        <w:ind w:firstLine="480" w:firstLineChars="200"/>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 xml:space="preserve">（8）合同条款偏离表和技术偏离表（格式详见附件） </w:t>
      </w:r>
      <w:r>
        <w:rPr>
          <w:rFonts w:hint="eastAsia" w:ascii="仿宋" w:hAnsi="仿宋" w:eastAsia="仿宋" w:cs="仿宋"/>
          <w:color w:val="auto"/>
          <w:kern w:val="0"/>
          <w:sz w:val="24"/>
          <w:highlight w:val="none"/>
          <w:lang w:eastAsia="zh" w:bidi="ar"/>
        </w:rPr>
        <w:t>；</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（9）报价人认为需要提供的其它文件及资料；  </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（二） 询价响应文件的签署 </w:t>
      </w:r>
    </w:p>
    <w:p>
      <w:pPr>
        <w:widowControl/>
        <w:spacing w:line="360" w:lineRule="auto"/>
        <w:ind w:left="420" w:left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1.询价响应文件需打印或用不褪色的墨水填写。副本可以是正本加盖公章后的复印件。 </w:t>
      </w:r>
    </w:p>
    <w:p>
      <w:pPr>
        <w:widowControl/>
        <w:spacing w:line="360" w:lineRule="auto"/>
        <w:ind w:left="420" w:left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2.询价响应文件须由报价人在规定位置盖章并由报价人代表签署，报价人应写全称。 </w:t>
      </w:r>
    </w:p>
    <w:p>
      <w:pPr>
        <w:widowControl/>
        <w:spacing w:line="360" w:lineRule="auto"/>
        <w:ind w:left="420" w:left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3.询价响应文件不得涂改，若有修改错漏处，须由报价人代表签字并加盖公章。询价响应文件因字迹潦草或表达不清所引起的后果由报价人负责。 </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 询价响应文件的包装、递交、修改和撤回 </w:t>
      </w:r>
    </w:p>
    <w:p>
      <w:pPr>
        <w:widowControl/>
        <w:spacing w:line="360" w:lineRule="auto"/>
        <w:ind w:left="420" w:left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1.报价人应在询价响应文件包装封面上注明报价人名称、报价人地址、询价响应文件名称、项目名称及“开标时启封”字样，并加盖报价人公章。 </w:t>
      </w:r>
    </w:p>
    <w:p>
      <w:pPr>
        <w:widowControl/>
        <w:spacing w:line="360" w:lineRule="auto"/>
        <w:ind w:left="420" w:left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2.未按规定密封或标记的询价响应文件被误投或提前拆封的风险由报价人承担。 </w:t>
      </w:r>
    </w:p>
    <w:p>
      <w:pPr>
        <w:pStyle w:val="5"/>
        <w:spacing w:before="120" w:beforeLines="50" w:after="120" w:afterLines="50"/>
        <w:jc w:val="center"/>
        <w:rPr>
          <w:rFonts w:ascii="仿宋" w:eastAsia="仿宋" w:cs="仿宋"/>
          <w:bCs w:val="0"/>
          <w:color w:val="auto"/>
          <w:szCs w:val="36"/>
          <w:highlight w:val="none"/>
          <w:lang w:val="en-US"/>
        </w:rPr>
      </w:pPr>
      <w:r>
        <w:rPr>
          <w:rFonts w:hint="eastAsia" w:ascii="仿宋" w:eastAsia="仿宋" w:cs="仿宋"/>
          <w:bCs w:val="0"/>
          <w:color w:val="auto"/>
          <w:szCs w:val="36"/>
          <w:highlight w:val="none"/>
          <w:lang w:val="en-US"/>
        </w:rPr>
        <w:t xml:space="preserve">三、询价响应文件开启 </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（一）开标会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开标会在询价文件确定的开启时间进行，开标会地点为询价文件中预先确定的地点。 </w:t>
      </w:r>
    </w:p>
    <w:p>
      <w:pPr>
        <w:widowControl/>
        <w:spacing w:line="360" w:lineRule="auto"/>
        <w:jc w:val="left"/>
        <w:rPr>
          <w:rFonts w:ascii="仿宋" w:hAnsi="仿宋" w:eastAsia="仿宋" w:cs="仿宋"/>
          <w:color w:val="auto"/>
          <w:highlight w:val="none"/>
        </w:rPr>
      </w:pPr>
      <w:r>
        <w:rPr>
          <w:rFonts w:hint="eastAsia" w:ascii="仿宋" w:hAnsi="仿宋" w:eastAsia="仿宋" w:cs="仿宋"/>
          <w:color w:val="auto"/>
          <w:kern w:val="0"/>
          <w:sz w:val="24"/>
          <w:highlight w:val="none"/>
          <w:lang w:bidi="ar"/>
        </w:rPr>
        <w:t xml:space="preserve">会议开始时，由评审小组或谈判小组检查询价响应文件的密封情况，经确认无误后，由询价人或代理机构工作人员当众开启拆封。报价人对开标结果有异议的，应当在开标现场提出，当场作出答复，并作记录。 </w:t>
      </w:r>
    </w:p>
    <w:p>
      <w:pPr>
        <w:pStyle w:val="5"/>
        <w:spacing w:before="120" w:beforeLines="50" w:after="120" w:afterLines="50"/>
        <w:jc w:val="center"/>
        <w:rPr>
          <w:rFonts w:ascii="仿宋" w:eastAsia="仿宋" w:cs="仿宋"/>
          <w:bCs w:val="0"/>
          <w:color w:val="auto"/>
          <w:szCs w:val="36"/>
          <w:highlight w:val="none"/>
          <w:lang w:val="en-US"/>
        </w:rPr>
      </w:pPr>
      <w:r>
        <w:rPr>
          <w:rFonts w:hint="eastAsia" w:ascii="仿宋" w:eastAsia="仿宋" w:cs="仿宋"/>
          <w:bCs w:val="0"/>
          <w:color w:val="auto"/>
          <w:szCs w:val="36"/>
          <w:highlight w:val="none"/>
          <w:lang w:val="en-US"/>
        </w:rPr>
        <w:t>四、评标原则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为规范本次定标工作，根据《中华人民共和国招标投标法》、《中华人民共和国招标投标法实施条例》等有关规定，制定本办法。 </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第一条 评标按下列程序进行：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（一）评标前准备；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（二）资格审查；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（三）符合性审查；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（四）最低价法评标；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（五）完成评标报告。 </w:t>
      </w:r>
    </w:p>
    <w:p>
      <w:pPr>
        <w:widowControl/>
        <w:spacing w:line="360" w:lineRule="auto"/>
        <w:jc w:val="left"/>
        <w:rPr>
          <w:rFonts w:ascii="仿宋" w:hAnsi="仿宋" w:eastAsia="仿宋" w:cs="仿宋"/>
          <w:color w:val="auto"/>
          <w:sz w:val="24"/>
          <w:highlight w:val="none"/>
        </w:rPr>
      </w:pPr>
      <w:r>
        <w:rPr>
          <w:rFonts w:hint="eastAsia" w:ascii="仿宋" w:hAnsi="仿宋" w:eastAsia="仿宋" w:cs="仿宋"/>
          <w:b/>
          <w:color w:val="auto"/>
          <w:sz w:val="24"/>
          <w:highlight w:val="none"/>
        </w:rPr>
        <w:t>第二条 评标会议由询价人负责。</w:t>
      </w:r>
      <w:r>
        <w:rPr>
          <w:rFonts w:hint="eastAsia" w:ascii="仿宋" w:hAnsi="仿宋" w:eastAsia="仿宋" w:cs="仿宋"/>
          <w:b/>
          <w:bCs/>
          <w:color w:val="auto"/>
          <w:kern w:val="0"/>
          <w:sz w:val="24"/>
          <w:highlight w:val="none"/>
          <w:lang w:bidi="ar"/>
        </w:rPr>
        <w:t xml:space="preserve"> </w:t>
      </w:r>
    </w:p>
    <w:p>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第三条 评标前准备工作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询价人应当熟悉采购项目的相关情况、主要技术要求标准、商务条款以及评标定标程序、标准和方法等内容。代理机构做好定标前的其他准备工作（若有）。 </w:t>
      </w:r>
    </w:p>
    <w:p>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第四条 资格审查 </w:t>
      </w:r>
    </w:p>
    <w:p>
      <w:pPr>
        <w:widowControl/>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 xml:space="preserve">在资格审查时，如发现下列情形之一的，询价响应文件将被视为无效： </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（1）供应商不满足询价公告中载明的供应商资格条件的；</w:t>
      </w:r>
    </w:p>
    <w:p>
      <w:pPr>
        <w:widowControl/>
        <w:spacing w:line="360" w:lineRule="auto"/>
        <w:ind w:firstLine="480" w:firstLineChars="200"/>
        <w:jc w:val="left"/>
        <w:rPr>
          <w:rFonts w:ascii="仿宋" w:hAnsi="仿宋" w:eastAsia="仿宋" w:cs="仿宋"/>
          <w:color w:val="auto"/>
          <w:highlight w:val="none"/>
        </w:rPr>
      </w:pPr>
      <w:r>
        <w:rPr>
          <w:rFonts w:hint="eastAsia" w:ascii="仿宋" w:hAnsi="仿宋" w:eastAsia="仿宋" w:cs="仿宋"/>
          <w:color w:val="auto"/>
          <w:kern w:val="0"/>
          <w:sz w:val="24"/>
          <w:highlight w:val="none"/>
          <w:lang w:bidi="ar"/>
        </w:rPr>
        <w:t>（2）存在法律、法规规定的其他否决投标情形的；</w:t>
      </w:r>
    </w:p>
    <w:p>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第五条 符合性审查 </w:t>
      </w:r>
    </w:p>
    <w:p>
      <w:pPr>
        <w:widowControl/>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 xml:space="preserve">在符合性审查、商务和技术评审时，如发现下列情形之一的，询价响应文件将被视为无效： </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（1）询价响应文件未按格式要求盖章或签字的； </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（2）未提供或未按要求提供法定代表人资格证明书、法定代表人授权委托书、营业执照的；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（3）对询价文件《合同主要条款》中的所有条款有任何负偏离的；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（4）明显不符合询价文件技术要求，或者与询价文件中标“★”的项目发生实质性偏离的；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（5）询价响应文件标明的响应或偏离与事实不符或虚假响应的；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（6）技术方案不明确，存在一个或一个以上备选（替代）方案的； </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（7）询价响应文件含有询价人不能接受的附加条件的；</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（8）报价人未按询价文件的要求递交投标保证金的；（本项目不适用）</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（9）报价超出询价文件规定的限价的；</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（10）报价人对根据修正原则修正后的报价不予确认的；</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（11）报价文件中承诺的投标有效期少于询价文件中载明的投标有效期的；</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（12）法律、法规和询价文件规定的其他无效情形。 </w:t>
      </w:r>
    </w:p>
    <w:p>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第六条 最低价法评标 </w:t>
      </w:r>
    </w:p>
    <w:p>
      <w:pPr>
        <w:widowControl/>
        <w:spacing w:line="360" w:lineRule="auto"/>
        <w:ind w:firstLine="480"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color w:val="auto"/>
          <w:kern w:val="0"/>
          <w:sz w:val="24"/>
          <w:highlight w:val="none"/>
          <w:lang w:bidi="ar"/>
        </w:rPr>
        <w:t>按最终报价由低到高的顺序推荐1名成交候选人。若报价报价相同的，由评审小组/谈判小组抽签决定排序顺序，根据排序推荐成交候选人。</w:t>
      </w:r>
      <w:r>
        <w:rPr>
          <w:rFonts w:hint="eastAsia" w:ascii="仿宋" w:hAnsi="仿宋" w:eastAsia="仿宋" w:cs="仿宋"/>
          <w:b/>
          <w:bCs/>
          <w:color w:val="auto"/>
          <w:kern w:val="0"/>
          <w:sz w:val="24"/>
          <w:highlight w:val="none"/>
          <w:lang w:bidi="ar"/>
        </w:rPr>
        <w:t xml:space="preserve"> </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评审小组/谈判小组应按排序推荐 1 名成交候选人，但有效报价不足 3 名的除外。经评审后有效报价单位不足 3 名时，否决全部报价。</w:t>
      </w:r>
    </w:p>
    <w:p>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第七条 完成评标报告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询价人应根据评标情况和结果，提交书面评标报告。 </w:t>
      </w:r>
    </w:p>
    <w:p>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第八条 其他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评标过程中询价人对报价人提出质询或要求报价人书面确认的，报价人应在前附表规定的时间内予以书面回复或确认，否则视为不予回复或确认，询价人有权拒绝该报价文件。 </w:t>
      </w:r>
    </w:p>
    <w:p>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第九条 发出成交通知书 </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询价人（代理机构）向成交供应商发出成交通知书。</w:t>
      </w:r>
    </w:p>
    <w:p>
      <w:pPr>
        <w:topLinePunct/>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第十条 报价文件计算错误的修正</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bookmarkStart w:id="173" w:name="_Toc16505"/>
      <w:bookmarkStart w:id="174" w:name="_Toc31561"/>
      <w:r>
        <w:rPr>
          <w:rFonts w:hint="eastAsia" w:ascii="仿宋" w:hAnsi="仿宋" w:eastAsia="仿宋" w:cs="仿宋"/>
          <w:color w:val="auto"/>
          <w:sz w:val="24"/>
          <w:highlight w:val="none"/>
        </w:rPr>
        <w:t>报价文件如果出现计算或表达上的错误，修正错误的原则如下：</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评审小组/谈判小组对报价文件的报价进行审核，对发现计算、书写等错误的，按以下原则进行修正：</w:t>
      </w:r>
    </w:p>
    <w:p>
      <w:pPr>
        <w:tabs>
          <w:tab w:val="left" w:pos="852"/>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（1）报价明细表与报价文件其他报价内容不一致的，以报价明细表为准。</w:t>
      </w:r>
      <w:r>
        <w:rPr>
          <w:rFonts w:hint="eastAsia" w:ascii="仿宋" w:hAnsi="仿宋" w:eastAsia="仿宋" w:cs="仿宋"/>
          <w:color w:val="auto"/>
          <w:kern w:val="0"/>
          <w:sz w:val="24"/>
          <w:highlight w:val="none"/>
          <w:lang w:bidi="ar"/>
        </w:rPr>
        <w:t>但</w:t>
      </w:r>
      <w:r>
        <w:rPr>
          <w:rFonts w:hint="eastAsia" w:ascii="仿宋" w:hAnsi="仿宋" w:eastAsia="仿宋" w:cs="仿宋"/>
          <w:color w:val="auto"/>
          <w:sz w:val="24"/>
          <w:highlight w:val="none"/>
        </w:rPr>
        <w:t>报价明细表</w:t>
      </w:r>
      <w:r>
        <w:rPr>
          <w:rFonts w:hint="eastAsia" w:ascii="仿宋" w:hAnsi="仿宋" w:eastAsia="仿宋" w:cs="仿宋"/>
          <w:color w:val="auto"/>
          <w:kern w:val="0"/>
          <w:sz w:val="24"/>
          <w:highlight w:val="none"/>
          <w:lang w:bidi="ar"/>
        </w:rPr>
        <w:t>存在明显错误的，则澄清、说明、补正；</w:t>
      </w:r>
    </w:p>
    <w:p>
      <w:pPr>
        <w:tabs>
          <w:tab w:val="left" w:pos="852"/>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）如果用数字表示的数额与用文字表示的数额不一致时，以文字数额为准；</w:t>
      </w:r>
    </w:p>
    <w:p>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除明显文字错误外，</w:t>
      </w:r>
      <w:r>
        <w:rPr>
          <w:rFonts w:hint="eastAsia" w:ascii="仿宋" w:hAnsi="仿宋" w:eastAsia="仿宋" w:cs="仿宋"/>
          <w:color w:val="auto"/>
          <w:sz w:val="24"/>
          <w:highlight w:val="none"/>
        </w:rPr>
        <w:t>报价文件的大写金额和小写金额不一致的，以大写金额为准；</w:t>
      </w:r>
    </w:p>
    <w:p>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）总价金额与按单价汇总金额不一致的，以单价金额计算结果为准；</w:t>
      </w:r>
    </w:p>
    <w:p>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单价金额小数点或者百分比有明显错位的，以报价明细表的总价为准，并修改单价；</w:t>
      </w:r>
    </w:p>
    <w:p>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）对不同文字文本报价文件的解释发生异议的，以中文文本为准。</w:t>
      </w:r>
    </w:p>
    <w:p>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同时出现两种以上不一致的，按照前款规定的顺序修正。按上述修正错误的原则及方法由评审小组/谈判小组调整或修正报价文件的报价，修正后的报价经供应商确认后产生约束力，供应商不确认的，其报价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bookmarkEnd w:id="173"/>
      <w:bookmarkEnd w:id="174"/>
      <w:r>
        <w:rPr>
          <w:rFonts w:hint="eastAsia" w:ascii="仿宋" w:hAnsi="仿宋" w:eastAsia="仿宋" w:cs="仿宋"/>
          <w:color w:val="auto"/>
          <w:sz w:val="24"/>
          <w:highlight w:val="none"/>
        </w:rPr>
        <w:t>。</w:t>
      </w: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tabs>
          <w:tab w:val="left" w:pos="900"/>
        </w:tabs>
        <w:snapToGrid w:val="0"/>
        <w:spacing w:line="360" w:lineRule="auto"/>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4"/>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第三章、采购需求和技术要求</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一、采购需求</w:t>
      </w:r>
    </w:p>
    <w:p>
      <w:pPr>
        <w:pStyle w:val="14"/>
        <w:widowControl/>
        <w:shd w:val="clear" w:color="auto" w:fill="FFFFFF"/>
        <w:wordWrap w:val="0"/>
        <w:spacing w:line="360" w:lineRule="auto"/>
        <w:ind w:firstLine="480" w:firstLineChars="200"/>
        <w:rPr>
          <w:rFonts w:hint="default" w:ascii="仿宋" w:hAnsi="仿宋" w:eastAsia="仿宋" w:cs="仿宋"/>
          <w:color w:val="auto"/>
          <w:highlight w:val="none"/>
        </w:rPr>
      </w:pPr>
      <w:r>
        <w:rPr>
          <w:rFonts w:ascii="仿宋" w:hAnsi="仿宋" w:eastAsia="仿宋" w:cs="仿宋"/>
          <w:color w:val="auto"/>
          <w:highlight w:val="none"/>
        </w:rPr>
        <w:t>1、采购概况：为确保杭州市能源集团工程科技有限公司承接的</w:t>
      </w:r>
      <w:r>
        <w:rPr>
          <w:rFonts w:hint="eastAsia" w:ascii="仿宋" w:hAnsi="仿宋" w:eastAsia="仿宋" w:cs="仿宋"/>
          <w:color w:val="auto"/>
          <w:highlight w:val="none"/>
        </w:rPr>
        <w:t>广州水线</w:t>
      </w:r>
      <w:r>
        <w:rPr>
          <w:rFonts w:hint="eastAsia" w:ascii="仿宋" w:hAnsi="仿宋" w:eastAsia="仿宋" w:cs="仿宋"/>
          <w:color w:val="auto"/>
          <w:highlight w:val="none"/>
          <w:lang w:val="en-US" w:eastAsia="zh-CN"/>
        </w:rPr>
        <w:t>公用</w:t>
      </w:r>
      <w:r>
        <w:rPr>
          <w:rFonts w:hint="eastAsia" w:ascii="仿宋" w:hAnsi="仿宋" w:eastAsia="仿宋" w:cs="仿宋"/>
          <w:color w:val="auto"/>
          <w:highlight w:val="none"/>
          <w:lang w:eastAsia="zh-CN"/>
        </w:rPr>
        <w:t>工程</w:t>
      </w:r>
      <w:r>
        <w:rPr>
          <w:rFonts w:ascii="仿宋" w:hAnsi="仿宋" w:eastAsia="仿宋" w:cs="仿宋"/>
          <w:color w:val="auto"/>
          <w:highlight w:val="none"/>
        </w:rPr>
        <w:t>的施工质量、保障施工进度，现对其所需的蝶阀、球阀</w:t>
      </w:r>
      <w:r>
        <w:rPr>
          <w:rFonts w:hint="eastAsia" w:ascii="仿宋" w:hAnsi="仿宋" w:eastAsia="仿宋" w:cs="仿宋"/>
          <w:color w:val="auto"/>
          <w:highlight w:val="none"/>
          <w:lang w:val="en-US" w:eastAsia="zh-CN"/>
        </w:rPr>
        <w:t>等辅材</w:t>
      </w:r>
      <w:r>
        <w:rPr>
          <w:rFonts w:ascii="仿宋" w:hAnsi="仿宋" w:eastAsia="仿宋" w:cs="仿宋"/>
          <w:color w:val="auto"/>
          <w:highlight w:val="none"/>
        </w:rPr>
        <w:t>进行采购。</w:t>
      </w:r>
    </w:p>
    <w:p>
      <w:pPr>
        <w:pStyle w:val="14"/>
        <w:widowControl/>
        <w:shd w:val="clear" w:color="auto" w:fill="FFFFFF"/>
        <w:wordWrap w:val="0"/>
        <w:spacing w:line="360" w:lineRule="auto"/>
        <w:ind w:firstLine="480" w:firstLineChars="200"/>
        <w:rPr>
          <w:rFonts w:ascii="仿宋" w:hAnsi="仿宋" w:eastAsia="仿宋" w:cs="仿宋"/>
          <w:color w:val="auto"/>
          <w:highlight w:val="none"/>
        </w:rPr>
      </w:pPr>
      <w:r>
        <w:rPr>
          <w:rFonts w:ascii="仿宋" w:hAnsi="仿宋" w:eastAsia="仿宋" w:cs="仿宋"/>
          <w:color w:val="auto"/>
          <w:highlight w:val="none"/>
        </w:rPr>
        <w:t>2、采购内容：蝶阀、球阀</w:t>
      </w:r>
      <w:r>
        <w:rPr>
          <w:rFonts w:hint="eastAsia" w:ascii="仿宋" w:hAnsi="仿宋" w:eastAsia="仿宋" w:cs="仿宋"/>
          <w:color w:val="auto"/>
          <w:highlight w:val="none"/>
          <w:lang w:val="en-US" w:eastAsia="zh-CN"/>
        </w:rPr>
        <w:t>等辅材</w:t>
      </w:r>
      <w:r>
        <w:rPr>
          <w:rStyle w:val="23"/>
          <w:rFonts w:ascii="仿宋" w:hAnsi="仿宋" w:eastAsia="仿宋" w:cs="仿宋"/>
          <w:color w:val="auto"/>
          <w:highlight w:val="none"/>
        </w:rPr>
        <w:t>的供货、运输、</w:t>
      </w:r>
      <w:r>
        <w:rPr>
          <w:rFonts w:ascii="仿宋" w:hAnsi="仿宋" w:eastAsia="仿宋" w:cs="仿宋"/>
          <w:color w:val="auto"/>
          <w:highlight w:val="none"/>
        </w:rPr>
        <w:t>装</w:t>
      </w:r>
      <w:r>
        <w:rPr>
          <w:rFonts w:hint="eastAsia" w:ascii="仿宋" w:hAnsi="仿宋" w:eastAsia="仿宋" w:cs="仿宋"/>
          <w:color w:val="auto"/>
          <w:highlight w:val="none"/>
          <w:lang w:eastAsia="zh-CN"/>
        </w:rPr>
        <w:t>车</w:t>
      </w:r>
      <w:r>
        <w:rPr>
          <w:rFonts w:ascii="仿宋" w:hAnsi="仿宋" w:eastAsia="仿宋" w:cs="仿宋"/>
          <w:color w:val="auto"/>
          <w:highlight w:val="none"/>
        </w:rPr>
        <w:t>、验收、售后及质保服务。</w:t>
      </w:r>
    </w:p>
    <w:p>
      <w:pPr>
        <w:pStyle w:val="14"/>
        <w:widowControl/>
        <w:shd w:val="clear" w:color="auto" w:fill="FFFFFF"/>
        <w:wordWrap w:val="0"/>
        <w:spacing w:line="360" w:lineRule="auto"/>
        <w:ind w:firstLine="480" w:firstLineChars="200"/>
        <w:rPr>
          <w:rFonts w:hint="default" w:ascii="仿宋" w:hAnsi="仿宋" w:eastAsia="仿宋" w:cs="仿宋"/>
          <w:color w:val="auto"/>
          <w:highlight w:val="none"/>
        </w:rPr>
      </w:pPr>
      <w:r>
        <w:rPr>
          <w:rFonts w:ascii="仿宋" w:hAnsi="仿宋" w:eastAsia="仿宋" w:cs="仿宋"/>
          <w:color w:val="auto"/>
          <w:highlight w:val="none"/>
        </w:rPr>
        <w:t>3、最高含税总价限价：</w:t>
      </w:r>
      <w:r>
        <w:rPr>
          <w:rFonts w:hint="eastAsia" w:ascii="仿宋" w:hAnsi="仿宋" w:eastAsia="仿宋" w:cs="仿宋"/>
          <w:color w:val="auto"/>
          <w:highlight w:val="none"/>
          <w:lang w:val="en-US" w:eastAsia="zh-CN"/>
        </w:rPr>
        <w:t>668283</w:t>
      </w:r>
      <w:r>
        <w:rPr>
          <w:rFonts w:ascii="仿宋" w:hAnsi="仿宋" w:eastAsia="仿宋" w:cs="仿宋"/>
          <w:color w:val="auto"/>
          <w:highlight w:val="none"/>
        </w:rPr>
        <w:t>元，</w:t>
      </w:r>
      <w:r>
        <w:rPr>
          <w:rFonts w:ascii="仿宋" w:hAnsi="仿宋" w:eastAsia="仿宋" w:cs="仿宋"/>
          <w:bCs/>
          <w:color w:val="auto"/>
          <w:highlight w:val="none"/>
        </w:rPr>
        <w:t>响应报价超过</w:t>
      </w:r>
      <w:r>
        <w:rPr>
          <w:rFonts w:ascii="仿宋" w:hAnsi="仿宋" w:eastAsia="仿宋" w:cs="仿宋"/>
          <w:color w:val="auto"/>
          <w:highlight w:val="none"/>
        </w:rPr>
        <w:t>总价限价</w:t>
      </w:r>
      <w:r>
        <w:rPr>
          <w:rFonts w:ascii="仿宋" w:hAnsi="仿宋" w:eastAsia="仿宋" w:cs="仿宋"/>
          <w:bCs/>
          <w:color w:val="auto"/>
          <w:highlight w:val="none"/>
        </w:rPr>
        <w:t>的按无效处理。</w:t>
      </w:r>
    </w:p>
    <w:p>
      <w:pPr>
        <w:pStyle w:val="14"/>
        <w:widowControl/>
        <w:shd w:val="clear" w:color="auto" w:fill="FFFFFF"/>
        <w:wordWrap w:val="0"/>
        <w:spacing w:line="360" w:lineRule="auto"/>
        <w:ind w:firstLine="480" w:firstLineChars="200"/>
        <w:rPr>
          <w:rFonts w:ascii="仿宋" w:hAnsi="仿宋" w:eastAsia="仿宋" w:cs="仿宋"/>
          <w:bCs/>
          <w:color w:val="auto"/>
          <w:highlight w:val="none"/>
        </w:rPr>
      </w:pPr>
      <w:r>
        <w:rPr>
          <w:rFonts w:ascii="仿宋" w:hAnsi="仿宋" w:eastAsia="仿宋" w:cs="仿宋"/>
          <w:bCs/>
          <w:color w:val="auto"/>
          <w:highlight w:val="none"/>
        </w:rPr>
        <w:t>4、采购清单：</w:t>
      </w:r>
    </w:p>
    <w:tbl>
      <w:tblPr>
        <w:tblStyle w:val="18"/>
        <w:tblW w:w="95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2267"/>
        <w:gridCol w:w="3050"/>
        <w:gridCol w:w="683"/>
        <w:gridCol w:w="734"/>
        <w:gridCol w:w="2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bCs/>
                <w:color w:val="auto"/>
                <w:kern w:val="0"/>
                <w:sz w:val="18"/>
                <w:szCs w:val="18"/>
                <w:highlight w:val="none"/>
                <w:lang w:val="en-US" w:eastAsia="zh-CN" w:bidi="ar-SA"/>
              </w:rPr>
              <w:t>序号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bCs/>
                <w:color w:val="auto"/>
                <w:kern w:val="0"/>
                <w:sz w:val="18"/>
                <w:szCs w:val="18"/>
                <w:highlight w:val="none"/>
                <w:lang w:val="en-US" w:eastAsia="zh-CN" w:bidi="ar-SA"/>
              </w:rPr>
              <w:t>货物名称</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bCs/>
                <w:color w:val="auto"/>
                <w:kern w:val="0"/>
                <w:sz w:val="18"/>
                <w:szCs w:val="18"/>
                <w:highlight w:val="none"/>
                <w:lang w:val="en-US" w:eastAsia="zh-CN" w:bidi="ar-SA"/>
              </w:rPr>
              <w:t>规格型号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bCs/>
                <w:color w:val="auto"/>
                <w:kern w:val="0"/>
                <w:sz w:val="18"/>
                <w:szCs w:val="18"/>
                <w:highlight w:val="none"/>
                <w:lang w:val="en-US" w:eastAsia="zh-CN" w:bidi="ar-SA"/>
              </w:rPr>
              <w:t>暂估数量</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bCs/>
                <w:color w:val="auto"/>
                <w:kern w:val="0"/>
                <w:sz w:val="18"/>
                <w:szCs w:val="18"/>
                <w:highlight w:val="none"/>
                <w:lang w:val="en-US" w:eastAsia="zh-CN" w:bidi="ar-SA"/>
              </w:rPr>
              <w:t>单位</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bCs/>
                <w:color w:val="auto"/>
                <w:kern w:val="0"/>
                <w:sz w:val="18"/>
                <w:szCs w:val="18"/>
                <w:highlight w:val="none"/>
                <w:lang w:val="en-US" w:eastAsia="zh-CN" w:bidi="ar-SA"/>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bookmarkStart w:id="175" w:name="OLE_LINK9" w:colFirst="1" w:colLast="4"/>
            <w:r>
              <w:rPr>
                <w:rFonts w:hint="eastAsia" w:ascii="仿宋" w:hAnsi="仿宋" w:eastAsia="仿宋" w:cs="仿宋"/>
                <w:i w:val="0"/>
                <w:iCs w:val="0"/>
                <w:color w:val="auto"/>
                <w:kern w:val="0"/>
                <w:sz w:val="18"/>
                <w:szCs w:val="18"/>
                <w:u w:val="none"/>
                <w:lang w:val="en-US" w:eastAsia="zh-CN" w:bidi="ar"/>
              </w:rPr>
              <w:t xml:space="preserve">1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DN200，PN16，304不锈钢阀芯，配齐双头螺杆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90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凯士比、博力媒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DN150，PN16，304不锈钢阀芯，配齐双头螺杆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10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凯士比、博力媒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3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DN125,PN16，304不锈钢阀芯，配齐双头螺杆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12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凯士比、博力媒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DN100,PN16，304不锈钢阀芯，配齐双头螺杆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凯士比、博力媒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5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DN40,PN16，304不锈钢阀芯，配齐双头螺杆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20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凯士比、博力媒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不锈钢对夹式双瓣止回阀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DN200,PN16304不锈钢阀芯，配齐双头螺杆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凯士比、博力媒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7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不锈钢对夹式双瓣止回阀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DN150,PN16，对夹式 304</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凯士比、博力媒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8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不锈钢对夹式双瓣止回阀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DN20,PN16，对夹式 304</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32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凯士比、博力媒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9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DN65,PN16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良固、广东精工、远大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DN50,PN16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良固、广东精工、远大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11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DN25,PN16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20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良固、广东精工、远大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12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DN20,PN16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32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良固、广东精工、远大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13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DN15,PN16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60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良固、广东精工、远大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14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DN200,PN16，304不锈钢滤网，40目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28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良固、广东精工、远大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15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DN150,PN16，304不锈钢滤网，40目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良固、广东精工、远大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DN125,PN16，304不锈钢滤网，40目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14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良固、广东精工、远大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17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DN40,PN16，304不锈钢滤网，40目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良固、广东精工、远大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18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DN20,PN16，304不锈钢滤网，40目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良固、广东精工、远大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19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PL300-16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8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广东精工、中国特业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PL250-16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广东精工、中国特业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21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PL200-16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232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广东精工、中国特业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22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PL150-16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56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广东精工、中国特业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23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PL125-16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20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广东精工、中国特业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24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PL80-16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广东精工、中国特业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25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PL300-16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广东精工、中国特业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26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PL250-16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广东精工、中国特业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27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BL200-16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8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广东精工、中国特业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28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PL150-16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广东精工、中国特业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29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PL125-16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广东精工、中国特业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30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可曲挠橡胶接头</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18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18"/>
                <w:szCs w:val="1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31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可曲挠橡胶接头</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18"/>
                <w:szCs w:val="18"/>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18"/>
                <w:szCs w:val="18"/>
                <w:highlight w:val="none"/>
                <w:lang w:val="en-US" w:eastAsia="zh-CN" w:bidi="ar-SA"/>
              </w:rPr>
            </w:pPr>
          </w:p>
        </w:tc>
      </w:tr>
      <w:bookmarkEnd w:id="175"/>
    </w:tbl>
    <w:p>
      <w:pPr>
        <w:widowControl/>
        <w:spacing w:line="360" w:lineRule="auto"/>
        <w:jc w:val="left"/>
        <w:rPr>
          <w:rFonts w:ascii="仿宋" w:hAnsi="仿宋" w:eastAsia="仿宋" w:cs="仿宋"/>
          <w:b/>
          <w:color w:val="auto"/>
          <w:sz w:val="24"/>
          <w:highlight w:val="none"/>
        </w:rPr>
      </w:pPr>
      <w:bookmarkStart w:id="176" w:name="OLE_LINK17"/>
      <w:r>
        <w:rPr>
          <w:rFonts w:hint="eastAsia" w:ascii="仿宋" w:hAnsi="仿宋" w:eastAsia="仿宋" w:cs="仿宋"/>
          <w:b/>
          <w:color w:val="auto"/>
          <w:sz w:val="24"/>
          <w:highlight w:val="none"/>
        </w:rPr>
        <w:t xml:space="preserve">二、规范和技术要求 </w:t>
      </w:r>
    </w:p>
    <w:bookmarkEnd w:id="176"/>
    <w:p>
      <w:pPr>
        <w:pStyle w:val="4"/>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bookmarkStart w:id="177" w:name="bookmark2"/>
      <w:bookmarkEnd w:id="177"/>
      <w:r>
        <w:rPr>
          <w:rFonts w:hint="eastAsia" w:ascii="仿宋" w:hAnsi="仿宋" w:eastAsia="仿宋" w:cs="仿宋"/>
          <w:b w:val="0"/>
          <w:bCs w:val="0"/>
          <w:color w:val="auto"/>
          <w:kern w:val="2"/>
          <w:sz w:val="24"/>
          <w:szCs w:val="24"/>
          <w:highlight w:val="none"/>
          <w:lang w:val="en-US" w:eastAsia="zh-CN" w:bidi="ar-SA"/>
        </w:rPr>
        <w:t>材料必须符合相关的国家标准和规范要求，材质、品牌、规格型号符合设计和建设单位要求,必须有出厂合格证和质量证书，且不得有瑕疵。</w:t>
      </w:r>
    </w:p>
    <w:p>
      <w:pPr>
        <w:pStyle w:val="4"/>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1、使用场所：用于娃哈哈饮料生产车间的管道安装。</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2、阀门质量要求应符合国家标准GB/T 12224-2015《钢制阀门 一般要求》，GB/T 12220-2015《工业阀门 标志》；过滤器质量要求应符合国家标准GB/T 12234-2019《石油、天然气工业用螺柱连接阀盖的钢制闸阀》、</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GB/T 12235-2007</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石油、石化及相关工业用钢制截止阀和升降式止回阀</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GB/T 12236-2008</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石油、化工及相关工业用的钢制旋启式止回阀</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GB/T 12237-2021</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石油、石化及相关工业用的钢制球阀</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》；法兰质量要求应符合国家标准</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GB/T 9124.1-2019</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《制管法兰 第1部分：PN 系列》。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包装要求：供应商应在装车及运输过程中采取合理包装措施，使货物避免磕碰、划伤、抛摔、撞击、曝晒、雨淋、油污和化学品污染等所造成的损害。因包装问题导致货物磨损、破坏的，采购人有权拒收，要求无偿更换。</w:t>
      </w:r>
    </w:p>
    <w:p>
      <w:pPr>
        <w:pStyle w:val="4"/>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0"/>
          <w:sz w:val="24"/>
          <w:highlight w:val="none"/>
          <w:lang w:eastAsia="zh-CN" w:bidi="ar"/>
        </w:rPr>
      </w:pPr>
      <w:r>
        <w:rPr>
          <w:rFonts w:hint="eastAsia" w:ascii="仿宋" w:hAnsi="仿宋" w:eastAsia="仿宋" w:cs="仿宋"/>
          <w:b w:val="0"/>
          <w:bCs w:val="0"/>
          <w:color w:val="auto"/>
          <w:kern w:val="2"/>
          <w:sz w:val="24"/>
          <w:szCs w:val="24"/>
          <w:highlight w:val="none"/>
          <w:lang w:val="en-US" w:eastAsia="zh-CN" w:bidi="ar-SA"/>
        </w:rPr>
        <w:t>4、验收要求：现场材料需经采购人验收合格，供应商需提供出厂合格证、质量证书等质量证明文件，且堆放必须符合相关规定和建设方的要求。</w:t>
      </w:r>
    </w:p>
    <w:p>
      <w:pPr>
        <w:widowControl/>
        <w:spacing w:line="360" w:lineRule="auto"/>
        <w:jc w:val="left"/>
        <w:rPr>
          <w:rFonts w:ascii="仿宋" w:hAnsi="仿宋" w:eastAsia="仿宋" w:cs="仿宋"/>
          <w:b/>
          <w:color w:val="auto"/>
          <w:sz w:val="24"/>
          <w:highlight w:val="none"/>
        </w:rPr>
      </w:pPr>
      <w:r>
        <w:rPr>
          <w:rFonts w:hint="eastAsia" w:ascii="仿宋" w:hAnsi="仿宋" w:eastAsia="仿宋" w:cs="仿宋"/>
          <w:b/>
          <w:bCs/>
          <w:color w:val="auto"/>
          <w:kern w:val="0"/>
          <w:sz w:val="24"/>
          <w:highlight w:val="none"/>
          <w:lang w:bidi="ar"/>
        </w:rPr>
        <w:t xml:space="preserve"> </w:t>
      </w:r>
      <w:r>
        <w:rPr>
          <w:rFonts w:hint="eastAsia" w:ascii="仿宋" w:hAnsi="仿宋" w:eastAsia="仿宋" w:cs="仿宋"/>
          <w:color w:val="auto"/>
          <w:kern w:val="0"/>
          <w:sz w:val="24"/>
          <w:highlight w:val="none"/>
          <w:lang w:bidi="ar"/>
        </w:rPr>
        <w:t>★</w:t>
      </w:r>
      <w:r>
        <w:rPr>
          <w:rFonts w:hint="eastAsia" w:ascii="仿宋" w:hAnsi="仿宋" w:eastAsia="仿宋" w:cs="仿宋"/>
          <w:b/>
          <w:color w:val="auto"/>
          <w:sz w:val="24"/>
          <w:highlight w:val="none"/>
        </w:rPr>
        <w:t xml:space="preserve">三、商务要求 </w:t>
      </w:r>
    </w:p>
    <w:p>
      <w:pPr>
        <w:autoSpaceDE w:val="0"/>
        <w:autoSpaceDN w:val="0"/>
        <w:snapToGrid w:val="0"/>
        <w:spacing w:line="360" w:lineRule="auto"/>
        <w:ind w:firstLine="480" w:firstLineChars="200"/>
        <w:textAlignment w:val="bottom"/>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r>
        <w:rPr>
          <w:rFonts w:hint="eastAsia" w:ascii="仿宋" w:hAnsi="仿宋" w:eastAsia="仿宋" w:cs="仿宋"/>
          <w:color w:val="auto"/>
          <w:sz w:val="24"/>
          <w:highlight w:val="none"/>
        </w:rPr>
        <w:t>报价包括</w:t>
      </w:r>
      <w:bookmarkStart w:id="178" w:name="OLE_LINK16"/>
      <w:r>
        <w:rPr>
          <w:rFonts w:hint="eastAsia" w:ascii="仿宋" w:hAnsi="仿宋" w:eastAsia="仿宋" w:cs="仿宋"/>
          <w:color w:val="auto"/>
          <w:sz w:val="24"/>
          <w:highlight w:val="none"/>
        </w:rPr>
        <w:t>报价包括货物费、包装运输费、运输保险费、运杂费、装</w:t>
      </w:r>
      <w:r>
        <w:rPr>
          <w:rFonts w:hint="eastAsia" w:ascii="仿宋" w:hAnsi="仿宋" w:eastAsia="仿宋" w:cs="仿宋"/>
          <w:color w:val="auto"/>
          <w:sz w:val="24"/>
          <w:highlight w:val="none"/>
          <w:lang w:eastAsia="zh-CN"/>
        </w:rPr>
        <w:t>车</w:t>
      </w:r>
      <w:r>
        <w:rPr>
          <w:rFonts w:hint="eastAsia" w:ascii="仿宋" w:hAnsi="仿宋" w:eastAsia="仿宋" w:cs="仿宋"/>
          <w:color w:val="auto"/>
          <w:sz w:val="24"/>
          <w:highlight w:val="none"/>
        </w:rPr>
        <w:t>费、验收费、质保费、售后服务费、企业管理费、利润、税金等一切费用</w:t>
      </w:r>
      <w:bookmarkEnd w:id="178"/>
      <w:r>
        <w:rPr>
          <w:rFonts w:hint="eastAsia" w:ascii="仿宋" w:hAnsi="仿宋" w:eastAsia="仿宋" w:cs="仿宋"/>
          <w:color w:val="auto"/>
          <w:sz w:val="24"/>
          <w:highlight w:val="none"/>
        </w:rPr>
        <w:t>；</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2、结算方式：固定单价包干，数量按实结算。</w:t>
      </w:r>
    </w:p>
    <w:p>
      <w:pPr>
        <w:widowControl/>
        <w:spacing w:line="360" w:lineRule="auto"/>
        <w:ind w:firstLine="480" w:firstLineChars="200"/>
        <w:jc w:val="left"/>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3、</w:t>
      </w:r>
      <w:bookmarkStart w:id="179" w:name="OLE_LINK22"/>
      <w:r>
        <w:rPr>
          <w:rFonts w:hint="eastAsia" w:ascii="仿宋" w:hAnsi="仿宋" w:eastAsia="仿宋" w:cs="仿宋"/>
          <w:color w:val="auto"/>
          <w:kern w:val="0"/>
          <w:sz w:val="24"/>
          <w:highlight w:val="none"/>
          <w:lang w:bidi="ar"/>
        </w:rPr>
        <w:t>付款方式：</w:t>
      </w:r>
      <w:bookmarkStart w:id="180" w:name="OLE_LINK5"/>
      <w:r>
        <w:rPr>
          <w:rFonts w:hint="eastAsia" w:ascii="仿宋" w:hAnsi="仿宋" w:eastAsia="仿宋" w:cs="仿宋"/>
          <w:color w:val="auto"/>
          <w:kern w:val="0"/>
          <w:sz w:val="24"/>
          <w:highlight w:val="none"/>
          <w:lang w:val="en-US" w:eastAsia="zh-CN" w:bidi="ar"/>
        </w:rPr>
        <w:t>分批次付款，</w:t>
      </w:r>
      <w:r>
        <w:rPr>
          <w:rFonts w:hint="eastAsia" w:ascii="仿宋" w:hAnsi="仿宋" w:eastAsia="仿宋" w:cs="仿宋"/>
          <w:color w:val="auto"/>
          <w:kern w:val="0"/>
          <w:sz w:val="24"/>
          <w:highlight w:val="none"/>
          <w:lang w:bidi="ar"/>
        </w:rPr>
        <w:t>货物到货验收</w:t>
      </w:r>
      <w:r>
        <w:rPr>
          <w:rFonts w:hint="eastAsia" w:ascii="仿宋" w:hAnsi="仿宋" w:eastAsia="仿宋" w:cs="仿宋"/>
          <w:color w:val="auto"/>
          <w:kern w:val="0"/>
          <w:sz w:val="24"/>
          <w:highlight w:val="none"/>
          <w:lang w:eastAsia="zh-CN" w:bidi="ar"/>
        </w:rPr>
        <w:t>合格</w:t>
      </w:r>
      <w:r>
        <w:rPr>
          <w:rFonts w:hint="eastAsia" w:ascii="仿宋" w:hAnsi="仿宋" w:eastAsia="仿宋" w:cs="仿宋"/>
          <w:color w:val="auto"/>
          <w:kern w:val="0"/>
          <w:sz w:val="24"/>
          <w:highlight w:val="none"/>
          <w:lang w:bidi="ar"/>
        </w:rPr>
        <w:t>后</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30</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日内</w:t>
      </w:r>
      <w:r>
        <w:rPr>
          <w:rFonts w:hint="eastAsia" w:ascii="仿宋" w:hAnsi="仿宋" w:eastAsia="仿宋" w:cs="仿宋"/>
          <w:color w:val="auto"/>
          <w:kern w:val="0"/>
          <w:sz w:val="24"/>
          <w:highlight w:val="none"/>
          <w:lang w:bidi="ar"/>
        </w:rPr>
        <w:t>支付至</w:t>
      </w:r>
      <w:r>
        <w:rPr>
          <w:rFonts w:hint="eastAsia" w:ascii="仿宋" w:hAnsi="仿宋" w:eastAsia="仿宋" w:cs="仿宋"/>
          <w:color w:val="auto"/>
          <w:kern w:val="0"/>
          <w:sz w:val="24"/>
          <w:highlight w:val="none"/>
          <w:lang w:val="en-US" w:eastAsia="zh-CN" w:bidi="ar"/>
        </w:rPr>
        <w:t>该批次</w:t>
      </w:r>
      <w:r>
        <w:rPr>
          <w:rFonts w:hint="eastAsia" w:ascii="仿宋" w:hAnsi="仿宋" w:eastAsia="仿宋" w:cs="仿宋"/>
          <w:color w:val="auto"/>
          <w:kern w:val="0"/>
          <w:sz w:val="24"/>
          <w:highlight w:val="none"/>
          <w:lang w:eastAsia="zh-CN" w:bidi="ar"/>
        </w:rPr>
        <w:t>货物结算款的</w:t>
      </w:r>
      <w:bookmarkStart w:id="181" w:name="OLE_LINK23"/>
      <w:r>
        <w:rPr>
          <w:rFonts w:hint="eastAsia" w:ascii="仿宋" w:hAnsi="仿宋" w:eastAsia="仿宋" w:cs="仿宋"/>
          <w:color w:val="auto"/>
          <w:kern w:val="0"/>
          <w:sz w:val="24"/>
          <w:highlight w:val="none"/>
          <w:lang w:val="en-US" w:eastAsia="zh-CN" w:bidi="ar"/>
        </w:rPr>
        <w:t>97.5</w:t>
      </w:r>
      <w:r>
        <w:rPr>
          <w:rFonts w:hint="eastAsia" w:ascii="仿宋" w:hAnsi="仿宋" w:eastAsia="仿宋" w:cs="仿宋"/>
          <w:color w:val="auto"/>
          <w:kern w:val="0"/>
          <w:sz w:val="24"/>
          <w:highlight w:val="none"/>
          <w:lang w:bidi="ar"/>
        </w:rPr>
        <w:t>%</w:t>
      </w:r>
      <w:bookmarkEnd w:id="181"/>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剩余</w:t>
      </w:r>
      <w:r>
        <w:rPr>
          <w:rFonts w:hint="eastAsia" w:ascii="仿宋" w:hAnsi="仿宋" w:eastAsia="仿宋" w:cs="仿宋"/>
          <w:color w:val="auto"/>
          <w:kern w:val="0"/>
          <w:sz w:val="24"/>
          <w:highlight w:val="none"/>
          <w:lang w:val="en-US" w:eastAsia="zh-CN" w:bidi="ar"/>
        </w:rPr>
        <w:t>2.5</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作为质保金</w:t>
      </w:r>
      <w:r>
        <w:rPr>
          <w:rFonts w:hint="eastAsia" w:ascii="仿宋" w:hAnsi="仿宋" w:eastAsia="仿宋" w:cs="仿宋"/>
          <w:color w:val="auto"/>
          <w:kern w:val="0"/>
          <w:sz w:val="24"/>
          <w:highlight w:val="none"/>
          <w:lang w:bidi="ar"/>
        </w:rPr>
        <w:t>，质保期</w:t>
      </w:r>
      <w:r>
        <w:rPr>
          <w:rFonts w:hint="eastAsia" w:ascii="仿宋" w:hAnsi="仿宋" w:eastAsia="仿宋" w:cs="仿宋"/>
          <w:color w:val="auto"/>
          <w:kern w:val="0"/>
          <w:sz w:val="24"/>
          <w:highlight w:val="none"/>
          <w:lang w:eastAsia="zh-CN" w:bidi="ar"/>
        </w:rPr>
        <w:t>内未发生质量问题的前提下到期后予以</w:t>
      </w:r>
      <w:r>
        <w:rPr>
          <w:rFonts w:hint="eastAsia" w:ascii="仿宋" w:hAnsi="仿宋" w:eastAsia="仿宋" w:cs="仿宋"/>
          <w:color w:val="auto"/>
          <w:kern w:val="0"/>
          <w:sz w:val="24"/>
          <w:highlight w:val="none"/>
          <w:lang w:bidi="ar"/>
        </w:rPr>
        <w:t>无息退还。</w:t>
      </w:r>
      <w:bookmarkEnd w:id="179"/>
    </w:p>
    <w:bookmarkEnd w:id="180"/>
    <w:p>
      <w:pPr>
        <w:widowControl/>
        <w:spacing w:line="360" w:lineRule="auto"/>
        <w:jc w:val="left"/>
        <w:rPr>
          <w:rFonts w:ascii="仿宋" w:hAnsi="仿宋" w:eastAsia="仿宋" w:cs="仿宋"/>
          <w:b/>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b/>
          <w:color w:val="auto"/>
          <w:sz w:val="24"/>
          <w:highlight w:val="none"/>
        </w:rPr>
        <w:t>四、服务要求</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1、供货期：</w:t>
      </w:r>
      <w:r>
        <w:rPr>
          <w:rFonts w:hint="eastAsia" w:ascii="仿宋" w:hAnsi="仿宋" w:eastAsia="仿宋" w:cs="仿宋"/>
          <w:color w:val="auto"/>
          <w:kern w:val="0"/>
          <w:sz w:val="24"/>
          <w:highlight w:val="none"/>
        </w:rPr>
        <w:t>收到需方供货订单之日起</w:t>
      </w: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天内将货物送至施工现场（</w:t>
      </w:r>
      <w:r>
        <w:rPr>
          <w:rFonts w:hint="eastAsia" w:ascii="仿宋" w:hAnsi="仿宋" w:eastAsia="仿宋" w:cs="仿宋"/>
          <w:color w:val="auto"/>
          <w:kern w:val="0"/>
          <w:sz w:val="24"/>
          <w:highlight w:val="none"/>
          <w:lang w:eastAsia="zh-CN"/>
        </w:rPr>
        <w:t>广州黄浦区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bidi="ar"/>
        </w:rPr>
        <w:t>。</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2、供</w:t>
      </w:r>
      <w:r>
        <w:rPr>
          <w:rFonts w:hint="eastAsia" w:ascii="仿宋" w:hAnsi="仿宋" w:eastAsia="仿宋" w:cs="仿宋"/>
          <w:color w:val="auto"/>
          <w:kern w:val="0"/>
          <w:sz w:val="24"/>
          <w:highlight w:val="none"/>
        </w:rPr>
        <w:t>货方式：分</w:t>
      </w:r>
      <w:r>
        <w:rPr>
          <w:rFonts w:hint="eastAsia" w:ascii="仿宋" w:hAnsi="仿宋" w:eastAsia="仿宋" w:cs="仿宋"/>
          <w:color w:val="auto"/>
          <w:kern w:val="0"/>
          <w:sz w:val="24"/>
          <w:highlight w:val="none"/>
          <w:lang w:val="en-US" w:eastAsia="zh-CN"/>
        </w:rPr>
        <w:t>批</w:t>
      </w:r>
      <w:r>
        <w:rPr>
          <w:rFonts w:hint="eastAsia" w:ascii="仿宋" w:hAnsi="仿宋" w:eastAsia="仿宋" w:cs="仿宋"/>
          <w:color w:val="auto"/>
          <w:kern w:val="0"/>
          <w:sz w:val="24"/>
          <w:highlight w:val="none"/>
        </w:rPr>
        <w:t>供货。</w:t>
      </w:r>
    </w:p>
    <w:p>
      <w:pPr>
        <w:widowControl/>
        <w:spacing w:line="360" w:lineRule="auto"/>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w:t>
      </w:r>
      <w:r>
        <w:rPr>
          <w:rFonts w:hint="eastAsia" w:ascii="仿宋" w:hAnsi="仿宋" w:eastAsia="仿宋" w:cs="仿宋"/>
          <w:color w:val="auto"/>
          <w:kern w:val="0"/>
          <w:sz w:val="24"/>
          <w:highlight w:val="none"/>
          <w:lang w:eastAsia="zh-CN" w:bidi="ar"/>
        </w:rPr>
        <w:t>服务期</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bidi="ar"/>
        </w:rPr>
        <w:t>自合同签订之日起至质保期结束</w:t>
      </w:r>
      <w:r>
        <w:rPr>
          <w:rFonts w:hint="eastAsia" w:ascii="仿宋" w:hAnsi="仿宋" w:eastAsia="仿宋" w:cs="仿宋"/>
          <w:color w:val="auto"/>
          <w:kern w:val="0"/>
          <w:sz w:val="24"/>
          <w:highlight w:val="none"/>
          <w:lang w:bidi="ar"/>
        </w:rPr>
        <w:t>。</w:t>
      </w:r>
    </w:p>
    <w:p>
      <w:pPr>
        <w:widowControl/>
        <w:spacing w:line="360" w:lineRule="auto"/>
        <w:ind w:firstLine="480" w:firstLineChars="200"/>
        <w:jc w:val="left"/>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4、质保期：</w:t>
      </w:r>
      <w:r>
        <w:rPr>
          <w:rFonts w:hint="eastAsia" w:ascii="仿宋" w:hAnsi="仿宋" w:eastAsia="仿宋" w:cs="仿宋"/>
          <w:color w:val="auto"/>
          <w:kern w:val="0"/>
          <w:sz w:val="24"/>
          <w:highlight w:val="none"/>
          <w:lang w:val="en-US" w:bidi="ar"/>
        </w:rPr>
        <w:t>所有货物验收合格之日起</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val="en-US" w:bidi="ar"/>
        </w:rPr>
        <w:t>年</w:t>
      </w:r>
      <w:r>
        <w:rPr>
          <w:rFonts w:hint="eastAsia" w:ascii="仿宋" w:hAnsi="仿宋" w:eastAsia="仿宋" w:cs="仿宋"/>
          <w:color w:val="auto"/>
          <w:kern w:val="0"/>
          <w:sz w:val="24"/>
          <w:highlight w:val="none"/>
          <w:lang w:val="en-US" w:eastAsia="zh-CN" w:bidi="ar"/>
        </w:rPr>
        <w:t>。</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、协议履行过程中，若有不响应询价人需求或其他违反协议履行的情况，询价人有权单方提前解除协议，情节严重的，赔偿由此引发的一切损失，并承担相应的法律责任。</w:t>
      </w:r>
    </w:p>
    <w:p>
      <w:pPr>
        <w:widowControl/>
        <w:spacing w:line="360" w:lineRule="auto"/>
        <w:ind w:firstLine="480" w:firstLineChars="200"/>
        <w:jc w:val="left"/>
        <w:rPr>
          <w:rFonts w:ascii="仿宋" w:hAnsi="仿宋" w:eastAsia="仿宋" w:cs="仿宋"/>
          <w:color w:val="auto"/>
          <w:kern w:val="0"/>
          <w:sz w:val="24"/>
          <w:highlight w:val="none"/>
          <w:lang w:bidi="ar"/>
        </w:rPr>
      </w:pPr>
    </w:p>
    <w:p>
      <w:pPr>
        <w:widowControl/>
        <w:spacing w:line="360" w:lineRule="auto"/>
        <w:ind w:firstLine="480" w:firstLineChars="200"/>
        <w:jc w:val="left"/>
        <w:rPr>
          <w:rFonts w:ascii="仿宋" w:hAnsi="仿宋" w:eastAsia="仿宋" w:cs="仿宋"/>
          <w:color w:val="auto"/>
          <w:kern w:val="0"/>
          <w:sz w:val="24"/>
          <w:highlight w:val="none"/>
          <w:lang w:bidi="ar"/>
        </w:rPr>
      </w:pPr>
    </w:p>
    <w:p>
      <w:pPr>
        <w:widowControl/>
        <w:spacing w:line="360" w:lineRule="auto"/>
        <w:jc w:val="left"/>
        <w:rPr>
          <w:rFonts w:ascii="仿宋" w:hAnsi="仿宋" w:eastAsia="仿宋" w:cs="仿宋"/>
          <w:color w:val="auto"/>
          <w:kern w:val="0"/>
          <w:sz w:val="24"/>
          <w:highlight w:val="none"/>
          <w:lang w:bidi="ar"/>
        </w:rPr>
      </w:pPr>
    </w:p>
    <w:bookmarkEnd w:id="20"/>
    <w:bookmarkEnd w:id="21"/>
    <w:bookmarkEnd w:id="22"/>
    <w:bookmarkEnd w:id="28"/>
    <w:bookmarkEnd w:id="29"/>
    <w:p>
      <w:pPr>
        <w:rPr>
          <w:rFonts w:ascii="仿宋" w:hAnsi="仿宋" w:eastAsia="仿宋" w:cs="仿宋"/>
          <w:color w:val="auto"/>
          <w:highlight w:val="none"/>
        </w:rPr>
      </w:pPr>
      <w:bookmarkStart w:id="182" w:name="_Toc83886047"/>
      <w:bookmarkStart w:id="183" w:name="_Toc1923"/>
      <w:bookmarkStart w:id="184" w:name="_Toc2408"/>
      <w:bookmarkStart w:id="185" w:name="_Toc7546"/>
      <w:bookmarkStart w:id="186" w:name="_Toc21836"/>
    </w:p>
    <w:p>
      <w:pPr>
        <w:pStyle w:val="2"/>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3"/>
        <w:rPr>
          <w:rFonts w:ascii="仿宋" w:hAnsi="仿宋" w:eastAsia="仿宋" w:cs="仿宋"/>
          <w:color w:val="auto"/>
          <w:highlight w:val="none"/>
        </w:rPr>
      </w:pPr>
    </w:p>
    <w:p>
      <w:pPr>
        <w:pStyle w:val="4"/>
        <w:widowControl/>
        <w:adjustRightInd w:val="0"/>
        <w:snapToGrid w:val="0"/>
        <w:spacing w:before="0" w:after="0" w:line="288" w:lineRule="auto"/>
        <w:jc w:val="center"/>
        <w:rPr>
          <w:rFonts w:ascii="仿宋" w:hAnsi="仿宋" w:eastAsia="仿宋" w:cs="仿宋"/>
          <w:bCs w:val="0"/>
          <w:color w:val="auto"/>
          <w:highlight w:val="none"/>
        </w:rPr>
      </w:pPr>
      <w:bookmarkStart w:id="187" w:name="OLE_LINK11"/>
      <w:r>
        <w:rPr>
          <w:rFonts w:hint="eastAsia" w:ascii="仿宋" w:hAnsi="仿宋" w:eastAsia="仿宋" w:cs="仿宋"/>
          <w:bCs w:val="0"/>
          <w:color w:val="auto"/>
          <w:highlight w:val="none"/>
        </w:rPr>
        <w:t>第四章 合同条款及格式</w:t>
      </w:r>
    </w:p>
    <w:p>
      <w:pPr>
        <w:adjustRightInd w:val="0"/>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甲方：杭州市能源集团工程科技有限公司</w:t>
      </w:r>
    </w:p>
    <w:p>
      <w:pPr>
        <w:adjustRightInd w:val="0"/>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统一社会信用代码：9133010014310152XH</w:t>
      </w:r>
    </w:p>
    <w:p>
      <w:pPr>
        <w:adjustRightInd w:val="0"/>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住所：浙江省杭州市下城区流水东苑2幢底层1号</w:t>
      </w:r>
    </w:p>
    <w:p>
      <w:pPr>
        <w:adjustRightInd w:val="0"/>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法定代表人（负责人）：胡伟峰</w:t>
      </w:r>
    </w:p>
    <w:p>
      <w:pPr>
        <w:adjustRightInd w:val="0"/>
        <w:snapToGrid w:val="0"/>
        <w:spacing w:line="336" w:lineRule="auto"/>
        <w:rPr>
          <w:rFonts w:ascii="仿宋" w:hAnsi="仿宋" w:eastAsia="仿宋" w:cs="仿宋"/>
          <w:color w:val="auto"/>
          <w:sz w:val="24"/>
          <w:highlight w:val="none"/>
        </w:rPr>
      </w:pPr>
    </w:p>
    <w:p>
      <w:pPr>
        <w:adjustRightInd w:val="0"/>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乙方：</w:t>
      </w:r>
    </w:p>
    <w:p>
      <w:pPr>
        <w:adjustRightInd w:val="0"/>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pPr>
        <w:adjustRightInd w:val="0"/>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住所：</w:t>
      </w:r>
    </w:p>
    <w:p>
      <w:pPr>
        <w:adjustRightInd w:val="0"/>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法定代表人（负责人）：</w:t>
      </w:r>
    </w:p>
    <w:p>
      <w:pPr>
        <w:adjustRightInd w:val="0"/>
        <w:snapToGrid w:val="0"/>
        <w:spacing w:line="336" w:lineRule="auto"/>
        <w:ind w:firstLine="480" w:firstLineChars="200"/>
        <w:rPr>
          <w:rFonts w:ascii="仿宋" w:hAnsi="仿宋" w:eastAsia="仿宋" w:cs="仿宋"/>
          <w:color w:val="auto"/>
          <w:sz w:val="24"/>
          <w:highlight w:val="none"/>
        </w:rPr>
      </w:pP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根据《中华人民共和国民法典》及其他相关法律法规的规定，经甲乙双方协商一致，签订本合同。</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一、合同文件组成</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1.本合同条款；</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3.询标记录</w:t>
      </w:r>
      <w:r>
        <w:rPr>
          <w:rFonts w:hint="eastAsia" w:ascii="仿宋" w:hAnsi="仿宋" w:eastAsia="仿宋" w:cs="仿宋"/>
          <w:color w:val="auto"/>
          <w:sz w:val="24"/>
          <w:highlight w:val="none"/>
          <w:lang w:eastAsia="zh-CN"/>
        </w:rPr>
        <w:t>（若有）</w:t>
      </w:r>
      <w:r>
        <w:rPr>
          <w:rFonts w:hint="eastAsia" w:ascii="仿宋" w:hAnsi="仿宋" w:eastAsia="仿宋" w:cs="仿宋"/>
          <w:color w:val="auto"/>
          <w:sz w:val="24"/>
          <w:highlight w:val="none"/>
        </w:rPr>
        <w:t>；</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文件（包括补充文件及答疑）；</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6.国家有关规范及技术标准。</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二、定义</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下列术语应解释为：</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1.“合同”系指甲乙双方签署的、合同格式中载明的买卖双方所达成的协议，包括所有的附件、附录和构成合同的其它文件。</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2.“结算价”系指根据合同规定，乙方在完全履行合同义务并与甲方结算后，甲方付给乙方的货物价款。</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3.“货物”系指乙方根据合同约定须向甲方提供的</w:t>
      </w:r>
      <w:r>
        <w:rPr>
          <w:rStyle w:val="23"/>
          <w:rFonts w:hint="eastAsia" w:ascii="仿宋" w:hAnsi="仿宋" w:eastAsia="仿宋" w:cs="仿宋"/>
          <w:color w:val="auto"/>
          <w:sz w:val="24"/>
          <w:highlight w:val="none"/>
          <w:u w:val="single"/>
          <w:lang w:val="en-US" w:eastAsia="zh-CN"/>
        </w:rPr>
        <w:t>蝶阀、球阀等辅材</w:t>
      </w:r>
      <w:r>
        <w:rPr>
          <w:rFonts w:hint="eastAsia" w:ascii="仿宋" w:hAnsi="仿宋" w:eastAsia="仿宋" w:cs="仿宋"/>
          <w:color w:val="auto"/>
          <w:sz w:val="24"/>
          <w:highlight w:val="none"/>
        </w:rPr>
        <w:t>。</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4.“服务”系指根据合同约定乙方承担与供货有关的辅助服务，如运输、保险、装</w:t>
      </w:r>
      <w:r>
        <w:rPr>
          <w:rFonts w:hint="eastAsia" w:ascii="仿宋" w:hAnsi="仿宋" w:eastAsia="仿宋" w:cs="仿宋"/>
          <w:color w:val="auto"/>
          <w:sz w:val="24"/>
          <w:highlight w:val="none"/>
          <w:lang w:eastAsia="zh-CN"/>
        </w:rPr>
        <w:t>车</w:t>
      </w:r>
      <w:r>
        <w:rPr>
          <w:rFonts w:hint="eastAsia" w:ascii="仿宋" w:hAnsi="仿宋" w:eastAsia="仿宋" w:cs="仿宋"/>
          <w:color w:val="auto"/>
          <w:sz w:val="24"/>
          <w:highlight w:val="none"/>
        </w:rPr>
        <w:t>、质保、提供技术援助等其他类似的服务。</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5.“甲方”系指购买货物的单位。</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6.“乙方”系指根据合同规定提供货物和服务的具有法人资格的公司或实体。</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7.“现场”系指合同项下甲方指定乙方交付的地点。</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8.“验收”系指合同双方依据规定的程序和条件确认合同项下的货物符合国家标准、行业标准及招标文件技术规范等标准文件的要求。</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三、合同货物要求</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合同货物的名称、质量、技术规范和数量应与成交通知书、采购文件及被甲方接受的技术商务规范报价表相一致。</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四、规范及技术要求</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【乙方应依据</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文件第三章“采购需求及技术要求”所规定的规范和技术要求提供甲方所需货物。】</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五、规格、数量及价款清单</w:t>
      </w:r>
    </w:p>
    <w:p>
      <w:pPr>
        <w:adjustRightInd w:val="0"/>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暂估合同签约价为：人民币¥【】元，大写：【】元（其中，增值税的税率     %，增值税金额￥     元，不含增值税的合同金额￥     元）。</w:t>
      </w:r>
    </w:p>
    <w:tbl>
      <w:tblPr>
        <w:tblStyle w:val="18"/>
        <w:tblW w:w="9968" w:type="dxa"/>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533"/>
        <w:gridCol w:w="2650"/>
        <w:gridCol w:w="784"/>
        <w:gridCol w:w="866"/>
        <w:gridCol w:w="1134"/>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序号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货物名称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规格型号</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暂估数量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品牌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综合单价（元）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DN200，PN16，304不锈钢阀芯，配齐双头螺杆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90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DN150，PN16，304不锈钢阀芯，配齐双头螺杆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3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DN125,PN16，304不锈钢阀芯，配齐双头螺杆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4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DN100,PN16，304不锈钢阀芯，配齐双头螺杆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5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DN40,PN16，304不锈钢阀芯，配齐双头螺杆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6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不锈钢对夹式双瓣止回阀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DN200,PN16304不锈钢阀芯，配齐双头螺杆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7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不锈钢对夹式双瓣止回阀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DN150,PN16，对夹式 304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8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不锈钢对夹式双瓣止回阀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DN20,PN16，对夹式 304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32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9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DN65,PN16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10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DN50,PN16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11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DN25,PN16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12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DN20,PN16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32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13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DN15,PN16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14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DN200,PN16，304不锈钢滤网，40目</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15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DN150,PN16，304不锈钢滤网，40目</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16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DN125,PN16，304不锈钢滤网，40目</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17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DN40,PN16，304不锈钢滤网，40目</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18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DN20,PN16，304不锈钢滤网，40目</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19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PL300-16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20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PL250-16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21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PL200-16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232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22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PL150-16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56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23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PL125-16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24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PL80-16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25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PL300-16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26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PL250-16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27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BL200-16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28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PL150-16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29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PL125-16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30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可曲挠橡胶接头</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31 </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可曲挠橡胶接头</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合计（元）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r>
    </w:tbl>
    <w:p>
      <w:pPr>
        <w:adjustRightInd w:val="0"/>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备注：</w:t>
      </w:r>
    </w:p>
    <w:p>
      <w:pPr>
        <w:numPr>
          <w:ilvl w:val="0"/>
          <w:numId w:val="6"/>
        </w:num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上表数量为预估量。实际交货数量以甲方具体通知的数量为准。</w:t>
      </w:r>
    </w:p>
    <w:p>
      <w:pPr>
        <w:numPr>
          <w:ilvl w:val="0"/>
          <w:numId w:val="6"/>
        </w:num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综合单价是指乙方于甲方指定地点交付货物的价格，包括但不限于报价包括货物费、包装运输费、运输保险费、运杂费、装</w:t>
      </w:r>
      <w:r>
        <w:rPr>
          <w:rFonts w:hint="eastAsia" w:ascii="仿宋" w:hAnsi="仿宋" w:eastAsia="仿宋" w:cs="仿宋"/>
          <w:color w:val="auto"/>
          <w:sz w:val="24"/>
          <w:highlight w:val="none"/>
          <w:lang w:eastAsia="zh-CN"/>
        </w:rPr>
        <w:t>车</w:t>
      </w:r>
      <w:r>
        <w:rPr>
          <w:rFonts w:hint="eastAsia" w:ascii="仿宋" w:hAnsi="仿宋" w:eastAsia="仿宋" w:cs="仿宋"/>
          <w:color w:val="auto"/>
          <w:sz w:val="24"/>
          <w:highlight w:val="none"/>
        </w:rPr>
        <w:t>费、验收费、质保费、售后服务费、企业管理费、利润、税金等一切费用，且合同期间综合单价不变。</w:t>
      </w:r>
    </w:p>
    <w:p>
      <w:pPr>
        <w:widowControl/>
        <w:numPr>
          <w:ilvl w:val="255"/>
          <w:numId w:val="0"/>
        </w:numPr>
        <w:spacing w:line="336"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3.技术</w:t>
      </w:r>
      <w:r>
        <w:rPr>
          <w:rFonts w:hint="eastAsia" w:ascii="仿宋" w:hAnsi="仿宋" w:eastAsia="仿宋" w:cs="仿宋"/>
          <w:color w:val="auto"/>
          <w:sz w:val="24"/>
          <w:highlight w:val="none"/>
          <w:lang w:val="en-US" w:eastAsia="zh-CN"/>
        </w:rPr>
        <w:t>标准</w:t>
      </w:r>
    </w:p>
    <w:p>
      <w:pPr>
        <w:adjustRightInd w:val="0"/>
        <w:snapToGrid w:val="0"/>
        <w:spacing w:line="336"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阀门质量要求应符合国家标准GB/T 12224-2015《钢制阀门 一般要求》，GB/T 12220-2015《工业阀门 标志》；过滤器质量要求应符合国家标准GB/T 12234-2019《石油、天然气工业用螺柱连接阀盖的钢制闸阀》、</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GB/T 12235-2007</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石油、石化及相关工业用钢制截止阀和升降式止回阀</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GB/T 12236-2008</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石油、化工及相关工业用的钢制旋启式止回阀</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GB/T 12237-2021</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石油、石化及相关工业用的钢制球阀</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》；法兰质量要求应符合国家标准</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"javascript:void(0)"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GB/T 9124.1-2019</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《钢制管法兰 第1部分：PN 系列》。</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六、交货</w:t>
      </w:r>
    </w:p>
    <w:p>
      <w:pPr>
        <w:adjustRightInd w:val="0"/>
        <w:snapToGrid w:val="0"/>
        <w:spacing w:line="33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1.甲方将根据工程实际施工进度要求通知乙方</w:t>
      </w:r>
      <w:r>
        <w:rPr>
          <w:rFonts w:hint="eastAsia" w:ascii="仿宋" w:hAnsi="仿宋" w:eastAsia="仿宋" w:cs="仿宋"/>
          <w:color w:val="auto"/>
          <w:sz w:val="24"/>
          <w:highlight w:val="none"/>
          <w:lang w:eastAsia="zh-CN"/>
        </w:rPr>
        <w:t>分批供货</w:t>
      </w:r>
      <w:r>
        <w:rPr>
          <w:rFonts w:hint="eastAsia" w:ascii="仿宋" w:hAnsi="仿宋" w:eastAsia="仿宋" w:cs="仿宋"/>
          <w:color w:val="auto"/>
          <w:sz w:val="24"/>
          <w:highlight w:val="none"/>
        </w:rPr>
        <w:t>。供货时间、地点、数量等以</w:t>
      </w:r>
      <w:bookmarkStart w:id="188" w:name="OLE_LINK10"/>
      <w:r>
        <w:rPr>
          <w:rFonts w:hint="eastAsia" w:ascii="仿宋" w:hAnsi="仿宋" w:eastAsia="仿宋" w:cs="仿宋"/>
          <w:color w:val="auto"/>
          <w:sz w:val="24"/>
          <w:highlight w:val="none"/>
        </w:rPr>
        <w:t>甲方</w:t>
      </w:r>
      <w:bookmarkEnd w:id="188"/>
      <w:r>
        <w:rPr>
          <w:rFonts w:hint="eastAsia" w:ascii="仿宋" w:hAnsi="仿宋" w:eastAsia="仿宋" w:cs="仿宋"/>
          <w:color w:val="auto"/>
          <w:sz w:val="24"/>
          <w:highlight w:val="none"/>
        </w:rPr>
        <w:t>通过邮件、短信或微信等书面方式通知为准，</w:t>
      </w:r>
      <w:r>
        <w:rPr>
          <w:rFonts w:hint="eastAsia" w:ascii="仿宋" w:hAnsi="仿宋" w:eastAsia="仿宋" w:cs="仿宋"/>
          <w:color w:val="auto"/>
          <w:sz w:val="24"/>
          <w:highlight w:val="none"/>
          <w:lang w:eastAsia="zh-CN"/>
        </w:rPr>
        <w:t>乙方应在</w:t>
      </w:r>
      <w:r>
        <w:rPr>
          <w:rFonts w:hint="eastAsia" w:ascii="仿宋" w:hAnsi="仿宋" w:eastAsia="仿宋" w:cs="仿宋"/>
          <w:color w:val="auto"/>
          <w:kern w:val="0"/>
          <w:sz w:val="24"/>
          <w:highlight w:val="none"/>
        </w:rPr>
        <w:t>收到</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供货订单之日起</w:t>
      </w: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天内将货物送至施工现场（</w:t>
      </w:r>
      <w:r>
        <w:rPr>
          <w:rFonts w:hint="eastAsia" w:ascii="仿宋" w:hAnsi="仿宋" w:eastAsia="仿宋" w:cs="仿宋"/>
          <w:color w:val="auto"/>
          <w:kern w:val="0"/>
          <w:sz w:val="24"/>
          <w:highlight w:val="none"/>
          <w:lang w:eastAsia="zh-CN"/>
        </w:rPr>
        <w:t>广州黄浦区</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2.货物经甲方初步验收通过并签署确认单后，乙方即完成相应货物的交付，标的物毁损、灭失的风险，在标的物交付之前由乙方承担。</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七、运输条款</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乙方负责货物运输、装</w:t>
      </w:r>
      <w:r>
        <w:rPr>
          <w:rFonts w:hint="eastAsia" w:ascii="仿宋" w:hAnsi="仿宋" w:eastAsia="仿宋" w:cs="仿宋"/>
          <w:color w:val="auto"/>
          <w:sz w:val="24"/>
          <w:highlight w:val="none"/>
          <w:lang w:eastAsia="zh-CN"/>
        </w:rPr>
        <w:t>车</w:t>
      </w:r>
      <w:r>
        <w:rPr>
          <w:rFonts w:hint="eastAsia" w:ascii="仿宋" w:hAnsi="仿宋" w:eastAsia="仿宋" w:cs="仿宋"/>
          <w:color w:val="auto"/>
          <w:sz w:val="24"/>
          <w:highlight w:val="none"/>
        </w:rPr>
        <w:t>，运杂费由乙方支付。运输途中如有任何损失由乙方承担。</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八、保险</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由乙方负责货物、运输车辆、人员的保险投保事宜并承担相应费用。</w:t>
      </w:r>
    </w:p>
    <w:p>
      <w:pPr>
        <w:numPr>
          <w:ilvl w:val="0"/>
          <w:numId w:val="7"/>
        </w:num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商务要求</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1.本合同综合单价固定。如遇国家增值税税率调整，乙方承诺当期不含税单价保持不变。</w:t>
      </w:r>
    </w:p>
    <w:p>
      <w:pPr>
        <w:widowControl/>
        <w:spacing w:line="360" w:lineRule="auto"/>
        <w:ind w:firstLine="480" w:firstLineChars="200"/>
        <w:jc w:val="left"/>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sz w:val="24"/>
          <w:highlight w:val="none"/>
        </w:rPr>
        <w:t>2.付款方式：</w:t>
      </w:r>
      <w:r>
        <w:rPr>
          <w:rFonts w:hint="eastAsia" w:ascii="仿宋" w:hAnsi="仿宋" w:eastAsia="仿宋" w:cs="仿宋"/>
          <w:color w:val="auto"/>
          <w:kern w:val="0"/>
          <w:sz w:val="24"/>
          <w:highlight w:val="none"/>
          <w:lang w:val="en-US" w:eastAsia="zh-CN" w:bidi="ar"/>
        </w:rPr>
        <w:t>分批次付款，</w:t>
      </w:r>
      <w:r>
        <w:rPr>
          <w:rFonts w:hint="eastAsia" w:ascii="仿宋" w:hAnsi="仿宋" w:eastAsia="仿宋" w:cs="仿宋"/>
          <w:color w:val="auto"/>
          <w:kern w:val="0"/>
          <w:sz w:val="24"/>
          <w:highlight w:val="none"/>
          <w:lang w:bidi="ar"/>
        </w:rPr>
        <w:t>货物到货验收</w:t>
      </w:r>
      <w:r>
        <w:rPr>
          <w:rFonts w:hint="eastAsia" w:ascii="仿宋" w:hAnsi="仿宋" w:eastAsia="仿宋" w:cs="仿宋"/>
          <w:color w:val="auto"/>
          <w:kern w:val="0"/>
          <w:sz w:val="24"/>
          <w:highlight w:val="none"/>
          <w:lang w:eastAsia="zh-CN" w:bidi="ar"/>
        </w:rPr>
        <w:t>合格</w:t>
      </w:r>
      <w:r>
        <w:rPr>
          <w:rFonts w:hint="eastAsia" w:ascii="仿宋" w:hAnsi="仿宋" w:eastAsia="仿宋" w:cs="仿宋"/>
          <w:color w:val="auto"/>
          <w:kern w:val="0"/>
          <w:sz w:val="24"/>
          <w:highlight w:val="none"/>
          <w:lang w:bidi="ar"/>
        </w:rPr>
        <w:t>后</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30</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日内</w:t>
      </w:r>
      <w:r>
        <w:rPr>
          <w:rFonts w:hint="eastAsia" w:ascii="仿宋" w:hAnsi="仿宋" w:eastAsia="仿宋" w:cs="仿宋"/>
          <w:color w:val="auto"/>
          <w:kern w:val="0"/>
          <w:sz w:val="24"/>
          <w:highlight w:val="none"/>
          <w:lang w:bidi="ar"/>
        </w:rPr>
        <w:t>支付至</w:t>
      </w:r>
      <w:r>
        <w:rPr>
          <w:rFonts w:hint="eastAsia" w:ascii="仿宋" w:hAnsi="仿宋" w:eastAsia="仿宋" w:cs="仿宋"/>
          <w:color w:val="auto"/>
          <w:kern w:val="0"/>
          <w:sz w:val="24"/>
          <w:highlight w:val="none"/>
          <w:lang w:val="en-US" w:eastAsia="zh-CN" w:bidi="ar"/>
        </w:rPr>
        <w:t>该批次</w:t>
      </w:r>
      <w:r>
        <w:rPr>
          <w:rFonts w:hint="eastAsia" w:ascii="仿宋" w:hAnsi="仿宋" w:eastAsia="仿宋" w:cs="仿宋"/>
          <w:color w:val="auto"/>
          <w:kern w:val="0"/>
          <w:sz w:val="24"/>
          <w:highlight w:val="none"/>
          <w:lang w:eastAsia="zh-CN" w:bidi="ar"/>
        </w:rPr>
        <w:t>货物结算款的</w:t>
      </w:r>
      <w:r>
        <w:rPr>
          <w:rFonts w:hint="eastAsia" w:ascii="仿宋" w:hAnsi="仿宋" w:eastAsia="仿宋" w:cs="仿宋"/>
          <w:color w:val="auto"/>
          <w:kern w:val="0"/>
          <w:sz w:val="24"/>
          <w:highlight w:val="none"/>
          <w:lang w:val="en-US" w:eastAsia="zh-CN" w:bidi="ar"/>
        </w:rPr>
        <w:t>97.5</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剩余</w:t>
      </w:r>
      <w:r>
        <w:rPr>
          <w:rFonts w:hint="eastAsia" w:ascii="仿宋" w:hAnsi="仿宋" w:eastAsia="仿宋" w:cs="仿宋"/>
          <w:color w:val="auto"/>
          <w:kern w:val="0"/>
          <w:sz w:val="24"/>
          <w:highlight w:val="none"/>
          <w:lang w:val="en-US" w:eastAsia="zh-CN" w:bidi="ar"/>
        </w:rPr>
        <w:t>2.5</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作为质保金</w:t>
      </w:r>
      <w:r>
        <w:rPr>
          <w:rFonts w:hint="eastAsia" w:ascii="仿宋" w:hAnsi="仿宋" w:eastAsia="仿宋" w:cs="仿宋"/>
          <w:color w:val="auto"/>
          <w:kern w:val="0"/>
          <w:sz w:val="24"/>
          <w:highlight w:val="none"/>
          <w:lang w:bidi="ar"/>
        </w:rPr>
        <w:t>，质保期</w:t>
      </w:r>
      <w:r>
        <w:rPr>
          <w:rFonts w:hint="eastAsia" w:ascii="仿宋" w:hAnsi="仿宋" w:eastAsia="仿宋" w:cs="仿宋"/>
          <w:color w:val="auto"/>
          <w:kern w:val="0"/>
          <w:sz w:val="24"/>
          <w:highlight w:val="none"/>
          <w:lang w:eastAsia="zh-CN" w:bidi="ar"/>
        </w:rPr>
        <w:t>内未发生质量问题的前提下到期后予以</w:t>
      </w:r>
      <w:r>
        <w:rPr>
          <w:rFonts w:hint="eastAsia" w:ascii="仿宋" w:hAnsi="仿宋" w:eastAsia="仿宋" w:cs="仿宋"/>
          <w:color w:val="auto"/>
          <w:kern w:val="0"/>
          <w:sz w:val="24"/>
          <w:highlight w:val="none"/>
          <w:lang w:bidi="ar"/>
        </w:rPr>
        <w:t>无息退还。</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3.甲方付款前乙方应提供相应数额的增值税专用发票，否则甲方有权拒绝付款且不视为甲方违约。</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4.甲方有权采用银行承兑汇票方式来支付货款。</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十、检验验收要求</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（一）检验</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1.出厂检验按照</w:t>
      </w:r>
      <w:r>
        <w:rPr>
          <w:rFonts w:hint="eastAsia" w:ascii="仿宋" w:hAnsi="仿宋" w:eastAsia="仿宋" w:cs="仿宋"/>
          <w:color w:val="auto"/>
          <w:sz w:val="24"/>
          <w:highlight w:val="none"/>
          <w:u w:val="single"/>
        </w:rPr>
        <w:t xml:space="preserve"> 国家相关 </w:t>
      </w:r>
      <w:r>
        <w:rPr>
          <w:rFonts w:hint="eastAsia" w:ascii="仿宋" w:hAnsi="仿宋" w:eastAsia="仿宋" w:cs="仿宋"/>
          <w:color w:val="auto"/>
          <w:sz w:val="24"/>
          <w:highlight w:val="none"/>
        </w:rPr>
        <w:t>技术规范及要求的规定进行。</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2.甲方将不定期到厂家对货物制作全过程进行全面质量监理。</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3.生产制作过程中或在交货之前，甲方有权到生产场地对原材料及工艺进行实地检验，检验合格费用由甲方负担，检验不合格费用则由乙方负担。</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（二）验收</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1.到货验收：货物到达现场后，</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需提供货物的厂家检测</w:t>
      </w:r>
      <w:r>
        <w:rPr>
          <w:rFonts w:hint="eastAsia" w:ascii="仿宋" w:hAnsi="仿宋" w:eastAsia="仿宋" w:cs="仿宋"/>
          <w:color w:val="auto"/>
          <w:sz w:val="24"/>
          <w:highlight w:val="none"/>
          <w:lang w:val="en-US" w:eastAsia="zh-CN"/>
        </w:rPr>
        <w:t>合格</w:t>
      </w:r>
      <w:r>
        <w:rPr>
          <w:rFonts w:hint="eastAsia" w:ascii="仿宋" w:hAnsi="仿宋" w:eastAsia="仿宋" w:cs="仿宋"/>
          <w:color w:val="auto"/>
          <w:sz w:val="24"/>
          <w:highlight w:val="none"/>
        </w:rPr>
        <w:t>报告</w:t>
      </w:r>
      <w:r>
        <w:rPr>
          <w:rFonts w:hint="eastAsia" w:ascii="仿宋" w:hAnsi="仿宋" w:eastAsia="仿宋" w:cs="仿宋"/>
          <w:color w:val="auto"/>
          <w:sz w:val="24"/>
          <w:highlight w:val="none"/>
          <w:lang w:val="en-US" w:eastAsia="zh-CN"/>
        </w:rPr>
        <w:t>及其他必要证明文件</w:t>
      </w:r>
      <w:r>
        <w:rPr>
          <w:rFonts w:hint="eastAsia" w:ascii="仿宋" w:hAnsi="仿宋" w:eastAsia="仿宋" w:cs="仿宋"/>
          <w:color w:val="auto"/>
          <w:sz w:val="24"/>
          <w:highlight w:val="none"/>
        </w:rPr>
        <w:t>。若不符合甲方接受的技术规范要求，甲方将拒收，并退还该批产品，乙方赔偿由此产生的所完工程的返工损失，甲方有权提前终止合同。</w:t>
      </w:r>
    </w:p>
    <w:p>
      <w:pPr>
        <w:adjustRightInd w:val="0"/>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2.随机取样检测验收：货物</w:t>
      </w:r>
      <w:r>
        <w:rPr>
          <w:rFonts w:hint="eastAsia" w:ascii="仿宋" w:hAnsi="仿宋" w:eastAsia="仿宋" w:cs="仿宋"/>
          <w:color w:val="auto"/>
          <w:sz w:val="24"/>
          <w:highlight w:val="none"/>
          <w:lang w:val="en-US" w:eastAsia="zh-CN"/>
        </w:rPr>
        <w:t>质保</w:t>
      </w:r>
      <w:r>
        <w:rPr>
          <w:rFonts w:hint="eastAsia" w:ascii="仿宋" w:hAnsi="仿宋" w:eastAsia="仿宋" w:cs="仿宋"/>
          <w:color w:val="auto"/>
          <w:sz w:val="24"/>
          <w:highlight w:val="none"/>
        </w:rPr>
        <w:t>期内，甲方有权随机取样委托第三方检测机构检测。如检验合格，检验费用由甲方支付；如检验不合格（即检测结果证明原材料或主要性能参数与合同规定不符），甲方有权拒收、退还该批产品，并提前终止合同，乙方</w:t>
      </w:r>
      <w:r>
        <w:rPr>
          <w:rFonts w:hint="eastAsia" w:ascii="仿宋" w:hAnsi="仿宋" w:eastAsia="仿宋" w:cs="仿宋"/>
          <w:color w:val="auto"/>
          <w:sz w:val="24"/>
          <w:highlight w:val="none"/>
          <w:lang w:val="en-US" w:eastAsia="zh-CN"/>
        </w:rPr>
        <w:t>仍</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支付该次的检验费用及赔偿甲方由此产生的所完工程的返工损失。</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十一、</w:t>
      </w:r>
      <w:r>
        <w:rPr>
          <w:rFonts w:hint="eastAsia" w:ascii="仿宋" w:hAnsi="仿宋" w:eastAsia="仿宋" w:cs="仿宋"/>
          <w:color w:val="auto"/>
          <w:sz w:val="24"/>
          <w:highlight w:val="none"/>
          <w:lang w:val="en-US" w:eastAsia="zh-CN"/>
        </w:rPr>
        <w:t>质保</w:t>
      </w:r>
      <w:r>
        <w:rPr>
          <w:rFonts w:hint="eastAsia" w:ascii="仿宋" w:hAnsi="仿宋" w:eastAsia="仿宋" w:cs="仿宋"/>
          <w:color w:val="auto"/>
          <w:sz w:val="24"/>
          <w:highlight w:val="none"/>
        </w:rPr>
        <w:t>期</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质保期为</w:t>
      </w:r>
      <w:r>
        <w:rPr>
          <w:rFonts w:hint="eastAsia" w:ascii="仿宋" w:hAnsi="仿宋" w:eastAsia="仿宋" w:cs="仿宋"/>
          <w:color w:val="auto"/>
          <w:sz w:val="24"/>
          <w:highlight w:val="none"/>
        </w:rPr>
        <w:t>所有货物验收合格之日起【1】年。</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质保</w:t>
      </w:r>
      <w:r>
        <w:rPr>
          <w:rFonts w:hint="eastAsia" w:ascii="仿宋" w:hAnsi="仿宋" w:eastAsia="仿宋" w:cs="仿宋"/>
          <w:color w:val="auto"/>
          <w:sz w:val="24"/>
          <w:highlight w:val="none"/>
        </w:rPr>
        <w:t>期内，若货物质量不合格、有瑕疵或由此产生问题的，甲方将以书面形式通知乙方，乙方在接到通知后，应在三日内派有资格、权限、能力的人到达现场处理，根据甲方要求替换货物或折价赔偿，并负担由此产生的一切费用及给甲方造成的经济损失，包括但不限于甲方因此支付的赔偿/补偿款项、政府罚没款等。若乙方未能及时派人到达现场，甲方可自行采取措施解决，费用由乙方承担。甲方对货物进行验收的，不免除乙方应提供合格货物的质量担保责任。</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、双方责任</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1.甲方责任</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1.1提供卸货场地真实情况及必要的相关信息；</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1.2.负责夜间卸货夜间照明、协助及协调工作；</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1.3.负责现场验收、签字；</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1.4.负责核对乙方每批次交付的货物数量，并按时支付相应的款项。</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2.乙方责任</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2.1凡发生乙方对甲方相关人员行贿的，双方同意立即解除合同，并由乙方承担责任，赔偿因此造成的损失，甲方有权就乙方前述行为，在相关媒体或网站等对外公开发布，且不视为甲方的侵权。</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2.3乙方应按照甲方通知的时间和数量完成供货，如因乙方原因造成工期延误的，乙方应承担甲方的相关损失；</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2.4乙方负责卸货车辆现场指挥，不得影响交通，同时做好场地的卫生清理工作；</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2.5乙方同意接受甲方监督，发现问题应及时整改；</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2.6乙方应如实核对货物数量，若有异议应及时与甲方沟通，不得虚开发票、弄虚作假、拿回扣等。乙方存在前述行为，应以涉案金额的五倍向甲方支付违约金，并且甲方有权单方解除合同。</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、逾期交货和违约索赔</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除不可抗力外，如发生乙方不能按期交货或提供服务、甲方中途退货等情况，各方应及时以书面形式通知对方。甲乙双方应本着友好的态度进行协商，妥善解决。如协商无效，按下列规定支付违约金。</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1.乙方逾期交货</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乙方逾期交货，每逾期一天，应按照逾期交货部分总价的千分之三（3‰）向甲方支付违约金。违约金不超过逾期部分货款总额。如乙方逾期交货超过二个自然周（14个自然日），则视为不能交货。</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2.乙方不能交货或甲方中途退货</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不能交货，应向甲方偿付违约金，按不能交货部分货款总额的百分之三十（30%）向甲方支付违约金。甲方中途退货（因货物质量原因或其他因乙方违约而导致的退货除外），应向乙方偿付违约金。违约金金额与乙方违约相同。</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3.如乙方不能交货（包括视为不能交货的情形）</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有权立即单方解除本合同。合同的提前解除不应影响甲方按照前款规定收取违约金的权利。如甲方中途退货（因货物质量原因或其他因乙方违约而导致的退货除外），乙方有权立即解除本合同。合同的提前解除不应影响乙方按照前款规定收取违约金的权利。</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4.如乙方不能交货（包括逾期交货的）</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未解除本合同，则乙方应采取应急补救措施造成的差价等损失由乙方自行承担。如乙方不主动采取应急补救措施，甲方有权自行采取应急补救措施，造成的差价等损失由乙方承担。合同的继续有效不应影响甲方按照前款规定收取违约金的权利。</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5.如乙方发生违约或存在其他不诚信行为，甲方有权依照甲方内部现行的供应商诚信管理相关规定处理，甲方有权通过企业门户网站或其他信息发布平台公示乙方的不诚信行为，且不视为甲方的侵权。</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乙方支付的违约金不足以弥补甲方损失的，还应就违约金与损失之间的差额部分向甲方赔偿；乙方应就甲方的直接损失和间接损失进行全部赔偿，包括但不限于：本合同履行后甲方可以获得的利益；甲方与第三人订立合同可得的预期利益；因乙方违约导致甲方无法向第三人履行，而向第三人赔偿的损失；甲方为主张自身权益支出的诉讼、仲裁费用、律师费、保全担保费或者诉责险保险费、交通费、住宿费、差旅费、执行费及其他一切所有费用。</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7.前述乙方应承担的违约金或其他损失，乙方未及时支付的，甲方有权在质量保证金或应付乙方的货款中扣除对应金额。</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、不可抗力</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于在履行合同中发生的战争、严重火灾、水灾、地震等不可预见和不可控制的事件，影响合同义务履行时，任何一方都不承担责任。但是，遭遇以上不可抗力的一方应在发生上述事件后尽快通知另一方，并由有资格、能力的机构或注册的公证人在不可抗力发生后14天内出具证明文件通知另一方。延迟履行合同义务的期限相当于不可抗力事件影响的时间，但货物的综合单价不因为不可抗力事件的影响而发生变动。</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当不可抗力事件发生并持续10周以上时，任何一方都有权解除合同。</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十五、解决争议的方法</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凡有关本合同或执行本合同中发生的争端，双方应通过友好协商，妥善解决。如通过协商仍不能解决时，约定向甲方所在地仲裁委员会仲裁。</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十六、往来文件</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乙方同甲方之间的联系，如涉及合同实质性内容、影响甲乙双方的实体权利义务的，应通过书面的补充协议方式进行，并加盖公章。</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十七、送达条款</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所列甲、乙双方联系人及其手机号码等联系方式、甲乙双方的住所，以及甲乙双方在国家企业信用信息公示系统公示的最近一次年度报告中载明的各方企业联系电话与企业电子邮箱均为双方共同确认的现行有效的联系方式，如果上述信息（有关人员、联系方式、甲乙双方的住所）等发生变化时，要及时通知对方。今后如遇地址变更，变更方应在变更日起两日内及时书面通知相对方，否则，视为变更方的地址未变更。今后凡因本合同由合同当事人、政府及其职能部门、公检法等单位按本合同载明的上述信息发送、邮寄的任何通知、文书、法律文件、案件材料等，电子发送的自电子发送的当日均视为正常送达，或者邮寄送达的自快递员投递之日起满三日均视为正常送达，不论接收方或收件方是否收到。</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十八、其他约定</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1.其它未尽事项，双方可协商解决或另行签订书面补充协议，本合同所述内容涂改部分无效。</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2.本合同自双方签章之日起生效，</w:t>
      </w:r>
      <w:r>
        <w:rPr>
          <w:rFonts w:hint="eastAsia" w:ascii="仿宋" w:hAnsi="仿宋" w:eastAsia="仿宋" w:cs="仿宋"/>
          <w:color w:val="auto"/>
          <w:kern w:val="0"/>
          <w:sz w:val="24"/>
          <w:highlight w:val="none"/>
          <w:lang w:bidi="ar"/>
        </w:rPr>
        <w:t>自合同签订之日起至</w:t>
      </w:r>
      <w:r>
        <w:rPr>
          <w:rFonts w:hint="eastAsia" w:ascii="仿宋" w:hAnsi="仿宋" w:eastAsia="仿宋" w:cs="仿宋"/>
          <w:color w:val="auto"/>
          <w:kern w:val="0"/>
          <w:sz w:val="24"/>
          <w:highlight w:val="none"/>
          <w:lang w:eastAsia="zh-CN" w:bidi="ar"/>
        </w:rPr>
        <w:t>所有货物</w:t>
      </w:r>
      <w:r>
        <w:rPr>
          <w:rFonts w:hint="eastAsia" w:ascii="仿宋" w:hAnsi="仿宋" w:eastAsia="仿宋" w:cs="仿宋"/>
          <w:color w:val="auto"/>
          <w:kern w:val="0"/>
          <w:sz w:val="24"/>
          <w:highlight w:val="none"/>
          <w:lang w:val="en-US" w:eastAsia="zh-CN" w:bidi="ar"/>
        </w:rPr>
        <w:t>质保期结束</w:t>
      </w:r>
      <w:r>
        <w:rPr>
          <w:rFonts w:hint="eastAsia" w:ascii="仿宋" w:hAnsi="仿宋" w:eastAsia="仿宋" w:cs="仿宋"/>
          <w:color w:val="auto"/>
          <w:sz w:val="24"/>
          <w:highlight w:val="none"/>
        </w:rPr>
        <w:t>。</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3.此合同一式伍份，甲方执叁份，乙方执贰份。</w:t>
      </w:r>
    </w:p>
    <w:p>
      <w:pPr>
        <w:adjustRightInd w:val="0"/>
        <w:snapToGrid w:val="0"/>
        <w:spacing w:line="336" w:lineRule="auto"/>
        <w:rPr>
          <w:rFonts w:ascii="仿宋" w:hAnsi="仿宋" w:eastAsia="仿宋" w:cs="仿宋"/>
          <w:color w:val="auto"/>
          <w:sz w:val="24"/>
          <w:highlight w:val="none"/>
        </w:rPr>
      </w:pPr>
    </w:p>
    <w:p>
      <w:pPr>
        <w:adjustRightInd w:val="0"/>
        <w:snapToGrid w:val="0"/>
        <w:spacing w:line="336" w:lineRule="auto"/>
        <w:ind w:firstLine="480" w:firstLineChars="200"/>
        <w:rPr>
          <w:rFonts w:ascii="仿宋" w:hAnsi="仿宋" w:eastAsia="仿宋" w:cs="仿宋"/>
          <w:color w:val="auto"/>
          <w:sz w:val="24"/>
          <w:highlight w:val="none"/>
        </w:rPr>
      </w:pP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甲方（盖章）：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乙方（盖章）：</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法定代表人（负责人）或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法定代表人（负责人）或</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授权代理人（签字或盖章）：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授权代理人（签字或盖章）：</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邮政编码：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邮政编码：</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 系 人：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联 系 人：</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    话：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电    话：</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传    真：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传    真：</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电子信箱：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电子信箱：</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开户银行：</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账    号：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账    号：</w:t>
      </w:r>
    </w:p>
    <w:p>
      <w:pPr>
        <w:adjustRightInd w:val="0"/>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签订日期：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签订日期：</w:t>
      </w:r>
      <w:bookmarkEnd w:id="182"/>
      <w:bookmarkEnd w:id="183"/>
    </w:p>
    <w:p>
      <w:pPr>
        <w:adjustRightInd w:val="0"/>
        <w:snapToGrid w:val="0"/>
        <w:spacing w:line="336" w:lineRule="auto"/>
        <w:ind w:firstLine="480" w:firstLineChars="200"/>
        <w:rPr>
          <w:rFonts w:ascii="仿宋" w:hAnsi="仿宋" w:eastAsia="仿宋" w:cs="仿宋"/>
          <w:color w:val="auto"/>
          <w:sz w:val="24"/>
          <w:highlight w:val="none"/>
        </w:rPr>
      </w:pPr>
    </w:p>
    <w:bookmarkEnd w:id="187"/>
    <w:p>
      <w:pPr>
        <w:adjustRightInd w:val="0"/>
        <w:snapToGrid w:val="0"/>
        <w:spacing w:line="336" w:lineRule="auto"/>
        <w:ind w:firstLine="480" w:firstLineChars="200"/>
        <w:rPr>
          <w:rFonts w:ascii="仿宋" w:hAnsi="仿宋" w:eastAsia="仿宋" w:cs="仿宋"/>
          <w:color w:val="auto"/>
          <w:sz w:val="24"/>
          <w:highlight w:val="none"/>
        </w:rPr>
      </w:pPr>
    </w:p>
    <w:p>
      <w:pPr>
        <w:adjustRightInd w:val="0"/>
        <w:snapToGrid w:val="0"/>
        <w:spacing w:line="336" w:lineRule="auto"/>
        <w:ind w:firstLine="480" w:firstLineChars="200"/>
        <w:rPr>
          <w:rFonts w:ascii="仿宋" w:hAnsi="仿宋" w:eastAsia="仿宋" w:cs="仿宋"/>
          <w:color w:val="auto"/>
          <w:sz w:val="24"/>
          <w:highlight w:val="none"/>
        </w:rPr>
      </w:pPr>
    </w:p>
    <w:p>
      <w:pPr>
        <w:adjustRightInd w:val="0"/>
        <w:snapToGrid w:val="0"/>
        <w:spacing w:line="336" w:lineRule="auto"/>
        <w:ind w:firstLine="480" w:firstLineChars="200"/>
        <w:rPr>
          <w:rFonts w:ascii="仿宋" w:hAnsi="仿宋" w:eastAsia="仿宋" w:cs="仿宋"/>
          <w:color w:val="auto"/>
          <w:sz w:val="24"/>
          <w:highlight w:val="none"/>
        </w:rPr>
      </w:pPr>
    </w:p>
    <w:p>
      <w:pPr>
        <w:adjustRightInd w:val="0"/>
        <w:snapToGrid w:val="0"/>
        <w:spacing w:line="336" w:lineRule="auto"/>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4"/>
        <w:numPr>
          <w:ilvl w:val="0"/>
          <w:numId w:val="8"/>
        </w:num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响应文件格式</w:t>
      </w:r>
    </w:p>
    <w:p>
      <w:pPr>
        <w:pStyle w:val="4"/>
        <w:numPr>
          <w:ilvl w:val="255"/>
          <w:numId w:val="0"/>
        </w:num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询价响应文件由以下内容组成： </w:t>
      </w:r>
    </w:p>
    <w:p>
      <w:pPr>
        <w:widowControl/>
        <w:numPr>
          <w:ilvl w:val="0"/>
          <w:numId w:val="9"/>
        </w:numPr>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封面（格式详见附件）；</w:t>
      </w:r>
    </w:p>
    <w:p>
      <w:pPr>
        <w:widowControl/>
        <w:numPr>
          <w:ilvl w:val="0"/>
          <w:numId w:val="9"/>
        </w:numPr>
        <w:spacing w:line="360" w:lineRule="auto"/>
        <w:ind w:firstLine="480" w:firstLineChars="200"/>
        <w:jc w:val="left"/>
        <w:rPr>
          <w:rFonts w:ascii="仿宋" w:hAnsi="仿宋" w:eastAsia="仿宋" w:cs="仿宋"/>
          <w:color w:val="auto"/>
          <w:kern w:val="0"/>
          <w:sz w:val="24"/>
          <w:highlight w:val="none"/>
          <w:lang w:eastAsia="zh" w:bidi="ar"/>
        </w:rPr>
      </w:pPr>
      <w:r>
        <w:rPr>
          <w:rFonts w:hint="eastAsia" w:ascii="仿宋" w:hAnsi="仿宋" w:eastAsia="仿宋" w:cs="仿宋"/>
          <w:color w:val="auto"/>
          <w:kern w:val="0"/>
          <w:sz w:val="24"/>
          <w:highlight w:val="none"/>
          <w:lang w:bidi="ar"/>
        </w:rPr>
        <w:t>响应函（格式详见附件）</w:t>
      </w:r>
      <w:r>
        <w:rPr>
          <w:rFonts w:hint="eastAsia" w:ascii="仿宋" w:hAnsi="仿宋" w:eastAsia="仿宋" w:cs="仿宋"/>
          <w:color w:val="auto"/>
          <w:kern w:val="0"/>
          <w:sz w:val="24"/>
          <w:highlight w:val="none"/>
          <w:lang w:eastAsia="zh" w:bidi="ar"/>
        </w:rPr>
        <w:t>；</w:t>
      </w:r>
    </w:p>
    <w:p>
      <w:pPr>
        <w:widowControl/>
        <w:spacing w:line="360" w:lineRule="auto"/>
        <w:ind w:firstLine="480" w:firstLineChars="200"/>
        <w:jc w:val="left"/>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（3）报价明细表 （格式详见附件）</w:t>
      </w:r>
      <w:r>
        <w:rPr>
          <w:rFonts w:hint="eastAsia" w:ascii="仿宋" w:hAnsi="仿宋" w:eastAsia="仿宋" w:cs="仿宋"/>
          <w:color w:val="auto"/>
          <w:kern w:val="0"/>
          <w:sz w:val="24"/>
          <w:highlight w:val="none"/>
          <w:lang w:eastAsia="zh" w:bidi="ar"/>
        </w:rPr>
        <w:t>；</w:t>
      </w:r>
    </w:p>
    <w:p>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（4）法定代表人身份证明（格式详见附件）；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（5）法定代表人授权书（格式详见附件）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（6）资格证明材料： </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①提供在工商部门注册的有效“企业法人营业执照”或“营业执照”</w:t>
      </w:r>
      <w:r>
        <w:rPr>
          <w:rFonts w:hint="eastAsia" w:ascii="仿宋" w:hAnsi="仿宋" w:eastAsia="仿宋" w:cs="仿宋"/>
          <w:color w:val="auto"/>
          <w:kern w:val="0"/>
          <w:sz w:val="24"/>
          <w:highlight w:val="none"/>
          <w:lang w:eastAsia="zh" w:bidi="ar"/>
        </w:rPr>
        <w:t>复印件、法人代表身份证复印件</w:t>
      </w:r>
      <w:r>
        <w:rPr>
          <w:rFonts w:hint="eastAsia" w:ascii="仿宋" w:hAnsi="仿宋" w:eastAsia="仿宋" w:cs="仿宋"/>
          <w:color w:val="auto"/>
          <w:kern w:val="0"/>
          <w:sz w:val="24"/>
          <w:highlight w:val="none"/>
          <w:lang w:bidi="ar"/>
        </w:rPr>
        <w:t xml:space="preserve"> </w:t>
      </w:r>
    </w:p>
    <w:p>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②公司或拟派人员资质证明（若需要）</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③业绩证明（中标通知书或合同）（若需要）</w:t>
      </w:r>
    </w:p>
    <w:p>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④生产商授权书（若需要）</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（5）报价单位基本情况表（格式详见附件）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pPr>
        <w:spacing w:line="360" w:lineRule="auto"/>
        <w:ind w:firstLine="480" w:firstLineChars="200"/>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 xml:space="preserve">（6）合同条款偏离表和技术偏离表（格式详见附件） </w:t>
      </w:r>
      <w:r>
        <w:rPr>
          <w:rFonts w:hint="eastAsia" w:ascii="仿宋" w:hAnsi="仿宋" w:eastAsia="仿宋" w:cs="仿宋"/>
          <w:color w:val="auto"/>
          <w:kern w:val="0"/>
          <w:sz w:val="24"/>
          <w:highlight w:val="none"/>
          <w:lang w:eastAsia="zh" w:bidi="ar"/>
        </w:rPr>
        <w:t>；</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（7）报价人认为需要提供的其它文件及资料；  </w:t>
      </w:r>
    </w:p>
    <w:p>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说明： </w:t>
      </w:r>
    </w:p>
    <w:p>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1.报价文件由报价人根据照询价文件要求参照附件格式编制。 </w:t>
      </w:r>
    </w:p>
    <w:p>
      <w:pPr>
        <w:widowControl/>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2.附件中有参考格式的，参照格式，没有参考格式的，自行编制。</w:t>
      </w:r>
    </w:p>
    <w:p>
      <w:pPr>
        <w:wordWrap w:val="0"/>
        <w:spacing w:line="360" w:lineRule="auto"/>
        <w:rPr>
          <w:rFonts w:ascii="仿宋" w:hAnsi="仿宋" w:eastAsia="仿宋" w:cs="仿宋"/>
          <w:b/>
          <w:bCs/>
          <w:color w:val="auto"/>
          <w:sz w:val="24"/>
          <w:highlight w:val="none"/>
        </w:rPr>
      </w:pPr>
    </w:p>
    <w:p>
      <w:pPr>
        <w:wordWrap w:val="0"/>
        <w:spacing w:line="360" w:lineRule="auto"/>
        <w:rPr>
          <w:rFonts w:ascii="仿宋" w:hAnsi="仿宋" w:eastAsia="仿宋" w:cs="仿宋"/>
          <w:b/>
          <w:bCs/>
          <w:color w:val="auto"/>
          <w:sz w:val="24"/>
          <w:highlight w:val="none"/>
        </w:rPr>
      </w:pPr>
    </w:p>
    <w:p>
      <w:pPr>
        <w:wordWrap w:val="0"/>
        <w:spacing w:line="360" w:lineRule="auto"/>
        <w:rPr>
          <w:rFonts w:ascii="仿宋" w:hAnsi="仿宋" w:eastAsia="仿宋" w:cs="仿宋"/>
          <w:b/>
          <w:bCs/>
          <w:color w:val="auto"/>
          <w:sz w:val="24"/>
          <w:highlight w:val="none"/>
        </w:rPr>
      </w:pPr>
    </w:p>
    <w:p>
      <w:pPr>
        <w:wordWrap w:val="0"/>
        <w:spacing w:line="360" w:lineRule="auto"/>
        <w:rPr>
          <w:rFonts w:ascii="仿宋" w:hAnsi="仿宋" w:eastAsia="仿宋" w:cs="仿宋"/>
          <w:b/>
          <w:bCs/>
          <w:color w:val="auto"/>
          <w:sz w:val="24"/>
          <w:highlight w:val="none"/>
        </w:rPr>
      </w:pPr>
    </w:p>
    <w:p>
      <w:pPr>
        <w:wordWrap w:val="0"/>
        <w:spacing w:line="360" w:lineRule="auto"/>
        <w:rPr>
          <w:rFonts w:ascii="仿宋" w:hAnsi="仿宋" w:eastAsia="仿宋" w:cs="仿宋"/>
          <w:b/>
          <w:bCs/>
          <w:color w:val="auto"/>
          <w:sz w:val="24"/>
          <w:highlight w:val="none"/>
        </w:rPr>
      </w:pPr>
    </w:p>
    <w:p>
      <w:pPr>
        <w:wordWrap w:val="0"/>
        <w:spacing w:line="360" w:lineRule="auto"/>
        <w:rPr>
          <w:rFonts w:ascii="仿宋" w:hAnsi="仿宋" w:eastAsia="仿宋" w:cs="仿宋"/>
          <w:b/>
          <w:bCs/>
          <w:color w:val="auto"/>
          <w:sz w:val="24"/>
          <w:highlight w:val="none"/>
        </w:rPr>
      </w:pPr>
    </w:p>
    <w:p>
      <w:pPr>
        <w:wordWrap w:val="0"/>
        <w:spacing w:line="360" w:lineRule="auto"/>
        <w:rPr>
          <w:rFonts w:ascii="仿宋" w:hAnsi="仿宋" w:eastAsia="仿宋" w:cs="仿宋"/>
          <w:b/>
          <w:bCs/>
          <w:color w:val="auto"/>
          <w:sz w:val="24"/>
          <w:highlight w:val="none"/>
        </w:rPr>
      </w:pPr>
    </w:p>
    <w:p>
      <w:pPr>
        <w:wordWrap w:val="0"/>
        <w:spacing w:line="360" w:lineRule="auto"/>
        <w:rPr>
          <w:rFonts w:ascii="仿宋" w:hAnsi="仿宋" w:eastAsia="仿宋" w:cs="仿宋"/>
          <w:b/>
          <w:bCs/>
          <w:color w:val="auto"/>
          <w:sz w:val="24"/>
          <w:highlight w:val="none"/>
        </w:rPr>
      </w:pPr>
    </w:p>
    <w:p>
      <w:pPr>
        <w:wordWrap w:val="0"/>
        <w:spacing w:line="360" w:lineRule="auto"/>
        <w:rPr>
          <w:rFonts w:ascii="仿宋" w:hAnsi="仿宋" w:eastAsia="仿宋" w:cs="仿宋"/>
          <w:b/>
          <w:bCs/>
          <w:color w:val="auto"/>
          <w:sz w:val="24"/>
          <w:highlight w:val="none"/>
        </w:rPr>
      </w:pPr>
    </w:p>
    <w:p>
      <w:pPr>
        <w:wordWrap w:val="0"/>
        <w:spacing w:line="360" w:lineRule="auto"/>
        <w:rPr>
          <w:rFonts w:ascii="仿宋" w:hAnsi="仿宋" w:eastAsia="仿宋" w:cs="仿宋"/>
          <w:b/>
          <w:bCs/>
          <w:color w:val="auto"/>
          <w:sz w:val="24"/>
          <w:highlight w:val="none"/>
        </w:rPr>
      </w:pPr>
    </w:p>
    <w:p>
      <w:pPr>
        <w:wordWrap w:val="0"/>
        <w:spacing w:line="360" w:lineRule="auto"/>
        <w:rPr>
          <w:rFonts w:ascii="仿宋" w:hAnsi="仿宋" w:eastAsia="仿宋" w:cs="仿宋"/>
          <w:b/>
          <w:bCs/>
          <w:color w:val="auto"/>
          <w:sz w:val="24"/>
          <w:highlight w:val="none"/>
        </w:rPr>
      </w:pPr>
    </w:p>
    <w:p>
      <w:pPr>
        <w:pStyle w:val="9"/>
        <w:tabs>
          <w:tab w:val="left" w:pos="450"/>
        </w:tabs>
        <w:spacing w:line="360" w:lineRule="auto"/>
        <w:rPr>
          <w:rFonts w:ascii="仿宋" w:hAnsi="仿宋" w:eastAsia="仿宋" w:cs="仿宋"/>
          <w:color w:val="auto"/>
          <w:sz w:val="30"/>
          <w:highlight w:val="none"/>
        </w:rPr>
      </w:pPr>
      <w:r>
        <w:rPr>
          <w:rFonts w:hint="eastAsia" w:ascii="仿宋" w:hAnsi="仿宋" w:eastAsia="仿宋" w:cs="仿宋"/>
          <w:color w:val="auto"/>
          <w:sz w:val="30"/>
          <w:highlight w:val="none"/>
        </w:rPr>
        <w:t>附件一</w:t>
      </w:r>
    </w:p>
    <w:p>
      <w:pPr>
        <w:wordWrap w:val="0"/>
        <w:spacing w:line="360" w:lineRule="auto"/>
        <w:rPr>
          <w:rFonts w:ascii="仿宋" w:hAnsi="仿宋" w:eastAsia="仿宋" w:cs="仿宋"/>
          <w:b/>
          <w:bCs/>
          <w:color w:val="auto"/>
          <w:sz w:val="24"/>
          <w:highlight w:val="none"/>
        </w:rPr>
      </w:pPr>
    </w:p>
    <w:p>
      <w:pPr>
        <w:wordWrap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投标文件封面格式</w:t>
      </w:r>
    </w:p>
    <w:p>
      <w:pPr>
        <w:adjustRightInd w:val="0"/>
        <w:snapToGrid w:val="0"/>
        <w:spacing w:line="360" w:lineRule="auto"/>
        <w:ind w:firstLine="480" w:firstLineChars="200"/>
        <w:jc w:val="center"/>
        <w:rPr>
          <w:rFonts w:ascii="仿宋" w:hAnsi="仿宋" w:eastAsia="仿宋" w:cs="仿宋"/>
          <w:snapToGrid w:val="0"/>
          <w:color w:val="auto"/>
          <w:kern w:val="0"/>
          <w:sz w:val="24"/>
          <w:highlight w:val="none"/>
        </w:rPr>
      </w:pPr>
    </w:p>
    <w:p>
      <w:pPr>
        <w:adjustRightInd w:val="0"/>
        <w:snapToGrid w:val="0"/>
        <w:spacing w:line="360" w:lineRule="auto"/>
        <w:ind w:right="420"/>
        <w:jc w:val="right"/>
        <w:rPr>
          <w:rFonts w:ascii="仿宋" w:hAnsi="仿宋" w:eastAsia="仿宋" w:cs="仿宋"/>
          <w:color w:val="auto"/>
          <w:sz w:val="24"/>
          <w:highlight w:val="none"/>
        </w:rPr>
      </w:pPr>
      <w:r>
        <w:rPr>
          <w:rFonts w:hint="eastAsia" w:ascii="仿宋" w:hAnsi="仿宋" w:eastAsia="仿宋" w:cs="仿宋"/>
          <w:color w:val="auto"/>
          <w:sz w:val="24"/>
          <w:highlight w:val="none"/>
        </w:rPr>
        <w:t>正本/副本</w:t>
      </w:r>
    </w:p>
    <w:p>
      <w:pPr>
        <w:wordWrap w:val="0"/>
        <w:spacing w:line="360" w:lineRule="auto"/>
        <w:ind w:firstLine="1440" w:firstLineChars="6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pPr>
        <w:wordWrap w:val="0"/>
        <w:spacing w:line="360" w:lineRule="auto"/>
        <w:ind w:firstLine="240" w:firstLineChars="100"/>
        <w:rPr>
          <w:rFonts w:ascii="仿宋" w:hAnsi="仿宋" w:eastAsia="仿宋" w:cs="仿宋"/>
          <w:color w:val="auto"/>
          <w:sz w:val="24"/>
          <w:highlight w:val="none"/>
        </w:rPr>
      </w:pPr>
    </w:p>
    <w:p>
      <w:pPr>
        <w:wordWrap w:val="0"/>
        <w:spacing w:line="360" w:lineRule="auto"/>
        <w:ind w:firstLine="1440" w:firstLineChars="600"/>
        <w:rPr>
          <w:rFonts w:ascii="仿宋" w:hAnsi="仿宋" w:eastAsia="仿宋" w:cs="仿宋"/>
          <w:color w:val="auto"/>
          <w:sz w:val="24"/>
          <w:highlight w:val="none"/>
        </w:rPr>
      </w:pPr>
      <w:bookmarkStart w:id="189" w:name="OLE_LINK19"/>
      <w:r>
        <w:rPr>
          <w:rFonts w:hint="eastAsia" w:ascii="仿宋" w:hAnsi="仿宋" w:eastAsia="仿宋" w:cs="仿宋"/>
          <w:color w:val="auto"/>
          <w:sz w:val="24"/>
          <w:highlight w:val="none"/>
        </w:rPr>
        <w:t>项目</w:t>
      </w:r>
      <w:bookmarkEnd w:id="189"/>
      <w:r>
        <w:rPr>
          <w:rFonts w:hint="eastAsia" w:ascii="仿宋" w:hAnsi="仿宋" w:eastAsia="仿宋" w:cs="仿宋"/>
          <w:color w:val="auto"/>
          <w:sz w:val="24"/>
          <w:highlight w:val="none"/>
        </w:rPr>
        <w:t>编号：</w:t>
      </w:r>
    </w:p>
    <w:p>
      <w:pPr>
        <w:wordWrap w:val="0"/>
        <w:spacing w:line="360" w:lineRule="auto"/>
        <w:rPr>
          <w:rFonts w:ascii="仿宋" w:hAnsi="仿宋" w:eastAsia="仿宋" w:cs="仿宋"/>
          <w:color w:val="auto"/>
          <w:sz w:val="24"/>
          <w:highlight w:val="none"/>
        </w:rPr>
      </w:pP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line="360" w:lineRule="auto"/>
        <w:jc w:val="center"/>
        <w:rPr>
          <w:rFonts w:ascii="仿宋" w:hAnsi="仿宋" w:eastAsia="仿宋" w:cs="仿宋"/>
          <w:color w:val="auto"/>
          <w:sz w:val="24"/>
          <w:highlight w:val="none"/>
        </w:rPr>
      </w:pPr>
    </w:p>
    <w:p>
      <w:pPr>
        <w:adjustRightInd w:val="0"/>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报 价 文 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line="360" w:lineRule="auto"/>
        <w:ind w:firstLine="480" w:firstLineChars="200"/>
        <w:rPr>
          <w:rFonts w:ascii="仿宋" w:hAnsi="仿宋" w:eastAsia="仿宋" w:cs="仿宋"/>
          <w:color w:val="auto"/>
          <w:sz w:val="24"/>
          <w:highlight w:val="none"/>
        </w:rPr>
      </w:pPr>
    </w:p>
    <w:p>
      <w:pPr>
        <w:adjustRightInd w:val="0"/>
        <w:snapToGrid w:val="0"/>
        <w:spacing w:line="360" w:lineRule="auto"/>
        <w:ind w:firstLine="480" w:firstLineChars="200"/>
        <w:rPr>
          <w:rFonts w:ascii="仿宋" w:hAnsi="仿宋" w:eastAsia="仿宋" w:cs="仿宋"/>
          <w:color w:val="auto"/>
          <w:sz w:val="24"/>
          <w:highlight w:val="none"/>
        </w:rPr>
      </w:pPr>
    </w:p>
    <w:p>
      <w:pPr>
        <w:adjustRightInd w:val="0"/>
        <w:snapToGrid w:val="0"/>
        <w:spacing w:line="360" w:lineRule="auto"/>
        <w:ind w:firstLine="480" w:firstLineChars="200"/>
        <w:rPr>
          <w:rFonts w:ascii="仿宋" w:hAnsi="仿宋" w:eastAsia="仿宋" w:cs="仿宋"/>
          <w:color w:val="auto"/>
          <w:sz w:val="24"/>
          <w:highlight w:val="none"/>
        </w:rPr>
      </w:pPr>
    </w:p>
    <w:p>
      <w:pPr>
        <w:adjustRightInd w:val="0"/>
        <w:snapToGrid w:val="0"/>
        <w:spacing w:line="360" w:lineRule="auto"/>
        <w:rPr>
          <w:rFonts w:ascii="仿宋" w:hAnsi="仿宋" w:eastAsia="仿宋" w:cs="仿宋"/>
          <w:color w:val="auto"/>
          <w:sz w:val="24"/>
          <w:highlight w:val="none"/>
        </w:rPr>
      </w:pPr>
    </w:p>
    <w:p>
      <w:pPr>
        <w:adjustRightInd w:val="0"/>
        <w:snapToGrid w:val="0"/>
        <w:spacing w:line="360" w:lineRule="auto"/>
        <w:ind w:firstLine="480" w:firstLineChars="200"/>
        <w:jc w:val="center"/>
        <w:rPr>
          <w:rFonts w:ascii="仿宋" w:hAnsi="仿宋" w:eastAsia="仿宋" w:cs="仿宋"/>
          <w:color w:val="auto"/>
          <w:sz w:val="24"/>
          <w:highlight w:val="none"/>
        </w:rPr>
      </w:pPr>
    </w:p>
    <w:p>
      <w:pPr>
        <w:adjustRightInd w:val="0"/>
        <w:snapToGrid w:val="0"/>
        <w:spacing w:line="360" w:lineRule="auto"/>
        <w:ind w:firstLine="480" w:firstLineChars="200"/>
        <w:jc w:val="center"/>
        <w:rPr>
          <w:rFonts w:ascii="仿宋" w:hAnsi="仿宋" w:eastAsia="仿宋" w:cs="仿宋"/>
          <w:color w:val="auto"/>
          <w:sz w:val="24"/>
          <w:highlight w:val="none"/>
        </w:rPr>
      </w:pPr>
    </w:p>
    <w:p>
      <w:pPr>
        <w:adjustRightInd w:val="0"/>
        <w:snapToGrid w:val="0"/>
        <w:spacing w:line="360" w:lineRule="auto"/>
        <w:ind w:firstLine="480" w:firstLineChars="200"/>
        <w:jc w:val="center"/>
        <w:rPr>
          <w:rFonts w:ascii="仿宋" w:hAnsi="仿宋" w:eastAsia="仿宋" w:cs="仿宋"/>
          <w:color w:val="auto"/>
          <w:sz w:val="24"/>
          <w:highlight w:val="none"/>
        </w:rPr>
      </w:pPr>
    </w:p>
    <w:p>
      <w:pPr>
        <w:adjustRightInd w:val="0"/>
        <w:snapToGrid w:val="0"/>
        <w:spacing w:line="360" w:lineRule="auto"/>
        <w:ind w:firstLine="1200" w:firstLineChars="5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投标人：</w:t>
      </w:r>
      <w:r>
        <w:rPr>
          <w:rFonts w:hint="eastAsia" w:ascii="仿宋" w:hAnsi="仿宋" w:eastAsia="仿宋" w:cs="仿宋"/>
          <w:snapToGrid w:val="0"/>
          <w:color w:val="auto"/>
          <w:kern w:val="0"/>
          <w:sz w:val="24"/>
          <w:highlight w:val="none"/>
          <w:u w:val="single"/>
        </w:rPr>
        <w:t xml:space="preserve">                     （盖单位公章）</w:t>
      </w:r>
    </w:p>
    <w:p>
      <w:pPr>
        <w:adjustRightInd w:val="0"/>
        <w:snapToGrid w:val="0"/>
        <w:spacing w:line="360" w:lineRule="auto"/>
        <w:ind w:firstLine="1200" w:firstLineChars="5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法定代表人（负责人）或其委托代理人：</w:t>
      </w:r>
      <w:r>
        <w:rPr>
          <w:rFonts w:hint="eastAsia" w:ascii="仿宋" w:hAnsi="仿宋" w:eastAsia="仿宋" w:cs="仿宋"/>
          <w:snapToGrid w:val="0"/>
          <w:color w:val="auto"/>
          <w:kern w:val="0"/>
          <w:sz w:val="24"/>
          <w:highlight w:val="none"/>
          <w:u w:val="single"/>
        </w:rPr>
        <w:t xml:space="preserve">   （签字或盖章）</w:t>
      </w:r>
    </w:p>
    <w:p>
      <w:pPr>
        <w:adjustRightInd w:val="0"/>
        <w:snapToGrid w:val="0"/>
        <w:spacing w:line="360" w:lineRule="auto"/>
        <w:ind w:firstLine="1200" w:firstLineChars="5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  期：</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月</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日</w:t>
      </w:r>
    </w:p>
    <w:p>
      <w:pPr>
        <w:pStyle w:val="13"/>
        <w:spacing w:line="360" w:lineRule="auto"/>
        <w:rPr>
          <w:rFonts w:ascii="仿宋" w:hAnsi="仿宋" w:eastAsia="仿宋" w:cs="仿宋"/>
          <w:color w:val="auto"/>
          <w:highlight w:val="none"/>
        </w:rPr>
      </w:pPr>
    </w:p>
    <w:p>
      <w:pPr>
        <w:spacing w:line="360" w:lineRule="auto"/>
        <w:rPr>
          <w:rFonts w:ascii="仿宋" w:hAnsi="仿宋" w:eastAsia="仿宋" w:cs="仿宋"/>
          <w:color w:val="auto"/>
          <w:sz w:val="28"/>
          <w:szCs w:val="28"/>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b/>
          <w:color w:val="auto"/>
          <w:sz w:val="30"/>
          <w:highlight w:val="none"/>
        </w:rPr>
      </w:pPr>
      <w:r>
        <w:rPr>
          <w:rFonts w:hint="eastAsia" w:ascii="仿宋" w:hAnsi="仿宋" w:eastAsia="仿宋" w:cs="仿宋"/>
          <w:color w:val="auto"/>
          <w:sz w:val="30"/>
          <w:highlight w:val="none"/>
        </w:rPr>
        <w:t>附件二</w:t>
      </w:r>
    </w:p>
    <w:p>
      <w:pPr>
        <w:pStyle w:val="9"/>
        <w:tabs>
          <w:tab w:val="left" w:pos="450"/>
        </w:tabs>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响应函</w:t>
      </w:r>
    </w:p>
    <w:p>
      <w:pPr>
        <w:widowControl/>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u w:val="single"/>
          <w:lang w:bidi="ar"/>
        </w:rPr>
        <w:t xml:space="preserve">（询价人名称）： </w:t>
      </w:r>
    </w:p>
    <w:p>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我方已全面阅读和研究了</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采购文件和补充文件（如有），并经过现场踏勘，澄清疑问，充分理解并掌握了本次采购的全部情况，对采购文件的全部内容理解清楚，无任何疑义。经我方认真分析研究，同意接受采购文件的全部要约条件，并按此确定本次报价的各项承诺内容，以本报价文件进行报价。含税总价为人民币</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元，大写</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元，税率（</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 xml:space="preserve">%）,工期按采购文件要求（如优于，请列明）。 </w:t>
      </w:r>
    </w:p>
    <w:p>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我方将严格按照有关法规及询价文件规定参加报价响应，并理解贵方对成交结果也没有解释的义务。如我方成交，在接到你方发出的成交通知书起 30 日历日内，按成交通知书、询价文件和本询价响应文件的约定与你方签订合同，并在规定时间内提交询价文件规定的履约保证金（如有），履行规定的一切责任和义务。 </w:t>
      </w:r>
    </w:p>
    <w:p>
      <w:pPr>
        <w:widowControl/>
        <w:spacing w:line="360" w:lineRule="auto"/>
        <w:ind w:firstLine="560" w:firstLineChars="200"/>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本询价响应文件自递交你方起 90 日历日有效期内，全部条款内容对我方具有约束力。 </w:t>
      </w:r>
    </w:p>
    <w:p>
      <w:pPr>
        <w:widowControl/>
        <w:spacing w:line="360" w:lineRule="auto"/>
        <w:jc w:val="left"/>
        <w:rPr>
          <w:rFonts w:ascii="仿宋" w:hAnsi="仿宋" w:eastAsia="仿宋" w:cs="仿宋"/>
          <w:color w:val="auto"/>
          <w:kern w:val="0"/>
          <w:sz w:val="28"/>
          <w:szCs w:val="28"/>
          <w:highlight w:val="none"/>
          <w:lang w:bidi="ar"/>
        </w:rPr>
      </w:pPr>
    </w:p>
    <w:p>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报价人</w:t>
      </w:r>
      <w:r>
        <w:rPr>
          <w:rFonts w:hint="eastAsia" w:ascii="仿宋" w:hAnsi="仿宋" w:eastAsia="仿宋" w:cs="仿宋"/>
          <w:b/>
          <w:bCs/>
          <w:color w:val="auto"/>
          <w:kern w:val="0"/>
          <w:sz w:val="28"/>
          <w:szCs w:val="28"/>
          <w:highlight w:val="none"/>
          <w:lang w:bidi="ar"/>
        </w:rPr>
        <w:t>（盖公章）</w:t>
      </w:r>
      <w:r>
        <w:rPr>
          <w:rFonts w:hint="eastAsia" w:ascii="仿宋" w:hAnsi="仿宋" w:eastAsia="仿宋" w:cs="仿宋"/>
          <w:color w:val="auto"/>
          <w:kern w:val="0"/>
          <w:sz w:val="28"/>
          <w:szCs w:val="28"/>
          <w:highlight w:val="none"/>
          <w:lang w:bidi="ar"/>
        </w:rPr>
        <w:t xml:space="preserve">： </w:t>
      </w:r>
    </w:p>
    <w:p>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法定代表人或授权委托人</w:t>
      </w:r>
      <w:r>
        <w:rPr>
          <w:rFonts w:hint="eastAsia" w:ascii="仿宋" w:hAnsi="仿宋" w:eastAsia="仿宋" w:cs="仿宋"/>
          <w:b/>
          <w:bCs/>
          <w:color w:val="auto"/>
          <w:kern w:val="0"/>
          <w:sz w:val="28"/>
          <w:szCs w:val="28"/>
          <w:highlight w:val="none"/>
          <w:lang w:bidi="ar"/>
        </w:rPr>
        <w:t>（签字或盖章）</w:t>
      </w:r>
      <w:r>
        <w:rPr>
          <w:rFonts w:hint="eastAsia" w:ascii="仿宋" w:hAnsi="仿宋" w:eastAsia="仿宋" w:cs="仿宋"/>
          <w:color w:val="auto"/>
          <w:kern w:val="0"/>
          <w:sz w:val="28"/>
          <w:szCs w:val="28"/>
          <w:highlight w:val="none"/>
          <w:lang w:bidi="ar"/>
        </w:rPr>
        <w:t xml:space="preserve">： </w:t>
      </w:r>
    </w:p>
    <w:p>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联系人： </w:t>
      </w:r>
    </w:p>
    <w:p>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联系电话： </w:t>
      </w:r>
    </w:p>
    <w:p>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联系地址：  </w:t>
      </w:r>
    </w:p>
    <w:p>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日期：</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年</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月</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日</w:t>
      </w:r>
    </w:p>
    <w:p>
      <w:pPr>
        <w:pStyle w:val="9"/>
        <w:tabs>
          <w:tab w:val="left" w:pos="450"/>
        </w:tabs>
        <w:spacing w:line="360" w:lineRule="auto"/>
        <w:rPr>
          <w:rFonts w:ascii="仿宋" w:hAnsi="仿宋" w:eastAsia="仿宋" w:cs="仿宋"/>
          <w:color w:val="auto"/>
          <w:sz w:val="30"/>
          <w:highlight w:val="none"/>
        </w:rPr>
      </w:pPr>
    </w:p>
    <w:p>
      <w:pPr>
        <w:snapToGrid w:val="0"/>
        <w:spacing w:line="360" w:lineRule="auto"/>
        <w:rPr>
          <w:rStyle w:val="23"/>
          <w:rFonts w:ascii="仿宋" w:hAnsi="仿宋" w:eastAsia="仿宋" w:cs="仿宋"/>
          <w:b/>
          <w:color w:val="auto"/>
          <w:sz w:val="36"/>
          <w:szCs w:val="36"/>
          <w:highlight w:val="none"/>
        </w:rPr>
      </w:pPr>
    </w:p>
    <w:p>
      <w:pPr>
        <w:pStyle w:val="2"/>
        <w:rPr>
          <w:rStyle w:val="23"/>
          <w:rFonts w:ascii="仿宋" w:hAnsi="仿宋" w:eastAsia="仿宋" w:cs="仿宋"/>
          <w:b/>
          <w:color w:val="auto"/>
          <w:sz w:val="36"/>
          <w:szCs w:val="36"/>
          <w:highlight w:val="none"/>
        </w:rPr>
      </w:pPr>
    </w:p>
    <w:p>
      <w:pPr>
        <w:pStyle w:val="3"/>
        <w:rPr>
          <w:color w:val="auto"/>
        </w:rPr>
      </w:pPr>
    </w:p>
    <w:p>
      <w:pPr>
        <w:snapToGrid w:val="0"/>
        <w:spacing w:line="360" w:lineRule="auto"/>
        <w:jc w:val="center"/>
        <w:rPr>
          <w:rFonts w:ascii="仿宋" w:hAnsi="仿宋" w:eastAsia="仿宋" w:cs="仿宋"/>
          <w:color w:val="auto"/>
          <w:highlight w:val="none"/>
        </w:rPr>
      </w:pPr>
      <w:r>
        <w:rPr>
          <w:rStyle w:val="23"/>
          <w:rFonts w:hint="eastAsia" w:ascii="仿宋" w:hAnsi="仿宋" w:eastAsia="仿宋" w:cs="仿宋"/>
          <w:b/>
          <w:color w:val="auto"/>
          <w:sz w:val="36"/>
          <w:szCs w:val="36"/>
          <w:highlight w:val="none"/>
        </w:rPr>
        <w:t>报价明细表</w:t>
      </w:r>
    </w:p>
    <w:tbl>
      <w:tblPr>
        <w:tblStyle w:val="18"/>
        <w:tblW w:w="9852" w:type="dxa"/>
        <w:tblInd w:w="-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1516"/>
        <w:gridCol w:w="2467"/>
        <w:gridCol w:w="817"/>
        <w:gridCol w:w="866"/>
        <w:gridCol w:w="1134"/>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序号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货物名称</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规格型号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暂估数量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品牌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综合单价（元）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DN200，PN16，304不锈钢阀芯，配齐双头螺杆</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90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DN150，PN16，304不锈钢阀芯，配齐双头螺杆</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3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DN125,PN16，304不锈钢阀芯，配齐双头螺杆</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4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DN100,PN16，304不锈钢阀芯，配齐双头螺杆</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5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涡轮对夹式蝶阀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DN40,PN16，304不锈钢阀芯，配齐双头螺杆</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6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不锈钢对夹式双瓣止回阀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DN200,PN16304不锈钢阀芯，配齐双头螺杆</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7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不锈钢对夹式双瓣止回阀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DN150,PN16，对夹式 304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8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不锈钢对夹式双瓣止回阀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DN20,PN16，对夹式 304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32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9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DN65,PN16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10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DN50,PN16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11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DN25,PN16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12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DN20,PN16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32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13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不锈钢球阀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DN15,PN16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14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DN200,PN16，304不锈钢滤网，40目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15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DN150,PN16，304不锈钢滤网，40目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16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DN125,PN16，304不锈钢滤网，40目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17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DN40,PN16，304不锈钢滤网，40目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18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不锈钢过滤器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DN20,PN16，304不锈钢滤网，40目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19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PL300-16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20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PL250-16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21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PL200-16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232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22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PL150-16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56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23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PL125-16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24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平焊法兰</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PL80-16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25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PL300-16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26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PL250-16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27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BL200-16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28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PL150-16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29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法兰盖</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PL125-16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30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可曲挠橡胶接头</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DN200,PN16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18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31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可曲挠橡胶接头</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DN150,PN16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auto"/>
                <w:kern w:val="0"/>
                <w:sz w:val="18"/>
                <w:szCs w:val="18"/>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合计（元）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kern w:val="0"/>
                <w:sz w:val="21"/>
                <w:szCs w:val="21"/>
                <w:highlight w:val="none"/>
                <w:lang w:val="en-US" w:eastAsia="zh-CN" w:bidi="ar-SA"/>
              </w:rPr>
            </w:pPr>
          </w:p>
        </w:tc>
      </w:tr>
    </w:tbl>
    <w:p>
      <w:pPr>
        <w:spacing w:line="360" w:lineRule="auto"/>
        <w:rPr>
          <w:rFonts w:hint="eastAsia"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备注：报价包括货物费、包装运输费、运输保险费、运杂费、装</w:t>
      </w:r>
      <w:r>
        <w:rPr>
          <w:rFonts w:hint="eastAsia" w:ascii="仿宋" w:hAnsi="仿宋" w:eastAsia="仿宋" w:cs="仿宋"/>
          <w:color w:val="auto"/>
          <w:sz w:val="24"/>
          <w:highlight w:val="none"/>
          <w:lang w:eastAsia="zh-CN"/>
        </w:rPr>
        <w:t>车</w:t>
      </w:r>
      <w:r>
        <w:rPr>
          <w:rFonts w:hint="eastAsia" w:ascii="仿宋" w:hAnsi="仿宋" w:eastAsia="仿宋" w:cs="仿宋"/>
          <w:color w:val="auto"/>
          <w:sz w:val="24"/>
          <w:highlight w:val="none"/>
        </w:rPr>
        <w:t>费、验收费、质保费、售后服务费、企业管理费、利润、税金(税率为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%）等一切费用。</w:t>
      </w:r>
    </w:p>
    <w:p>
      <w:pPr>
        <w:snapToGrid w:val="0"/>
        <w:spacing w:line="360" w:lineRule="auto"/>
        <w:ind w:firstLine="2880" w:firstLineChars="1200"/>
        <w:rPr>
          <w:rFonts w:ascii="仿宋" w:hAnsi="仿宋" w:eastAsia="仿宋" w:cs="仿宋"/>
          <w:color w:val="auto"/>
          <w:sz w:val="24"/>
          <w:highlight w:val="none"/>
        </w:rPr>
      </w:pPr>
    </w:p>
    <w:p>
      <w:pPr>
        <w:snapToGrid w:val="0"/>
        <w:spacing w:line="360" w:lineRule="auto"/>
        <w:ind w:firstLine="2880" w:firstLineChars="1200"/>
        <w:rPr>
          <w:rFonts w:ascii="仿宋" w:hAnsi="仿宋" w:eastAsia="仿宋" w:cs="仿宋"/>
          <w:color w:val="auto"/>
          <w:sz w:val="24"/>
          <w:highlight w:val="none"/>
        </w:rPr>
      </w:pPr>
    </w:p>
    <w:p>
      <w:pPr>
        <w:widowControl/>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报价人</w:t>
      </w:r>
      <w:r>
        <w:rPr>
          <w:rFonts w:hint="eastAsia" w:ascii="仿宋" w:hAnsi="仿宋" w:eastAsia="仿宋" w:cs="仿宋"/>
          <w:b/>
          <w:bCs/>
          <w:color w:val="auto"/>
          <w:kern w:val="0"/>
          <w:sz w:val="24"/>
          <w:highlight w:val="none"/>
          <w:lang w:bidi="ar"/>
        </w:rPr>
        <w:t>（盖公章）</w:t>
      </w:r>
      <w:r>
        <w:rPr>
          <w:rFonts w:hint="eastAsia" w:ascii="仿宋" w:hAnsi="仿宋" w:eastAsia="仿宋" w:cs="仿宋"/>
          <w:color w:val="auto"/>
          <w:kern w:val="0"/>
          <w:sz w:val="24"/>
          <w:highlight w:val="none"/>
          <w:lang w:bidi="ar"/>
        </w:rPr>
        <w:t>：</w:t>
      </w:r>
    </w:p>
    <w:p>
      <w:pPr>
        <w:widowControl/>
        <w:spacing w:line="360" w:lineRule="auto"/>
        <w:jc w:val="left"/>
        <w:rPr>
          <w:rFonts w:ascii="仿宋" w:hAnsi="仿宋" w:eastAsia="仿宋" w:cs="仿宋"/>
          <w:color w:val="auto"/>
          <w:kern w:val="0"/>
          <w:sz w:val="24"/>
          <w:highlight w:val="none"/>
          <w:lang w:val="zh-CN" w:bidi="ar"/>
        </w:rPr>
      </w:pPr>
      <w:r>
        <w:rPr>
          <w:rFonts w:hint="eastAsia" w:ascii="仿宋" w:hAnsi="仿宋" w:eastAsia="仿宋" w:cs="仿宋"/>
          <w:color w:val="auto"/>
          <w:kern w:val="0"/>
          <w:sz w:val="24"/>
          <w:highlight w:val="none"/>
          <w:lang w:val="zh-CN" w:bidi="ar"/>
        </w:rPr>
        <w:t>法定代表人或授权委托人</w:t>
      </w:r>
      <w:r>
        <w:rPr>
          <w:rFonts w:hint="eastAsia" w:ascii="仿宋" w:hAnsi="仿宋" w:eastAsia="仿宋" w:cs="仿宋"/>
          <w:b/>
          <w:bCs/>
          <w:color w:val="auto"/>
          <w:kern w:val="0"/>
          <w:sz w:val="24"/>
          <w:highlight w:val="none"/>
          <w:lang w:val="zh-CN" w:bidi="ar"/>
        </w:rPr>
        <w:t>(签字或盖章)</w:t>
      </w:r>
      <w:r>
        <w:rPr>
          <w:rFonts w:hint="eastAsia" w:ascii="仿宋" w:hAnsi="仿宋" w:eastAsia="仿宋" w:cs="仿宋"/>
          <w:color w:val="auto"/>
          <w:kern w:val="0"/>
          <w:sz w:val="24"/>
          <w:highlight w:val="none"/>
          <w:lang w:val="zh-CN" w:bidi="ar"/>
        </w:rPr>
        <w:t>：</w:t>
      </w:r>
    </w:p>
    <w:p>
      <w:pPr>
        <w:widowControl/>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zh-CN" w:bidi="ar"/>
        </w:rPr>
        <w:t>日期</w:t>
      </w:r>
      <w:r>
        <w:rPr>
          <w:rFonts w:hint="eastAsia" w:ascii="仿宋" w:hAnsi="仿宋" w:eastAsia="仿宋" w:cs="仿宋"/>
          <w:color w:val="auto"/>
          <w:kern w:val="0"/>
          <w:sz w:val="24"/>
          <w:highlight w:val="none"/>
          <w:lang w:bidi="ar"/>
        </w:rPr>
        <w:t xml:space="preserve">：    年    </w:t>
      </w:r>
      <w:r>
        <w:rPr>
          <w:rFonts w:hint="eastAsia" w:ascii="仿宋" w:hAnsi="仿宋" w:eastAsia="仿宋" w:cs="仿宋"/>
          <w:color w:val="auto"/>
          <w:kern w:val="0"/>
          <w:sz w:val="24"/>
          <w:highlight w:val="none"/>
          <w:lang w:val="zh-CN" w:bidi="ar"/>
        </w:rPr>
        <w:t>月</w:t>
      </w:r>
      <w:r>
        <w:rPr>
          <w:rFonts w:hint="eastAsia" w:ascii="仿宋" w:hAnsi="仿宋" w:eastAsia="仿宋" w:cs="仿宋"/>
          <w:color w:val="auto"/>
          <w:kern w:val="0"/>
          <w:sz w:val="24"/>
          <w:highlight w:val="none"/>
          <w:lang w:bidi="ar"/>
        </w:rPr>
        <w:t xml:space="preserve">    </w:t>
      </w:r>
      <w:r>
        <w:rPr>
          <w:rFonts w:hint="eastAsia" w:ascii="仿宋" w:hAnsi="仿宋" w:eastAsia="仿宋" w:cs="仿宋"/>
          <w:color w:val="auto"/>
          <w:kern w:val="0"/>
          <w:sz w:val="24"/>
          <w:highlight w:val="none"/>
          <w:lang w:val="zh-CN" w:bidi="ar"/>
        </w:rPr>
        <w:t>日</w:t>
      </w: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color w:val="auto"/>
          <w:sz w:val="30"/>
          <w:highlight w:val="none"/>
        </w:rPr>
      </w:pPr>
    </w:p>
    <w:p>
      <w:pPr>
        <w:pStyle w:val="9"/>
        <w:tabs>
          <w:tab w:val="left" w:pos="450"/>
        </w:tabs>
        <w:spacing w:line="360" w:lineRule="auto"/>
        <w:rPr>
          <w:rFonts w:ascii="仿宋" w:hAnsi="仿宋" w:eastAsia="仿宋" w:cs="仿宋"/>
          <w:b/>
          <w:bCs/>
          <w:color w:val="auto"/>
          <w:kern w:val="0"/>
          <w:sz w:val="31"/>
          <w:szCs w:val="31"/>
          <w:highlight w:val="none"/>
          <w:lang w:bidi="ar"/>
        </w:rPr>
      </w:pPr>
      <w:r>
        <w:rPr>
          <w:rFonts w:hint="eastAsia" w:ascii="仿宋" w:hAnsi="仿宋" w:eastAsia="仿宋" w:cs="仿宋"/>
          <w:color w:val="auto"/>
          <w:sz w:val="30"/>
          <w:highlight w:val="none"/>
        </w:rPr>
        <w:t>附件三</w:t>
      </w: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法定代表人身份证明</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单位性质：</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成立时间：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经营期限：</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p>
    <w:p>
      <w:pPr>
        <w:snapToGrid w:val="0"/>
        <w:spacing w:line="360" w:lineRule="auto"/>
        <w:ind w:firstLine="560"/>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w:t>
      </w:r>
    </w:p>
    <w:p>
      <w:pPr>
        <w:snapToGrid w:val="0"/>
        <w:spacing w:line="360" w:lineRule="auto"/>
        <w:ind w:firstLine="560"/>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附：法定代表人身份证复印件</w:t>
      </w:r>
    </w:p>
    <w:p>
      <w:pPr>
        <w:snapToGrid w:val="0"/>
        <w:spacing w:line="360" w:lineRule="auto"/>
        <w:ind w:firstLine="7104" w:firstLineChars="2960"/>
        <w:rPr>
          <w:rFonts w:ascii="仿宋" w:hAnsi="仿宋" w:eastAsia="仿宋" w:cs="仿宋"/>
          <w:b/>
          <w:bCs/>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b/>
          <w:bCs/>
          <w:color w:val="auto"/>
          <w:sz w:val="24"/>
          <w:highlight w:val="none"/>
        </w:rPr>
        <w:t xml:space="preserve">（盖单位公章） </w:t>
      </w:r>
    </w:p>
    <w:p>
      <w:pPr>
        <w:snapToGrid w:val="0"/>
        <w:spacing w:line="360" w:lineRule="auto"/>
        <w:ind w:firstLine="7104" w:firstLineChars="296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bl>
      <w:tblPr>
        <w:tblStyle w:val="18"/>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法定代表人身份证复印件粘贴处（正、反面）</w:t>
            </w:r>
          </w:p>
        </w:tc>
      </w:tr>
    </w:tbl>
    <w:p>
      <w:pPr>
        <w:spacing w:after="120" w:afterLines="50" w:line="360" w:lineRule="auto"/>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授权委托书</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的法定代表人（负责人），现委托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（姓名）为我方代理人（联系电话：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）。代理人根据授权，以我方名义签署、澄清、说明、补正、递交、撤回、修改</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投标文件、签订合同和处理有关事宜，其法律后果由我方承担。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代理人无转委托权。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附：委托代理人身份证复印件</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b/>
          <w:bCs/>
          <w:color w:val="auto"/>
          <w:sz w:val="24"/>
          <w:highlight w:val="none"/>
        </w:rPr>
        <w:t>（盖单位公章）</w:t>
      </w:r>
    </w:p>
    <w:p>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法定代表人（负责人）：</w:t>
      </w:r>
      <w:r>
        <w:rPr>
          <w:rFonts w:hint="eastAsia" w:ascii="仿宋" w:hAnsi="仿宋" w:eastAsia="仿宋" w:cs="仿宋"/>
          <w:b/>
          <w:bCs/>
          <w:color w:val="auto"/>
          <w:sz w:val="24"/>
          <w:highlight w:val="none"/>
        </w:rPr>
        <w:t>（签字或盖章）</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委托的代理人：</w:t>
      </w:r>
      <w:r>
        <w:rPr>
          <w:rFonts w:hint="eastAsia" w:ascii="仿宋" w:hAnsi="仿宋" w:eastAsia="仿宋" w:cs="仿宋"/>
          <w:b/>
          <w:bCs/>
          <w:color w:val="auto"/>
          <w:sz w:val="24"/>
          <w:highlight w:val="none"/>
        </w:rPr>
        <w:t>（签字或盖章）</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pPr>
        <w:snapToGrid w:val="0"/>
        <w:spacing w:line="360" w:lineRule="auto"/>
        <w:ind w:firstLine="5040" w:firstLineChars="21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bl>
      <w:tblPr>
        <w:tblStyle w:val="18"/>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委托代理人身份证复印件粘贴处（正、反面）</w:t>
            </w:r>
          </w:p>
        </w:tc>
      </w:tr>
    </w:tbl>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注：如响应文件由委托代理人签字或盖章的，</w:t>
      </w:r>
      <w:r>
        <w:rPr>
          <w:rFonts w:hint="eastAsia" w:ascii="仿宋" w:hAnsi="仿宋" w:eastAsia="仿宋" w:cs="仿宋"/>
          <w:b/>
          <w:color w:val="auto"/>
          <w:sz w:val="24"/>
          <w:highlight w:val="none"/>
          <w:u w:val="single"/>
        </w:rPr>
        <w:t>响应文件必须附此授权委托书和法定代表人身份证明</w:t>
      </w:r>
      <w:r>
        <w:rPr>
          <w:rFonts w:hint="eastAsia" w:ascii="仿宋" w:hAnsi="仿宋" w:eastAsia="仿宋" w:cs="仿宋"/>
          <w:b/>
          <w:color w:val="auto"/>
          <w:sz w:val="24"/>
          <w:highlight w:val="none"/>
        </w:rPr>
        <w:t>。</w:t>
      </w:r>
    </w:p>
    <w:p>
      <w:pPr>
        <w:widowControl/>
        <w:spacing w:line="360" w:lineRule="auto"/>
        <w:rPr>
          <w:rFonts w:ascii="仿宋" w:hAnsi="仿宋" w:eastAsia="仿宋" w:cs="仿宋"/>
          <w:b/>
          <w:color w:val="auto"/>
          <w:sz w:val="24"/>
          <w:highlight w:val="none"/>
        </w:rPr>
        <w:sectPr>
          <w:footerReference r:id="rId3" w:type="default"/>
          <w:pgSz w:w="11905" w:h="16838"/>
          <w:pgMar w:top="907" w:right="1247" w:bottom="907" w:left="1247" w:header="510" w:footer="510"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sz w:val="24"/>
          <w:highlight w:val="none"/>
        </w:rPr>
        <w:br w:type="page"/>
      </w:r>
    </w:p>
    <w:p>
      <w:pPr>
        <w:pStyle w:val="9"/>
        <w:tabs>
          <w:tab w:val="left" w:pos="450"/>
        </w:tabs>
        <w:spacing w:line="360" w:lineRule="auto"/>
        <w:rPr>
          <w:rFonts w:ascii="仿宋" w:hAnsi="仿宋" w:eastAsia="仿宋" w:cs="仿宋"/>
          <w:color w:val="auto"/>
          <w:sz w:val="30"/>
          <w:highlight w:val="none"/>
        </w:rPr>
      </w:pPr>
      <w:r>
        <w:rPr>
          <w:rFonts w:hint="eastAsia" w:ascii="仿宋" w:hAnsi="仿宋" w:eastAsia="仿宋" w:cs="仿宋"/>
          <w:color w:val="auto"/>
          <w:sz w:val="30"/>
          <w:highlight w:val="none"/>
        </w:rPr>
        <w:t>附件四</w:t>
      </w:r>
    </w:p>
    <w:p>
      <w:pPr>
        <w:pStyle w:val="10"/>
        <w:spacing w:line="360" w:lineRule="auto"/>
        <w:ind w:left="5250"/>
        <w:rPr>
          <w:rFonts w:ascii="仿宋" w:hAnsi="仿宋" w:eastAsia="仿宋" w:cs="仿宋"/>
          <w:color w:val="auto"/>
          <w:highlight w:val="none"/>
        </w:rPr>
      </w:pPr>
    </w:p>
    <w:p>
      <w:pPr>
        <w:spacing w:line="360" w:lineRule="auto"/>
        <w:ind w:right="-21" w:rightChars="-10"/>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报价单位基本情况表</w:t>
      </w:r>
    </w:p>
    <w:tbl>
      <w:tblPr>
        <w:tblStyle w:val="18"/>
        <w:tblW w:w="10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4"/>
        <w:gridCol w:w="2311"/>
        <w:gridCol w:w="1624"/>
        <w:gridCol w:w="1348"/>
        <w:gridCol w:w="22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2784" w:type="dxa"/>
            <w:tcBorders>
              <w:top w:val="single" w:color="auto" w:sz="12" w:space="0"/>
            </w:tcBorders>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公司注册名称</w:t>
            </w:r>
          </w:p>
        </w:tc>
        <w:tc>
          <w:tcPr>
            <w:tcW w:w="3935" w:type="dxa"/>
            <w:gridSpan w:val="2"/>
            <w:tcBorders>
              <w:top w:val="single" w:color="auto" w:sz="12" w:space="0"/>
            </w:tcBorders>
            <w:vAlign w:val="center"/>
          </w:tcPr>
          <w:p>
            <w:pPr>
              <w:pStyle w:val="7"/>
              <w:overflowPunct w:val="0"/>
              <w:spacing w:line="360" w:lineRule="auto"/>
              <w:ind w:right="-21" w:rightChars="-10"/>
              <w:jc w:val="center"/>
              <w:rPr>
                <w:rFonts w:ascii="仿宋" w:hAnsi="仿宋" w:eastAsia="仿宋" w:cs="仿宋"/>
                <w:color w:val="auto"/>
                <w:szCs w:val="21"/>
                <w:highlight w:val="none"/>
              </w:rPr>
            </w:pPr>
          </w:p>
        </w:tc>
        <w:tc>
          <w:tcPr>
            <w:tcW w:w="1348" w:type="dxa"/>
            <w:tcBorders>
              <w:top w:val="single" w:color="auto" w:sz="12" w:space="0"/>
            </w:tcBorders>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2291" w:type="dxa"/>
            <w:tcBorders>
              <w:top w:val="single" w:color="auto" w:sz="12" w:space="0"/>
            </w:tcBorders>
            <w:vAlign w:val="center"/>
          </w:tcPr>
          <w:p>
            <w:pPr>
              <w:pStyle w:val="7"/>
              <w:overflowPunct w:val="0"/>
              <w:spacing w:line="360" w:lineRule="auto"/>
              <w:ind w:right="-21" w:rightChars="-10"/>
              <w:jc w:val="center"/>
              <w:rPr>
                <w:rFonts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784" w:type="dxa"/>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企业地址</w:t>
            </w:r>
          </w:p>
        </w:tc>
        <w:tc>
          <w:tcPr>
            <w:tcW w:w="3935" w:type="dxa"/>
            <w:gridSpan w:val="2"/>
            <w:vAlign w:val="center"/>
          </w:tcPr>
          <w:p>
            <w:pPr>
              <w:pStyle w:val="7"/>
              <w:overflowPunct w:val="0"/>
              <w:spacing w:line="360" w:lineRule="auto"/>
              <w:ind w:right="-21" w:rightChars="-10"/>
              <w:jc w:val="center"/>
              <w:rPr>
                <w:rFonts w:ascii="仿宋" w:hAnsi="仿宋" w:eastAsia="仿宋" w:cs="仿宋"/>
                <w:color w:val="auto"/>
                <w:szCs w:val="21"/>
                <w:highlight w:val="none"/>
              </w:rPr>
            </w:pPr>
          </w:p>
          <w:p>
            <w:pPr>
              <w:rPr>
                <w:color w:val="auto"/>
                <w:highlight w:val="none"/>
              </w:rPr>
            </w:pPr>
          </w:p>
        </w:tc>
        <w:tc>
          <w:tcPr>
            <w:tcW w:w="1348" w:type="dxa"/>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291" w:type="dxa"/>
            <w:vAlign w:val="center"/>
          </w:tcPr>
          <w:p>
            <w:pPr>
              <w:pStyle w:val="7"/>
              <w:overflowPunct w:val="0"/>
              <w:spacing w:line="360" w:lineRule="auto"/>
              <w:ind w:right="-21" w:rightChars="-10" w:firstLine="1260" w:firstLineChars="6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1" w:hRule="atLeast"/>
          <w:jc w:val="center"/>
        </w:trPr>
        <w:tc>
          <w:tcPr>
            <w:tcW w:w="2784" w:type="dxa"/>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成立日期</w:t>
            </w:r>
          </w:p>
        </w:tc>
        <w:tc>
          <w:tcPr>
            <w:tcW w:w="3935" w:type="dxa"/>
            <w:gridSpan w:val="2"/>
            <w:vAlign w:val="center"/>
          </w:tcPr>
          <w:p>
            <w:pPr>
              <w:pStyle w:val="7"/>
              <w:overflowPunct w:val="0"/>
              <w:spacing w:line="360" w:lineRule="auto"/>
              <w:ind w:right="-21" w:rightChars="-10"/>
              <w:jc w:val="center"/>
              <w:rPr>
                <w:rFonts w:ascii="仿宋" w:hAnsi="仿宋" w:eastAsia="仿宋" w:cs="仿宋"/>
                <w:color w:val="auto"/>
                <w:szCs w:val="21"/>
                <w:highlight w:val="none"/>
              </w:rPr>
            </w:pPr>
          </w:p>
        </w:tc>
        <w:tc>
          <w:tcPr>
            <w:tcW w:w="1348" w:type="dxa"/>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单位性质</w:t>
            </w:r>
          </w:p>
        </w:tc>
        <w:tc>
          <w:tcPr>
            <w:tcW w:w="2291" w:type="dxa"/>
            <w:vAlign w:val="center"/>
          </w:tcPr>
          <w:p>
            <w:pPr>
              <w:pStyle w:val="7"/>
              <w:overflowPunct w:val="0"/>
              <w:spacing w:line="360" w:lineRule="auto"/>
              <w:ind w:right="-21" w:rightChars="-10"/>
              <w:jc w:val="center"/>
              <w:rPr>
                <w:rFonts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2784" w:type="dxa"/>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7574" w:type="dxa"/>
            <w:gridSpan w:val="4"/>
            <w:vAlign w:val="center"/>
          </w:tcPr>
          <w:p>
            <w:pPr>
              <w:pStyle w:val="7"/>
              <w:overflowPunct w:val="0"/>
              <w:spacing w:line="360" w:lineRule="auto"/>
              <w:ind w:right="-21" w:rightChars="-10"/>
              <w:jc w:val="center"/>
              <w:rPr>
                <w:rFonts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2784" w:type="dxa"/>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w:t>
            </w:r>
          </w:p>
        </w:tc>
        <w:tc>
          <w:tcPr>
            <w:tcW w:w="7574" w:type="dxa"/>
            <w:gridSpan w:val="4"/>
            <w:vAlign w:val="center"/>
          </w:tcPr>
          <w:p>
            <w:pPr>
              <w:pStyle w:val="7"/>
              <w:overflowPunct w:val="0"/>
              <w:spacing w:line="360" w:lineRule="auto"/>
              <w:ind w:right="-21" w:rightChars="-10"/>
              <w:jc w:val="center"/>
              <w:rPr>
                <w:rFonts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2784" w:type="dxa"/>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311" w:type="dxa"/>
            <w:vAlign w:val="center"/>
          </w:tcPr>
          <w:p>
            <w:pPr>
              <w:pStyle w:val="7"/>
              <w:overflowPunct w:val="0"/>
              <w:spacing w:line="360" w:lineRule="auto"/>
              <w:ind w:right="-21" w:rightChars="-10"/>
              <w:jc w:val="center"/>
              <w:rPr>
                <w:rFonts w:ascii="仿宋" w:hAnsi="仿宋" w:eastAsia="仿宋" w:cs="仿宋"/>
                <w:color w:val="auto"/>
                <w:szCs w:val="21"/>
                <w:highlight w:val="none"/>
              </w:rPr>
            </w:pPr>
          </w:p>
        </w:tc>
        <w:tc>
          <w:tcPr>
            <w:tcW w:w="1624" w:type="dxa"/>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3639" w:type="dxa"/>
            <w:gridSpan w:val="2"/>
            <w:vAlign w:val="center"/>
          </w:tcPr>
          <w:p>
            <w:pPr>
              <w:pStyle w:val="7"/>
              <w:overflowPunct w:val="0"/>
              <w:spacing w:line="360" w:lineRule="auto"/>
              <w:ind w:right="-21" w:rightChars="-10"/>
              <w:jc w:val="center"/>
              <w:rPr>
                <w:rFonts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jc w:val="center"/>
        </w:trPr>
        <w:tc>
          <w:tcPr>
            <w:tcW w:w="2784" w:type="dxa"/>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部门</w:t>
            </w:r>
          </w:p>
        </w:tc>
        <w:tc>
          <w:tcPr>
            <w:tcW w:w="2311" w:type="dxa"/>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p>
        </w:tc>
        <w:tc>
          <w:tcPr>
            <w:tcW w:w="1624" w:type="dxa"/>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3639" w:type="dxa"/>
            <w:gridSpan w:val="2"/>
            <w:vAlign w:val="center"/>
          </w:tcPr>
          <w:p>
            <w:pPr>
              <w:pStyle w:val="7"/>
              <w:overflowPunct w:val="0"/>
              <w:spacing w:line="360" w:lineRule="auto"/>
              <w:ind w:right="-21" w:rightChars="-10" w:firstLine="0"/>
              <w:jc w:val="center"/>
              <w:rPr>
                <w:rFonts w:ascii="仿宋" w:hAnsi="仿宋" w:eastAsia="仿宋" w:cs="仿宋"/>
                <w:color w:val="auto"/>
                <w:szCs w:val="21"/>
                <w:highlight w:val="none"/>
              </w:rPr>
            </w:pPr>
          </w:p>
        </w:tc>
      </w:tr>
    </w:tbl>
    <w:p>
      <w:pPr>
        <w:spacing w:line="360" w:lineRule="auto"/>
        <w:jc w:val="center"/>
        <w:rPr>
          <w:rFonts w:ascii="仿宋" w:hAnsi="仿宋" w:eastAsia="仿宋" w:cs="仿宋"/>
          <w:color w:val="auto"/>
          <w:sz w:val="24"/>
          <w:highlight w:val="none"/>
        </w:rPr>
      </w:pPr>
    </w:p>
    <w:p>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bidi="ar"/>
        </w:rPr>
        <w:t xml:space="preserve">注：（1）附营业执照等证明文件的复印件（加盖公章） </w:t>
      </w:r>
    </w:p>
    <w:p>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bidi="ar"/>
        </w:rPr>
        <w:t>（2）可附报价人认为需提供的其它证明材料（以上复印件均需加盖公章）。</w:t>
      </w:r>
    </w:p>
    <w:p>
      <w:pPr>
        <w:spacing w:line="360" w:lineRule="auto"/>
        <w:ind w:firstLine="280" w:firstLineChars="100"/>
        <w:rPr>
          <w:rFonts w:ascii="仿宋" w:hAnsi="仿宋" w:eastAsia="仿宋" w:cs="仿宋"/>
          <w:color w:val="auto"/>
          <w:sz w:val="28"/>
          <w:szCs w:val="28"/>
          <w:highlight w:val="none"/>
        </w:rPr>
        <w:sectPr>
          <w:pgSz w:w="11905" w:h="16838"/>
          <w:pgMar w:top="907" w:right="1247" w:bottom="907" w:left="1247" w:header="510" w:footer="510" w:gutter="0"/>
          <w:pgBorders>
            <w:top w:val="none" w:sz="0" w:space="0"/>
            <w:left w:val="none" w:sz="0" w:space="0"/>
            <w:bottom w:val="none" w:sz="0" w:space="0"/>
            <w:right w:val="none" w:sz="0" w:space="0"/>
          </w:pgBorders>
          <w:cols w:space="720" w:num="1"/>
        </w:sectPr>
      </w:pPr>
    </w:p>
    <w:p>
      <w:pPr>
        <w:pStyle w:val="9"/>
        <w:tabs>
          <w:tab w:val="left" w:pos="450"/>
        </w:tabs>
        <w:spacing w:line="360" w:lineRule="auto"/>
        <w:rPr>
          <w:rFonts w:ascii="仿宋" w:hAnsi="仿宋" w:eastAsia="仿宋" w:cs="仿宋"/>
          <w:b/>
          <w:color w:val="auto"/>
          <w:sz w:val="32"/>
          <w:szCs w:val="32"/>
          <w:highlight w:val="none"/>
        </w:rPr>
      </w:pPr>
      <w:r>
        <w:rPr>
          <w:rFonts w:hint="eastAsia" w:ascii="仿宋" w:hAnsi="仿宋" w:eastAsia="仿宋" w:cs="仿宋"/>
          <w:color w:val="auto"/>
          <w:sz w:val="30"/>
          <w:highlight w:val="none"/>
        </w:rPr>
        <w:t>附件五</w:t>
      </w:r>
    </w:p>
    <w:p>
      <w:pPr>
        <w:pStyle w:val="9"/>
        <w:spacing w:after="156" w:afterLines="50"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合同条款偏离表</w:t>
      </w:r>
    </w:p>
    <w:p>
      <w:pPr>
        <w:pStyle w:val="9"/>
        <w:spacing w:after="156" w:afterLines="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项目名称：                             项目编号：</w:t>
      </w:r>
    </w:p>
    <w:tbl>
      <w:tblPr>
        <w:tblStyle w:val="18"/>
        <w:tblW w:w="9660" w:type="dxa"/>
        <w:tblInd w:w="-8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920"/>
        <w:gridCol w:w="2670"/>
        <w:gridCol w:w="1933"/>
        <w:gridCol w:w="1020"/>
        <w:gridCol w:w="1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询价文件条目号</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询价文件的商务条款</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询价响应文件的商务条款</w:t>
            </w:r>
          </w:p>
        </w:tc>
        <w:tc>
          <w:tcPr>
            <w:tcW w:w="1020" w:type="dxa"/>
            <w:tcBorders>
              <w:top w:val="single" w:color="auto" w:sz="4" w:space="0"/>
              <w:left w:val="single" w:color="auto" w:sz="4" w:space="0"/>
              <w:bottom w:val="single" w:color="auto" w:sz="4" w:space="0"/>
            </w:tcBorders>
            <w:vAlign w:val="center"/>
          </w:tcPr>
          <w:p>
            <w:pPr>
              <w:pStyle w:val="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307" w:type="dxa"/>
            <w:tcBorders>
              <w:top w:val="single" w:color="auto" w:sz="4" w:space="0"/>
              <w:left w:val="single" w:color="auto" w:sz="4" w:space="0"/>
              <w:bottom w:val="single" w:color="auto" w:sz="4" w:space="0"/>
            </w:tcBorders>
            <w:vAlign w:val="center"/>
          </w:tcPr>
          <w:p>
            <w:pPr>
              <w:pStyle w:val="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询价文件所有合同条款的条目号</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询价文件所有合同条款</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按询价文件要求</w:t>
            </w:r>
          </w:p>
        </w:tc>
        <w:tc>
          <w:tcPr>
            <w:tcW w:w="1020" w:type="dxa"/>
            <w:tcBorders>
              <w:top w:val="single" w:color="auto" w:sz="4" w:space="0"/>
              <w:left w:val="single" w:color="auto" w:sz="4" w:space="0"/>
              <w:bottom w:val="single" w:color="auto" w:sz="4" w:space="0"/>
            </w:tcBorders>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无偏离</w:t>
            </w:r>
          </w:p>
        </w:tc>
        <w:tc>
          <w:tcPr>
            <w:tcW w:w="1307" w:type="dxa"/>
            <w:tcBorders>
              <w:top w:val="single" w:color="auto" w:sz="4" w:space="0"/>
              <w:left w:val="single" w:color="auto" w:sz="4" w:space="0"/>
              <w:bottom w:val="single" w:color="auto" w:sz="4" w:space="0"/>
            </w:tcBorders>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（若无偏离，可参考此行内容并填写）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0"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pPr>
              <w:pStyle w:val="9"/>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0"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pPr>
              <w:pStyle w:val="9"/>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0"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pPr>
              <w:pStyle w:val="9"/>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0"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pPr>
              <w:pStyle w:val="9"/>
              <w:spacing w:line="360" w:lineRule="auto"/>
              <w:jc w:val="center"/>
              <w:rPr>
                <w:rFonts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pPr>
              <w:pStyle w:val="9"/>
              <w:spacing w:line="360" w:lineRule="auto"/>
              <w:jc w:val="center"/>
              <w:rPr>
                <w:rFonts w:ascii="仿宋" w:hAnsi="仿宋" w:eastAsia="仿宋" w:cs="仿宋"/>
                <w:color w:val="auto"/>
                <w:sz w:val="24"/>
                <w:highlight w:val="none"/>
              </w:rPr>
            </w:pPr>
          </w:p>
        </w:tc>
      </w:tr>
    </w:tbl>
    <w:p>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bidi="ar"/>
        </w:rPr>
        <w:t>注：报价人递交的询价响应文件中与询价文件的合同条款要求有不同时，应逐条列在合同条款偏离表中，否则将认为报价人接受询价文件的要求。</w:t>
      </w:r>
    </w:p>
    <w:p>
      <w:pPr>
        <w:adjustRightInd w:val="0"/>
        <w:snapToGrid w:val="0"/>
        <w:spacing w:line="360" w:lineRule="auto"/>
        <w:rPr>
          <w:rFonts w:ascii="仿宋" w:hAnsi="仿宋" w:eastAsia="仿宋" w:cs="仿宋"/>
          <w:color w:val="auto"/>
          <w:kern w:val="0"/>
          <w:highlight w:val="none"/>
          <w:lang w:val="zh-CN"/>
        </w:rPr>
      </w:pPr>
    </w:p>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报价人</w:t>
      </w:r>
      <w:r>
        <w:rPr>
          <w:rFonts w:hint="eastAsia" w:ascii="仿宋" w:hAnsi="仿宋" w:eastAsia="仿宋" w:cs="仿宋"/>
          <w:b/>
          <w:bCs/>
          <w:color w:val="auto"/>
          <w:kern w:val="0"/>
          <w:sz w:val="24"/>
          <w:highlight w:val="none"/>
          <w:lang w:val="zh-CN"/>
        </w:rPr>
        <w:t>（盖公章)</w:t>
      </w:r>
      <w:r>
        <w:rPr>
          <w:rFonts w:hint="eastAsia" w:ascii="仿宋" w:hAnsi="仿宋" w:eastAsia="仿宋" w:cs="仿宋"/>
          <w:color w:val="auto"/>
          <w:kern w:val="0"/>
          <w:sz w:val="24"/>
          <w:highlight w:val="none"/>
          <w:lang w:val="zh-CN"/>
        </w:rPr>
        <w:t>：</w:t>
      </w:r>
    </w:p>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法定代表人或授权委托人</w:t>
      </w:r>
      <w:r>
        <w:rPr>
          <w:rFonts w:hint="eastAsia" w:ascii="仿宋" w:hAnsi="仿宋" w:eastAsia="仿宋" w:cs="仿宋"/>
          <w:b/>
          <w:bCs/>
          <w:color w:val="auto"/>
          <w:kern w:val="0"/>
          <w:sz w:val="24"/>
          <w:highlight w:val="none"/>
          <w:lang w:val="zh-CN"/>
        </w:rPr>
        <w:t>(签字或盖章)</w:t>
      </w:r>
      <w:r>
        <w:rPr>
          <w:rFonts w:hint="eastAsia" w:ascii="仿宋" w:hAnsi="仿宋" w:eastAsia="仿宋" w:cs="仿宋"/>
          <w:color w:val="auto"/>
          <w:kern w:val="0"/>
          <w:sz w:val="24"/>
          <w:highlight w:val="none"/>
          <w:lang w:val="zh-CN"/>
        </w:rPr>
        <w:t>：</w:t>
      </w:r>
    </w:p>
    <w:p>
      <w:pPr>
        <w:adjustRightInd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pStyle w:val="9"/>
        <w:tabs>
          <w:tab w:val="left" w:pos="450"/>
        </w:tabs>
        <w:spacing w:line="360" w:lineRule="auto"/>
        <w:rPr>
          <w:rFonts w:ascii="仿宋" w:hAnsi="仿宋" w:eastAsia="仿宋" w:cs="仿宋"/>
          <w:color w:val="auto"/>
          <w:sz w:val="30"/>
          <w:highlight w:val="none"/>
          <w:lang w:val="zh-CN"/>
        </w:rPr>
      </w:pPr>
    </w:p>
    <w:p>
      <w:pPr>
        <w:pStyle w:val="9"/>
        <w:tabs>
          <w:tab w:val="left" w:pos="450"/>
        </w:tabs>
        <w:spacing w:line="360" w:lineRule="auto"/>
        <w:rPr>
          <w:rFonts w:ascii="仿宋" w:hAnsi="仿宋" w:eastAsia="仿宋" w:cs="仿宋"/>
          <w:b/>
          <w:color w:val="auto"/>
          <w:sz w:val="32"/>
          <w:szCs w:val="32"/>
          <w:highlight w:val="none"/>
        </w:rPr>
      </w:pPr>
    </w:p>
    <w:p>
      <w:pPr>
        <w:pStyle w:val="9"/>
        <w:spacing w:after="156" w:afterLines="50"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技术偏离表</w:t>
      </w:r>
    </w:p>
    <w:p>
      <w:pPr>
        <w:pStyle w:val="9"/>
        <w:topLinePunct/>
        <w:spacing w:line="360" w:lineRule="auto"/>
        <w:rPr>
          <w:rFonts w:ascii="仿宋" w:hAnsi="仿宋" w:eastAsia="仿宋" w:cs="仿宋"/>
          <w:color w:val="auto"/>
          <w:sz w:val="24"/>
          <w:highlight w:val="none"/>
          <w:u w:val="single"/>
        </w:rPr>
      </w:pPr>
      <w:r>
        <w:rPr>
          <w:rFonts w:hint="eastAsia" w:ascii="仿宋" w:hAnsi="仿宋" w:eastAsia="仿宋" w:cs="仿宋"/>
          <w:color w:val="auto"/>
          <w:sz w:val="24"/>
          <w:szCs w:val="28"/>
          <w:highlight w:val="none"/>
        </w:rPr>
        <w:t>项目名称：                                   项目编号：</w:t>
      </w:r>
      <w:r>
        <w:rPr>
          <w:rFonts w:hint="eastAsia" w:ascii="仿宋" w:hAnsi="仿宋" w:eastAsia="仿宋" w:cs="仿宋"/>
          <w:color w:val="auto"/>
          <w:sz w:val="24"/>
          <w:highlight w:val="none"/>
        </w:rPr>
        <w:t xml:space="preserve">     </w:t>
      </w:r>
    </w:p>
    <w:tbl>
      <w:tblPr>
        <w:tblStyle w:val="18"/>
        <w:tblW w:w="9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2640"/>
        <w:gridCol w:w="2880"/>
        <w:gridCol w:w="1065"/>
        <w:gridCol w:w="1606"/>
        <w:gridCol w:w="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询价文件技术要求内容</w:t>
            </w:r>
          </w:p>
        </w:tc>
        <w:tc>
          <w:tcPr>
            <w:tcW w:w="2880"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响应文件的技术要求内容</w:t>
            </w:r>
          </w:p>
        </w:tc>
        <w:tc>
          <w:tcPr>
            <w:tcW w:w="1065" w:type="dxa"/>
            <w:tcBorders>
              <w:top w:val="single" w:color="auto" w:sz="4" w:space="0"/>
              <w:left w:val="single" w:color="auto" w:sz="4" w:space="0"/>
              <w:bottom w:val="single" w:color="auto" w:sz="4" w:space="0"/>
              <w:right w:val="single" w:color="auto" w:sz="4" w:space="0"/>
            </w:tcBorders>
            <w:vAlign w:val="center"/>
          </w:tcPr>
          <w:p>
            <w:pPr>
              <w:pStyle w:val="9"/>
              <w:topLinePunct/>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w:t>
            </w:r>
          </w:p>
        </w:tc>
        <w:tc>
          <w:tcPr>
            <w:tcW w:w="1606" w:type="dxa"/>
            <w:tcBorders>
              <w:top w:val="single" w:color="auto" w:sz="4" w:space="0"/>
              <w:left w:val="single" w:color="auto" w:sz="4" w:space="0"/>
              <w:bottom w:val="single" w:color="auto" w:sz="4" w:space="0"/>
            </w:tcBorders>
            <w:vAlign w:val="center"/>
          </w:tcPr>
          <w:p>
            <w:pPr>
              <w:pStyle w:val="9"/>
              <w:topLinePunct/>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说明</w:t>
            </w:r>
          </w:p>
        </w:tc>
        <w:tc>
          <w:tcPr>
            <w:tcW w:w="862" w:type="dxa"/>
            <w:tcBorders>
              <w:top w:val="single" w:color="auto" w:sz="4" w:space="0"/>
              <w:left w:val="single" w:color="auto" w:sz="4" w:space="0"/>
              <w:bottom w:val="single" w:color="auto" w:sz="4" w:space="0"/>
            </w:tcBorders>
            <w:vAlign w:val="center"/>
          </w:tcPr>
          <w:p>
            <w:pPr>
              <w:pStyle w:val="9"/>
              <w:topLinePunct/>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证明材料页码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6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 w:val="24"/>
                <w:highlight w:val="none"/>
                <w:lang w:bidi="ar"/>
              </w:rPr>
              <w:t>询价文件所有技术要求</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kern w:val="44"/>
                <w:szCs w:val="21"/>
                <w:highlight w:val="none"/>
              </w:rPr>
            </w:pPr>
            <w:r>
              <w:rPr>
                <w:rFonts w:hint="eastAsia" w:ascii="仿宋" w:hAnsi="仿宋" w:eastAsia="仿宋" w:cs="仿宋"/>
                <w:color w:val="auto"/>
                <w:kern w:val="0"/>
                <w:sz w:val="24"/>
                <w:highlight w:val="none"/>
                <w:lang w:bidi="ar"/>
              </w:rPr>
              <w:t>按询价文件要求</w:t>
            </w:r>
          </w:p>
        </w:tc>
        <w:tc>
          <w:tcPr>
            <w:tcW w:w="1065" w:type="dxa"/>
            <w:tcBorders>
              <w:top w:val="single" w:color="auto" w:sz="4" w:space="0"/>
              <w:left w:val="single" w:color="auto" w:sz="4" w:space="0"/>
              <w:bottom w:val="single" w:color="auto" w:sz="4" w:space="0"/>
              <w:right w:val="single" w:color="auto" w:sz="4" w:space="0"/>
            </w:tcBorders>
            <w:vAlign w:val="center"/>
          </w:tcPr>
          <w:p>
            <w:pPr>
              <w:pStyle w:val="9"/>
              <w:topLinePunct/>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无偏离</w:t>
            </w:r>
          </w:p>
        </w:tc>
        <w:tc>
          <w:tcPr>
            <w:tcW w:w="1606" w:type="dxa"/>
            <w:tcBorders>
              <w:top w:val="single" w:color="auto" w:sz="4" w:space="0"/>
              <w:left w:val="single" w:color="auto" w:sz="4" w:space="0"/>
              <w:bottom w:val="single" w:color="auto" w:sz="4" w:space="0"/>
            </w:tcBorders>
            <w:vAlign w:val="center"/>
          </w:tcPr>
          <w:p>
            <w:pPr>
              <w:widowControl/>
              <w:spacing w:line="360" w:lineRule="auto"/>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（若无偏离，可参考此行内容并填写）</w:t>
            </w:r>
          </w:p>
        </w:tc>
        <w:tc>
          <w:tcPr>
            <w:tcW w:w="862" w:type="dxa"/>
            <w:tcBorders>
              <w:top w:val="single" w:color="auto" w:sz="4" w:space="0"/>
              <w:left w:val="single" w:color="auto" w:sz="4" w:space="0"/>
              <w:bottom w:val="single" w:color="auto" w:sz="4" w:space="0"/>
            </w:tcBorders>
            <w:vAlign w:val="center"/>
          </w:tcPr>
          <w:p>
            <w:pPr>
              <w:pStyle w:val="9"/>
              <w:topLinePunct/>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6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kern w:val="0"/>
                <w:sz w:val="24"/>
                <w:highlight w:val="none"/>
                <w:lang w:bidi="ar"/>
              </w:rPr>
            </w:pP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bCs/>
                <w:color w:val="auto"/>
                <w:kern w:val="44"/>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pStyle w:val="9"/>
              <w:topLinePunct/>
              <w:spacing w:line="360" w:lineRule="auto"/>
              <w:jc w:val="center"/>
              <w:rPr>
                <w:rFonts w:ascii="仿宋" w:hAnsi="仿宋" w:eastAsia="仿宋" w:cs="仿宋"/>
                <w:color w:val="auto"/>
                <w:kern w:val="0"/>
                <w:sz w:val="24"/>
                <w:highlight w:val="none"/>
                <w:lang w:bidi="ar"/>
              </w:rPr>
            </w:pPr>
          </w:p>
        </w:tc>
        <w:tc>
          <w:tcPr>
            <w:tcW w:w="1606" w:type="dxa"/>
            <w:tcBorders>
              <w:top w:val="single" w:color="auto" w:sz="4" w:space="0"/>
              <w:left w:val="single" w:color="auto" w:sz="4" w:space="0"/>
              <w:bottom w:val="single" w:color="auto" w:sz="4" w:space="0"/>
            </w:tcBorders>
            <w:vAlign w:val="center"/>
          </w:tcPr>
          <w:p>
            <w:pPr>
              <w:widowControl/>
              <w:spacing w:line="360" w:lineRule="auto"/>
              <w:jc w:val="left"/>
              <w:rPr>
                <w:rFonts w:ascii="仿宋" w:hAnsi="仿宋" w:eastAsia="仿宋" w:cs="仿宋"/>
                <w:b/>
                <w:bCs/>
                <w:color w:val="auto"/>
                <w:kern w:val="0"/>
                <w:sz w:val="24"/>
                <w:highlight w:val="none"/>
                <w:lang w:bidi="ar"/>
              </w:rPr>
            </w:pPr>
          </w:p>
        </w:tc>
        <w:tc>
          <w:tcPr>
            <w:tcW w:w="862" w:type="dxa"/>
            <w:tcBorders>
              <w:top w:val="single" w:color="auto" w:sz="4" w:space="0"/>
              <w:left w:val="single" w:color="auto" w:sz="4" w:space="0"/>
              <w:bottom w:val="single" w:color="auto" w:sz="4" w:space="0"/>
            </w:tcBorders>
            <w:vAlign w:val="center"/>
          </w:tcPr>
          <w:p>
            <w:pPr>
              <w:pStyle w:val="9"/>
              <w:topLinePunct/>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64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仿宋" w:hAnsi="仿宋" w:eastAsia="仿宋" w:cs="仿宋"/>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pPr>
              <w:pageBreakBefore/>
              <w:topLinePunct/>
              <w:spacing w:before="340" w:after="330" w:line="360" w:lineRule="auto"/>
              <w:outlineLvl w:val="0"/>
              <w:rPr>
                <w:rFonts w:ascii="仿宋" w:hAnsi="仿宋" w:eastAsia="仿宋" w:cs="仿宋"/>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pStyle w:val="9"/>
              <w:topLinePunct/>
              <w:spacing w:line="360" w:lineRule="auto"/>
              <w:jc w:val="center"/>
              <w:rPr>
                <w:rFonts w:ascii="仿宋" w:hAnsi="仿宋" w:eastAsia="仿宋" w:cs="仿宋"/>
                <w:color w:val="auto"/>
                <w:sz w:val="24"/>
                <w:highlight w:val="none"/>
              </w:rPr>
            </w:pPr>
          </w:p>
        </w:tc>
        <w:tc>
          <w:tcPr>
            <w:tcW w:w="1606" w:type="dxa"/>
            <w:tcBorders>
              <w:top w:val="single" w:color="auto" w:sz="4" w:space="0"/>
              <w:left w:val="single" w:color="auto" w:sz="4" w:space="0"/>
              <w:bottom w:val="single" w:color="auto" w:sz="4" w:space="0"/>
            </w:tcBorders>
            <w:vAlign w:val="center"/>
          </w:tcPr>
          <w:p>
            <w:pPr>
              <w:pStyle w:val="9"/>
              <w:topLinePunct/>
              <w:spacing w:line="360" w:lineRule="auto"/>
              <w:jc w:val="center"/>
              <w:rPr>
                <w:rFonts w:ascii="仿宋" w:hAnsi="仿宋" w:eastAsia="仿宋" w:cs="仿宋"/>
                <w:color w:val="auto"/>
                <w:sz w:val="24"/>
                <w:highlight w:val="none"/>
              </w:rPr>
            </w:pPr>
          </w:p>
        </w:tc>
        <w:tc>
          <w:tcPr>
            <w:tcW w:w="862" w:type="dxa"/>
            <w:tcBorders>
              <w:top w:val="single" w:color="auto" w:sz="4" w:space="0"/>
              <w:left w:val="single" w:color="auto" w:sz="4" w:space="0"/>
              <w:bottom w:val="single" w:color="auto" w:sz="4" w:space="0"/>
            </w:tcBorders>
            <w:vAlign w:val="center"/>
          </w:tcPr>
          <w:p>
            <w:pPr>
              <w:pStyle w:val="9"/>
              <w:topLinePunct/>
              <w:spacing w:line="360" w:lineRule="auto"/>
              <w:jc w:val="center"/>
              <w:rPr>
                <w:rFonts w:ascii="仿宋" w:hAnsi="仿宋" w:eastAsia="仿宋" w:cs="仿宋"/>
                <w:color w:val="auto"/>
                <w:sz w:val="24"/>
                <w:highlight w:val="none"/>
              </w:rPr>
            </w:pPr>
          </w:p>
        </w:tc>
      </w:tr>
    </w:tbl>
    <w:p>
      <w:pPr>
        <w:topLinePunct/>
        <w:spacing w:line="360" w:lineRule="auto"/>
        <w:rPr>
          <w:rFonts w:ascii="仿宋" w:hAnsi="仿宋" w:eastAsia="仿宋" w:cs="仿宋"/>
          <w:bCs/>
          <w:color w:val="auto"/>
          <w:szCs w:val="21"/>
          <w:highlight w:val="none"/>
        </w:rPr>
      </w:pPr>
      <w:r>
        <w:rPr>
          <w:rFonts w:hint="eastAsia" w:ascii="仿宋" w:hAnsi="仿宋" w:eastAsia="仿宋" w:cs="仿宋"/>
          <w:color w:val="auto"/>
          <w:highlight w:val="none"/>
        </w:rPr>
        <w:t>注：</w:t>
      </w:r>
      <w:r>
        <w:rPr>
          <w:rFonts w:hint="eastAsia" w:ascii="仿宋" w:hAnsi="仿宋" w:eastAsia="仿宋" w:cs="仿宋"/>
          <w:bCs/>
          <w:color w:val="auto"/>
          <w:szCs w:val="21"/>
          <w:highlight w:val="none"/>
        </w:rPr>
        <w:t>1.请报价人在“偏离”栏内根据响应情况填写“无偏离、或负偏离、或正偏离”，负偏离或正偏离请在“偏离说明”栏内扼要说明偏离情况。需要提供证明材料的标注页码。</w:t>
      </w:r>
    </w:p>
    <w:p>
      <w:pPr>
        <w:pStyle w:val="9"/>
        <w:topLinePunct/>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2.询价文件第三部分采购需求和技术要求中“二、技术要求”要求提供证明材料而未提供的，视为负偏离；未要求提供证明材料的以技术偏离表响应为准。</w:t>
      </w:r>
    </w:p>
    <w:p>
      <w:pPr>
        <w:topLinePunct/>
        <w:adjustRightInd w:val="0"/>
        <w:snapToGrid w:val="0"/>
        <w:spacing w:line="360" w:lineRule="auto"/>
        <w:rPr>
          <w:rFonts w:ascii="仿宋" w:hAnsi="仿宋" w:eastAsia="仿宋" w:cs="仿宋"/>
          <w:color w:val="auto"/>
          <w:kern w:val="0"/>
          <w:szCs w:val="21"/>
          <w:highlight w:val="none"/>
          <w:lang w:val="zh-CN"/>
        </w:rPr>
      </w:pPr>
    </w:p>
    <w:p>
      <w:pPr>
        <w:topLinePunct/>
        <w:adjustRightInd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报价人</w:t>
      </w:r>
      <w:r>
        <w:rPr>
          <w:rFonts w:hint="eastAsia" w:ascii="仿宋" w:hAnsi="仿宋" w:eastAsia="仿宋" w:cs="仿宋"/>
          <w:b/>
          <w:bCs/>
          <w:color w:val="auto"/>
          <w:kern w:val="0"/>
          <w:sz w:val="24"/>
          <w:highlight w:val="none"/>
          <w:lang w:val="zh-CN"/>
        </w:rPr>
        <w:t>（盖公章)</w:t>
      </w:r>
      <w:r>
        <w:rPr>
          <w:rFonts w:hint="eastAsia" w:ascii="仿宋" w:hAnsi="仿宋" w:eastAsia="仿宋" w:cs="仿宋"/>
          <w:color w:val="auto"/>
          <w:kern w:val="0"/>
          <w:sz w:val="24"/>
          <w:highlight w:val="none"/>
          <w:lang w:val="zh-CN"/>
        </w:rPr>
        <w:t>：</w:t>
      </w:r>
    </w:p>
    <w:p>
      <w:pPr>
        <w:adjustRightInd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法定代表人或授权委托人</w:t>
      </w:r>
      <w:r>
        <w:rPr>
          <w:rFonts w:hint="eastAsia" w:ascii="仿宋" w:hAnsi="仿宋" w:eastAsia="仿宋" w:cs="仿宋"/>
          <w:b/>
          <w:bCs/>
          <w:color w:val="auto"/>
          <w:kern w:val="0"/>
          <w:sz w:val="24"/>
          <w:highlight w:val="none"/>
          <w:lang w:val="zh-CN"/>
        </w:rPr>
        <w:t>(签字或盖章)</w:t>
      </w:r>
      <w:r>
        <w:rPr>
          <w:rFonts w:hint="eastAsia" w:ascii="仿宋" w:hAnsi="仿宋" w:eastAsia="仿宋" w:cs="仿宋"/>
          <w:color w:val="auto"/>
          <w:kern w:val="0"/>
          <w:sz w:val="24"/>
          <w:highlight w:val="none"/>
          <w:lang w:val="zh-CN"/>
        </w:rPr>
        <w:t>：</w:t>
      </w:r>
    </w:p>
    <w:p>
      <w:pPr>
        <w:topLinePunct/>
        <w:adjustRightInd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年  月  日</w:t>
      </w:r>
    </w:p>
    <w:p>
      <w:pPr>
        <w:pStyle w:val="2"/>
        <w:rPr>
          <w:rFonts w:ascii="仿宋" w:hAnsi="仿宋" w:eastAsia="仿宋" w:cs="仿宋"/>
          <w:color w:val="auto"/>
          <w:highlight w:val="none"/>
        </w:rPr>
      </w:pPr>
    </w:p>
    <w:bookmarkEnd w:id="184"/>
    <w:bookmarkEnd w:id="185"/>
    <w:bookmarkEnd w:id="186"/>
    <w:p>
      <w:pPr>
        <w:pStyle w:val="17"/>
        <w:spacing w:line="360" w:lineRule="auto"/>
        <w:ind w:left="0" w:leftChars="0" w:firstLine="0"/>
        <w:rPr>
          <w:rFonts w:hint="default" w:ascii="仿宋" w:hAnsi="仿宋" w:eastAsia="仿宋" w:cs="仿宋"/>
          <w:color w:val="auto"/>
          <w:highlight w:val="none"/>
        </w:rPr>
      </w:pPr>
    </w:p>
    <w:p>
      <w:pPr>
        <w:spacing w:line="360" w:lineRule="auto"/>
        <w:rPr>
          <w:rFonts w:ascii="仿宋" w:hAnsi="仿宋" w:eastAsia="仿宋" w:cs="仿宋"/>
          <w:color w:val="auto"/>
          <w:highlight w:val="none"/>
        </w:rPr>
      </w:pPr>
    </w:p>
    <w:sectPr>
      <w:headerReference r:id="rId4" w:type="default"/>
      <w:footerReference r:id="rId5" w:type="default"/>
      <w:pgSz w:w="11906" w:h="16838"/>
      <w:pgMar w:top="1440" w:right="1474"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DF4D9"/>
    <w:multiLevelType w:val="singleLevel"/>
    <w:tmpl w:val="889DF4D9"/>
    <w:lvl w:ilvl="0" w:tentative="0">
      <w:start w:val="1"/>
      <w:numFmt w:val="chineseCounting"/>
      <w:suff w:val="nothing"/>
      <w:lvlText w:val="第%1章、"/>
      <w:lvlJc w:val="left"/>
      <w:rPr>
        <w:rFonts w:hint="eastAsia"/>
      </w:rPr>
    </w:lvl>
  </w:abstractNum>
  <w:abstractNum w:abstractNumId="1">
    <w:nsid w:val="CBC69080"/>
    <w:multiLevelType w:val="singleLevel"/>
    <w:tmpl w:val="CBC69080"/>
    <w:lvl w:ilvl="0" w:tentative="0">
      <w:start w:val="1"/>
      <w:numFmt w:val="decimal"/>
      <w:suff w:val="nothing"/>
      <w:lvlText w:val="%1、"/>
      <w:lvlJc w:val="left"/>
    </w:lvl>
  </w:abstractNum>
  <w:abstractNum w:abstractNumId="2">
    <w:nsid w:val="E1568DB5"/>
    <w:multiLevelType w:val="singleLevel"/>
    <w:tmpl w:val="E1568DB5"/>
    <w:lvl w:ilvl="0" w:tentative="0">
      <w:start w:val="1"/>
      <w:numFmt w:val="decimal"/>
      <w:suff w:val="nothing"/>
      <w:lvlText w:val="（%1）"/>
      <w:lvlJc w:val="left"/>
    </w:lvl>
  </w:abstractNum>
  <w:abstractNum w:abstractNumId="3">
    <w:nsid w:val="E4616D93"/>
    <w:multiLevelType w:val="singleLevel"/>
    <w:tmpl w:val="E4616D93"/>
    <w:lvl w:ilvl="0" w:tentative="0">
      <w:start w:val="1"/>
      <w:numFmt w:val="chineseCounting"/>
      <w:suff w:val="nothing"/>
      <w:lvlText w:val="%1、"/>
      <w:lvlJc w:val="left"/>
      <w:rPr>
        <w:rFonts w:hint="eastAsia"/>
      </w:rPr>
    </w:lvl>
  </w:abstractNum>
  <w:abstractNum w:abstractNumId="4">
    <w:nsid w:val="22E596BD"/>
    <w:multiLevelType w:val="singleLevel"/>
    <w:tmpl w:val="22E596BD"/>
    <w:lvl w:ilvl="0" w:tentative="0">
      <w:start w:val="1"/>
      <w:numFmt w:val="decimal"/>
      <w:suff w:val="nothing"/>
      <w:lvlText w:val="%1、"/>
      <w:lvlJc w:val="left"/>
      <w:pPr>
        <w:ind w:left="-60"/>
      </w:pPr>
    </w:lvl>
  </w:abstractNum>
  <w:abstractNum w:abstractNumId="5">
    <w:nsid w:val="586EA9E8"/>
    <w:multiLevelType w:val="singleLevel"/>
    <w:tmpl w:val="586EA9E8"/>
    <w:lvl w:ilvl="0" w:tentative="0">
      <w:start w:val="1"/>
      <w:numFmt w:val="decimal"/>
      <w:suff w:val="nothing"/>
      <w:lvlText w:val="%1、"/>
      <w:lvlJc w:val="left"/>
    </w:lvl>
  </w:abstractNum>
  <w:abstractNum w:abstractNumId="6">
    <w:nsid w:val="676EB924"/>
    <w:multiLevelType w:val="singleLevel"/>
    <w:tmpl w:val="676EB924"/>
    <w:lvl w:ilvl="0" w:tentative="0">
      <w:start w:val="1"/>
      <w:numFmt w:val="decimal"/>
      <w:lvlText w:val="%1."/>
      <w:lvlJc w:val="left"/>
      <w:pPr>
        <w:tabs>
          <w:tab w:val="left" w:pos="312"/>
        </w:tabs>
      </w:pPr>
    </w:lvl>
  </w:abstractNum>
  <w:abstractNum w:abstractNumId="7">
    <w:nsid w:val="75ED6290"/>
    <w:multiLevelType w:val="singleLevel"/>
    <w:tmpl w:val="75ED6290"/>
    <w:lvl w:ilvl="0" w:tentative="0">
      <w:start w:val="9"/>
      <w:numFmt w:val="chineseCounting"/>
      <w:suff w:val="nothing"/>
      <w:lvlText w:val="%1、"/>
      <w:lvlJc w:val="left"/>
      <w:rPr>
        <w:rFonts w:hint="eastAsia"/>
      </w:rPr>
    </w:lvl>
  </w:abstractNum>
  <w:abstractNum w:abstractNumId="8">
    <w:nsid w:val="7DB1300B"/>
    <w:multiLevelType w:val="singleLevel"/>
    <w:tmpl w:val="7DB1300B"/>
    <w:lvl w:ilvl="0" w:tentative="0">
      <w:start w:val="5"/>
      <w:numFmt w:val="chineseCounting"/>
      <w:suff w:val="nothing"/>
      <w:lvlText w:val="第%1章、"/>
      <w:lvlJc w:val="left"/>
      <w:rPr>
        <w:rFonts w:hint="eastAsia"/>
      </w:r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3NzI0NjI4MmJiOGVjOTI4YmM2Mjk2OWEzNzYzNDcifQ=="/>
  </w:docVars>
  <w:rsids>
    <w:rsidRoot w:val="429E11A5"/>
    <w:rsid w:val="001436CB"/>
    <w:rsid w:val="003B528F"/>
    <w:rsid w:val="003E5C31"/>
    <w:rsid w:val="004F2A40"/>
    <w:rsid w:val="00692A1B"/>
    <w:rsid w:val="00736DC4"/>
    <w:rsid w:val="00764994"/>
    <w:rsid w:val="007F4F3E"/>
    <w:rsid w:val="008C6807"/>
    <w:rsid w:val="009A4B7F"/>
    <w:rsid w:val="00A12689"/>
    <w:rsid w:val="00A57592"/>
    <w:rsid w:val="00BB6275"/>
    <w:rsid w:val="00D751FD"/>
    <w:rsid w:val="00D86CF4"/>
    <w:rsid w:val="00E74A03"/>
    <w:rsid w:val="00FA2F46"/>
    <w:rsid w:val="00FC3052"/>
    <w:rsid w:val="01D447A3"/>
    <w:rsid w:val="03693CE7"/>
    <w:rsid w:val="039913A0"/>
    <w:rsid w:val="0678272A"/>
    <w:rsid w:val="076E54E8"/>
    <w:rsid w:val="07A443A2"/>
    <w:rsid w:val="09BF1E8A"/>
    <w:rsid w:val="0B9C171C"/>
    <w:rsid w:val="0BB97B45"/>
    <w:rsid w:val="0C793AF8"/>
    <w:rsid w:val="0C7A678E"/>
    <w:rsid w:val="0DF3012B"/>
    <w:rsid w:val="0E1F30A7"/>
    <w:rsid w:val="0E777BCF"/>
    <w:rsid w:val="0F4E46CF"/>
    <w:rsid w:val="10AD6EE0"/>
    <w:rsid w:val="10CA6968"/>
    <w:rsid w:val="128B5D91"/>
    <w:rsid w:val="14323926"/>
    <w:rsid w:val="173619DD"/>
    <w:rsid w:val="196547FC"/>
    <w:rsid w:val="19EC6364"/>
    <w:rsid w:val="1A947CDC"/>
    <w:rsid w:val="1CE26164"/>
    <w:rsid w:val="1FC5776E"/>
    <w:rsid w:val="23AE6D9F"/>
    <w:rsid w:val="2452402E"/>
    <w:rsid w:val="26A63BB0"/>
    <w:rsid w:val="28143931"/>
    <w:rsid w:val="28665E9B"/>
    <w:rsid w:val="286F6DA3"/>
    <w:rsid w:val="287774B7"/>
    <w:rsid w:val="2890116A"/>
    <w:rsid w:val="2C412EA7"/>
    <w:rsid w:val="2D1C430A"/>
    <w:rsid w:val="2EFF4953"/>
    <w:rsid w:val="2F7662A8"/>
    <w:rsid w:val="2FBC45F2"/>
    <w:rsid w:val="315144CB"/>
    <w:rsid w:val="31B23F62"/>
    <w:rsid w:val="32140715"/>
    <w:rsid w:val="3406620D"/>
    <w:rsid w:val="36C4488C"/>
    <w:rsid w:val="373EACB0"/>
    <w:rsid w:val="37FA7079"/>
    <w:rsid w:val="391F631E"/>
    <w:rsid w:val="39FA54B1"/>
    <w:rsid w:val="3C77021F"/>
    <w:rsid w:val="3D2779DD"/>
    <w:rsid w:val="3EBB7247"/>
    <w:rsid w:val="3EBB9E50"/>
    <w:rsid w:val="403C2CC6"/>
    <w:rsid w:val="42485B6D"/>
    <w:rsid w:val="429E11A5"/>
    <w:rsid w:val="438C714B"/>
    <w:rsid w:val="452E7299"/>
    <w:rsid w:val="460A5C60"/>
    <w:rsid w:val="47770F15"/>
    <w:rsid w:val="48CD1B12"/>
    <w:rsid w:val="490C7269"/>
    <w:rsid w:val="496F0B28"/>
    <w:rsid w:val="4A153B65"/>
    <w:rsid w:val="4C390047"/>
    <w:rsid w:val="4F333DB0"/>
    <w:rsid w:val="4F385185"/>
    <w:rsid w:val="4FEE57F3"/>
    <w:rsid w:val="50A8054F"/>
    <w:rsid w:val="53195B05"/>
    <w:rsid w:val="54B361ED"/>
    <w:rsid w:val="563377DE"/>
    <w:rsid w:val="5DA404B8"/>
    <w:rsid w:val="5DD72473"/>
    <w:rsid w:val="5E4956F8"/>
    <w:rsid w:val="5F7C2D9D"/>
    <w:rsid w:val="61DF3FED"/>
    <w:rsid w:val="633839B4"/>
    <w:rsid w:val="65A830AA"/>
    <w:rsid w:val="67D81501"/>
    <w:rsid w:val="69301137"/>
    <w:rsid w:val="6A1F692C"/>
    <w:rsid w:val="6A57516F"/>
    <w:rsid w:val="6B604D7B"/>
    <w:rsid w:val="6D0E1933"/>
    <w:rsid w:val="6D8610E8"/>
    <w:rsid w:val="6E510020"/>
    <w:rsid w:val="7038592B"/>
    <w:rsid w:val="71CD3E62"/>
    <w:rsid w:val="72794EF9"/>
    <w:rsid w:val="729C5EC3"/>
    <w:rsid w:val="73EC4A73"/>
    <w:rsid w:val="742064C0"/>
    <w:rsid w:val="74566390"/>
    <w:rsid w:val="74BE5317"/>
    <w:rsid w:val="762E702B"/>
    <w:rsid w:val="79BA509B"/>
    <w:rsid w:val="7A102AD6"/>
    <w:rsid w:val="7C4F54A3"/>
    <w:rsid w:val="7CCF0A8E"/>
    <w:rsid w:val="7CED5D83"/>
    <w:rsid w:val="7D944F65"/>
    <w:rsid w:val="7E6B0C8A"/>
    <w:rsid w:val="7E8C7FDE"/>
    <w:rsid w:val="7FFD4A80"/>
    <w:rsid w:val="9E7B7DD6"/>
    <w:rsid w:val="FBBBD8BA"/>
    <w:rsid w:val="FEEB75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1"/>
    <w:pPr>
      <w:keepNext/>
      <w:keepLines/>
      <w:adjustRightInd w:val="0"/>
      <w:snapToGrid w:val="0"/>
      <w:spacing w:line="360" w:lineRule="auto"/>
      <w:jc w:val="left"/>
      <w:outlineLvl w:val="2"/>
    </w:pPr>
    <w:rPr>
      <w:rFonts w:ascii="宋体" w:hAnsi="宋体"/>
      <w:b/>
      <w:bCs/>
      <w:kern w:val="0"/>
      <w:sz w:val="20"/>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pPr>
    <w:rPr>
      <w:rFonts w:ascii="宋体"/>
      <w:sz w:val="24"/>
      <w:lang w:val="zh-CN"/>
    </w:rPr>
  </w:style>
  <w:style w:type="paragraph" w:customStyle="1" w:styleId="3">
    <w:name w:val="_Style 2"/>
    <w:basedOn w:val="1"/>
    <w:qFormat/>
    <w:uiPriority w:val="34"/>
    <w:pPr>
      <w:ind w:firstLine="420" w:firstLineChars="200"/>
    </w:pPr>
    <w:rPr>
      <w:rFonts w:ascii="Calibri" w:hAnsi="Calibri"/>
      <w:szCs w:val="22"/>
    </w:rPr>
  </w:style>
  <w:style w:type="paragraph" w:styleId="7">
    <w:name w:val="Normal Indent"/>
    <w:basedOn w:val="1"/>
    <w:next w:val="1"/>
    <w:qFormat/>
    <w:uiPriority w:val="0"/>
    <w:pPr>
      <w:ind w:firstLine="420"/>
    </w:pPr>
  </w:style>
  <w:style w:type="paragraph" w:styleId="8">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9">
    <w:name w:val="Plain Text"/>
    <w:basedOn w:val="1"/>
    <w:qFormat/>
    <w:uiPriority w:val="0"/>
    <w:rPr>
      <w:rFonts w:ascii="宋体" w:hAnsi="Courier New"/>
    </w:rPr>
  </w:style>
  <w:style w:type="paragraph" w:styleId="10">
    <w:name w:val="Date"/>
    <w:basedOn w:val="1"/>
    <w:next w:val="1"/>
    <w:qFormat/>
    <w:uiPriority w:val="0"/>
    <w:rPr>
      <w:spacing w:val="20"/>
      <w:sz w:val="28"/>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toc 1"/>
    <w:basedOn w:val="1"/>
    <w:next w:val="1"/>
    <w:qFormat/>
    <w:uiPriority w:val="39"/>
    <w:pPr>
      <w:tabs>
        <w:tab w:val="left" w:pos="840"/>
        <w:tab w:val="right" w:leader="dot" w:pos="8296"/>
      </w:tabs>
    </w:pPr>
  </w:style>
  <w:style w:type="paragraph" w:styleId="13">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14">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w:basedOn w:val="2"/>
    <w:next w:val="1"/>
    <w:qFormat/>
    <w:uiPriority w:val="0"/>
    <w:pPr>
      <w:ind w:firstLine="420"/>
    </w:pPr>
  </w:style>
  <w:style w:type="paragraph" w:styleId="17">
    <w:name w:val="Body Text First Indent 2"/>
    <w:basedOn w:val="8"/>
    <w:next w:val="16"/>
    <w:qFormat/>
    <w:uiPriority w:val="0"/>
    <w:pPr>
      <w:adjustRightInd/>
      <w:spacing w:after="120" w:line="240" w:lineRule="auto"/>
      <w:ind w:left="420" w:leftChars="200" w:firstLine="210"/>
    </w:pPr>
    <w:rPr>
      <w:sz w:val="21"/>
    </w:r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semiHidden/>
    <w:unhideWhenUsed/>
    <w:qFormat/>
    <w:uiPriority w:val="0"/>
    <w:rPr>
      <w:color w:val="0000FF"/>
      <w:u w:val="single"/>
    </w:rPr>
  </w:style>
  <w:style w:type="character" w:styleId="23">
    <w:name w:val="HTML Sample"/>
    <w:basedOn w:val="19"/>
    <w:qFormat/>
    <w:uiPriority w:val="0"/>
    <w:rPr>
      <w:rFonts w:ascii="Courier New" w:hAnsi="Courier New"/>
    </w:rPr>
  </w:style>
  <w:style w:type="paragraph" w:styleId="24">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25">
    <w:name w:val="[Normal]"/>
    <w:qFormat/>
    <w:uiPriority w:val="0"/>
    <w:rPr>
      <w:rFonts w:ascii="宋体" w:hAnsi="宋体" w:eastAsia="宋体" w:cs="Times New Roman"/>
      <w:sz w:val="24"/>
      <w:szCs w:val="22"/>
      <w:lang w:val="zh-CN" w:eastAsia="zh-CN" w:bidi="ar-SA"/>
    </w:rPr>
  </w:style>
  <w:style w:type="character" w:customStyle="1" w:styleId="26">
    <w:name w:val="font11"/>
    <w:basedOn w:val="19"/>
    <w:qFormat/>
    <w:uiPriority w:val="0"/>
    <w:rPr>
      <w:rFonts w:hint="eastAsia" w:ascii="等线" w:hAnsi="等线" w:eastAsia="等线" w:cs="等线"/>
      <w:b/>
      <w:bCs/>
      <w:color w:val="000000"/>
      <w:sz w:val="16"/>
      <w:szCs w:val="16"/>
      <w:u w:val="none"/>
    </w:rPr>
  </w:style>
  <w:style w:type="character" w:customStyle="1" w:styleId="27">
    <w:name w:val="font41"/>
    <w:basedOn w:val="19"/>
    <w:qFormat/>
    <w:uiPriority w:val="0"/>
    <w:rPr>
      <w:rFonts w:ascii="宋体" w:hAnsi="宋体" w:eastAsia="宋体" w:cs="宋体"/>
      <w:color w:val="000000"/>
      <w:sz w:val="16"/>
      <w:szCs w:val="16"/>
      <w:u w:val="none"/>
    </w:rPr>
  </w:style>
  <w:style w:type="character" w:customStyle="1" w:styleId="28">
    <w:name w:val="font71"/>
    <w:basedOn w:val="19"/>
    <w:qFormat/>
    <w:uiPriority w:val="0"/>
    <w:rPr>
      <w:rFonts w:hint="default" w:ascii="Arial" w:hAnsi="Arial" w:cs="Arial"/>
      <w:color w:val="000000"/>
      <w:sz w:val="7"/>
      <w:szCs w:val="7"/>
      <w:u w:val="none"/>
    </w:rPr>
  </w:style>
  <w:style w:type="character" w:customStyle="1" w:styleId="29">
    <w:name w:val="font61"/>
    <w:basedOn w:val="19"/>
    <w:qFormat/>
    <w:uiPriority w:val="0"/>
    <w:rPr>
      <w:rFonts w:hint="eastAsia" w:ascii="等线" w:hAnsi="等线" w:eastAsia="等线" w:cs="等线"/>
      <w:b/>
      <w:bCs/>
      <w:color w:val="000000"/>
      <w:sz w:val="16"/>
      <w:szCs w:val="16"/>
      <w:u w:val="none"/>
    </w:rPr>
  </w:style>
  <w:style w:type="character" w:customStyle="1" w:styleId="30">
    <w:name w:val="font31"/>
    <w:basedOn w:val="19"/>
    <w:qFormat/>
    <w:uiPriority w:val="0"/>
    <w:rPr>
      <w:rFonts w:ascii="宋体" w:hAnsi="宋体" w:eastAsia="宋体" w:cs="宋体"/>
      <w:color w:val="000000"/>
      <w:sz w:val="16"/>
      <w:szCs w:val="16"/>
      <w:u w:val="none"/>
    </w:rPr>
  </w:style>
  <w:style w:type="paragraph" w:customStyle="1" w:styleId="31">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font21"/>
    <w:basedOn w:val="19"/>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31</Pages>
  <Words>7548</Words>
  <Characters>8202</Characters>
  <Lines>117</Lines>
  <Paragraphs>33</Paragraphs>
  <TotalTime>26</TotalTime>
  <ScaleCrop>false</ScaleCrop>
  <LinksUpToDate>false</LinksUpToDate>
  <CharactersWithSpaces>8469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2024-10-12T04:45:00Z</dcterms:created>
  <dc:creator>王羽蓉</dc:creator>
  <cp:lastModifiedBy>王羽蓉</cp:lastModifiedBy>
  <cp:lastPrinted>2025-02-13T03:29:00Z</cp:lastPrinted>
  <dcterms:modified xsi:type="dcterms:W3CDTF">2025-02-17T01:58:15Z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7AE9B9F084E829CABB020D673BA062B1_43</vt:lpwstr>
  </property>
  <property fmtid="{D5CDD505-2E9C-101B-9397-08002B2CF9AE}" pid="4" name="KSOTemplateDocerSaveRecord">
    <vt:lpwstr>eyJoZGlkIjoiOTU5NzgyYmU1OTZhOTU1Y2YxYzkyYTBkYmY1MDEwYTEiLCJ1c2VySWQiOiIxNTkwNjY1MTc2In0=</vt:lpwstr>
  </property>
</Properties>
</file>