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keepNext w:val="0"/>
        <w:keepLines w:val="0"/>
        <w:widowControl/>
        <w:suppressLineNumbers w:val="0"/>
        <w:spacing w:before="60" w:beforeAutospacing="0" w:after="60" w:afterAutospacing="0" w:line="360" w:lineRule="auto"/>
        <w:ind w:left="0" w:right="0" w:firstLine="384"/>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浙江天平项目咨询有限公司关于绍兴市上虞区特色小镇投资建设有限公司2025-2026年度惠普广场物业管理项目的征求意见</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 征求意见范围：</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1、是否出现明显的倾向性意见和特定的性能指标；</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2、影响政府采购“公开、公平、公正”原则的其他情况。</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 合格投标人：</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1．具有独立承担民事责任能力；</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2．具有良好的商业信誉；</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3．具有履行合同所必需的设备和专业技术、售后保障等能力；</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4．有依法缴纳税收和社会保障资金的良好记录；</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5．参加采购活动前三年内，没有重大违法记录、严重失信行为和行贿记录；</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6．法律、行政法规规定的其他条件；</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7．本项目不允许联合体投标；</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本次招标采用资格后审的审查方式，由采购人负责审查。</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 征求意见回复：</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1、意见递交时间：2024年</w:t>
      </w:r>
      <w:r>
        <w:rPr>
          <w:rFonts w:hint="eastAsia" w:ascii="宋体" w:hAnsi="宋体" w:eastAsia="宋体" w:cs="宋体"/>
          <w:i w:val="0"/>
          <w:iCs w:val="0"/>
          <w:caps w:val="0"/>
          <w:color w:val="000000"/>
          <w:spacing w:val="0"/>
          <w:sz w:val="24"/>
          <w:szCs w:val="24"/>
        </w:rPr>
        <w:t>12</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rPr>
        <w:t>06</w:t>
      </w:r>
      <w:r>
        <w:rPr>
          <w:rFonts w:hint="eastAsia" w:ascii="宋体" w:hAnsi="宋体" w:eastAsia="宋体" w:cs="宋体"/>
          <w:i w:val="0"/>
          <w:iCs w:val="0"/>
          <w:caps w:val="0"/>
          <w:color w:val="000000"/>
          <w:spacing w:val="0"/>
          <w:sz w:val="24"/>
          <w:szCs w:val="24"/>
        </w:rPr>
        <w:t>日17时00分前（节假日除外）递交。</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意见递交方式：各供应商及专家提出修改理由和建议的，将书面材料签字（盖章）并密封后送至浙江天平项目咨询有限公司（上虞区百官街道江东北路588号百官广场11楼11-3），外地可扫描件发送邮箱至342272013@qq.com扫描件必须签字（盖章）。</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3、意见接收机构：浙江天平项目咨询有限公司/绍兴市上虞区特色小镇投资建设有限公司</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4、联系人：陈先生/任先生</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5、联系电话：13587399711/0575-81289915</w:t>
      </w:r>
    </w:p>
    <w:p>
      <w:pPr>
        <w:pStyle w:val="31"/>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p>
    <w:p>
      <w:pPr>
        <w:pStyle w:val="31"/>
        <w:keepNext w:val="0"/>
        <w:keepLines w:val="0"/>
        <w:widowControl/>
        <w:suppressLineNumbers w:val="0"/>
        <w:spacing w:before="60" w:beforeAutospacing="0" w:after="60" w:afterAutospacing="0" w:line="360" w:lineRule="auto"/>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绍兴市上虞区特色小镇投资建设有限公司</w:t>
      </w:r>
    </w:p>
    <w:p>
      <w:pPr>
        <w:pStyle w:val="31"/>
        <w:keepNext w:val="0"/>
        <w:keepLines w:val="0"/>
        <w:widowControl/>
        <w:suppressLineNumbers w:val="0"/>
        <w:spacing w:before="60" w:beforeAutospacing="0" w:after="60" w:afterAutospacing="0" w:line="360" w:lineRule="auto"/>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浙江天平项目咨询有限公司</w:t>
      </w:r>
    </w:p>
    <w:p>
      <w:pPr>
        <w:pStyle w:val="95"/>
        <w:bidi w:val="0"/>
        <w:rPr>
          <w:bCs/>
          <w:iCs/>
          <w:color w:val="auto"/>
          <w:sz w:val="40"/>
          <w:szCs w:val="40"/>
          <w:highlight w:val="none"/>
        </w:rPr>
        <w:sectPr>
          <w:footerReference r:id="rId3" w:type="default"/>
          <w:pgSz w:w="11907" w:h="16840"/>
          <w:pgMar w:top="1418" w:right="1417" w:bottom="1418" w:left="1417" w:header="851" w:footer="618" w:gutter="0"/>
          <w:cols w:space="720" w:num="1"/>
          <w:docGrid w:type="lines" w:linePitch="312" w:charSpace="0"/>
        </w:sectPr>
      </w:pPr>
    </w:p>
    <w:p>
      <w:pPr>
        <w:pStyle w:val="95"/>
        <w:bidi w:val="0"/>
        <w:rPr>
          <w:rFonts w:hint="eastAsia" w:eastAsia="宋体"/>
          <w:color w:val="auto"/>
          <w:sz w:val="40"/>
          <w:szCs w:val="40"/>
          <w:highlight w:val="none"/>
          <w:lang w:eastAsia="zh-CN"/>
        </w:rPr>
      </w:pPr>
      <w:r>
        <w:rPr>
          <w:bCs/>
          <w:iCs/>
          <w:color w:val="auto"/>
          <w:sz w:val="40"/>
          <w:szCs w:val="40"/>
          <w:highlight w:val="none"/>
        </w:rPr>
        <w:t>项目名称：</w:t>
      </w:r>
      <w:r>
        <w:rPr>
          <w:rFonts w:hint="eastAsia"/>
          <w:b/>
          <w:iCs/>
          <w:color w:val="auto"/>
          <w:sz w:val="40"/>
          <w:szCs w:val="40"/>
          <w:highlight w:val="none"/>
          <w:u w:val="single"/>
          <w:lang w:eastAsia="zh-CN"/>
        </w:rPr>
        <w:t>2025-2026年度惠普广场物业管理项目</w:t>
      </w:r>
    </w:p>
    <w:p>
      <w:pPr>
        <w:spacing w:line="360" w:lineRule="auto"/>
        <w:rPr>
          <w:rFonts w:hint="eastAsia"/>
          <w:b/>
          <w:bCs/>
          <w:color w:val="auto"/>
          <w:sz w:val="28"/>
          <w:highlight w:val="none"/>
        </w:rPr>
      </w:pPr>
    </w:p>
    <w:p>
      <w:pPr>
        <w:spacing w:line="360" w:lineRule="auto"/>
        <w:rPr>
          <w:rFonts w:hint="eastAsia"/>
          <w:b/>
          <w:bCs/>
          <w:color w:val="auto"/>
          <w:sz w:val="28"/>
          <w:highlight w:val="none"/>
        </w:rPr>
      </w:pPr>
    </w:p>
    <w:p>
      <w:pPr>
        <w:spacing w:line="360" w:lineRule="auto"/>
        <w:rPr>
          <w:rFonts w:hint="eastAsia"/>
          <w:b/>
          <w:bCs/>
          <w:color w:val="auto"/>
          <w:sz w:val="28"/>
          <w:highlight w:val="none"/>
        </w:rPr>
      </w:pPr>
    </w:p>
    <w:p>
      <w:pPr>
        <w:spacing w:line="360" w:lineRule="auto"/>
        <w:rPr>
          <w:rFonts w:hint="eastAsia"/>
          <w:b/>
          <w:bCs/>
          <w:color w:val="auto"/>
          <w:sz w:val="28"/>
          <w:highlight w:val="none"/>
        </w:rPr>
      </w:pPr>
    </w:p>
    <w:p>
      <w:pPr>
        <w:spacing w:line="360" w:lineRule="auto"/>
        <w:rPr>
          <w:rFonts w:hint="eastAsia"/>
          <w:b/>
          <w:bCs/>
          <w:color w:val="auto"/>
          <w:sz w:val="28"/>
          <w:highlight w:val="none"/>
        </w:rPr>
      </w:pPr>
    </w:p>
    <w:p>
      <w:pPr>
        <w:spacing w:line="360" w:lineRule="auto"/>
        <w:rPr>
          <w:rFonts w:hint="eastAsia"/>
          <w:color w:val="auto"/>
          <w:highlight w:val="none"/>
        </w:rPr>
      </w:pPr>
    </w:p>
    <w:p>
      <w:pPr>
        <w:spacing w:line="360" w:lineRule="auto"/>
        <w:jc w:val="center"/>
        <w:rPr>
          <w:rFonts w:hint="eastAsia"/>
          <w:b/>
          <w:bCs/>
          <w:color w:val="auto"/>
          <w:sz w:val="84"/>
          <w:szCs w:val="44"/>
          <w:highlight w:val="none"/>
        </w:rPr>
      </w:pPr>
      <w:r>
        <w:rPr>
          <w:rFonts w:hint="eastAsia"/>
          <w:b/>
          <w:bCs/>
          <w:color w:val="auto"/>
          <w:sz w:val="84"/>
          <w:szCs w:val="44"/>
          <w:highlight w:val="none"/>
        </w:rPr>
        <w:t>招  标  文  件</w:t>
      </w:r>
    </w:p>
    <w:p>
      <w:pPr>
        <w:pStyle w:val="34"/>
        <w:spacing w:line="360" w:lineRule="auto"/>
        <w:ind w:left="0" w:leftChars="0" w:firstLine="0" w:firstLineChars="0"/>
        <w:rPr>
          <w:b/>
          <w:bCs/>
          <w:color w:val="auto"/>
          <w:sz w:val="52"/>
          <w:szCs w:val="44"/>
          <w:highlight w:val="none"/>
        </w:rPr>
      </w:pPr>
    </w:p>
    <w:p>
      <w:pPr>
        <w:spacing w:line="360" w:lineRule="auto"/>
        <w:jc w:val="center"/>
        <w:outlineLvl w:val="0"/>
        <w:rPr>
          <w:rFonts w:hint="eastAsia" w:eastAsia="宋体"/>
          <w:b/>
          <w:bCs/>
          <w:color w:val="auto"/>
          <w:sz w:val="36"/>
          <w:szCs w:val="28"/>
          <w:highlight w:val="none"/>
          <w:lang w:eastAsia="zh-CN"/>
        </w:rPr>
      </w:pPr>
      <w:bookmarkStart w:id="0" w:name="_Toc32063"/>
      <w:r>
        <w:rPr>
          <w:rFonts w:hint="eastAsia"/>
          <w:b/>
          <w:bCs/>
          <w:color w:val="auto"/>
          <w:sz w:val="36"/>
          <w:szCs w:val="28"/>
          <w:highlight w:val="none"/>
        </w:rPr>
        <w:t>招标编号：</w:t>
      </w:r>
      <w:bookmarkEnd w:id="0"/>
      <w:r>
        <w:rPr>
          <w:rFonts w:hint="eastAsia"/>
          <w:b/>
          <w:color w:val="auto"/>
          <w:sz w:val="36"/>
          <w:szCs w:val="36"/>
          <w:highlight w:val="none"/>
          <w:lang w:eastAsia="zh-CN" w:bidi="ar"/>
        </w:rPr>
        <w:t>TP20241203</w:t>
      </w:r>
    </w:p>
    <w:p>
      <w:pPr>
        <w:spacing w:line="360" w:lineRule="auto"/>
        <w:rPr>
          <w:rFonts w:hint="eastAsia"/>
          <w:b/>
          <w:bCs/>
          <w:color w:val="auto"/>
          <w:sz w:val="28"/>
          <w:highlight w:val="none"/>
        </w:rPr>
      </w:pPr>
    </w:p>
    <w:p>
      <w:pPr>
        <w:pStyle w:val="34"/>
        <w:spacing w:line="360" w:lineRule="auto"/>
        <w:ind w:left="0" w:leftChars="0" w:firstLine="400"/>
        <w:rPr>
          <w:color w:val="auto"/>
          <w:highlight w:val="none"/>
        </w:rPr>
      </w:pPr>
    </w:p>
    <w:p>
      <w:pPr>
        <w:pStyle w:val="34"/>
        <w:spacing w:line="360" w:lineRule="auto"/>
        <w:ind w:left="0" w:leftChars="0" w:firstLine="0" w:firstLineChars="0"/>
        <w:rPr>
          <w:color w:val="auto"/>
          <w:highlight w:val="none"/>
        </w:rPr>
      </w:pPr>
    </w:p>
    <w:p>
      <w:pPr>
        <w:spacing w:line="360" w:lineRule="auto"/>
        <w:rPr>
          <w:color w:val="auto"/>
          <w:highlight w:val="none"/>
        </w:rPr>
      </w:pPr>
    </w:p>
    <w:p>
      <w:pPr>
        <w:spacing w:line="360" w:lineRule="auto"/>
        <w:jc w:val="center"/>
        <w:outlineLvl w:val="0"/>
        <w:rPr>
          <w:rFonts w:hint="eastAsia" w:eastAsia="宋体"/>
          <w:iCs/>
          <w:color w:val="auto"/>
          <w:sz w:val="36"/>
          <w:szCs w:val="36"/>
          <w:highlight w:val="none"/>
          <w:lang w:eastAsia="zh-CN"/>
        </w:rPr>
      </w:pPr>
      <w:bookmarkStart w:id="1" w:name="_Toc3421"/>
      <w:r>
        <w:rPr>
          <w:rFonts w:hint="eastAsia"/>
          <w:iCs/>
          <w:color w:val="auto"/>
          <w:sz w:val="36"/>
          <w:szCs w:val="36"/>
          <w:highlight w:val="none"/>
        </w:rPr>
        <w:t>采购人：</w:t>
      </w:r>
      <w:bookmarkEnd w:id="1"/>
      <w:r>
        <w:rPr>
          <w:rFonts w:hint="eastAsia"/>
          <w:iCs/>
          <w:color w:val="auto"/>
          <w:sz w:val="36"/>
          <w:szCs w:val="36"/>
          <w:highlight w:val="none"/>
          <w:lang w:eastAsia="zh-CN"/>
        </w:rPr>
        <w:t>绍兴市上虞区特色小镇投资建设有限公司</w:t>
      </w:r>
    </w:p>
    <w:p>
      <w:pPr>
        <w:spacing w:line="360" w:lineRule="auto"/>
        <w:jc w:val="center"/>
        <w:outlineLvl w:val="0"/>
        <w:rPr>
          <w:rFonts w:hint="eastAsia"/>
          <w:iCs/>
          <w:color w:val="auto"/>
          <w:sz w:val="36"/>
          <w:szCs w:val="36"/>
          <w:highlight w:val="none"/>
        </w:rPr>
      </w:pPr>
      <w:bookmarkStart w:id="2" w:name="_Toc12932"/>
      <w:r>
        <w:rPr>
          <w:rFonts w:hint="eastAsia"/>
          <w:iCs/>
          <w:color w:val="auto"/>
          <w:sz w:val="36"/>
          <w:szCs w:val="36"/>
          <w:highlight w:val="none"/>
        </w:rPr>
        <w:t>采购代理机构：</w:t>
      </w:r>
      <w:bookmarkEnd w:id="2"/>
      <w:r>
        <w:rPr>
          <w:rFonts w:hint="eastAsia"/>
          <w:iCs/>
          <w:color w:val="auto"/>
          <w:sz w:val="36"/>
          <w:szCs w:val="36"/>
          <w:highlight w:val="none"/>
        </w:rPr>
        <w:t>浙江天平项目咨询有限公司</w:t>
      </w:r>
    </w:p>
    <w:p>
      <w:pPr>
        <w:spacing w:line="360" w:lineRule="auto"/>
        <w:jc w:val="center"/>
        <w:outlineLvl w:val="0"/>
        <w:rPr>
          <w:rFonts w:hint="eastAsia"/>
          <w:iCs/>
          <w:color w:val="auto"/>
          <w:sz w:val="36"/>
          <w:szCs w:val="36"/>
          <w:highlight w:val="none"/>
        </w:rPr>
      </w:pPr>
      <w:r>
        <w:rPr>
          <w:rFonts w:hint="eastAsia"/>
          <w:iCs/>
          <w:color w:val="auto"/>
          <w:sz w:val="36"/>
          <w:szCs w:val="36"/>
          <w:highlight w:val="none"/>
        </w:rPr>
        <w:t>二〇二四年</w:t>
      </w:r>
      <w:r>
        <w:rPr>
          <w:rFonts w:hint="eastAsia"/>
          <w:iCs/>
          <w:color w:val="auto"/>
          <w:sz w:val="36"/>
          <w:szCs w:val="36"/>
          <w:highlight w:val="none"/>
          <w:lang w:val="en-US" w:eastAsia="zh-CN"/>
        </w:rPr>
        <w:t>十二</w:t>
      </w:r>
      <w:r>
        <w:rPr>
          <w:rFonts w:hint="eastAsia"/>
          <w:iCs/>
          <w:color w:val="auto"/>
          <w:sz w:val="36"/>
          <w:szCs w:val="36"/>
          <w:highlight w:val="none"/>
        </w:rPr>
        <w:t>月</w:t>
      </w:r>
    </w:p>
    <w:p>
      <w:pPr>
        <w:spacing w:line="360" w:lineRule="auto"/>
        <w:rPr>
          <w:color w:val="auto"/>
          <w:highlight w:val="none"/>
        </w:rPr>
        <w:sectPr>
          <w:pgSz w:w="11907" w:h="16840"/>
          <w:pgMar w:top="1418" w:right="1417" w:bottom="1418" w:left="1417" w:header="851" w:footer="618" w:gutter="0"/>
          <w:cols w:space="720" w:num="1"/>
          <w:docGrid w:type="lines" w:linePitch="312" w:charSpace="0"/>
        </w:sectPr>
      </w:pPr>
    </w:p>
    <w:p>
      <w:pPr>
        <w:spacing w:line="360" w:lineRule="auto"/>
        <w:jc w:val="center"/>
        <w:rPr>
          <w:rFonts w:hint="eastAsia"/>
          <w:b/>
          <w:color w:val="auto"/>
          <w:sz w:val="48"/>
          <w:szCs w:val="48"/>
          <w:highlight w:val="none"/>
        </w:rPr>
      </w:pPr>
      <w:bookmarkStart w:id="3" w:name="_Hlt67893495"/>
      <w:bookmarkEnd w:id="3"/>
      <w:r>
        <w:rPr>
          <w:rFonts w:hint="eastAsia"/>
          <w:b/>
          <w:color w:val="auto"/>
          <w:sz w:val="48"/>
          <w:szCs w:val="48"/>
          <w:highlight w:val="none"/>
        </w:rPr>
        <w:t>目  录</w:t>
      </w:r>
    </w:p>
    <w:p>
      <w:pPr>
        <w:pStyle w:val="92"/>
        <w:tabs>
          <w:tab w:val="right" w:leader="dot" w:pos="8306"/>
        </w:tabs>
        <w:spacing w:line="360" w:lineRule="auto"/>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92"/>
        <w:tabs>
          <w:tab w:val="right" w:leader="dot" w:pos="830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_Toc319 </w:instrText>
      </w:r>
      <w:r>
        <w:rPr>
          <w:color w:val="auto"/>
          <w:sz w:val="24"/>
          <w:szCs w:val="24"/>
          <w:highlight w:val="none"/>
        </w:rPr>
        <w:fldChar w:fldCharType="separate"/>
      </w:r>
      <w:r>
        <w:rPr>
          <w:rFonts w:hint="eastAsia"/>
          <w:bCs/>
          <w:color w:val="auto"/>
          <w:sz w:val="24"/>
          <w:szCs w:val="24"/>
          <w:highlight w:val="none"/>
        </w:rPr>
        <w:t>第一部分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_Toc319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pPr>
        <w:pStyle w:val="92"/>
        <w:tabs>
          <w:tab w:val="right" w:leader="dot" w:pos="830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_Toc24172 </w:instrText>
      </w:r>
      <w:r>
        <w:rPr>
          <w:color w:val="auto"/>
          <w:sz w:val="24"/>
          <w:szCs w:val="24"/>
          <w:highlight w:val="none"/>
        </w:rPr>
        <w:fldChar w:fldCharType="separate"/>
      </w:r>
      <w:r>
        <w:rPr>
          <w:rFonts w:hint="eastAsia"/>
          <w:color w:val="auto"/>
          <w:sz w:val="24"/>
          <w:szCs w:val="24"/>
          <w:highlight w:val="none"/>
        </w:rPr>
        <w:t>第二部分  投标须知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_Toc24172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pPr>
        <w:pStyle w:val="92"/>
        <w:tabs>
          <w:tab w:val="right" w:leader="dot" w:pos="830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_Toc7927 </w:instrText>
      </w:r>
      <w:r>
        <w:rPr>
          <w:color w:val="auto"/>
          <w:sz w:val="24"/>
          <w:szCs w:val="24"/>
          <w:highlight w:val="none"/>
        </w:rPr>
        <w:fldChar w:fldCharType="separate"/>
      </w:r>
      <w:r>
        <w:rPr>
          <w:rFonts w:hint="eastAsia"/>
          <w:color w:val="auto"/>
          <w:sz w:val="24"/>
          <w:szCs w:val="24"/>
          <w:highlight w:val="none"/>
        </w:rPr>
        <w:t>第三部分  评标办法及评分标准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_Toc7927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color w:val="auto"/>
          <w:sz w:val="24"/>
          <w:szCs w:val="24"/>
          <w:highlight w:val="none"/>
        </w:rPr>
        <w:fldChar w:fldCharType="end"/>
      </w:r>
    </w:p>
    <w:p>
      <w:pPr>
        <w:pStyle w:val="92"/>
        <w:tabs>
          <w:tab w:val="right" w:leader="dot" w:pos="830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_Toc28612 </w:instrText>
      </w:r>
      <w:r>
        <w:rPr>
          <w:color w:val="auto"/>
          <w:sz w:val="24"/>
          <w:szCs w:val="24"/>
          <w:highlight w:val="none"/>
        </w:rPr>
        <w:fldChar w:fldCharType="separate"/>
      </w:r>
      <w:r>
        <w:rPr>
          <w:rFonts w:hint="eastAsia"/>
          <w:color w:val="auto"/>
          <w:sz w:val="24"/>
          <w:szCs w:val="24"/>
          <w:highlight w:val="none"/>
        </w:rPr>
        <w:t>第四部分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_Toc28612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pPr>
        <w:pStyle w:val="92"/>
        <w:tabs>
          <w:tab w:val="right" w:leader="dot" w:pos="830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_Toc3222 </w:instrText>
      </w:r>
      <w:r>
        <w:rPr>
          <w:color w:val="auto"/>
          <w:sz w:val="24"/>
          <w:szCs w:val="24"/>
          <w:highlight w:val="none"/>
        </w:rPr>
        <w:fldChar w:fldCharType="separate"/>
      </w:r>
      <w:r>
        <w:rPr>
          <w:rFonts w:hint="eastAsia"/>
          <w:color w:val="auto"/>
          <w:sz w:val="24"/>
          <w:szCs w:val="24"/>
          <w:highlight w:val="none"/>
        </w:rPr>
        <w:t>第五部分  采购合同主要条款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_Toc3222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pPr>
        <w:pStyle w:val="92"/>
        <w:tabs>
          <w:tab w:val="right" w:leader="dot" w:pos="8306"/>
        </w:tabs>
        <w:spacing w:line="360" w:lineRule="auto"/>
        <w:rPr>
          <w:color w:val="auto"/>
          <w:highlight w:val="none"/>
        </w:rPr>
      </w:pPr>
      <w:r>
        <w:rPr>
          <w:color w:val="auto"/>
          <w:sz w:val="24"/>
          <w:szCs w:val="24"/>
          <w:highlight w:val="none"/>
        </w:rPr>
        <w:fldChar w:fldCharType="begin"/>
      </w:r>
      <w:r>
        <w:rPr>
          <w:color w:val="auto"/>
          <w:sz w:val="24"/>
          <w:szCs w:val="24"/>
          <w:highlight w:val="none"/>
        </w:rPr>
        <w:instrText xml:space="preserve"> HYPERLINK \l _Toc14403 </w:instrText>
      </w:r>
      <w:r>
        <w:rPr>
          <w:color w:val="auto"/>
          <w:sz w:val="24"/>
          <w:szCs w:val="24"/>
          <w:highlight w:val="none"/>
        </w:rPr>
        <w:fldChar w:fldCharType="separate"/>
      </w:r>
      <w:r>
        <w:rPr>
          <w:rFonts w:hint="eastAsia"/>
          <w:color w:val="auto"/>
          <w:sz w:val="24"/>
          <w:szCs w:val="24"/>
          <w:highlight w:val="none"/>
        </w:rPr>
        <w:t>第六部分  应提交的有关格式范例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_Toc14403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color w:val="auto"/>
          <w:sz w:val="24"/>
          <w:szCs w:val="24"/>
          <w:highlight w:val="none"/>
        </w:rPr>
        <w:fldChar w:fldCharType="end"/>
      </w:r>
    </w:p>
    <w:p>
      <w:pPr>
        <w:pStyle w:val="92"/>
        <w:tabs>
          <w:tab w:val="right" w:leader="dot" w:pos="8306"/>
        </w:tabs>
        <w:spacing w:line="360" w:lineRule="auto"/>
        <w:rPr>
          <w:color w:val="auto"/>
          <w:highlight w:val="none"/>
        </w:rPr>
      </w:pPr>
    </w:p>
    <w:p>
      <w:pPr>
        <w:spacing w:line="360" w:lineRule="auto"/>
        <w:rPr>
          <w:color w:val="auto"/>
          <w:highlight w:val="none"/>
        </w:rPr>
      </w:pPr>
      <w:r>
        <w:rPr>
          <w:color w:val="auto"/>
          <w:highlight w:val="none"/>
        </w:rPr>
        <w:fldChar w:fldCharType="end"/>
      </w:r>
    </w:p>
    <w:p>
      <w:pPr>
        <w:spacing w:line="360" w:lineRule="auto"/>
        <w:rPr>
          <w:rFonts w:hint="eastAsia"/>
          <w:color w:val="auto"/>
          <w:sz w:val="44"/>
          <w:szCs w:val="44"/>
          <w:highlight w:val="none"/>
        </w:rPr>
      </w:pPr>
      <w:bookmarkStart w:id="4" w:name="_Toc91899869"/>
    </w:p>
    <w:p>
      <w:pPr>
        <w:spacing w:line="360" w:lineRule="auto"/>
        <w:rPr>
          <w:rFonts w:hint="eastAsia"/>
          <w:color w:val="auto"/>
          <w:sz w:val="24"/>
          <w:highlight w:val="none"/>
        </w:rPr>
      </w:pPr>
    </w:p>
    <w:p>
      <w:pPr>
        <w:spacing w:line="360" w:lineRule="auto"/>
        <w:rPr>
          <w:rFonts w:hint="eastAsia"/>
          <w:color w:val="auto"/>
          <w:sz w:val="24"/>
          <w:highlight w:val="none"/>
        </w:rPr>
      </w:pPr>
    </w:p>
    <w:bookmarkEnd w:id="4"/>
    <w:p>
      <w:pPr>
        <w:pStyle w:val="2"/>
        <w:spacing w:line="360" w:lineRule="auto"/>
        <w:ind w:firstLine="420" w:firstLineChars="0"/>
        <w:rPr>
          <w:rFonts w:hint="eastAsia"/>
          <w:bCs/>
          <w:color w:val="auto"/>
          <w:sz w:val="36"/>
          <w:highlight w:val="none"/>
        </w:rPr>
        <w:sectPr>
          <w:footerReference r:id="rId4" w:type="default"/>
          <w:pgSz w:w="11906" w:h="16838"/>
          <w:pgMar w:top="1440" w:right="1800" w:bottom="1440" w:left="1800" w:header="851" w:footer="992" w:gutter="0"/>
          <w:pgNumType w:start="1"/>
          <w:cols w:space="720" w:num="1"/>
          <w:docGrid w:type="lines" w:linePitch="312" w:charSpace="0"/>
        </w:sectPr>
      </w:pPr>
      <w:bookmarkStart w:id="5" w:name="_Hlt74707423"/>
      <w:bookmarkEnd w:id="5"/>
      <w:bookmarkStart w:id="6" w:name="_Hlt74649545"/>
      <w:bookmarkEnd w:id="6"/>
      <w:bookmarkStart w:id="7" w:name="_Hlt74729822"/>
      <w:bookmarkEnd w:id="7"/>
      <w:bookmarkStart w:id="8" w:name="_Hlt74728647"/>
      <w:bookmarkEnd w:id="8"/>
      <w:bookmarkStart w:id="9" w:name="_Toc19716"/>
      <w:bookmarkStart w:id="10" w:name="第二部分"/>
      <w:bookmarkStart w:id="11" w:name="_Toc91899870"/>
      <w:bookmarkStart w:id="12" w:name="_Toc91899871"/>
    </w:p>
    <w:p>
      <w:pPr>
        <w:pStyle w:val="2"/>
        <w:spacing w:line="360" w:lineRule="auto"/>
        <w:rPr>
          <w:rFonts w:hint="eastAsia"/>
          <w:bCs/>
          <w:color w:val="auto"/>
          <w:sz w:val="36"/>
          <w:highlight w:val="none"/>
        </w:rPr>
      </w:pPr>
      <w:bookmarkStart w:id="13" w:name="_Toc319"/>
      <w:r>
        <w:rPr>
          <w:rFonts w:hint="eastAsia"/>
          <w:bCs/>
          <w:color w:val="auto"/>
          <w:sz w:val="36"/>
          <w:highlight w:val="none"/>
        </w:rPr>
        <w:t>第一部分  招标公告</w:t>
      </w:r>
      <w:bookmarkEnd w:id="9"/>
      <w:bookmarkEnd w:id="13"/>
    </w:p>
    <w:p>
      <w:pPr>
        <w:pStyle w:val="3"/>
        <w:spacing w:line="360" w:lineRule="auto"/>
        <w:rPr>
          <w:rFonts w:hint="eastAsia"/>
          <w:b w:val="0"/>
          <w:bCs/>
          <w:color w:val="auto"/>
          <w:sz w:val="28"/>
          <w:szCs w:val="18"/>
          <w:highlight w:val="none"/>
        </w:rPr>
      </w:pPr>
      <w:r>
        <w:rPr>
          <w:rFonts w:hint="eastAsia"/>
          <w:b w:val="0"/>
          <w:bCs/>
          <w:color w:val="auto"/>
          <w:sz w:val="28"/>
          <w:szCs w:val="18"/>
          <w:highlight w:val="none"/>
        </w:rPr>
        <w:t>浙江天平项目咨询有限公司关于</w:t>
      </w:r>
      <w:r>
        <w:rPr>
          <w:rFonts w:hint="eastAsia"/>
          <w:b w:val="0"/>
          <w:bCs/>
          <w:color w:val="auto"/>
          <w:sz w:val="28"/>
          <w:szCs w:val="18"/>
          <w:highlight w:val="none"/>
          <w:lang w:eastAsia="zh-CN"/>
        </w:rPr>
        <w:t>绍兴市上虞区特色小镇投资建设有限公司</w:t>
      </w:r>
      <w:r>
        <w:rPr>
          <w:rFonts w:hint="eastAsia"/>
          <w:b w:val="0"/>
          <w:bCs/>
          <w:color w:val="auto"/>
          <w:sz w:val="28"/>
          <w:szCs w:val="18"/>
          <w:highlight w:val="none"/>
        </w:rPr>
        <w:t>的</w:t>
      </w:r>
      <w:r>
        <w:rPr>
          <w:rFonts w:hint="eastAsia"/>
          <w:b w:val="0"/>
          <w:bCs/>
          <w:color w:val="auto"/>
          <w:sz w:val="28"/>
          <w:szCs w:val="18"/>
          <w:highlight w:val="none"/>
          <w:lang w:eastAsia="zh-CN"/>
        </w:rPr>
        <w:t>2025-2026年度惠普广场物业管理项目</w:t>
      </w:r>
      <w:r>
        <w:rPr>
          <w:rFonts w:hint="eastAsia"/>
          <w:b w:val="0"/>
          <w:bCs/>
          <w:color w:val="auto"/>
          <w:sz w:val="28"/>
          <w:szCs w:val="18"/>
          <w:highlight w:val="none"/>
        </w:rPr>
        <w:t>的非政府采购招标公告</w:t>
      </w:r>
    </w:p>
    <w:p>
      <w:pPr>
        <w:adjustRightInd w:val="0"/>
        <w:spacing w:line="360" w:lineRule="auto"/>
        <w:jc w:val="center"/>
        <w:rPr>
          <w:rFonts w:hint="eastAsia"/>
          <w:color w:val="auto"/>
          <w:sz w:val="24"/>
          <w:szCs w:val="24"/>
          <w:highlight w:val="none"/>
        </w:rPr>
      </w:pPr>
      <w:r>
        <w:rPr>
          <w:rFonts w:hint="eastAsia"/>
          <w:color w:val="auto"/>
          <w:sz w:val="24"/>
          <w:szCs w:val="24"/>
          <w:highlight w:val="none"/>
        </w:rPr>
        <w:t>公告日期：2024</w:t>
      </w:r>
      <w:r>
        <w:rPr>
          <w:rFonts w:hint="eastAsia"/>
          <w:color w:val="auto"/>
          <w:sz w:val="24"/>
          <w:szCs w:val="24"/>
          <w:highlight w:val="none"/>
          <w:lang w:val="en-US" w:eastAsia="zh-CN"/>
        </w:rPr>
        <w:t>年12月X日</w:t>
      </w:r>
      <w:r>
        <w:rPr>
          <w:rFonts w:hint="eastAsia"/>
          <w:color w:val="auto"/>
          <w:sz w:val="24"/>
          <w:szCs w:val="24"/>
          <w:highlight w:val="none"/>
        </w:rPr>
        <w:t xml:space="preserve">  </w:t>
      </w:r>
    </w:p>
    <w:p>
      <w:pPr>
        <w:adjustRightInd w:val="0"/>
        <w:spacing w:line="360" w:lineRule="auto"/>
        <w:ind w:firstLine="480" w:firstLineChars="200"/>
        <w:rPr>
          <w:rFonts w:hint="eastAsia"/>
          <w:color w:val="auto"/>
          <w:sz w:val="24"/>
          <w:highlight w:val="none"/>
        </w:rPr>
      </w:pPr>
      <w:r>
        <w:rPr>
          <w:rFonts w:hint="eastAsia"/>
          <w:color w:val="auto"/>
          <w:sz w:val="24"/>
          <w:highlight w:val="none"/>
        </w:rPr>
        <w:t>根据《上虞区区属国有企业货物和服务采购管理办法》等有关规定，</w:t>
      </w:r>
      <w:r>
        <w:rPr>
          <w:rFonts w:hint="eastAsia"/>
          <w:color w:val="auto"/>
          <w:sz w:val="24"/>
          <w:highlight w:val="none"/>
          <w:u w:val="single"/>
        </w:rPr>
        <w:t>浙江天平项目咨询有限公司</w:t>
      </w:r>
      <w:r>
        <w:rPr>
          <w:rFonts w:hint="eastAsia"/>
          <w:color w:val="auto"/>
          <w:sz w:val="24"/>
          <w:highlight w:val="none"/>
        </w:rPr>
        <w:t>受</w:t>
      </w:r>
      <w:r>
        <w:rPr>
          <w:rFonts w:hint="eastAsia"/>
          <w:color w:val="auto"/>
          <w:sz w:val="24"/>
          <w:highlight w:val="none"/>
          <w:u w:val="single"/>
          <w:lang w:eastAsia="zh-CN"/>
        </w:rPr>
        <w:t>绍兴市上虞区特色小镇投资建设有限公司</w:t>
      </w:r>
      <w:r>
        <w:rPr>
          <w:rFonts w:hint="eastAsia"/>
          <w:color w:val="auto"/>
          <w:sz w:val="24"/>
          <w:highlight w:val="none"/>
        </w:rPr>
        <w:t>委托，现就</w:t>
      </w:r>
      <w:r>
        <w:rPr>
          <w:rFonts w:hint="eastAsia"/>
          <w:color w:val="auto"/>
          <w:sz w:val="24"/>
          <w:highlight w:val="none"/>
          <w:u w:val="single"/>
          <w:lang w:eastAsia="zh-CN"/>
        </w:rPr>
        <w:t>2025-2026年度惠普广场物业管理项目</w:t>
      </w:r>
      <w:r>
        <w:rPr>
          <w:rFonts w:hint="eastAsia"/>
          <w:color w:val="auto"/>
          <w:sz w:val="24"/>
          <w:highlight w:val="none"/>
        </w:rPr>
        <w:t>进行公开招标，欢迎国内合格的供应商前来投标。</w:t>
      </w:r>
    </w:p>
    <w:p>
      <w:pPr>
        <w:pStyle w:val="70"/>
        <w:spacing w:beforeAutospacing="0" w:afterAutospacing="0" w:line="360" w:lineRule="auto"/>
        <w:ind w:firstLine="241" w:firstLineChars="100"/>
        <w:rPr>
          <w:rFonts w:hint="eastAsia" w:ascii="宋体" w:hAnsi="宋体" w:eastAsia="宋体"/>
          <w:b/>
          <w:bCs/>
          <w:color w:val="auto"/>
          <w:highlight w:val="none"/>
          <w:lang w:eastAsia="zh-CN"/>
        </w:rPr>
      </w:pPr>
      <w:r>
        <w:rPr>
          <w:rFonts w:hint="eastAsia" w:ascii="宋体" w:hAnsi="宋体" w:eastAsia="宋体"/>
          <w:b/>
          <w:bCs/>
          <w:color w:val="auto"/>
          <w:highlight w:val="none"/>
        </w:rPr>
        <w:t>一、招标项目编号：</w:t>
      </w:r>
      <w:r>
        <w:rPr>
          <w:rFonts w:hint="eastAsia" w:ascii="宋体" w:hAnsi="宋体" w:eastAsia="宋体"/>
          <w:b/>
          <w:bCs/>
          <w:color w:val="auto"/>
          <w:highlight w:val="none"/>
          <w:lang w:eastAsia="zh-CN"/>
        </w:rPr>
        <w:t>TP20241203</w:t>
      </w:r>
    </w:p>
    <w:p>
      <w:pPr>
        <w:pStyle w:val="70"/>
        <w:wordWrap w:val="0"/>
        <w:spacing w:beforeAutospacing="0" w:afterAutospacing="0" w:line="360" w:lineRule="auto"/>
        <w:ind w:left="240"/>
        <w:rPr>
          <w:rFonts w:hint="eastAsia" w:ascii="宋体" w:hAnsi="宋体" w:eastAsia="宋体"/>
          <w:b/>
          <w:bCs/>
          <w:color w:val="auto"/>
          <w:highlight w:val="none"/>
        </w:rPr>
      </w:pPr>
      <w:r>
        <w:rPr>
          <w:rFonts w:hint="eastAsia" w:ascii="宋体" w:hAnsi="宋体" w:eastAsia="宋体"/>
          <w:b/>
          <w:bCs/>
          <w:color w:val="auto"/>
          <w:highlight w:val="none"/>
        </w:rPr>
        <w:t>二、采购组织类型：公开招标</w:t>
      </w:r>
    </w:p>
    <w:p>
      <w:pPr>
        <w:adjustRightInd w:val="0"/>
        <w:spacing w:line="360" w:lineRule="auto"/>
        <w:ind w:firstLine="241" w:firstLineChars="100"/>
        <w:rPr>
          <w:rFonts w:hint="eastAsia"/>
          <w:b/>
          <w:bCs/>
          <w:color w:val="auto"/>
          <w:sz w:val="24"/>
          <w:szCs w:val="24"/>
          <w:highlight w:val="none"/>
        </w:rPr>
      </w:pPr>
      <w:r>
        <w:rPr>
          <w:rFonts w:hint="eastAsia"/>
          <w:b/>
          <w:bCs/>
          <w:color w:val="auto"/>
          <w:sz w:val="24"/>
          <w:szCs w:val="24"/>
          <w:highlight w:val="none"/>
        </w:rPr>
        <w:t>三、招标项目概况：</w:t>
      </w:r>
    </w:p>
    <w:tbl>
      <w:tblPr>
        <w:tblStyle w:val="35"/>
        <w:tblW w:w="10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740"/>
        <w:gridCol w:w="785"/>
        <w:gridCol w:w="786"/>
        <w:gridCol w:w="2250"/>
        <w:gridCol w:w="1238"/>
        <w:gridCol w:w="2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4"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default"/>
                <w:color w:val="auto"/>
                <w:kern w:val="2"/>
                <w:sz w:val="24"/>
                <w:szCs w:val="24"/>
                <w:highlight w:val="none"/>
              </w:rPr>
            </w:pPr>
            <w:r>
              <w:rPr>
                <w:rFonts w:hint="eastAsia"/>
                <w:color w:val="auto"/>
                <w:kern w:val="2"/>
                <w:sz w:val="24"/>
                <w:szCs w:val="24"/>
                <w:highlight w:val="none"/>
              </w:rPr>
              <w:t>序号</w:t>
            </w:r>
          </w:p>
        </w:tc>
        <w:tc>
          <w:tcPr>
            <w:tcW w:w="1740"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rPr>
              <w:t>项目名称</w:t>
            </w:r>
          </w:p>
        </w:tc>
        <w:tc>
          <w:tcPr>
            <w:tcW w:w="785"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rPr>
              <w:t>数量</w:t>
            </w:r>
          </w:p>
        </w:tc>
        <w:tc>
          <w:tcPr>
            <w:tcW w:w="786"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default"/>
                <w:color w:val="auto"/>
                <w:kern w:val="2"/>
                <w:sz w:val="24"/>
                <w:szCs w:val="24"/>
                <w:highlight w:val="none"/>
              </w:rPr>
            </w:pPr>
            <w:r>
              <w:rPr>
                <w:rFonts w:hint="eastAsia"/>
                <w:color w:val="auto"/>
                <w:kern w:val="2"/>
                <w:sz w:val="24"/>
                <w:szCs w:val="24"/>
                <w:highlight w:val="none"/>
              </w:rPr>
              <w:t>单位</w:t>
            </w:r>
          </w:p>
        </w:tc>
        <w:tc>
          <w:tcPr>
            <w:tcW w:w="2250"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default"/>
                <w:color w:val="auto"/>
                <w:kern w:val="2"/>
                <w:sz w:val="24"/>
                <w:szCs w:val="24"/>
                <w:highlight w:val="none"/>
              </w:rPr>
            </w:pPr>
            <w:r>
              <w:rPr>
                <w:rFonts w:hint="eastAsia"/>
                <w:color w:val="auto"/>
                <w:kern w:val="2"/>
                <w:sz w:val="24"/>
                <w:szCs w:val="24"/>
                <w:highlight w:val="none"/>
              </w:rPr>
              <w:t>简要规格描述或标项基本概况介绍</w:t>
            </w:r>
          </w:p>
        </w:tc>
        <w:tc>
          <w:tcPr>
            <w:tcW w:w="1238"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default"/>
                <w:color w:val="auto"/>
                <w:kern w:val="2"/>
                <w:sz w:val="24"/>
                <w:szCs w:val="24"/>
                <w:highlight w:val="none"/>
              </w:rPr>
            </w:pPr>
            <w:r>
              <w:rPr>
                <w:rFonts w:hint="eastAsia"/>
                <w:color w:val="auto"/>
                <w:kern w:val="2"/>
                <w:sz w:val="24"/>
                <w:szCs w:val="24"/>
                <w:highlight w:val="none"/>
              </w:rPr>
              <w:t>最高限价</w:t>
            </w:r>
          </w:p>
        </w:tc>
        <w:tc>
          <w:tcPr>
            <w:tcW w:w="2988"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eastAsia="宋体"/>
                <w:color w:val="auto"/>
                <w:kern w:val="2"/>
                <w:sz w:val="24"/>
                <w:szCs w:val="24"/>
                <w:highlight w:val="none"/>
                <w:lang w:val="en-US" w:eastAsia="zh-CN"/>
              </w:rPr>
            </w:pPr>
            <w:r>
              <w:rPr>
                <w:rFonts w:hint="eastAsia"/>
                <w:color w:val="auto"/>
                <w:kern w:val="2"/>
                <w:sz w:val="24"/>
                <w:szCs w:val="24"/>
                <w:highlight w:val="none"/>
              </w:rPr>
              <w:t>备注</w:t>
            </w:r>
            <w:r>
              <w:rPr>
                <w:rFonts w:hint="eastAsia"/>
                <w:color w:val="auto"/>
                <w:kern w:val="2"/>
                <w:sz w:val="24"/>
                <w:szCs w:val="24"/>
                <w:highlight w:val="none"/>
                <w:lang w:eastAsia="zh-CN"/>
              </w:rPr>
              <w:t>（</w:t>
            </w:r>
            <w:r>
              <w:rPr>
                <w:rFonts w:hint="eastAsia"/>
                <w:color w:val="auto"/>
                <w:kern w:val="2"/>
                <w:sz w:val="24"/>
                <w:szCs w:val="24"/>
                <w:highlight w:val="none"/>
                <w:lang w:val="en-US" w:eastAsia="zh-CN"/>
              </w:rPr>
              <w:t>各区域最高限价</w:t>
            </w:r>
            <w:r>
              <w:rPr>
                <w:rFonts w:hint="eastAsia"/>
                <w:color w:val="auto"/>
                <w:kern w:val="2"/>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jc w:val="center"/>
        </w:trPr>
        <w:tc>
          <w:tcPr>
            <w:tcW w:w="724" w:type="dxa"/>
            <w:noWrap w:val="0"/>
            <w:vAlign w:val="center"/>
          </w:tcPr>
          <w:p>
            <w:pPr>
              <w:pStyle w:val="9"/>
              <w:keepNext w:val="0"/>
              <w:keepLines w:val="0"/>
              <w:suppressLineNumbers w:val="0"/>
              <w:spacing w:before="0" w:beforeAutospacing="0" w:after="0" w:afterAutospacing="0" w:line="360" w:lineRule="auto"/>
              <w:ind w:left="0" w:right="0"/>
              <w:jc w:val="center"/>
              <w:rPr>
                <w:rFonts w:hint="eastAsia"/>
                <w:color w:val="auto"/>
                <w:kern w:val="2"/>
                <w:highlight w:val="none"/>
              </w:rPr>
            </w:pPr>
            <w:r>
              <w:rPr>
                <w:rFonts w:hint="eastAsia"/>
                <w:color w:val="auto"/>
                <w:kern w:val="2"/>
                <w:szCs w:val="24"/>
                <w:highlight w:val="none"/>
                <w:lang w:val="en-US"/>
              </w:rPr>
              <w:t>1</w:t>
            </w:r>
          </w:p>
        </w:tc>
        <w:tc>
          <w:tcPr>
            <w:tcW w:w="1740"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eastAsia="宋体"/>
                <w:color w:val="auto"/>
                <w:kern w:val="2"/>
                <w:sz w:val="21"/>
                <w:highlight w:val="none"/>
                <w:lang w:eastAsia="zh-CN"/>
              </w:rPr>
            </w:pPr>
            <w:r>
              <w:rPr>
                <w:rFonts w:hint="eastAsia"/>
                <w:color w:val="auto"/>
                <w:kern w:val="2"/>
                <w:sz w:val="24"/>
                <w:szCs w:val="24"/>
                <w:highlight w:val="none"/>
                <w:lang w:eastAsia="zh-CN"/>
              </w:rPr>
              <w:t>2025-2026年度惠普广场物业管理项目</w:t>
            </w:r>
          </w:p>
        </w:tc>
        <w:tc>
          <w:tcPr>
            <w:tcW w:w="785"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eastAsia="宋体"/>
                <w:color w:val="auto"/>
                <w:kern w:val="2"/>
                <w:sz w:val="24"/>
                <w:szCs w:val="24"/>
                <w:highlight w:val="none"/>
                <w:lang w:eastAsia="zh-CN"/>
              </w:rPr>
            </w:pPr>
            <w:r>
              <w:rPr>
                <w:rFonts w:hint="eastAsia"/>
                <w:color w:val="auto"/>
                <w:kern w:val="2"/>
                <w:sz w:val="24"/>
                <w:szCs w:val="24"/>
                <w:highlight w:val="none"/>
                <w:lang w:val="en-US" w:eastAsia="zh-CN"/>
              </w:rPr>
              <w:t>1</w:t>
            </w:r>
          </w:p>
        </w:tc>
        <w:tc>
          <w:tcPr>
            <w:tcW w:w="786"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eastAsia="宋体"/>
                <w:color w:val="auto"/>
                <w:kern w:val="2"/>
                <w:sz w:val="24"/>
                <w:szCs w:val="24"/>
                <w:highlight w:val="none"/>
                <w:lang w:eastAsia="zh-CN"/>
              </w:rPr>
            </w:pPr>
            <w:r>
              <w:rPr>
                <w:rFonts w:hint="eastAsia"/>
                <w:color w:val="auto"/>
                <w:kern w:val="2"/>
                <w:sz w:val="24"/>
                <w:szCs w:val="24"/>
                <w:highlight w:val="none"/>
                <w:lang w:val="en-US" w:eastAsia="zh-CN"/>
              </w:rPr>
              <w:t>项</w:t>
            </w:r>
          </w:p>
        </w:tc>
        <w:tc>
          <w:tcPr>
            <w:tcW w:w="2250" w:type="dxa"/>
            <w:noWrap w:val="0"/>
            <w:vAlign w:val="center"/>
          </w:tcPr>
          <w:p>
            <w:pPr>
              <w:pStyle w:val="15"/>
              <w:keepNext w:val="0"/>
              <w:keepLines w:val="0"/>
              <w:widowControl/>
              <w:suppressLineNumbers w:val="0"/>
              <w:spacing w:before="0" w:beforeAutospacing="0" w:after="0" w:afterAutospacing="0" w:line="360" w:lineRule="auto"/>
              <w:ind w:left="0" w:right="0"/>
              <w:jc w:val="center"/>
              <w:rPr>
                <w:rFonts w:hint="default" w:hAnsi="宋体"/>
                <w:color w:val="auto"/>
                <w:kern w:val="2"/>
                <w:sz w:val="24"/>
                <w:szCs w:val="24"/>
                <w:highlight w:val="none"/>
              </w:rPr>
            </w:pPr>
            <w:r>
              <w:rPr>
                <w:rFonts w:hint="eastAsia"/>
                <w:color w:val="auto"/>
                <w:kern w:val="2"/>
                <w:sz w:val="24"/>
                <w:szCs w:val="24"/>
                <w:highlight w:val="none"/>
                <w:lang w:val="en-US" w:eastAsia="zh-CN"/>
              </w:rPr>
              <w:t>惠普广场</w:t>
            </w:r>
            <w:r>
              <w:rPr>
                <w:rFonts w:hint="eastAsia"/>
                <w:color w:val="auto"/>
                <w:kern w:val="2"/>
                <w:sz w:val="24"/>
                <w:szCs w:val="24"/>
                <w:highlight w:val="none"/>
              </w:rPr>
              <w:t>物业服务等采购</w:t>
            </w:r>
          </w:p>
        </w:tc>
        <w:tc>
          <w:tcPr>
            <w:tcW w:w="1238"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default" w:eastAsia="宋体"/>
                <w:color w:val="auto"/>
                <w:kern w:val="2"/>
                <w:sz w:val="24"/>
                <w:szCs w:val="24"/>
                <w:highlight w:val="none"/>
                <w:lang w:val="en-US" w:eastAsia="zh-CN"/>
              </w:rPr>
            </w:pPr>
            <w:r>
              <w:rPr>
                <w:rFonts w:hint="eastAsia" w:eastAsia="宋体"/>
                <w:color w:val="auto"/>
                <w:kern w:val="2"/>
                <w:sz w:val="24"/>
                <w:szCs w:val="24"/>
                <w:highlight w:val="none"/>
                <w:lang w:val="en-US" w:eastAsia="zh-CN"/>
              </w:rPr>
              <w:t>92</w:t>
            </w:r>
            <w:r>
              <w:rPr>
                <w:rFonts w:hint="eastAsia"/>
                <w:color w:val="auto"/>
                <w:kern w:val="2"/>
                <w:sz w:val="24"/>
                <w:szCs w:val="24"/>
                <w:highlight w:val="none"/>
                <w:lang w:val="en-US" w:eastAsia="zh-CN"/>
              </w:rPr>
              <w:t>00000</w:t>
            </w:r>
            <w:r>
              <w:rPr>
                <w:rFonts w:hint="eastAsia" w:eastAsia="宋体"/>
                <w:color w:val="auto"/>
                <w:kern w:val="2"/>
                <w:sz w:val="24"/>
                <w:szCs w:val="24"/>
                <w:highlight w:val="none"/>
                <w:lang w:val="en-US" w:eastAsia="zh-CN"/>
              </w:rPr>
              <w:t>元</w:t>
            </w:r>
          </w:p>
        </w:tc>
        <w:tc>
          <w:tcPr>
            <w:tcW w:w="2988" w:type="dxa"/>
            <w:noWrap w:val="0"/>
            <w:vAlign w:val="center"/>
          </w:tcPr>
          <w:p>
            <w:pPr>
              <w:keepNext w:val="0"/>
              <w:keepLines w:val="0"/>
              <w:numPr>
                <w:ilvl w:val="0"/>
                <w:numId w:val="3"/>
              </w:numPr>
              <w:suppressLineNumbers w:val="0"/>
              <w:wordWrap w:val="0"/>
              <w:adjustRightInd w:val="0"/>
              <w:spacing w:before="0" w:beforeAutospacing="0" w:after="0" w:afterAutospacing="0" w:line="360" w:lineRule="auto"/>
              <w:ind w:left="0" w:right="0"/>
              <w:jc w:val="left"/>
              <w:rPr>
                <w:rFonts w:hint="default"/>
                <w:color w:val="auto"/>
                <w:kern w:val="2"/>
                <w:sz w:val="24"/>
                <w:szCs w:val="24"/>
                <w:highlight w:val="none"/>
                <w:lang w:val="en-US"/>
              </w:rPr>
            </w:pPr>
            <w:r>
              <w:rPr>
                <w:rFonts w:hint="eastAsia"/>
                <w:color w:val="auto"/>
                <w:kern w:val="2"/>
                <w:sz w:val="24"/>
                <w:szCs w:val="24"/>
                <w:highlight w:val="none"/>
                <w:lang w:val="en-US" w:eastAsia="zh-CN"/>
              </w:rPr>
              <w:t>惠普广场ABC楼区域：6089880元；</w:t>
            </w:r>
          </w:p>
          <w:p>
            <w:pPr>
              <w:keepNext w:val="0"/>
              <w:keepLines w:val="0"/>
              <w:numPr>
                <w:ilvl w:val="0"/>
                <w:numId w:val="3"/>
              </w:numPr>
              <w:suppressLineNumbers w:val="0"/>
              <w:wordWrap w:val="0"/>
              <w:adjustRightInd w:val="0"/>
              <w:spacing w:before="0" w:beforeAutospacing="0" w:after="0" w:afterAutospacing="0" w:line="360" w:lineRule="auto"/>
              <w:ind w:left="0" w:right="0"/>
              <w:jc w:val="left"/>
              <w:rPr>
                <w:rFonts w:hint="default"/>
                <w:color w:val="auto"/>
                <w:kern w:val="2"/>
                <w:sz w:val="24"/>
                <w:szCs w:val="24"/>
                <w:highlight w:val="none"/>
                <w:lang w:val="en-US"/>
              </w:rPr>
            </w:pPr>
            <w:r>
              <w:rPr>
                <w:rFonts w:hint="eastAsia"/>
                <w:color w:val="auto"/>
                <w:kern w:val="2"/>
                <w:sz w:val="24"/>
                <w:szCs w:val="24"/>
                <w:highlight w:val="none"/>
                <w:lang w:val="en-US" w:eastAsia="zh-CN"/>
              </w:rPr>
              <w:t>惠普广场D楼区域：1756060元；</w:t>
            </w:r>
          </w:p>
          <w:p>
            <w:pPr>
              <w:keepNext w:val="0"/>
              <w:keepLines w:val="0"/>
              <w:numPr>
                <w:ilvl w:val="0"/>
                <w:numId w:val="3"/>
              </w:numPr>
              <w:suppressLineNumbers w:val="0"/>
              <w:wordWrap w:val="0"/>
              <w:adjustRightInd w:val="0"/>
              <w:spacing w:before="0" w:beforeAutospacing="0" w:after="0" w:afterAutospacing="0" w:line="360" w:lineRule="auto"/>
              <w:ind w:left="0" w:right="0"/>
              <w:jc w:val="left"/>
              <w:rPr>
                <w:rFonts w:hint="default"/>
                <w:color w:val="auto"/>
                <w:kern w:val="2"/>
                <w:sz w:val="24"/>
                <w:szCs w:val="24"/>
                <w:highlight w:val="none"/>
                <w:lang w:val="en-US"/>
              </w:rPr>
            </w:pPr>
            <w:r>
              <w:rPr>
                <w:rFonts w:hint="eastAsia"/>
                <w:color w:val="auto"/>
                <w:kern w:val="2"/>
                <w:sz w:val="24"/>
                <w:szCs w:val="24"/>
                <w:highlight w:val="none"/>
                <w:lang w:val="en-US" w:eastAsia="zh-CN"/>
              </w:rPr>
              <w:t>惠普大通e享城商贸区域：1354060元。</w:t>
            </w:r>
          </w:p>
        </w:tc>
      </w:tr>
    </w:tbl>
    <w:p>
      <w:pPr>
        <w:adjustRightInd w:val="0"/>
        <w:spacing w:line="360" w:lineRule="auto"/>
        <w:ind w:firstLine="482" w:firstLineChars="200"/>
        <w:rPr>
          <w:rFonts w:hint="eastAsia"/>
          <w:color w:val="auto"/>
          <w:sz w:val="24"/>
          <w:szCs w:val="24"/>
          <w:highlight w:val="none"/>
        </w:rPr>
      </w:pPr>
      <w:r>
        <w:rPr>
          <w:rFonts w:hint="eastAsia"/>
          <w:b/>
          <w:bCs/>
          <w:color w:val="auto"/>
          <w:sz w:val="24"/>
          <w:szCs w:val="24"/>
          <w:highlight w:val="none"/>
        </w:rPr>
        <w:t>四、投标供应商资格要求：</w:t>
      </w:r>
    </w:p>
    <w:p>
      <w:pPr>
        <w:pStyle w:val="31"/>
        <w:spacing w:before="0" w:beforeAutospacing="0" w:after="0" w:afterAutospacing="0" w:line="360" w:lineRule="auto"/>
        <w:ind w:left="420"/>
        <w:rPr>
          <w:rFonts w:hint="eastAsia"/>
          <w:color w:val="auto"/>
          <w:szCs w:val="24"/>
          <w:highlight w:val="none"/>
        </w:rPr>
      </w:pPr>
      <w:r>
        <w:rPr>
          <w:rFonts w:hint="eastAsia"/>
          <w:color w:val="auto"/>
          <w:szCs w:val="24"/>
          <w:highlight w:val="none"/>
        </w:rPr>
        <w:t>1、符合《虞国资委〔2021〕42 号》第十八条</w:t>
      </w:r>
    </w:p>
    <w:p>
      <w:pPr>
        <w:pStyle w:val="31"/>
        <w:spacing w:before="0" w:beforeAutospacing="0" w:after="0" w:afterAutospacing="0" w:line="360" w:lineRule="auto"/>
        <w:ind w:left="420"/>
        <w:rPr>
          <w:rFonts w:hint="eastAsia"/>
          <w:color w:val="auto"/>
          <w:szCs w:val="24"/>
          <w:highlight w:val="none"/>
        </w:rPr>
      </w:pPr>
      <w:r>
        <w:rPr>
          <w:rFonts w:hint="eastAsia"/>
          <w:color w:val="auto"/>
          <w:szCs w:val="24"/>
          <w:highlight w:val="none"/>
        </w:rPr>
        <w:t>（1）具有独立承担民事责任的能力；</w:t>
      </w:r>
    </w:p>
    <w:p>
      <w:pPr>
        <w:pStyle w:val="31"/>
        <w:spacing w:before="0" w:beforeAutospacing="0" w:after="0" w:afterAutospacing="0" w:line="360" w:lineRule="auto"/>
        <w:ind w:left="420"/>
        <w:rPr>
          <w:rFonts w:hint="eastAsia"/>
          <w:color w:val="auto"/>
          <w:szCs w:val="24"/>
          <w:highlight w:val="none"/>
        </w:rPr>
      </w:pPr>
      <w:r>
        <w:rPr>
          <w:rFonts w:hint="eastAsia"/>
          <w:color w:val="auto"/>
          <w:szCs w:val="24"/>
          <w:highlight w:val="none"/>
        </w:rPr>
        <w:t>（2）具有良好的商业信誉；</w:t>
      </w:r>
    </w:p>
    <w:p>
      <w:pPr>
        <w:pStyle w:val="31"/>
        <w:spacing w:before="0" w:beforeAutospacing="0" w:after="0" w:afterAutospacing="0" w:line="360" w:lineRule="auto"/>
        <w:ind w:left="420"/>
        <w:rPr>
          <w:rFonts w:hint="eastAsia"/>
          <w:color w:val="auto"/>
          <w:szCs w:val="24"/>
          <w:highlight w:val="none"/>
        </w:rPr>
      </w:pPr>
      <w:r>
        <w:rPr>
          <w:rFonts w:hint="eastAsia"/>
          <w:color w:val="auto"/>
          <w:szCs w:val="24"/>
          <w:highlight w:val="none"/>
        </w:rPr>
        <w:t>（3）具有履行合同所必需的设备和专业技术、售后保障等能力；</w:t>
      </w:r>
    </w:p>
    <w:p>
      <w:pPr>
        <w:pStyle w:val="31"/>
        <w:spacing w:before="0" w:beforeAutospacing="0" w:after="0" w:afterAutospacing="0" w:line="360" w:lineRule="auto"/>
        <w:ind w:left="420"/>
        <w:rPr>
          <w:rFonts w:hint="eastAsia"/>
          <w:color w:val="auto"/>
          <w:szCs w:val="24"/>
          <w:highlight w:val="none"/>
        </w:rPr>
      </w:pPr>
      <w:r>
        <w:rPr>
          <w:rFonts w:hint="eastAsia"/>
          <w:color w:val="auto"/>
          <w:szCs w:val="24"/>
          <w:highlight w:val="none"/>
        </w:rPr>
        <w:t>（4）有依法缴纳税收和社会保障资金的良好记录；</w:t>
      </w:r>
    </w:p>
    <w:p>
      <w:pPr>
        <w:pStyle w:val="31"/>
        <w:spacing w:before="0" w:beforeAutospacing="0" w:after="0" w:afterAutospacing="0" w:line="360" w:lineRule="auto"/>
        <w:ind w:left="420"/>
        <w:rPr>
          <w:rFonts w:hint="eastAsia"/>
          <w:color w:val="auto"/>
          <w:szCs w:val="24"/>
          <w:highlight w:val="none"/>
        </w:rPr>
      </w:pPr>
      <w:r>
        <w:rPr>
          <w:rFonts w:hint="eastAsia"/>
          <w:color w:val="auto"/>
          <w:szCs w:val="24"/>
          <w:highlight w:val="none"/>
        </w:rPr>
        <w:t>（5）参加采购活动前三年内，没有重大违法记录、严重失信行为和行贿记录；</w:t>
      </w:r>
    </w:p>
    <w:p>
      <w:pPr>
        <w:pStyle w:val="31"/>
        <w:spacing w:before="0" w:beforeAutospacing="0" w:after="0" w:afterAutospacing="0" w:line="360" w:lineRule="auto"/>
        <w:ind w:left="420"/>
        <w:rPr>
          <w:rFonts w:hint="eastAsia"/>
          <w:color w:val="auto"/>
          <w:szCs w:val="24"/>
          <w:highlight w:val="none"/>
        </w:rPr>
      </w:pPr>
      <w:r>
        <w:rPr>
          <w:rFonts w:hint="eastAsia"/>
          <w:color w:val="auto"/>
          <w:szCs w:val="24"/>
          <w:highlight w:val="none"/>
        </w:rPr>
        <w:t>（6）法律、行政法规规定的其他条件；</w:t>
      </w:r>
    </w:p>
    <w:p>
      <w:p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2、本项目不接受联合体投标。</w:t>
      </w:r>
    </w:p>
    <w:p>
      <w:p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3、本次招标采用资格后审的审查方式，由采购人负责审查。</w:t>
      </w:r>
    </w:p>
    <w:p>
      <w:p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4、本项目的特定资格要求：无。</w:t>
      </w:r>
    </w:p>
    <w:p>
      <w:pPr>
        <w:adjustRightInd w:val="0"/>
        <w:spacing w:line="360" w:lineRule="auto"/>
        <w:ind w:firstLine="482" w:firstLineChars="200"/>
        <w:rPr>
          <w:rFonts w:hint="eastAsia"/>
          <w:color w:val="auto"/>
          <w:sz w:val="24"/>
          <w:szCs w:val="24"/>
          <w:highlight w:val="none"/>
        </w:rPr>
      </w:pPr>
      <w:r>
        <w:rPr>
          <w:rFonts w:hint="eastAsia"/>
          <w:b/>
          <w:bCs/>
          <w:color w:val="auto"/>
          <w:sz w:val="24"/>
          <w:szCs w:val="24"/>
          <w:highlight w:val="none"/>
        </w:rPr>
        <w:t>五、投标获取采购文件</w:t>
      </w:r>
    </w:p>
    <w:p>
      <w:pPr>
        <w:numPr>
          <w:ilvl w:val="0"/>
          <w:numId w:val="4"/>
        </w:numPr>
        <w:adjustRightInd w:val="0"/>
        <w:spacing w:line="360" w:lineRule="auto"/>
        <w:ind w:firstLine="480" w:firstLineChars="200"/>
        <w:rPr>
          <w:rFonts w:hint="eastAsia"/>
          <w:color w:val="auto"/>
          <w:sz w:val="24"/>
          <w:szCs w:val="24"/>
          <w:highlight w:val="none"/>
        </w:rPr>
      </w:pPr>
      <w:bookmarkStart w:id="14" w:name="报名开始时间1"/>
      <w:r>
        <w:rPr>
          <w:rFonts w:hint="eastAsia"/>
          <w:color w:val="auto"/>
          <w:sz w:val="24"/>
          <w:szCs w:val="24"/>
          <w:highlight w:val="none"/>
        </w:rPr>
        <w:t>获取采购文件时间：2024年</w:t>
      </w:r>
      <w:r>
        <w:rPr>
          <w:rFonts w:hint="eastAsia"/>
          <w:color w:val="auto"/>
          <w:sz w:val="24"/>
          <w:szCs w:val="24"/>
          <w:highlight w:val="none"/>
          <w:lang w:val="en-US" w:eastAsia="zh-CN"/>
        </w:rPr>
        <w:t>12</w:t>
      </w:r>
      <w:r>
        <w:rPr>
          <w:rFonts w:hint="eastAsia"/>
          <w:color w:val="auto"/>
          <w:sz w:val="24"/>
          <w:szCs w:val="24"/>
          <w:highlight w:val="none"/>
        </w:rPr>
        <w:t>月</w:t>
      </w:r>
      <w:bookmarkEnd w:id="14"/>
      <w:r>
        <w:rPr>
          <w:rFonts w:hint="eastAsia"/>
          <w:color w:val="auto"/>
          <w:sz w:val="24"/>
          <w:szCs w:val="24"/>
          <w:highlight w:val="none"/>
          <w:lang w:val="en-US" w:eastAsia="zh-CN"/>
        </w:rPr>
        <w:t>X</w:t>
      </w:r>
      <w:r>
        <w:rPr>
          <w:rFonts w:hint="eastAsia"/>
          <w:color w:val="auto"/>
          <w:sz w:val="24"/>
          <w:szCs w:val="24"/>
          <w:highlight w:val="none"/>
        </w:rPr>
        <w:t>日上午</w:t>
      </w:r>
      <w:r>
        <w:rPr>
          <w:color w:val="auto"/>
          <w:sz w:val="24"/>
          <w:szCs w:val="24"/>
          <w:highlight w:val="none"/>
        </w:rPr>
        <w:t>9</w:t>
      </w:r>
      <w:r>
        <w:rPr>
          <w:rFonts w:hint="eastAsia"/>
          <w:color w:val="auto"/>
          <w:sz w:val="24"/>
          <w:szCs w:val="24"/>
          <w:highlight w:val="none"/>
        </w:rPr>
        <w:t>:</w:t>
      </w:r>
      <w:r>
        <w:rPr>
          <w:color w:val="auto"/>
          <w:sz w:val="24"/>
          <w:szCs w:val="24"/>
          <w:highlight w:val="none"/>
        </w:rPr>
        <w:t>30</w:t>
      </w:r>
      <w:r>
        <w:rPr>
          <w:rFonts w:hint="eastAsia"/>
          <w:color w:val="auto"/>
          <w:sz w:val="24"/>
          <w:szCs w:val="24"/>
          <w:highlight w:val="none"/>
        </w:rPr>
        <w:t>之前获取。</w:t>
      </w:r>
    </w:p>
    <w:p>
      <w:pPr>
        <w:numPr>
          <w:ilvl w:val="0"/>
          <w:numId w:val="4"/>
        </w:num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获取采购文件方式：供应商登录</w:t>
      </w:r>
      <w:r>
        <w:rPr>
          <w:rFonts w:hint="eastAsia"/>
          <w:color w:val="auto"/>
          <w:sz w:val="24"/>
          <w:szCs w:val="24"/>
          <w:highlight w:val="none"/>
          <w:lang w:eastAsia="zh-CN"/>
        </w:rPr>
        <w:t>乐采云</w:t>
      </w:r>
      <w:r>
        <w:rPr>
          <w:rFonts w:hint="eastAsia"/>
          <w:color w:val="auto"/>
          <w:sz w:val="24"/>
          <w:szCs w:val="24"/>
          <w:highlight w:val="none"/>
        </w:rPr>
        <w:t>平台http://www.</w:t>
      </w:r>
      <w:r>
        <w:rPr>
          <w:rFonts w:hint="eastAsia"/>
          <w:color w:val="auto"/>
          <w:sz w:val="24"/>
          <w:szCs w:val="24"/>
          <w:highlight w:val="none"/>
          <w:lang w:val="en-US" w:eastAsia="zh-CN"/>
        </w:rPr>
        <w:t>lecaiyun</w:t>
      </w:r>
      <w:r>
        <w:rPr>
          <w:rFonts w:hint="eastAsia"/>
          <w:color w:val="auto"/>
          <w:sz w:val="24"/>
          <w:szCs w:val="24"/>
          <w:highlight w:val="none"/>
        </w:rPr>
        <w:t>.c</w:t>
      </w:r>
      <w:r>
        <w:rPr>
          <w:rFonts w:hint="eastAsia"/>
          <w:color w:val="auto"/>
          <w:sz w:val="24"/>
          <w:szCs w:val="24"/>
          <w:highlight w:val="none"/>
          <w:lang w:val="en-US" w:eastAsia="zh-CN"/>
        </w:rPr>
        <w:t>om</w:t>
      </w:r>
      <w:r>
        <w:rPr>
          <w:rFonts w:hint="eastAsia"/>
          <w:color w:val="auto"/>
          <w:sz w:val="24"/>
          <w:szCs w:val="24"/>
          <w:highlight w:val="none"/>
        </w:rPr>
        <w:t>/在线申请获取采购文件（进入“项目采购”应用，在获取采购文件菜单中选择项目，申请获取采购文件）。</w:t>
      </w:r>
    </w:p>
    <w:p>
      <w:pPr>
        <w:numPr>
          <w:ilvl w:val="0"/>
          <w:numId w:val="4"/>
        </w:num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提示：</w:t>
      </w:r>
    </w:p>
    <w:p>
      <w:pPr>
        <w:numPr>
          <w:ilvl w:val="0"/>
          <w:numId w:val="5"/>
        </w:num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将拒绝接受未获取采购文件供应商的投标文件。</w:t>
      </w:r>
    </w:p>
    <w:p>
      <w:pPr>
        <w:numPr>
          <w:ilvl w:val="0"/>
          <w:numId w:val="5"/>
        </w:num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招标文件及更正补充公告请自行登录浙江政府采购网或绍兴市上虞区公共资源交易中心网站，在采购公告页面中下载。</w:t>
      </w:r>
    </w:p>
    <w:p>
      <w:pPr>
        <w:adjustRightIn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六、投标与开标注意事项：</w:t>
      </w:r>
    </w:p>
    <w:p>
      <w:pPr>
        <w:numPr>
          <w:ilvl w:val="0"/>
          <w:numId w:val="6"/>
        </w:num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本项目实行</w:t>
      </w:r>
      <w:r>
        <w:rPr>
          <w:rFonts w:hint="eastAsia"/>
          <w:b/>
          <w:bCs/>
          <w:color w:val="auto"/>
          <w:sz w:val="24"/>
          <w:szCs w:val="24"/>
          <w:highlight w:val="none"/>
        </w:rPr>
        <w:t>网上投标</w:t>
      </w:r>
      <w:r>
        <w:rPr>
          <w:rFonts w:hint="eastAsia"/>
          <w:color w:val="auto"/>
          <w:sz w:val="24"/>
          <w:szCs w:val="24"/>
          <w:highlight w:val="none"/>
        </w:rPr>
        <w:t>，采用电子投标文件，若供应商参与投标，自行承担投标一切费用。</w:t>
      </w:r>
    </w:p>
    <w:p>
      <w:pPr>
        <w:numPr>
          <w:ilvl w:val="0"/>
          <w:numId w:val="6"/>
        </w:numPr>
        <w:wordWrap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hint="eastAsia"/>
          <w:color w:val="auto"/>
          <w:sz w:val="24"/>
          <w:highlight w:val="none"/>
        </w:rPr>
      </w:pPr>
      <w:r>
        <w:rPr>
          <w:rFonts w:hint="eastAsia"/>
          <w:color w:val="auto"/>
          <w:sz w:val="24"/>
          <w:highlight w:val="none"/>
        </w:rPr>
        <w:t>供应商将</w:t>
      </w:r>
      <w:r>
        <w:rPr>
          <w:rFonts w:hint="eastAsia"/>
          <w:color w:val="auto"/>
          <w:sz w:val="24"/>
          <w:highlight w:val="none"/>
          <w:lang w:eastAsia="zh-CN"/>
        </w:rPr>
        <w:t>乐采云</w:t>
      </w:r>
      <w:r>
        <w:rPr>
          <w:rFonts w:hint="eastAsia"/>
          <w:color w:val="auto"/>
          <w:sz w:val="24"/>
          <w:highlight w:val="none"/>
        </w:rPr>
        <w:t>电子交易客户端下载、安装完成后，可通过账号密码或CA登录客户端进行投标文件制作。在使用</w:t>
      </w:r>
      <w:r>
        <w:rPr>
          <w:rFonts w:hint="eastAsia"/>
          <w:color w:val="auto"/>
          <w:sz w:val="24"/>
          <w:highlight w:val="none"/>
          <w:lang w:eastAsia="zh-CN"/>
        </w:rPr>
        <w:t>乐采云</w:t>
      </w:r>
      <w:r>
        <w:rPr>
          <w:rFonts w:hint="eastAsia"/>
          <w:color w:val="auto"/>
          <w:sz w:val="24"/>
          <w:highlight w:val="none"/>
        </w:rPr>
        <w:t>投标客户端时，建议使用WIN7及以上操作系统。</w:t>
      </w:r>
    </w:p>
    <w:p>
      <w:pPr>
        <w:autoSpaceDE w:val="0"/>
        <w:autoSpaceDN w:val="0"/>
        <w:spacing w:line="360" w:lineRule="auto"/>
        <w:ind w:firstLine="480" w:firstLineChars="200"/>
        <w:textAlignment w:val="bottom"/>
        <w:rPr>
          <w:rFonts w:hint="eastAsia"/>
          <w:color w:val="auto"/>
          <w:sz w:val="24"/>
          <w:highlight w:val="none"/>
        </w:rPr>
      </w:pPr>
      <w:r>
        <w:rPr>
          <w:rFonts w:hint="eastAsia"/>
          <w:color w:val="auto"/>
          <w:sz w:val="24"/>
          <w:highlight w:val="none"/>
        </w:rPr>
        <w:t>注：供应商先要申领CA，取得CA后需要在</w:t>
      </w:r>
      <w:r>
        <w:rPr>
          <w:rFonts w:hint="eastAsia"/>
          <w:color w:val="auto"/>
          <w:sz w:val="24"/>
          <w:highlight w:val="none"/>
          <w:lang w:eastAsia="zh-CN"/>
        </w:rPr>
        <w:t>乐采云</w:t>
      </w:r>
      <w:r>
        <w:rPr>
          <w:rFonts w:hint="eastAsia"/>
          <w:color w:val="auto"/>
          <w:sz w:val="24"/>
          <w:highlight w:val="none"/>
        </w:rPr>
        <w:t>平台进行绑定，CA相关操作可参考《CA管理学习专题》。完成CA数字证书办理在资料齐全的情况下预计7个工作日左右，建议供应商获取招标文件后立即办理。</w:t>
      </w:r>
    </w:p>
    <w:p>
      <w:pPr>
        <w:adjustRightInd w:val="0"/>
        <w:spacing w:line="360" w:lineRule="auto"/>
        <w:ind w:left="400" w:leftChars="200"/>
        <w:rPr>
          <w:rFonts w:hint="eastAsia"/>
          <w:color w:val="auto"/>
          <w:sz w:val="24"/>
          <w:highlight w:val="none"/>
        </w:rPr>
      </w:pPr>
      <w:r>
        <w:rPr>
          <w:rFonts w:hint="eastAsia"/>
          <w:color w:val="auto"/>
          <w:sz w:val="24"/>
          <w:highlight w:val="none"/>
        </w:rPr>
        <w:t>《CA管理学习专题》：</w:t>
      </w:r>
    </w:p>
    <w:p>
      <w:pPr>
        <w:adjustRightInd w:val="0"/>
        <w:spacing w:line="360" w:lineRule="auto"/>
        <w:ind w:left="400" w:leftChars="200"/>
        <w:rPr>
          <w:rFonts w:hint="eastAsia"/>
          <w:color w:val="auto"/>
          <w:sz w:val="24"/>
          <w:highlight w:val="none"/>
        </w:rPr>
      </w:pPr>
      <w:r>
        <w:rPr>
          <w:rFonts w:hint="eastAsia"/>
          <w:color w:val="auto"/>
          <w:sz w:val="24"/>
          <w:highlight w:val="none"/>
        </w:rPr>
        <w:t>https://edu.zcygov.cn/luban/ca?utm=web-government-front.380aac0a.0.0.fc2b6aa0b6e211ebbdb0dd007730dd44</w:t>
      </w:r>
    </w:p>
    <w:p>
      <w:pPr>
        <w:adjustRightInd w:val="0"/>
        <w:spacing w:line="360" w:lineRule="auto"/>
        <w:ind w:left="400" w:leftChars="200"/>
        <w:rPr>
          <w:rFonts w:hint="eastAsia"/>
          <w:color w:val="auto"/>
          <w:sz w:val="24"/>
          <w:highlight w:val="none"/>
        </w:rPr>
      </w:pPr>
      <w:r>
        <w:rPr>
          <w:rFonts w:hint="eastAsia"/>
          <w:color w:val="auto"/>
          <w:sz w:val="24"/>
          <w:highlight w:val="none"/>
        </w:rPr>
        <w:t>《CA驱动和申领流程》:</w:t>
      </w:r>
    </w:p>
    <w:p>
      <w:pPr>
        <w:adjustRightInd w:val="0"/>
        <w:spacing w:line="360" w:lineRule="auto"/>
        <w:ind w:left="400" w:leftChars="200"/>
        <w:rPr>
          <w:rFonts w:hint="eastAsia"/>
          <w:color w:val="auto"/>
          <w:sz w:val="24"/>
          <w:szCs w:val="24"/>
          <w:highlight w:val="none"/>
        </w:rPr>
      </w:pPr>
      <w:r>
        <w:rPr>
          <w:rFonts w:hint="eastAsia"/>
          <w:color w:val="auto"/>
          <w:sz w:val="24"/>
          <w:highlight w:val="none"/>
        </w:rPr>
        <w:fldChar w:fldCharType="begin"/>
      </w:r>
      <w:r>
        <w:rPr>
          <w:rFonts w:hint="eastAsia"/>
          <w:color w:val="auto"/>
          <w:sz w:val="24"/>
          <w:highlight w:val="none"/>
        </w:rPr>
        <w:instrText xml:space="preserve"> HYPERLINK "http://zfcg.czt.zj.gov.cn/bidClientTemplate/2019-05-27/12945.html" </w:instrText>
      </w:r>
      <w:r>
        <w:rPr>
          <w:rFonts w:hint="eastAsia"/>
          <w:color w:val="auto"/>
          <w:sz w:val="24"/>
          <w:highlight w:val="none"/>
        </w:rPr>
        <w:fldChar w:fldCharType="separate"/>
      </w:r>
      <w:r>
        <w:rPr>
          <w:rFonts w:hint="eastAsia"/>
          <w:color w:val="auto"/>
          <w:sz w:val="24"/>
          <w:highlight w:val="none"/>
        </w:rPr>
        <w:t>http://zfcg.czt.zj.gov.cn/bidClientTemplate/2019-05-27/12945.html</w:t>
      </w:r>
      <w:r>
        <w:rPr>
          <w:rFonts w:hint="eastAsia"/>
          <w:color w:val="auto"/>
          <w:sz w:val="24"/>
          <w:highlight w:val="none"/>
        </w:rPr>
        <w:fldChar w:fldCharType="end"/>
      </w:r>
    </w:p>
    <w:p>
      <w:pPr>
        <w:numPr>
          <w:ilvl w:val="0"/>
          <w:numId w:val="6"/>
        </w:num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投标文件制作：</w:t>
      </w:r>
    </w:p>
    <w:p>
      <w:pPr>
        <w:numPr>
          <w:ilvl w:val="0"/>
          <w:numId w:val="7"/>
        </w:num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应按照本项目招标文件和</w:t>
      </w:r>
      <w:r>
        <w:rPr>
          <w:rFonts w:hint="eastAsia"/>
          <w:color w:val="auto"/>
          <w:sz w:val="24"/>
          <w:szCs w:val="24"/>
          <w:highlight w:val="none"/>
          <w:lang w:eastAsia="zh-CN"/>
        </w:rPr>
        <w:t>乐采云</w:t>
      </w:r>
      <w:r>
        <w:rPr>
          <w:rFonts w:hint="eastAsia"/>
          <w:color w:val="auto"/>
          <w:sz w:val="24"/>
          <w:szCs w:val="24"/>
          <w:highlight w:val="none"/>
        </w:rPr>
        <w:t>平台的要求编制、加密并递交投标文件。供应商在使用系统进行投标的过程中遇到涉及平台使用的任何问题，可致电</w:t>
      </w:r>
      <w:r>
        <w:rPr>
          <w:rFonts w:hint="eastAsia"/>
          <w:color w:val="auto"/>
          <w:sz w:val="24"/>
          <w:szCs w:val="24"/>
          <w:highlight w:val="none"/>
          <w:lang w:eastAsia="zh-CN"/>
        </w:rPr>
        <w:t>乐采云</w:t>
      </w:r>
      <w:r>
        <w:rPr>
          <w:rFonts w:hint="eastAsia"/>
          <w:color w:val="auto"/>
          <w:sz w:val="24"/>
          <w:szCs w:val="24"/>
          <w:highlight w:val="none"/>
        </w:rPr>
        <w:t>平台技术支持热线咨询，联系方式：95763。</w:t>
      </w:r>
    </w:p>
    <w:p>
      <w:pPr>
        <w:numPr>
          <w:ilvl w:val="0"/>
          <w:numId w:val="7"/>
        </w:numPr>
        <w:wordWrap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投标人通过“</w:t>
      </w:r>
      <w:r>
        <w:rPr>
          <w:rFonts w:hint="eastAsia"/>
          <w:color w:val="auto"/>
          <w:sz w:val="24"/>
          <w:szCs w:val="24"/>
          <w:highlight w:val="none"/>
          <w:lang w:eastAsia="zh-CN"/>
        </w:rPr>
        <w:t>乐采云</w:t>
      </w:r>
      <w:r>
        <w:rPr>
          <w:rFonts w:hint="eastAsia"/>
          <w:color w:val="auto"/>
          <w:sz w:val="24"/>
          <w:szCs w:val="24"/>
          <w:highlight w:val="none"/>
        </w:rPr>
        <w:t>”平台</w:t>
      </w:r>
      <w:r>
        <w:rPr>
          <w:rFonts w:hint="eastAsia"/>
          <w:color w:val="auto"/>
          <w:sz w:val="24"/>
          <w:szCs w:val="24"/>
          <w:highlight w:val="none"/>
        </w:rPr>
        <w:fldChar w:fldCharType="begin"/>
      </w:r>
      <w:r>
        <w:rPr>
          <w:rFonts w:hint="eastAsia"/>
          <w:color w:val="auto"/>
          <w:sz w:val="24"/>
          <w:szCs w:val="24"/>
          <w:highlight w:val="none"/>
        </w:rPr>
        <w:instrText xml:space="preserve">  </w:instrText>
      </w:r>
      <w:r>
        <w:rPr>
          <w:rFonts w:hint="eastAsia"/>
          <w:color w:val="auto"/>
          <w:sz w:val="24"/>
          <w:szCs w:val="24"/>
          <w:highlight w:val="none"/>
        </w:rPr>
        <w:fldChar w:fldCharType="end"/>
      </w:r>
      <w:r>
        <w:rPr>
          <w:rFonts w:hint="eastAsia"/>
          <w:color w:val="auto"/>
          <w:sz w:val="24"/>
          <w:szCs w:val="24"/>
          <w:highlight w:val="none"/>
        </w:rPr>
        <w:t>电子投标工具制作投标文件。</w:t>
      </w:r>
    </w:p>
    <w:p>
      <w:pPr>
        <w:adjustRightInd w:val="0"/>
        <w:spacing w:line="360" w:lineRule="auto"/>
        <w:ind w:firstLine="480" w:firstLineChars="200"/>
        <w:jc w:val="left"/>
        <w:rPr>
          <w:rFonts w:hint="eastAsia"/>
          <w:color w:val="auto"/>
          <w:sz w:val="24"/>
          <w:szCs w:val="24"/>
          <w:highlight w:val="none"/>
        </w:rPr>
      </w:pPr>
      <w:r>
        <w:rPr>
          <w:rFonts w:hint="eastAsia"/>
          <w:color w:val="auto"/>
          <w:sz w:val="24"/>
          <w:szCs w:val="24"/>
          <w:highlight w:val="none"/>
        </w:rPr>
        <w:t>《电子投标工具》：</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https://b.zhengcaiyun.cn/luban/category?parentId=550045&amp;childrenCode=qicaiCategory17&amp;utm=luban.luban-PC-39026.959-pc-websitegroup-navBar-front.8.c8789bc0520b11efb86dbfa49a87be0d</w:t>
      </w:r>
    </w:p>
    <w:p>
      <w:pPr>
        <w:adjustRightInd w:val="0"/>
        <w:spacing w:line="360" w:lineRule="auto"/>
        <w:ind w:firstLine="480" w:firstLineChars="200"/>
        <w:jc w:val="left"/>
        <w:rPr>
          <w:rFonts w:hint="eastAsia"/>
          <w:color w:val="auto"/>
          <w:sz w:val="24"/>
          <w:szCs w:val="24"/>
          <w:highlight w:val="none"/>
        </w:rPr>
      </w:pPr>
      <w:r>
        <w:rPr>
          <w:rFonts w:hint="eastAsia"/>
          <w:color w:val="auto"/>
          <w:sz w:val="24"/>
          <w:szCs w:val="24"/>
          <w:highlight w:val="none"/>
        </w:rPr>
        <w:t>《供应商</w:t>
      </w:r>
      <w:r>
        <w:rPr>
          <w:rFonts w:hint="eastAsia"/>
          <w:b/>
          <w:bCs/>
          <w:color w:val="auto"/>
          <w:highlight w:val="none"/>
        </w:rPr>
        <w:t>-</w:t>
      </w:r>
      <w:r>
        <w:rPr>
          <w:rFonts w:hint="eastAsia"/>
          <w:color w:val="auto"/>
          <w:sz w:val="24"/>
          <w:szCs w:val="24"/>
          <w:highlight w:val="none"/>
        </w:rPr>
        <w:t>政府采购项目电子交易操作指南》：（登录账号后查看 ）</w:t>
      </w:r>
      <w:r>
        <w:rPr>
          <w:rFonts w:hint="eastAsia"/>
          <w:color w:val="auto"/>
          <w:sz w:val="24"/>
          <w:szCs w:val="24"/>
          <w:highlight w:val="none"/>
        </w:rPr>
        <w:fldChar w:fldCharType="begin"/>
      </w:r>
      <w:r>
        <w:rPr>
          <w:rFonts w:hint="eastAsia"/>
          <w:color w:val="auto"/>
          <w:sz w:val="24"/>
          <w:szCs w:val="24"/>
          <w:highlight w:val="none"/>
        </w:rPr>
        <w:instrText xml:space="preserve"> HYPERLINK "https://service.zcygov.cn/#/knowledges/tree?tag=AG1DtGwBFdiHxlNdhY0r" </w:instrText>
      </w:r>
      <w:r>
        <w:rPr>
          <w:rFonts w:hint="eastAsia"/>
          <w:color w:val="auto"/>
          <w:sz w:val="24"/>
          <w:szCs w:val="24"/>
          <w:highlight w:val="none"/>
        </w:rPr>
        <w:fldChar w:fldCharType="separate"/>
      </w:r>
      <w:r>
        <w:rPr>
          <w:rFonts w:hint="eastAsia"/>
          <w:color w:val="auto"/>
          <w:sz w:val="24"/>
          <w:szCs w:val="24"/>
          <w:highlight w:val="none"/>
        </w:rPr>
        <w:t>https://service.zcygov.cn/#/knowledges/tree?tag=AG1DtGwBFdiHxlNdhY0r</w:t>
      </w:r>
      <w:r>
        <w:rPr>
          <w:rFonts w:hint="eastAsia"/>
          <w:color w:val="auto"/>
          <w:sz w:val="24"/>
          <w:szCs w:val="24"/>
          <w:highlight w:val="none"/>
        </w:rPr>
        <w:fldChar w:fldCharType="end"/>
      </w:r>
    </w:p>
    <w:p>
      <w:pPr>
        <w:numPr>
          <w:ilvl w:val="0"/>
          <w:numId w:val="6"/>
        </w:num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供应商在法定质疑期内应一次性提出针对同一采购程序环节的质疑。 </w:t>
      </w:r>
    </w:p>
    <w:p>
      <w:pPr>
        <w:numPr>
          <w:ilvl w:val="0"/>
          <w:numId w:val="6"/>
        </w:num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投标人可指派授权代表递交备份文件，授权代表递交备份文件需携带法定代表人授权书原件，于投标截止时间前到达开标地点递交。</w:t>
      </w:r>
    </w:p>
    <w:p>
      <w:pPr>
        <w:numPr>
          <w:ilvl w:val="0"/>
          <w:numId w:val="6"/>
        </w:num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特别提醒</w:t>
      </w:r>
    </w:p>
    <w:p>
      <w:pPr>
        <w:numPr>
          <w:ilvl w:val="0"/>
          <w:numId w:val="8"/>
        </w:numPr>
        <w:wordWrap w:val="0"/>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单位负责人为同一人或者存在直接控股、管理关系的不同供应商，不得参加同一合同项下的采购活动。</w:t>
      </w:r>
    </w:p>
    <w:p>
      <w:pPr>
        <w:numPr>
          <w:ilvl w:val="0"/>
          <w:numId w:val="8"/>
        </w:numPr>
        <w:wordWrap w:val="0"/>
        <w:adjustRightInd w:val="0"/>
        <w:spacing w:line="360" w:lineRule="auto"/>
        <w:ind w:firstLine="480" w:firstLineChars="200"/>
        <w:rPr>
          <w:rFonts w:hint="eastAsia"/>
          <w:color w:val="auto"/>
          <w:highlight w:val="none"/>
        </w:rPr>
      </w:pPr>
      <w:r>
        <w:rPr>
          <w:rFonts w:hint="eastAsia"/>
          <w:color w:val="auto"/>
          <w:sz w:val="24"/>
          <w:szCs w:val="24"/>
          <w:highlight w:val="none"/>
        </w:rPr>
        <w:t>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hint="eastAsia"/>
          <w:color w:val="auto"/>
          <w:sz w:val="24"/>
          <w:szCs w:val="24"/>
          <w:highlight w:val="none"/>
        </w:rPr>
      </w:pPr>
      <w:r>
        <w:rPr>
          <w:rFonts w:hint="eastAsia"/>
          <w:b/>
          <w:color w:val="auto"/>
          <w:sz w:val="24"/>
          <w:szCs w:val="24"/>
          <w:highlight w:val="none"/>
        </w:rPr>
        <w:t>七、投标截止时间及要求：</w:t>
      </w:r>
      <w:r>
        <w:rPr>
          <w:rFonts w:hint="eastAsia"/>
          <w:color w:val="auto"/>
          <w:sz w:val="24"/>
          <w:szCs w:val="24"/>
          <w:highlight w:val="none"/>
          <w:u w:val="single"/>
        </w:rPr>
        <w:t xml:space="preserve"> 2024</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12</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X</w:t>
      </w:r>
      <w:r>
        <w:rPr>
          <w:rFonts w:hint="eastAsia"/>
          <w:color w:val="auto"/>
          <w:sz w:val="24"/>
          <w:szCs w:val="24"/>
          <w:highlight w:val="none"/>
        </w:rPr>
        <w:t>日 上午</w:t>
      </w:r>
      <w:r>
        <w:rPr>
          <w:rFonts w:hint="eastAsia"/>
          <w:color w:val="auto"/>
          <w:sz w:val="24"/>
          <w:szCs w:val="24"/>
          <w:highlight w:val="none"/>
          <w:u w:val="single"/>
        </w:rPr>
        <w:t xml:space="preserve"> </w:t>
      </w:r>
      <w:r>
        <w:rPr>
          <w:color w:val="auto"/>
          <w:sz w:val="24"/>
          <w:szCs w:val="24"/>
          <w:highlight w:val="none"/>
          <w:u w:val="single"/>
        </w:rPr>
        <w:t>9</w:t>
      </w:r>
      <w:r>
        <w:rPr>
          <w:rFonts w:hint="eastAsia"/>
          <w:color w:val="auto"/>
          <w:sz w:val="24"/>
          <w:szCs w:val="24"/>
          <w:highlight w:val="none"/>
          <w:u w:val="single"/>
        </w:rPr>
        <w:t xml:space="preserve"> </w:t>
      </w:r>
      <w:r>
        <w:rPr>
          <w:rFonts w:hint="eastAsia"/>
          <w:color w:val="auto"/>
          <w:sz w:val="24"/>
          <w:szCs w:val="24"/>
          <w:highlight w:val="none"/>
        </w:rPr>
        <w:t>时</w:t>
      </w:r>
      <w:r>
        <w:rPr>
          <w:rFonts w:hint="eastAsia"/>
          <w:color w:val="auto"/>
          <w:sz w:val="24"/>
          <w:szCs w:val="24"/>
          <w:highlight w:val="none"/>
          <w:u w:val="single"/>
        </w:rPr>
        <w:t xml:space="preserve"> </w:t>
      </w:r>
      <w:r>
        <w:rPr>
          <w:color w:val="auto"/>
          <w:sz w:val="24"/>
          <w:szCs w:val="24"/>
          <w:highlight w:val="none"/>
          <w:u w:val="single"/>
        </w:rPr>
        <w:t>30</w:t>
      </w:r>
      <w:r>
        <w:rPr>
          <w:rFonts w:hint="eastAsia"/>
          <w:color w:val="auto"/>
          <w:sz w:val="24"/>
          <w:szCs w:val="24"/>
          <w:highlight w:val="none"/>
          <w:u w:val="single"/>
        </w:rPr>
        <w:t xml:space="preserve"> </w:t>
      </w:r>
      <w:r>
        <w:rPr>
          <w:rFonts w:hint="eastAsia"/>
          <w:color w:val="auto"/>
          <w:sz w:val="24"/>
          <w:szCs w:val="24"/>
          <w:highlight w:val="none"/>
        </w:rPr>
        <w:t>分整</w:t>
      </w:r>
      <w:r>
        <w:rPr>
          <w:rFonts w:hint="eastAsia"/>
          <w:bCs/>
          <w:color w:val="auto"/>
          <w:sz w:val="24"/>
          <w:szCs w:val="24"/>
          <w:highlight w:val="none"/>
        </w:rPr>
        <w:t>之前将电子投标文件上传到“</w:t>
      </w:r>
      <w:r>
        <w:rPr>
          <w:rFonts w:hint="eastAsia"/>
          <w:bCs/>
          <w:color w:val="auto"/>
          <w:sz w:val="24"/>
          <w:szCs w:val="24"/>
          <w:highlight w:val="none"/>
          <w:lang w:eastAsia="zh-CN"/>
        </w:rPr>
        <w:t>乐采云</w:t>
      </w:r>
      <w:r>
        <w:rPr>
          <w:rFonts w:hint="eastAsia"/>
          <w:bCs/>
          <w:color w:val="auto"/>
          <w:sz w:val="24"/>
          <w:szCs w:val="24"/>
          <w:highlight w:val="none"/>
        </w:rPr>
        <w:t>”平台。</w:t>
      </w:r>
    </w:p>
    <w:p>
      <w:pPr>
        <w:adjustRightInd w:val="0"/>
        <w:spacing w:line="360" w:lineRule="auto"/>
        <w:ind w:firstLine="482" w:firstLineChars="200"/>
        <w:jc w:val="left"/>
        <w:rPr>
          <w:rFonts w:hint="eastAsia"/>
          <w:color w:val="auto"/>
          <w:sz w:val="24"/>
          <w:szCs w:val="24"/>
          <w:highlight w:val="none"/>
        </w:rPr>
      </w:pPr>
      <w:r>
        <w:rPr>
          <w:rFonts w:hint="eastAsia"/>
          <w:b/>
          <w:color w:val="auto"/>
          <w:sz w:val="24"/>
          <w:szCs w:val="24"/>
          <w:highlight w:val="none"/>
        </w:rPr>
        <w:t>八、开标时间及地点：</w:t>
      </w:r>
      <w:r>
        <w:rPr>
          <w:rFonts w:hint="eastAsia"/>
          <w:color w:val="auto"/>
          <w:sz w:val="24"/>
          <w:szCs w:val="24"/>
          <w:highlight w:val="none"/>
          <w:u w:val="single"/>
        </w:rPr>
        <w:t xml:space="preserve"> 2024</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12</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X</w:t>
      </w:r>
      <w:r>
        <w:rPr>
          <w:rFonts w:hint="eastAsia"/>
          <w:color w:val="auto"/>
          <w:sz w:val="24"/>
          <w:szCs w:val="24"/>
          <w:highlight w:val="none"/>
          <w:u w:val="single"/>
        </w:rPr>
        <w:t xml:space="preserve">  </w:t>
      </w:r>
      <w:r>
        <w:rPr>
          <w:rFonts w:hint="eastAsia"/>
          <w:color w:val="auto"/>
          <w:sz w:val="24"/>
          <w:szCs w:val="24"/>
          <w:highlight w:val="none"/>
        </w:rPr>
        <w:t>日 上午</w:t>
      </w:r>
      <w:r>
        <w:rPr>
          <w:rFonts w:hint="eastAsia"/>
          <w:color w:val="auto"/>
          <w:sz w:val="24"/>
          <w:szCs w:val="24"/>
          <w:highlight w:val="none"/>
          <w:u w:val="single"/>
        </w:rPr>
        <w:t xml:space="preserve"> </w:t>
      </w:r>
      <w:r>
        <w:rPr>
          <w:color w:val="auto"/>
          <w:sz w:val="24"/>
          <w:szCs w:val="24"/>
          <w:highlight w:val="none"/>
          <w:u w:val="single"/>
        </w:rPr>
        <w:t>9</w:t>
      </w:r>
      <w:r>
        <w:rPr>
          <w:rFonts w:hint="eastAsia"/>
          <w:color w:val="auto"/>
          <w:sz w:val="24"/>
          <w:szCs w:val="24"/>
          <w:highlight w:val="none"/>
          <w:u w:val="single"/>
        </w:rPr>
        <w:t xml:space="preserve"> </w:t>
      </w:r>
      <w:r>
        <w:rPr>
          <w:rFonts w:hint="eastAsia"/>
          <w:color w:val="auto"/>
          <w:sz w:val="24"/>
          <w:szCs w:val="24"/>
          <w:highlight w:val="none"/>
        </w:rPr>
        <w:t>时</w:t>
      </w:r>
      <w:r>
        <w:rPr>
          <w:rFonts w:hint="eastAsia"/>
          <w:color w:val="auto"/>
          <w:sz w:val="24"/>
          <w:szCs w:val="24"/>
          <w:highlight w:val="none"/>
          <w:u w:val="single"/>
        </w:rPr>
        <w:t xml:space="preserve"> </w:t>
      </w:r>
      <w:r>
        <w:rPr>
          <w:color w:val="auto"/>
          <w:sz w:val="24"/>
          <w:szCs w:val="24"/>
          <w:highlight w:val="none"/>
          <w:u w:val="single"/>
        </w:rPr>
        <w:t>30</w:t>
      </w:r>
      <w:r>
        <w:rPr>
          <w:rFonts w:hint="eastAsia"/>
          <w:color w:val="auto"/>
          <w:sz w:val="24"/>
          <w:szCs w:val="24"/>
          <w:highlight w:val="none"/>
          <w:u w:val="single"/>
        </w:rPr>
        <w:t xml:space="preserve"> </w:t>
      </w:r>
      <w:r>
        <w:rPr>
          <w:rFonts w:hint="eastAsia"/>
          <w:color w:val="auto"/>
          <w:sz w:val="24"/>
          <w:szCs w:val="24"/>
          <w:highlight w:val="none"/>
        </w:rPr>
        <w:t>分</w:t>
      </w:r>
      <w:bookmarkStart w:id="15" w:name="B30_开标地点"/>
      <w:r>
        <w:rPr>
          <w:rFonts w:hint="eastAsia"/>
          <w:color w:val="auto"/>
          <w:sz w:val="24"/>
          <w:szCs w:val="24"/>
          <w:highlight w:val="none"/>
        </w:rPr>
        <w:t>整在绍兴市上虞区公共资源交易中心三楼</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XXX</w:t>
      </w:r>
      <w:r>
        <w:rPr>
          <w:rFonts w:hint="eastAsia"/>
          <w:color w:val="auto"/>
          <w:sz w:val="24"/>
          <w:szCs w:val="24"/>
          <w:highlight w:val="none"/>
        </w:rPr>
        <w:t>开标室开标。</w:t>
      </w:r>
      <w:bookmarkEnd w:id="15"/>
    </w:p>
    <w:p>
      <w:pPr>
        <w:pStyle w:val="15"/>
        <w:spacing w:line="360" w:lineRule="auto"/>
        <w:ind w:firstLine="480" w:firstLineChars="200"/>
        <w:rPr>
          <w:rFonts w:hint="eastAsia" w:hAnsi="宋体" w:cs="宋体"/>
          <w:bCs/>
          <w:strike/>
          <w:color w:val="auto"/>
          <w:sz w:val="24"/>
          <w:szCs w:val="24"/>
          <w:highlight w:val="none"/>
        </w:rPr>
      </w:pPr>
      <w:r>
        <w:rPr>
          <w:rFonts w:hint="eastAsia" w:hAnsi="宋体" w:cs="宋体"/>
          <w:color w:val="auto"/>
          <w:kern w:val="2"/>
          <w:sz w:val="24"/>
          <w:szCs w:val="24"/>
          <w:highlight w:val="none"/>
        </w:rPr>
        <w:t>开标时间后30分钟内（当日</w:t>
      </w:r>
      <w:r>
        <w:rPr>
          <w:rFonts w:hAnsi="宋体" w:cs="宋体"/>
          <w:color w:val="auto"/>
          <w:kern w:val="2"/>
          <w:sz w:val="24"/>
          <w:szCs w:val="24"/>
          <w:highlight w:val="none"/>
        </w:rPr>
        <w:t>10</w:t>
      </w:r>
      <w:r>
        <w:rPr>
          <w:rFonts w:hint="eastAsia" w:hAnsi="宋体" w:cs="宋体"/>
          <w:color w:val="auto"/>
          <w:kern w:val="2"/>
          <w:sz w:val="24"/>
          <w:szCs w:val="24"/>
          <w:highlight w:val="none"/>
        </w:rPr>
        <w:t>:</w:t>
      </w:r>
      <w:r>
        <w:rPr>
          <w:rFonts w:hAnsi="宋体" w:cs="宋体"/>
          <w:color w:val="auto"/>
          <w:kern w:val="2"/>
          <w:sz w:val="24"/>
          <w:szCs w:val="24"/>
          <w:highlight w:val="none"/>
        </w:rPr>
        <w:t>00</w:t>
      </w:r>
      <w:r>
        <w:rPr>
          <w:rFonts w:hint="eastAsia" w:hAnsi="宋体" w:cs="宋体"/>
          <w:color w:val="auto"/>
          <w:kern w:val="2"/>
          <w:sz w:val="24"/>
          <w:szCs w:val="24"/>
          <w:highlight w:val="none"/>
        </w:rPr>
        <w:t>前）供应商可以登录“</w:t>
      </w:r>
      <w:r>
        <w:rPr>
          <w:rFonts w:hint="eastAsia" w:hAnsi="宋体" w:cs="宋体"/>
          <w:color w:val="auto"/>
          <w:kern w:val="2"/>
          <w:sz w:val="24"/>
          <w:szCs w:val="24"/>
          <w:highlight w:val="none"/>
          <w:lang w:eastAsia="zh-CN"/>
        </w:rPr>
        <w:t>乐采云</w:t>
      </w:r>
      <w:r>
        <w:rPr>
          <w:rFonts w:hint="eastAsia" w:hAnsi="宋体" w:cs="宋体"/>
          <w:color w:val="auto"/>
          <w:kern w:val="2"/>
          <w:sz w:val="24"/>
          <w:szCs w:val="24"/>
          <w:highlight w:val="none"/>
        </w:rPr>
        <w:t>”平台，用“项目采购－开标评标”功能进行解密投标文件。若供应商在规定时间内（当日</w:t>
      </w:r>
      <w:r>
        <w:rPr>
          <w:rFonts w:hAnsi="宋体" w:cs="宋体"/>
          <w:color w:val="auto"/>
          <w:kern w:val="2"/>
          <w:sz w:val="24"/>
          <w:szCs w:val="24"/>
          <w:highlight w:val="none"/>
        </w:rPr>
        <w:t>10</w:t>
      </w:r>
      <w:r>
        <w:rPr>
          <w:rFonts w:hint="eastAsia" w:hAnsi="宋体" w:cs="宋体"/>
          <w:color w:val="auto"/>
          <w:kern w:val="2"/>
          <w:sz w:val="24"/>
          <w:szCs w:val="24"/>
          <w:highlight w:val="none"/>
        </w:rPr>
        <w:t>：</w:t>
      </w:r>
      <w:r>
        <w:rPr>
          <w:rFonts w:hAnsi="宋体" w:cs="宋体"/>
          <w:color w:val="auto"/>
          <w:kern w:val="2"/>
          <w:sz w:val="24"/>
          <w:szCs w:val="24"/>
          <w:highlight w:val="none"/>
        </w:rPr>
        <w:t>00</w:t>
      </w:r>
      <w:r>
        <w:rPr>
          <w:rFonts w:hint="eastAsia" w:hAnsi="宋体" w:cs="宋体"/>
          <w:color w:val="auto"/>
          <w:kern w:val="2"/>
          <w:sz w:val="24"/>
          <w:szCs w:val="24"/>
          <w:highlight w:val="none"/>
        </w:rPr>
        <w:t>前）解密失败，则由采购代理机构工作人员上传投标人提供的备份文件。备份文件（后缀名为.bfbs）须存储在U盘中，与上传的电子投标文件一致，用信封进行密封并盖章，由授权代表在投标截止时间前递交至开标地点。</w:t>
      </w:r>
      <w:r>
        <w:rPr>
          <w:rFonts w:hint="eastAsia" w:hAnsi="宋体" w:cs="宋体"/>
          <w:color w:val="auto"/>
          <w:sz w:val="24"/>
          <w:szCs w:val="24"/>
          <w:highlight w:val="none"/>
        </w:rPr>
        <w:t>若电子投标文件正常解锁，则U盘退还给供应商；若解锁失败，则由采购代理机构将U盘中的备份文件上传，该U盘将由采购代理机构保存。</w:t>
      </w:r>
    </w:p>
    <w:p>
      <w:pPr>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本次开标不提供现场视频。</w:t>
      </w:r>
    </w:p>
    <w:p>
      <w:pPr>
        <w:adjustRightInd w:val="0"/>
        <w:spacing w:line="360" w:lineRule="auto"/>
        <w:ind w:firstLine="482" w:firstLineChars="200"/>
        <w:rPr>
          <w:b/>
          <w:bCs/>
          <w:color w:val="auto"/>
          <w:sz w:val="24"/>
          <w:szCs w:val="24"/>
          <w:highlight w:val="none"/>
        </w:rPr>
      </w:pPr>
      <w:r>
        <w:rPr>
          <w:rFonts w:hint="eastAsia"/>
          <w:b/>
          <w:bCs/>
          <w:color w:val="auto"/>
          <w:sz w:val="24"/>
          <w:szCs w:val="24"/>
          <w:highlight w:val="none"/>
        </w:rPr>
        <w:t>九．投标保证金：</w:t>
      </w:r>
      <w:r>
        <w:rPr>
          <w:rFonts w:hint="eastAsia"/>
          <w:color w:val="auto"/>
          <w:sz w:val="24"/>
          <w:szCs w:val="24"/>
          <w:highlight w:val="none"/>
        </w:rPr>
        <w:t>无</w:t>
      </w:r>
      <w:r>
        <w:rPr>
          <w:color w:val="auto"/>
          <w:sz w:val="24"/>
          <w:szCs w:val="24"/>
          <w:highlight w:val="none"/>
        </w:rPr>
        <w:t>。</w:t>
      </w:r>
    </w:p>
    <w:p>
      <w:pPr>
        <w:adjustRightIn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十．公告期限：</w:t>
      </w:r>
      <w:r>
        <w:rPr>
          <w:rFonts w:hint="eastAsia"/>
          <w:color w:val="auto"/>
          <w:sz w:val="24"/>
          <w:szCs w:val="24"/>
          <w:highlight w:val="none"/>
        </w:rPr>
        <w:t>5个工作日</w:t>
      </w:r>
    </w:p>
    <w:p>
      <w:pPr>
        <w:adjustRightIn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十一．联系方式：</w:t>
      </w:r>
    </w:p>
    <w:p>
      <w:pPr>
        <w:spacing w:line="360" w:lineRule="auto"/>
        <w:ind w:firstLine="480" w:firstLineChars="200"/>
        <w:rPr>
          <w:rFonts w:hint="eastAsia"/>
          <w:color w:val="auto"/>
          <w:sz w:val="24"/>
          <w:highlight w:val="none"/>
        </w:rPr>
      </w:pPr>
      <w:r>
        <w:rPr>
          <w:rFonts w:hint="eastAsia"/>
          <w:color w:val="auto"/>
          <w:sz w:val="24"/>
          <w:highlight w:val="none"/>
        </w:rPr>
        <w:t>1、采购代理机构名称：浙江天平项目咨询有限公司</w:t>
      </w:r>
    </w:p>
    <w:p>
      <w:pPr>
        <w:pStyle w:val="70"/>
        <w:spacing w:before="0" w:beforeAutospacing="0" w:after="0" w:afterAutospacing="0" w:line="360" w:lineRule="auto"/>
        <w:ind w:firstLine="480" w:firstLineChars="200"/>
        <w:rPr>
          <w:rFonts w:hint="eastAsia" w:ascii="宋体" w:hAnsi="宋体" w:eastAsia="宋体"/>
          <w:color w:val="auto"/>
          <w:highlight w:val="none"/>
        </w:rPr>
      </w:pPr>
      <w:r>
        <w:rPr>
          <w:rFonts w:hint="eastAsia" w:ascii="宋体" w:hAnsi="宋体" w:eastAsia="宋体"/>
          <w:color w:val="auto"/>
          <w:highlight w:val="none"/>
        </w:rPr>
        <w:t xml:space="preserve">联系人：陈先生         </w:t>
      </w:r>
    </w:p>
    <w:p>
      <w:pPr>
        <w:pStyle w:val="70"/>
        <w:tabs>
          <w:tab w:val="left" w:pos="381"/>
        </w:tabs>
        <w:spacing w:before="0" w:beforeAutospacing="0" w:after="0" w:afterAutospacing="0" w:line="360" w:lineRule="auto"/>
        <w:ind w:firstLine="480" w:firstLineChars="200"/>
        <w:rPr>
          <w:rStyle w:val="75"/>
          <w:rFonts w:ascii="宋体" w:hAnsi="宋体" w:eastAsia="宋体"/>
          <w:color w:val="auto"/>
          <w:szCs w:val="21"/>
          <w:highlight w:val="none"/>
        </w:rPr>
      </w:pPr>
      <w:r>
        <w:rPr>
          <w:rFonts w:hint="eastAsia" w:ascii="宋体" w:hAnsi="宋体" w:eastAsia="宋体"/>
          <w:color w:val="auto"/>
          <w:highlight w:val="none"/>
        </w:rPr>
        <w:t>联系电话：</w:t>
      </w:r>
      <w:r>
        <w:rPr>
          <w:rFonts w:hint="eastAsia" w:ascii="宋体" w:hAnsi="宋体"/>
          <w:color w:val="auto"/>
          <w:highlight w:val="none"/>
        </w:rPr>
        <w:t xml:space="preserve">13587399711  </w:t>
      </w:r>
    </w:p>
    <w:p>
      <w:pPr>
        <w:spacing w:line="360" w:lineRule="auto"/>
        <w:ind w:firstLine="480" w:firstLineChars="200"/>
        <w:rPr>
          <w:rFonts w:hint="eastAsia" w:eastAsia="宋体"/>
          <w:color w:val="auto"/>
          <w:sz w:val="24"/>
          <w:highlight w:val="none"/>
          <w:lang w:eastAsia="zh-CN"/>
        </w:rPr>
      </w:pPr>
      <w:r>
        <w:rPr>
          <w:rFonts w:hint="eastAsia"/>
          <w:color w:val="auto"/>
          <w:sz w:val="24"/>
          <w:highlight w:val="none"/>
        </w:rPr>
        <w:t>2、采购人名称：</w:t>
      </w:r>
      <w:r>
        <w:rPr>
          <w:rFonts w:hint="eastAsia"/>
          <w:color w:val="auto"/>
          <w:sz w:val="24"/>
          <w:highlight w:val="none"/>
          <w:lang w:eastAsia="zh-CN"/>
        </w:rPr>
        <w:t>绍兴市上虞区特色小镇投资建设有限公司</w:t>
      </w:r>
    </w:p>
    <w:p>
      <w:pPr>
        <w:adjustRightInd w:val="0"/>
        <w:spacing w:line="360" w:lineRule="auto"/>
        <w:ind w:firstLine="480" w:firstLineChars="200"/>
        <w:rPr>
          <w:rFonts w:hint="eastAsia"/>
          <w:color w:val="auto"/>
          <w:sz w:val="24"/>
          <w:highlight w:val="none"/>
        </w:rPr>
      </w:pPr>
      <w:r>
        <w:rPr>
          <w:rFonts w:hint="eastAsia"/>
          <w:color w:val="auto"/>
          <w:sz w:val="24"/>
          <w:highlight w:val="none"/>
        </w:rPr>
        <w:t xml:space="preserve">联系人：任先生  </w:t>
      </w:r>
    </w:p>
    <w:p>
      <w:pPr>
        <w:adjustRightInd w:val="0"/>
        <w:spacing w:line="360" w:lineRule="auto"/>
        <w:ind w:firstLine="480" w:firstLineChars="200"/>
        <w:rPr>
          <w:rFonts w:hint="eastAsia"/>
          <w:color w:val="auto"/>
          <w:sz w:val="24"/>
          <w:highlight w:val="none"/>
        </w:rPr>
      </w:pPr>
      <w:r>
        <w:rPr>
          <w:rFonts w:hint="eastAsia"/>
          <w:color w:val="auto"/>
          <w:sz w:val="24"/>
          <w:highlight w:val="none"/>
        </w:rPr>
        <w:t xml:space="preserve">联系电话：0575-81289915  </w:t>
      </w:r>
    </w:p>
    <w:p>
      <w:pPr>
        <w:numPr>
          <w:ilvl w:val="0"/>
          <w:numId w:val="9"/>
        </w:numPr>
        <w:adjustRightInd w:val="0"/>
        <w:spacing w:line="360" w:lineRule="auto"/>
        <w:ind w:firstLine="480" w:firstLineChars="200"/>
        <w:rPr>
          <w:rFonts w:hint="eastAsia"/>
          <w:color w:val="auto"/>
          <w:kern w:val="2"/>
          <w:sz w:val="24"/>
          <w:szCs w:val="24"/>
          <w:highlight w:val="none"/>
        </w:rPr>
      </w:pPr>
      <w:r>
        <w:rPr>
          <w:rFonts w:hint="eastAsia"/>
          <w:color w:val="auto"/>
          <w:kern w:val="2"/>
          <w:sz w:val="24"/>
          <w:szCs w:val="24"/>
          <w:highlight w:val="none"/>
        </w:rPr>
        <w:t>采购人主管部门：绍兴市上虞区e游小镇管委会</w:t>
      </w:r>
    </w:p>
    <w:p>
      <w:pPr>
        <w:adjustRightInd w:val="0"/>
        <w:spacing w:line="360" w:lineRule="auto"/>
        <w:ind w:firstLine="480" w:firstLineChars="200"/>
        <w:rPr>
          <w:rFonts w:hint="eastAsia"/>
          <w:color w:val="auto"/>
          <w:sz w:val="24"/>
          <w:highlight w:val="none"/>
        </w:rPr>
      </w:pPr>
      <w:r>
        <w:rPr>
          <w:rFonts w:hint="eastAsia"/>
          <w:color w:val="auto"/>
          <w:sz w:val="24"/>
          <w:highlight w:val="none"/>
        </w:rPr>
        <w:t>联系人：诸先生</w:t>
      </w:r>
    </w:p>
    <w:p>
      <w:pPr>
        <w:adjustRightInd w:val="0"/>
        <w:spacing w:line="360" w:lineRule="auto"/>
        <w:ind w:firstLine="480" w:firstLineChars="200"/>
        <w:rPr>
          <w:rFonts w:hint="eastAsia"/>
          <w:color w:val="auto"/>
          <w:sz w:val="24"/>
          <w:highlight w:val="none"/>
        </w:rPr>
      </w:pPr>
      <w:bookmarkStart w:id="16" w:name="_Toc19368"/>
      <w:bookmarkStart w:id="17" w:name="_Toc24972"/>
      <w:r>
        <w:rPr>
          <w:rFonts w:hint="eastAsia"/>
          <w:color w:val="auto"/>
          <w:kern w:val="2"/>
          <w:sz w:val="24"/>
          <w:szCs w:val="24"/>
          <w:highlight w:val="none"/>
        </w:rPr>
        <w:t>联系电话：</w:t>
      </w:r>
      <w:bookmarkEnd w:id="16"/>
      <w:bookmarkEnd w:id="17"/>
      <w:r>
        <w:rPr>
          <w:rFonts w:hint="eastAsia"/>
          <w:color w:val="auto"/>
          <w:kern w:val="2"/>
          <w:sz w:val="24"/>
          <w:szCs w:val="24"/>
          <w:highlight w:val="none"/>
        </w:rPr>
        <w:t>13515858098</w:t>
      </w:r>
    </w:p>
    <w:p>
      <w:pPr>
        <w:pStyle w:val="2"/>
        <w:spacing w:line="360" w:lineRule="auto"/>
        <w:rPr>
          <w:rFonts w:hint="eastAsia"/>
          <w:b w:val="0"/>
          <w:color w:val="auto"/>
          <w:sz w:val="36"/>
          <w:highlight w:val="none"/>
        </w:rPr>
      </w:pPr>
      <w:r>
        <w:rPr>
          <w:rFonts w:hint="eastAsia"/>
          <w:b w:val="0"/>
          <w:color w:val="auto"/>
          <w:sz w:val="36"/>
          <w:highlight w:val="none"/>
        </w:rPr>
        <w:br w:type="page"/>
      </w:r>
      <w:bookmarkStart w:id="18" w:name="_Toc24172"/>
      <w:bookmarkStart w:id="19" w:name="_Toc7081"/>
      <w:r>
        <w:rPr>
          <w:rStyle w:val="43"/>
          <w:rFonts w:hint="eastAsia"/>
          <w:b/>
          <w:color w:val="auto"/>
          <w:highlight w:val="none"/>
        </w:rPr>
        <w:t>第二部分</w:t>
      </w:r>
      <w:bookmarkEnd w:id="10"/>
      <w:r>
        <w:rPr>
          <w:rStyle w:val="43"/>
          <w:rFonts w:hint="eastAsia"/>
          <w:b/>
          <w:color w:val="auto"/>
          <w:highlight w:val="none"/>
        </w:rPr>
        <w:t xml:space="preserve">  投标须知</w:t>
      </w:r>
      <w:bookmarkEnd w:id="11"/>
      <w:bookmarkEnd w:id="18"/>
      <w:bookmarkEnd w:id="19"/>
    </w:p>
    <w:p>
      <w:pPr>
        <w:widowControl/>
        <w:adjustRightInd w:val="0"/>
        <w:snapToGrid w:val="0"/>
        <w:spacing w:line="360" w:lineRule="auto"/>
        <w:jc w:val="center"/>
        <w:rPr>
          <w:rFonts w:hint="eastAsia"/>
          <w:b/>
          <w:snapToGrid w:val="0"/>
          <w:color w:val="auto"/>
          <w:sz w:val="32"/>
          <w:szCs w:val="32"/>
          <w:highlight w:val="none"/>
        </w:rPr>
      </w:pPr>
      <w:r>
        <w:rPr>
          <w:rFonts w:hint="eastAsia"/>
          <w:b/>
          <w:snapToGrid w:val="0"/>
          <w:color w:val="auto"/>
          <w:sz w:val="30"/>
          <w:szCs w:val="30"/>
          <w:highlight w:val="none"/>
        </w:rPr>
        <w:t>前附表</w:t>
      </w:r>
    </w:p>
    <w:tbl>
      <w:tblPr>
        <w:tblStyle w:val="35"/>
        <w:tblW w:w="932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95"/>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blHeader/>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b/>
                <w:bCs/>
                <w:snapToGrid w:val="0"/>
                <w:color w:val="auto"/>
                <w:kern w:val="2"/>
                <w:sz w:val="24"/>
                <w:szCs w:val="24"/>
                <w:highlight w:val="none"/>
              </w:rPr>
            </w:pPr>
            <w:r>
              <w:rPr>
                <w:rFonts w:hint="eastAsia"/>
                <w:b/>
                <w:bCs/>
                <w:snapToGrid w:val="0"/>
                <w:color w:val="auto"/>
                <w:kern w:val="2"/>
                <w:sz w:val="24"/>
                <w:szCs w:val="24"/>
                <w:highlight w:val="none"/>
              </w:rPr>
              <w:t>序号</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b/>
                <w:bCs/>
                <w:snapToGrid w:val="0"/>
                <w:color w:val="auto"/>
                <w:kern w:val="2"/>
                <w:sz w:val="24"/>
                <w:szCs w:val="24"/>
                <w:highlight w:val="none"/>
              </w:rPr>
            </w:pPr>
            <w:r>
              <w:rPr>
                <w:rFonts w:hint="eastAsia"/>
                <w:b/>
                <w:bCs/>
                <w:snapToGrid w:val="0"/>
                <w:color w:val="auto"/>
                <w:kern w:val="2"/>
                <w:sz w:val="24"/>
                <w:szCs w:val="24"/>
                <w:highlight w:val="none"/>
              </w:rPr>
              <w:t>项目</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b/>
                <w:bCs/>
                <w:snapToGrid w:val="0"/>
                <w:color w:val="auto"/>
                <w:kern w:val="2"/>
                <w:sz w:val="24"/>
                <w:szCs w:val="24"/>
                <w:highlight w:val="none"/>
              </w:rPr>
            </w:pPr>
            <w:r>
              <w:rPr>
                <w:rFonts w:hint="eastAsia"/>
                <w:b/>
                <w:bCs/>
                <w:snapToGrid w:val="0"/>
                <w:color w:val="auto"/>
                <w:kern w:val="2"/>
                <w:sz w:val="24"/>
                <w:szCs w:val="24"/>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1</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项目名称</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eastAsia" w:eastAsia="宋体"/>
                <w:snapToGrid w:val="0"/>
                <w:color w:val="auto"/>
                <w:kern w:val="2"/>
                <w:sz w:val="24"/>
                <w:szCs w:val="24"/>
                <w:highlight w:val="none"/>
                <w:lang w:eastAsia="zh-CN"/>
              </w:rPr>
            </w:pPr>
            <w:r>
              <w:rPr>
                <w:rFonts w:hint="eastAsia"/>
                <w:snapToGrid w:val="0"/>
                <w:color w:val="auto"/>
                <w:kern w:val="2"/>
                <w:sz w:val="24"/>
                <w:szCs w:val="24"/>
                <w:highlight w:val="none"/>
                <w:lang w:eastAsia="zh-CN"/>
              </w:rPr>
              <w:t>2025-2026年度惠普广场物业管理项目</w:t>
            </w:r>
            <w:bookmarkStart w:id="516" w:name="_GoBack"/>
            <w:bookmarkEnd w:id="516"/>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2</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项目实施时间</w:t>
            </w:r>
          </w:p>
        </w:tc>
        <w:tc>
          <w:tcPr>
            <w:tcW w:w="6682" w:type="dxa"/>
            <w:noWrap w:val="0"/>
            <w:vAlign w:val="center"/>
          </w:tcPr>
          <w:p>
            <w:pPr>
              <w:pStyle w:val="3"/>
              <w:keepLines w:val="0"/>
              <w:suppressLineNumbers w:val="0"/>
              <w:wordWrap w:val="0"/>
              <w:spacing w:before="0" w:beforeAutospacing="0" w:after="0" w:afterAutospacing="0" w:line="360" w:lineRule="auto"/>
              <w:ind w:left="0" w:right="0" w:firstLine="482" w:firstLineChars="200"/>
              <w:jc w:val="left"/>
              <w:outlineLvl w:val="1"/>
              <w:rPr>
                <w:rFonts w:hint="default"/>
                <w:color w:val="auto"/>
                <w:kern w:val="2"/>
                <w:sz w:val="24"/>
                <w:szCs w:val="24"/>
                <w:highlight w:val="none"/>
              </w:rPr>
            </w:pPr>
            <w:r>
              <w:rPr>
                <w:rFonts w:hint="eastAsia"/>
                <w:color w:val="auto"/>
                <w:kern w:val="2"/>
                <w:sz w:val="24"/>
                <w:szCs w:val="24"/>
                <w:highlight w:val="none"/>
              </w:rPr>
              <w:t>合同签订之日起至履约完成。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3</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b/>
                <w:snapToGrid w:val="0"/>
                <w:color w:val="auto"/>
                <w:kern w:val="2"/>
                <w:sz w:val="24"/>
                <w:szCs w:val="24"/>
                <w:highlight w:val="none"/>
              </w:rPr>
            </w:pPr>
            <w:r>
              <w:rPr>
                <w:rFonts w:hint="eastAsia"/>
                <w:bCs/>
                <w:snapToGrid w:val="0"/>
                <w:color w:val="auto"/>
                <w:kern w:val="2"/>
                <w:sz w:val="24"/>
                <w:szCs w:val="24"/>
                <w:highlight w:val="none"/>
              </w:rPr>
              <w:t>最高限价</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default"/>
                <w:color w:val="auto"/>
                <w:kern w:val="2"/>
                <w:sz w:val="24"/>
                <w:szCs w:val="24"/>
                <w:highlight w:val="none"/>
              </w:rPr>
            </w:pPr>
            <w:r>
              <w:rPr>
                <w:rFonts w:hint="eastAsia"/>
                <w:snapToGrid w:val="0"/>
                <w:color w:val="auto"/>
                <w:kern w:val="2"/>
                <w:sz w:val="24"/>
                <w:szCs w:val="24"/>
                <w:highlight w:val="none"/>
              </w:rPr>
              <w:t>本项目最高限价及分项最高限价如下：</w:t>
            </w:r>
            <w:r>
              <w:rPr>
                <w:rFonts w:hint="eastAsia"/>
                <w:color w:val="auto"/>
                <w:kern w:val="2"/>
                <w:sz w:val="24"/>
                <w:szCs w:val="24"/>
                <w:highlight w:val="none"/>
                <w:u w:val="single"/>
                <w:lang w:val="en-US" w:eastAsia="zh-CN"/>
              </w:rPr>
              <w:t>920</w:t>
            </w:r>
            <w:r>
              <w:rPr>
                <w:rFonts w:hint="eastAsia"/>
                <w:color w:val="auto"/>
                <w:kern w:val="2"/>
                <w:sz w:val="24"/>
                <w:szCs w:val="24"/>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default"/>
                <w:snapToGrid w:val="0"/>
                <w:color w:val="auto"/>
                <w:kern w:val="2"/>
                <w:sz w:val="24"/>
                <w:szCs w:val="24"/>
                <w:highlight w:val="none"/>
              </w:rPr>
            </w:pPr>
            <w:r>
              <w:rPr>
                <w:rFonts w:hint="eastAsia"/>
                <w:snapToGrid w:val="0"/>
                <w:color w:val="auto"/>
                <w:kern w:val="2"/>
                <w:sz w:val="24"/>
                <w:szCs w:val="24"/>
                <w:highlight w:val="none"/>
              </w:rPr>
              <w:t>4</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资格审查方式</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eastAsia"/>
                <w:snapToGrid w:val="0"/>
                <w:color w:val="auto"/>
                <w:kern w:val="2"/>
                <w:sz w:val="24"/>
                <w:szCs w:val="24"/>
                <w:highlight w:val="none"/>
              </w:rPr>
            </w:pPr>
            <w:r>
              <w:rPr>
                <w:rFonts w:hint="eastAsia"/>
                <w:snapToGrid w:val="0"/>
                <w:color w:val="auto"/>
                <w:kern w:val="2"/>
                <w:sz w:val="24"/>
                <w:szCs w:val="24"/>
                <w:highlight w:val="none"/>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5</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踏勘现场</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eastAsia"/>
                <w:snapToGrid w:val="0"/>
                <w:color w:val="auto"/>
                <w:kern w:val="2"/>
                <w:sz w:val="24"/>
                <w:szCs w:val="24"/>
                <w:highlight w:val="none"/>
              </w:rPr>
            </w:pPr>
            <w:r>
              <w:rPr>
                <w:rFonts w:hint="eastAsia"/>
                <w:snapToGrid w:val="0"/>
                <w:color w:val="auto"/>
                <w:kern w:val="2"/>
                <w:sz w:val="24"/>
                <w:szCs w:val="24"/>
                <w:highlight w:val="none"/>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6</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询问</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eastAsia"/>
                <w:snapToGrid w:val="0"/>
                <w:color w:val="auto"/>
                <w:kern w:val="2"/>
                <w:sz w:val="24"/>
                <w:szCs w:val="24"/>
                <w:highlight w:val="none"/>
              </w:rPr>
            </w:pPr>
            <w:r>
              <w:rPr>
                <w:rFonts w:hint="eastAsia"/>
                <w:snapToGrid w:val="0"/>
                <w:color w:val="auto"/>
                <w:kern w:val="2"/>
                <w:sz w:val="24"/>
                <w:szCs w:val="24"/>
                <w:highlight w:val="none"/>
              </w:rPr>
              <w:t>供应商对采购活动事项有疑问的，可以向采购代理机构提出询问，采购人或者采购代理机构应当在3个工作日内对供应商依法提出的询问作出答复，但答复的内容不得涉及商业秘密。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7</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招标文件的澄清与修改</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eastAsia"/>
                <w:snapToGrid w:val="0"/>
                <w:color w:val="auto"/>
                <w:kern w:val="2"/>
                <w:sz w:val="24"/>
                <w:szCs w:val="24"/>
                <w:highlight w:val="none"/>
              </w:rPr>
            </w:pPr>
            <w:r>
              <w:rPr>
                <w:rFonts w:hint="eastAsia"/>
                <w:snapToGrid w:val="0"/>
                <w:color w:val="auto"/>
                <w:kern w:val="2"/>
                <w:sz w:val="24"/>
                <w:szCs w:val="24"/>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8</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投标文件组成</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eastAsia"/>
                <w:snapToGrid w:val="0"/>
                <w:color w:val="auto"/>
                <w:kern w:val="2"/>
                <w:sz w:val="24"/>
                <w:szCs w:val="24"/>
                <w:highlight w:val="none"/>
              </w:rPr>
            </w:pPr>
            <w:r>
              <w:rPr>
                <w:rFonts w:hint="eastAsia"/>
                <w:snapToGrid w:val="0"/>
                <w:color w:val="auto"/>
                <w:kern w:val="2"/>
                <w:sz w:val="24"/>
                <w:szCs w:val="24"/>
                <w:highlight w:val="none"/>
              </w:rPr>
              <w:t>投标人向采购人递交的投标文件由资格文件、技术文件、商务文件、报价文件四部分组成。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9</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评标办法</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eastAsia"/>
                <w:snapToGrid w:val="0"/>
                <w:color w:val="auto"/>
                <w:kern w:val="2"/>
                <w:sz w:val="24"/>
                <w:szCs w:val="24"/>
                <w:highlight w:val="none"/>
              </w:rPr>
            </w:pPr>
            <w:r>
              <w:rPr>
                <w:rFonts w:hint="eastAsia"/>
                <w:snapToGrid w:val="0"/>
                <w:color w:val="auto"/>
                <w:kern w:val="2"/>
                <w:sz w:val="24"/>
                <w:szCs w:val="24"/>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10</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投标文件递交地址及截止时间</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eastAsia"/>
                <w:color w:val="auto"/>
                <w:kern w:val="2"/>
                <w:sz w:val="24"/>
                <w:szCs w:val="24"/>
                <w:highlight w:val="none"/>
              </w:rPr>
            </w:pPr>
            <w:r>
              <w:rPr>
                <w:rFonts w:hint="eastAsia"/>
                <w:snapToGrid w:val="0"/>
                <w:color w:val="auto"/>
                <w:kern w:val="2"/>
                <w:sz w:val="24"/>
                <w:szCs w:val="24"/>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11</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开标时间、地点</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eastAsia"/>
                <w:snapToGrid w:val="0"/>
                <w:color w:val="auto"/>
                <w:kern w:val="2"/>
                <w:sz w:val="24"/>
                <w:szCs w:val="24"/>
                <w:highlight w:val="none"/>
              </w:rPr>
            </w:pPr>
            <w:r>
              <w:rPr>
                <w:rFonts w:hint="eastAsia"/>
                <w:snapToGrid w:val="0"/>
                <w:color w:val="auto"/>
                <w:kern w:val="2"/>
                <w:sz w:val="24"/>
                <w:szCs w:val="24"/>
                <w:highlight w:val="none"/>
              </w:rPr>
              <w:t>开标时间：</w:t>
            </w:r>
            <w:r>
              <w:rPr>
                <w:rFonts w:hint="eastAsia"/>
                <w:color w:val="auto"/>
                <w:kern w:val="2"/>
                <w:sz w:val="24"/>
                <w:szCs w:val="24"/>
                <w:highlight w:val="none"/>
              </w:rPr>
              <w:t>详见招标公告</w:t>
            </w:r>
          </w:p>
          <w:p>
            <w:pPr>
              <w:keepNext w:val="0"/>
              <w:keepLines w:val="0"/>
              <w:suppressLineNumbers w:val="0"/>
              <w:wordWrap w:val="0"/>
              <w:snapToGrid w:val="0"/>
              <w:spacing w:before="0" w:beforeAutospacing="0" w:after="0" w:afterAutospacing="0" w:line="360" w:lineRule="auto"/>
              <w:ind w:left="0" w:right="0" w:firstLine="480" w:firstLineChars="200"/>
              <w:rPr>
                <w:rFonts w:hint="eastAsia"/>
                <w:color w:val="auto"/>
                <w:kern w:val="2"/>
                <w:sz w:val="24"/>
                <w:szCs w:val="24"/>
                <w:highlight w:val="none"/>
              </w:rPr>
            </w:pPr>
            <w:r>
              <w:rPr>
                <w:rFonts w:hint="eastAsia"/>
                <w:snapToGrid w:val="0"/>
                <w:color w:val="auto"/>
                <w:kern w:val="2"/>
                <w:sz w:val="24"/>
                <w:szCs w:val="24"/>
                <w:highlight w:val="none"/>
              </w:rPr>
              <w:t>开标地点：</w:t>
            </w:r>
            <w:r>
              <w:rPr>
                <w:rFonts w:hint="eastAsia"/>
                <w:color w:val="auto"/>
                <w:kern w:val="2"/>
                <w:sz w:val="24"/>
                <w:szCs w:val="24"/>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12</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投标有效期</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rPr>
                <w:rFonts w:hint="eastAsia"/>
                <w:snapToGrid w:val="0"/>
                <w:color w:val="auto"/>
                <w:kern w:val="2"/>
                <w:sz w:val="24"/>
                <w:szCs w:val="24"/>
                <w:highlight w:val="none"/>
              </w:rPr>
            </w:pPr>
            <w:r>
              <w:rPr>
                <w:rFonts w:hint="eastAsia"/>
                <w:snapToGrid w:val="0"/>
                <w:color w:val="auto"/>
                <w:kern w:val="2"/>
                <w:sz w:val="24"/>
                <w:szCs w:val="24"/>
                <w:highlight w:val="none"/>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13</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履约保证金</w:t>
            </w:r>
          </w:p>
        </w:tc>
        <w:tc>
          <w:tcPr>
            <w:tcW w:w="6682" w:type="dxa"/>
            <w:noWrap w:val="0"/>
            <w:vAlign w:val="center"/>
          </w:tcPr>
          <w:p>
            <w:pPr>
              <w:pStyle w:val="15"/>
              <w:keepNext w:val="0"/>
              <w:keepLines w:val="0"/>
              <w:suppressLineNumbers w:val="0"/>
              <w:wordWrap w:val="0"/>
              <w:snapToGrid w:val="0"/>
              <w:spacing w:before="0" w:beforeAutospacing="0" w:after="0" w:afterAutospacing="0" w:line="360" w:lineRule="auto"/>
              <w:ind w:left="0" w:right="0"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14</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采购及中标公告发布媒体</w:t>
            </w:r>
          </w:p>
        </w:tc>
        <w:tc>
          <w:tcPr>
            <w:tcW w:w="6682" w:type="dxa"/>
            <w:noWrap w:val="0"/>
            <w:vAlign w:val="center"/>
          </w:tcPr>
          <w:p>
            <w:pPr>
              <w:pStyle w:val="15"/>
              <w:keepNext w:val="0"/>
              <w:keepLines w:val="0"/>
              <w:suppressLineNumbers w:val="0"/>
              <w:wordWrap w:val="0"/>
              <w:snapToGrid w:val="0"/>
              <w:spacing w:before="0" w:beforeAutospacing="0" w:after="0" w:afterAutospacing="0" w:line="360" w:lineRule="auto"/>
              <w:ind w:left="0" w:right="0" w:firstLine="480" w:firstLineChars="200"/>
              <w:jc w:val="left"/>
              <w:rPr>
                <w:rFonts w:hint="eastAsia" w:hAnsi="宋体" w:cs="宋体"/>
                <w:color w:val="auto"/>
                <w:kern w:val="2"/>
                <w:sz w:val="24"/>
                <w:szCs w:val="24"/>
                <w:highlight w:val="none"/>
              </w:rPr>
            </w:pPr>
            <w:r>
              <w:rPr>
                <w:rFonts w:hint="eastAsia" w:hAnsi="宋体" w:cs="宋体"/>
                <w:color w:val="auto"/>
                <w:kern w:val="2"/>
                <w:sz w:val="24"/>
                <w:szCs w:val="24"/>
                <w:highlight w:val="none"/>
              </w:rPr>
              <w:t>浙江省政府采购网、绍兴市上虞区公共资源交易中心网站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rPr>
              <w:t>15</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质疑</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jc w:val="left"/>
              <w:rPr>
                <w:rFonts w:hint="eastAsia"/>
                <w:snapToGrid w:val="0"/>
                <w:color w:val="auto"/>
                <w:kern w:val="2"/>
                <w:sz w:val="24"/>
                <w:szCs w:val="24"/>
                <w:highlight w:val="none"/>
              </w:rPr>
            </w:pPr>
            <w:r>
              <w:rPr>
                <w:rFonts w:hint="eastAsia"/>
                <w:snapToGrid w:val="0"/>
                <w:color w:val="auto"/>
                <w:kern w:val="2"/>
                <w:sz w:val="24"/>
                <w:szCs w:val="24"/>
                <w:highlight w:val="none"/>
              </w:rPr>
              <w:t>依据《上虞区区属国有企业货物和服务采购管理办法》第四十九条的规定：</w:t>
            </w:r>
          </w:p>
          <w:p>
            <w:pPr>
              <w:keepNext w:val="0"/>
              <w:keepLines w:val="0"/>
              <w:suppressLineNumbers w:val="0"/>
              <w:wordWrap w:val="0"/>
              <w:snapToGrid w:val="0"/>
              <w:spacing w:before="0" w:beforeAutospacing="0" w:after="0" w:afterAutospacing="0" w:line="360" w:lineRule="auto"/>
              <w:ind w:left="0" w:right="0" w:firstLine="480" w:firstLineChars="200"/>
              <w:jc w:val="left"/>
              <w:rPr>
                <w:rFonts w:hint="eastAsia"/>
                <w:snapToGrid w:val="0"/>
                <w:color w:val="auto"/>
                <w:kern w:val="2"/>
                <w:sz w:val="24"/>
                <w:szCs w:val="24"/>
                <w:highlight w:val="none"/>
              </w:rPr>
            </w:pPr>
            <w:r>
              <w:rPr>
                <w:rFonts w:hint="eastAsia"/>
                <w:snapToGrid w:val="0"/>
                <w:color w:val="auto"/>
                <w:kern w:val="2"/>
                <w:sz w:val="24"/>
                <w:szCs w:val="24"/>
                <w:highlight w:val="none"/>
              </w:rPr>
              <w:t>供应商认为采购文件、采购过程、中标或者成交结果使自己的权益受到损害的，可以在知道或者应知其权益受到损害之日起7个工作日内，以书面形式向采购代理机构、采购人提出质疑，采购代理机构、采购人应在7个工作日内做好答复工作，但答复内容不得涉及商业秘密。</w:t>
            </w:r>
          </w:p>
          <w:p>
            <w:pPr>
              <w:keepNext w:val="0"/>
              <w:keepLines w:val="0"/>
              <w:suppressLineNumbers w:val="0"/>
              <w:wordWrap w:val="0"/>
              <w:snapToGrid w:val="0"/>
              <w:spacing w:before="0" w:beforeAutospacing="0" w:after="0" w:afterAutospacing="0" w:line="360" w:lineRule="auto"/>
              <w:ind w:left="0" w:right="0" w:firstLine="480" w:firstLineChars="200"/>
              <w:jc w:val="left"/>
              <w:rPr>
                <w:rFonts w:hint="eastAsia"/>
                <w:snapToGrid w:val="0"/>
                <w:color w:val="auto"/>
                <w:kern w:val="2"/>
                <w:sz w:val="24"/>
                <w:szCs w:val="24"/>
                <w:highlight w:val="none"/>
              </w:rPr>
            </w:pPr>
            <w:r>
              <w:rPr>
                <w:rFonts w:hint="eastAsia"/>
                <w:snapToGrid w:val="0"/>
                <w:color w:val="auto"/>
                <w:kern w:val="2"/>
                <w:sz w:val="24"/>
                <w:szCs w:val="24"/>
                <w:highlight w:val="none"/>
              </w:rPr>
              <w:t>采购评审专家（评标委员会、采购小组）应当协助采购人或者采购代理机构答复供应商的询问和质疑。</w:t>
            </w:r>
          </w:p>
          <w:p>
            <w:pPr>
              <w:keepNext w:val="0"/>
              <w:keepLines w:val="0"/>
              <w:suppressLineNumbers w:val="0"/>
              <w:wordWrap w:val="0"/>
              <w:snapToGrid w:val="0"/>
              <w:spacing w:before="0" w:beforeAutospacing="0" w:after="0" w:afterAutospacing="0" w:line="360" w:lineRule="auto"/>
              <w:ind w:left="0" w:right="0" w:firstLine="480" w:firstLineChars="200"/>
              <w:jc w:val="left"/>
              <w:rPr>
                <w:rFonts w:hint="eastAsia"/>
                <w:color w:val="auto"/>
                <w:kern w:val="2"/>
                <w:sz w:val="24"/>
                <w:szCs w:val="24"/>
                <w:highlight w:val="none"/>
              </w:rPr>
            </w:pPr>
            <w:r>
              <w:rPr>
                <w:rFonts w:hint="default"/>
                <w:snapToGrid w:val="0"/>
                <w:color w:val="auto"/>
                <w:kern w:val="2"/>
                <w:sz w:val="24"/>
                <w:szCs w:val="24"/>
                <w:highlight w:val="none"/>
              </w:rPr>
              <w:t>《上虞区区属国有企业货物和服务采购管理办法》第四十九条规定的供应商应知其</w:t>
            </w:r>
            <w:r>
              <w:rPr>
                <w:rFonts w:hint="eastAsia"/>
                <w:snapToGrid w:val="0"/>
                <w:color w:val="auto"/>
                <w:kern w:val="2"/>
                <w:sz w:val="24"/>
                <w:szCs w:val="24"/>
                <w:highlight w:val="none"/>
              </w:rPr>
              <w:t>权益受到</w:t>
            </w:r>
            <w:r>
              <w:rPr>
                <w:rFonts w:hint="default"/>
                <w:snapToGrid w:val="0"/>
                <w:color w:val="auto"/>
                <w:kern w:val="2"/>
                <w:sz w:val="24"/>
                <w:szCs w:val="24"/>
                <w:highlight w:val="none"/>
              </w:rPr>
              <w:t>损害之日，是指：（一）对可以质疑的采购文件提出质疑的，为收到采购文件之日或者采购文件公告期限届满之日（公告期限届满后获取采购文件的，以公告期限届满之日为准）；（二）对采购过程提出质疑的，为各采购程序环节结束之日；（三）对中标或者成交结果提出质疑的，为中标或者成交结果公告期限届满之日</w:t>
            </w:r>
            <w:r>
              <w:rPr>
                <w:rFonts w:hint="eastAsia"/>
                <w:snapToGrid w:val="0"/>
                <w:color w:val="auto"/>
                <w:kern w:val="2"/>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16"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16</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投诉</w:t>
            </w:r>
          </w:p>
        </w:tc>
        <w:tc>
          <w:tcPr>
            <w:tcW w:w="6682" w:type="dxa"/>
            <w:noWrap w:val="0"/>
            <w:vAlign w:val="center"/>
          </w:tcPr>
          <w:p>
            <w:pPr>
              <w:keepNext w:val="0"/>
              <w:keepLines w:val="0"/>
              <w:suppressLineNumbers w:val="0"/>
              <w:wordWrap w:val="0"/>
              <w:snapToGrid w:val="0"/>
              <w:spacing w:before="0" w:beforeAutospacing="0" w:after="0" w:afterAutospacing="0" w:line="360" w:lineRule="auto"/>
              <w:ind w:left="0" w:right="0" w:firstLine="480" w:firstLineChars="200"/>
              <w:jc w:val="left"/>
              <w:rPr>
                <w:rFonts w:hint="eastAsia"/>
                <w:snapToGrid w:val="0"/>
                <w:color w:val="auto"/>
                <w:kern w:val="2"/>
                <w:sz w:val="24"/>
                <w:szCs w:val="24"/>
                <w:highlight w:val="none"/>
              </w:rPr>
            </w:pPr>
            <w:r>
              <w:rPr>
                <w:rFonts w:hint="eastAsia"/>
                <w:snapToGrid w:val="0"/>
                <w:color w:val="auto"/>
                <w:kern w:val="2"/>
                <w:sz w:val="24"/>
                <w:szCs w:val="24"/>
                <w:highlight w:val="none"/>
              </w:rPr>
              <w:t>依据《上虞区区属国有企业货物和服务采购管理办法》第五十条的规定：</w:t>
            </w:r>
          </w:p>
          <w:p>
            <w:pPr>
              <w:keepNext w:val="0"/>
              <w:keepLines w:val="0"/>
              <w:suppressLineNumbers w:val="0"/>
              <w:wordWrap w:val="0"/>
              <w:snapToGrid w:val="0"/>
              <w:spacing w:before="0" w:beforeAutospacing="0" w:after="0" w:afterAutospacing="0" w:line="360" w:lineRule="auto"/>
              <w:ind w:left="0" w:right="0" w:firstLine="480" w:firstLineChars="200"/>
              <w:jc w:val="left"/>
              <w:rPr>
                <w:rFonts w:hint="eastAsia"/>
                <w:snapToGrid w:val="0"/>
                <w:color w:val="auto"/>
                <w:kern w:val="2"/>
                <w:sz w:val="24"/>
                <w:szCs w:val="24"/>
                <w:highlight w:val="none"/>
              </w:rPr>
            </w:pPr>
            <w:r>
              <w:rPr>
                <w:rFonts w:hint="eastAsia"/>
                <w:snapToGrid w:val="0"/>
                <w:color w:val="auto"/>
                <w:kern w:val="2"/>
                <w:sz w:val="24"/>
                <w:szCs w:val="24"/>
                <w:highlight w:val="none"/>
              </w:rPr>
              <w:t>质疑供应商对质疑的答复不满意，或者采购人或采购代理机构未在规定时间内答复的，可以在收到答复之日或者答复期满后15个工作日内依法向采购人主管部门投诉。采购人主管部门应当在30个工作日内调查并回应。投诉事项调查期间，</w:t>
            </w:r>
            <w:r>
              <w:rPr>
                <w:rFonts w:hint="eastAsia"/>
                <w:snapToGrid w:val="0"/>
                <w:color w:val="auto"/>
                <w:kern w:val="2"/>
                <w:sz w:val="24"/>
                <w:szCs w:val="24"/>
                <w:highlight w:val="none"/>
                <w:lang w:eastAsia="zh-CN"/>
              </w:rPr>
              <w:t>采购</w:t>
            </w:r>
            <w:r>
              <w:rPr>
                <w:rFonts w:hint="eastAsia"/>
                <w:snapToGrid w:val="0"/>
                <w:color w:val="auto"/>
                <w:kern w:val="2"/>
                <w:sz w:val="24"/>
                <w:szCs w:val="24"/>
                <w:highlight w:val="none"/>
              </w:rPr>
              <w:t>主管部门应当通知采购人暂停采购活动。</w:t>
            </w:r>
          </w:p>
          <w:p>
            <w:pPr>
              <w:keepNext w:val="0"/>
              <w:keepLines w:val="0"/>
              <w:suppressLineNumbers w:val="0"/>
              <w:wordWrap w:val="0"/>
              <w:snapToGrid w:val="0"/>
              <w:spacing w:before="0" w:beforeAutospacing="0" w:after="0" w:afterAutospacing="0" w:line="360" w:lineRule="auto"/>
              <w:ind w:left="0" w:right="0" w:firstLine="480" w:firstLineChars="200"/>
              <w:jc w:val="left"/>
              <w:rPr>
                <w:rFonts w:hint="eastAsia"/>
                <w:snapToGrid w:val="0"/>
                <w:color w:val="auto"/>
                <w:kern w:val="2"/>
                <w:sz w:val="24"/>
                <w:szCs w:val="24"/>
                <w:highlight w:val="none"/>
              </w:rPr>
            </w:pPr>
            <w:r>
              <w:rPr>
                <w:rFonts w:hint="eastAsia"/>
                <w:snapToGrid w:val="0"/>
                <w:color w:val="auto"/>
                <w:kern w:val="2"/>
                <w:sz w:val="24"/>
                <w:szCs w:val="24"/>
                <w:highlight w:val="none"/>
              </w:rPr>
              <w:t>投诉人提交投诉件时，应当提供相关书面证据、依据和其他有关材料。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17</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特别说明</w:t>
            </w:r>
          </w:p>
        </w:tc>
        <w:tc>
          <w:tcPr>
            <w:tcW w:w="6682" w:type="dxa"/>
            <w:noWrap w:val="0"/>
            <w:vAlign w:val="center"/>
          </w:tcPr>
          <w:p>
            <w:pPr>
              <w:pStyle w:val="15"/>
              <w:keepNext w:val="0"/>
              <w:keepLines w:val="0"/>
              <w:suppressLineNumbers w:val="0"/>
              <w:wordWrap w:val="0"/>
              <w:snapToGrid w:val="0"/>
              <w:spacing w:before="0" w:beforeAutospacing="0" w:after="0" w:afterAutospacing="0" w:line="360" w:lineRule="auto"/>
              <w:ind w:left="0" w:right="0" w:firstLine="480" w:firstLineChars="200"/>
              <w:jc w:val="left"/>
              <w:rPr>
                <w:rFonts w:hint="eastAsia" w:hAnsi="宋体" w:cs="宋体"/>
                <w:color w:val="auto"/>
                <w:kern w:val="2"/>
                <w:sz w:val="24"/>
                <w:szCs w:val="24"/>
                <w:highlight w:val="none"/>
              </w:rPr>
            </w:pPr>
            <w:r>
              <w:rPr>
                <w:rFonts w:hint="eastAsia" w:hAnsi="宋体" w:cs="宋体"/>
                <w:color w:val="auto"/>
                <w:kern w:val="2"/>
                <w:sz w:val="24"/>
                <w:szCs w:val="24"/>
                <w:highlight w:val="none"/>
              </w:rPr>
              <w:t>投标人应无条件地、认真仔细地阅读本招标文件及其澄清答疑、修改答复的补充文件，严格按照招标文件及补充文件的规定和要求编制投标文件。在编制投标文件过程中，应严格遵循实事求是、诚信投标的原则，对招标文件中的采购需求、合同条款等各项内容进行确认，如有偏离，应如实填写响应偏离表。</w:t>
            </w:r>
          </w:p>
          <w:p>
            <w:pPr>
              <w:pStyle w:val="15"/>
              <w:keepNext w:val="0"/>
              <w:keepLines w:val="0"/>
              <w:suppressLineNumbers w:val="0"/>
              <w:wordWrap w:val="0"/>
              <w:snapToGrid w:val="0"/>
              <w:spacing w:before="0" w:beforeAutospacing="0" w:after="0" w:afterAutospacing="0" w:line="360" w:lineRule="auto"/>
              <w:ind w:left="0" w:right="0" w:firstLine="480" w:firstLineChars="200"/>
              <w:jc w:val="left"/>
              <w:rPr>
                <w:rFonts w:hint="eastAsia" w:hAnsi="宋体" w:cs="宋体"/>
                <w:color w:val="auto"/>
                <w:kern w:val="2"/>
                <w:sz w:val="24"/>
                <w:szCs w:val="24"/>
                <w:highlight w:val="none"/>
              </w:rPr>
            </w:pPr>
            <w:r>
              <w:rPr>
                <w:rFonts w:hint="eastAsia" w:hAnsi="宋体" w:cs="宋体"/>
                <w:color w:val="auto"/>
                <w:kern w:val="2"/>
                <w:sz w:val="24"/>
                <w:szCs w:val="24"/>
                <w:highlight w:val="none"/>
              </w:rPr>
              <w:t>该项目中标公示期间，投标人不得通过非正当途径、更不得通过非正当手段获取法律法规规定评标委员会（包括其他相关人员）应当保密的相关内容。即便由此获得资料并作为向采购人或采购代理机构或监督管理部门质疑或投诉或法院起诉的理由，均属于非法获取的依据。</w:t>
            </w:r>
          </w:p>
          <w:p>
            <w:pPr>
              <w:pStyle w:val="15"/>
              <w:keepNext w:val="0"/>
              <w:keepLines w:val="0"/>
              <w:suppressLineNumbers w:val="0"/>
              <w:wordWrap w:val="0"/>
              <w:snapToGrid w:val="0"/>
              <w:spacing w:before="0" w:beforeAutospacing="0" w:after="0" w:afterAutospacing="0" w:line="360" w:lineRule="auto"/>
              <w:ind w:left="0" w:right="0" w:firstLine="480" w:firstLineChars="200"/>
              <w:jc w:val="left"/>
              <w:rPr>
                <w:rFonts w:hint="eastAsia" w:hAnsi="宋体" w:cs="宋体"/>
                <w:b/>
                <w:color w:val="auto"/>
                <w:kern w:val="2"/>
                <w:sz w:val="24"/>
                <w:szCs w:val="24"/>
                <w:highlight w:val="none"/>
              </w:rPr>
            </w:pPr>
            <w:r>
              <w:rPr>
                <w:rFonts w:hint="eastAsia" w:hAnsi="宋体" w:cs="宋体"/>
                <w:color w:val="auto"/>
                <w:kern w:val="2"/>
                <w:sz w:val="24"/>
                <w:szCs w:val="24"/>
                <w:highlight w:val="none"/>
              </w:rPr>
              <w:t>招标文件中凡标注“★”的条款均为实质性要求，不响应的投标文件将作无效标处理。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18</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rPr>
              <w:t>是否允许分包</w:t>
            </w:r>
          </w:p>
        </w:tc>
        <w:tc>
          <w:tcPr>
            <w:tcW w:w="6682" w:type="dxa"/>
            <w:noWrap w:val="0"/>
            <w:vAlign w:val="center"/>
          </w:tcPr>
          <w:p>
            <w:pPr>
              <w:keepNext w:val="0"/>
              <w:keepLines w:val="0"/>
              <w:suppressLineNumbers w:val="0"/>
              <w:wordWrap w:val="0"/>
              <w:spacing w:before="0" w:beforeAutospacing="0" w:after="0" w:afterAutospacing="0" w:line="360" w:lineRule="auto"/>
              <w:ind w:left="0" w:right="0" w:firstLine="480" w:firstLineChars="200"/>
              <w:rPr>
                <w:rFonts w:hint="eastAsia"/>
                <w:color w:val="auto"/>
                <w:kern w:val="2"/>
                <w:sz w:val="24"/>
                <w:szCs w:val="24"/>
                <w:highlight w:val="none"/>
              </w:rPr>
            </w:pPr>
            <w:r>
              <w:rPr>
                <w:rFonts w:hint="eastAsia"/>
                <w:color w:val="auto"/>
                <w:kern w:val="2"/>
                <w:sz w:val="24"/>
                <w:szCs w:val="24"/>
                <w:highlight w:val="none"/>
              </w:rPr>
              <w:t>本项目不允许分包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19</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rPr>
              <w:t>是否提供样品</w:t>
            </w:r>
          </w:p>
        </w:tc>
        <w:tc>
          <w:tcPr>
            <w:tcW w:w="6682" w:type="dxa"/>
            <w:noWrap w:val="0"/>
            <w:vAlign w:val="center"/>
          </w:tcPr>
          <w:p>
            <w:pPr>
              <w:keepNext w:val="0"/>
              <w:keepLines w:val="0"/>
              <w:suppressLineNumbers w:val="0"/>
              <w:wordWrap w:val="0"/>
              <w:spacing w:before="0" w:beforeAutospacing="0" w:after="0" w:afterAutospacing="0" w:line="360" w:lineRule="auto"/>
              <w:ind w:left="0" w:right="0" w:firstLine="480" w:firstLineChars="200"/>
              <w:rPr>
                <w:rFonts w:hint="eastAsia"/>
                <w:color w:val="auto"/>
                <w:kern w:val="2"/>
                <w:sz w:val="24"/>
                <w:szCs w:val="24"/>
                <w:highlight w:val="none"/>
              </w:rPr>
            </w:pPr>
            <w:r>
              <w:rPr>
                <w:rFonts w:hint="eastAsia"/>
                <w:color w:val="auto"/>
                <w:kern w:val="2"/>
                <w:sz w:val="24"/>
                <w:szCs w:val="24"/>
                <w:highlight w:val="none"/>
              </w:rPr>
              <w:t>本项目不需要提供样品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snapToGrid w:val="0"/>
                <w:color w:val="auto"/>
                <w:kern w:val="2"/>
                <w:sz w:val="24"/>
                <w:szCs w:val="24"/>
                <w:highlight w:val="none"/>
              </w:rPr>
            </w:pPr>
            <w:r>
              <w:rPr>
                <w:rFonts w:hint="eastAsia"/>
                <w:snapToGrid w:val="0"/>
                <w:color w:val="auto"/>
                <w:kern w:val="2"/>
                <w:sz w:val="24"/>
                <w:szCs w:val="24"/>
                <w:highlight w:val="none"/>
              </w:rPr>
              <w:t>20</w:t>
            </w:r>
          </w:p>
        </w:tc>
        <w:tc>
          <w:tcPr>
            <w:tcW w:w="1995" w:type="dxa"/>
            <w:tcBorders>
              <w:bottom w:val="single" w:color="auto" w:sz="4" w:space="0"/>
            </w:tcBorders>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rPr>
              <w:t>是否提供演示</w:t>
            </w:r>
          </w:p>
        </w:tc>
        <w:tc>
          <w:tcPr>
            <w:tcW w:w="6682" w:type="dxa"/>
            <w:tcBorders>
              <w:bottom w:val="single" w:color="auto" w:sz="4" w:space="0"/>
            </w:tcBorders>
            <w:noWrap w:val="0"/>
            <w:vAlign w:val="center"/>
          </w:tcPr>
          <w:p>
            <w:pPr>
              <w:keepNext w:val="0"/>
              <w:keepLines w:val="0"/>
              <w:suppressLineNumbers w:val="0"/>
              <w:wordWrap w:val="0"/>
              <w:spacing w:before="0" w:beforeAutospacing="0" w:after="0" w:afterAutospacing="0" w:line="360" w:lineRule="auto"/>
              <w:ind w:left="0" w:right="0" w:firstLine="480" w:firstLineChars="200"/>
              <w:rPr>
                <w:rFonts w:hint="eastAsia"/>
                <w:color w:val="auto"/>
                <w:kern w:val="2"/>
                <w:sz w:val="24"/>
                <w:szCs w:val="24"/>
                <w:highlight w:val="none"/>
              </w:rPr>
            </w:pPr>
            <w:r>
              <w:rPr>
                <w:rFonts w:hint="eastAsia"/>
                <w:color w:val="auto"/>
                <w:kern w:val="2"/>
                <w:sz w:val="24"/>
                <w:szCs w:val="24"/>
                <w:highlight w:val="none"/>
              </w:rPr>
              <w:t>本项目不需要提供演示。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default" w:eastAsia="宋体"/>
                <w:snapToGrid w:val="0"/>
                <w:color w:val="auto"/>
                <w:kern w:val="2"/>
                <w:sz w:val="24"/>
                <w:szCs w:val="24"/>
                <w:highlight w:val="none"/>
                <w:lang w:val="en-US" w:eastAsia="zh-CN"/>
              </w:rPr>
            </w:pPr>
            <w:r>
              <w:rPr>
                <w:rFonts w:hint="eastAsia"/>
                <w:snapToGrid w:val="0"/>
                <w:color w:val="auto"/>
                <w:kern w:val="2"/>
                <w:sz w:val="24"/>
                <w:szCs w:val="24"/>
                <w:highlight w:val="none"/>
                <w:lang w:val="en-US" w:eastAsia="zh-CN"/>
              </w:rPr>
              <w:t>21</w:t>
            </w:r>
          </w:p>
        </w:tc>
        <w:tc>
          <w:tcPr>
            <w:tcW w:w="1995" w:type="dxa"/>
            <w:tcBorders>
              <w:bottom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color w:val="auto"/>
                <w:kern w:val="2"/>
                <w:sz w:val="24"/>
                <w:szCs w:val="24"/>
                <w:highlight w:val="none"/>
              </w:rPr>
            </w:pPr>
            <w:r>
              <w:rPr>
                <w:rFonts w:hint="eastAsia" w:ascii="宋体" w:hAnsi="宋体" w:cs="宋体"/>
                <w:color w:val="auto"/>
                <w:kern w:val="2"/>
                <w:sz w:val="24"/>
                <w:szCs w:val="24"/>
                <w:highlight w:val="none"/>
              </w:rPr>
              <w:t>招标代理服务费</w:t>
            </w:r>
          </w:p>
        </w:tc>
        <w:tc>
          <w:tcPr>
            <w:tcW w:w="6682" w:type="dxa"/>
            <w:tcBorders>
              <w:bottom w:val="single" w:color="auto" w:sz="4" w:space="0"/>
            </w:tcBorders>
            <w:noWrap w:val="0"/>
            <w:vAlign w:val="center"/>
          </w:tcPr>
          <w:p>
            <w:pPr>
              <w:keepNext w:val="0"/>
              <w:keepLines w:val="0"/>
              <w:suppressLineNumbers w:val="0"/>
              <w:autoSpaceDN w:val="0"/>
              <w:spacing w:before="0" w:beforeAutospacing="0" w:after="0" w:afterAutospacing="0" w:line="360" w:lineRule="auto"/>
              <w:ind w:left="0" w:right="0" w:firstLine="480" w:firstLineChars="200"/>
              <w:rPr>
                <w:rFonts w:hint="default"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招标代理服务费由中标单位支付，按下列货物招标差额定率累进法计算方式计取。</w:t>
            </w:r>
          </w:p>
          <w:tbl>
            <w:tblPr>
              <w:tblStyle w:val="35"/>
              <w:tblW w:w="4741"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2"/>
              <w:gridCol w:w="1007"/>
              <w:gridCol w:w="1007"/>
              <w:gridCol w:w="9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服务类型 中标金额（万元）</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pStyle w:val="31"/>
                    <w:keepNext w:val="0"/>
                    <w:keepLines w:val="0"/>
                    <w:suppressLineNumbers w:val="0"/>
                    <w:spacing w:line="360" w:lineRule="auto"/>
                    <w:ind w:left="0" w:right="0"/>
                    <w:jc w:val="center"/>
                    <w:rPr>
                      <w:rFonts w:hint="default"/>
                      <w:color w:val="auto"/>
                      <w:sz w:val="24"/>
                      <w:szCs w:val="24"/>
                      <w:highlight w:val="none"/>
                    </w:rPr>
                  </w:pPr>
                  <w:r>
                    <w:rPr>
                      <w:rFonts w:hint="eastAsia"/>
                      <w:color w:val="auto"/>
                      <w:sz w:val="24"/>
                      <w:szCs w:val="24"/>
                      <w:highlight w:val="none"/>
                    </w:rPr>
                    <w:t>货物招标</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服务招标</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100以下</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1.5％</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1.5％</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100—500</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1.1％</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0.8％</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500—1000</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0.8％</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0.45％</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1000—5000</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0.5％</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0.25％</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5000—10000</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0.25％</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0.1％</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10000——100000</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0.05％</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0.05％</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1000000以上</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0.01％</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0.01％</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24"/>
                      <w:szCs w:val="24"/>
                      <w:highlight w:val="none"/>
                    </w:rPr>
                  </w:pPr>
                  <w:r>
                    <w:rPr>
                      <w:rFonts w:hint="eastAsia" w:ascii="宋体" w:hAnsi="宋体" w:cs="宋体"/>
                      <w:color w:val="auto"/>
                      <w:kern w:val="2"/>
                      <w:sz w:val="24"/>
                      <w:szCs w:val="24"/>
                      <w:highlight w:val="none"/>
                    </w:rPr>
                    <w:t>0.01％</w:t>
                  </w:r>
                </w:p>
              </w:tc>
            </w:tr>
          </w:tbl>
          <w:p>
            <w:pPr>
              <w:keepNext w:val="0"/>
              <w:keepLines w:val="0"/>
              <w:suppressLineNumbers w:val="0"/>
              <w:spacing w:before="0" w:beforeAutospacing="0" w:after="0" w:afterAutospacing="0" w:line="360" w:lineRule="auto"/>
              <w:ind w:left="0" w:right="0" w:firstLine="480" w:firstLineChars="200"/>
              <w:rPr>
                <w:rFonts w:hint="eastAsia"/>
                <w:color w:val="auto"/>
                <w:kern w:val="2"/>
                <w:sz w:val="24"/>
                <w:szCs w:val="24"/>
                <w:highlight w:val="none"/>
              </w:rPr>
            </w:pPr>
            <w:r>
              <w:rPr>
                <w:rFonts w:hint="eastAsia" w:ascii="宋体" w:hAnsi="宋体" w:cs="宋体"/>
                <w:snapToGrid w:val="0"/>
                <w:color w:val="auto"/>
                <w:kern w:val="0"/>
                <w:sz w:val="24"/>
                <w:szCs w:val="24"/>
                <w:highlight w:val="none"/>
              </w:rPr>
              <w:t>结算方式及时间为：在领取中标通知书前由中标单位一次性向采购代理机构付清。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bottom w:val="single" w:color="auto" w:sz="4" w:space="0"/>
            </w:tcBorders>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eastAsia="宋体"/>
                <w:snapToGrid w:val="0"/>
                <w:color w:val="auto"/>
                <w:kern w:val="2"/>
                <w:sz w:val="24"/>
                <w:szCs w:val="24"/>
                <w:highlight w:val="none"/>
                <w:lang w:eastAsia="zh-CN"/>
              </w:rPr>
            </w:pPr>
            <w:r>
              <w:rPr>
                <w:rFonts w:hint="eastAsia"/>
                <w:snapToGrid w:val="0"/>
                <w:color w:val="auto"/>
                <w:kern w:val="2"/>
                <w:sz w:val="24"/>
                <w:szCs w:val="24"/>
                <w:highlight w:val="none"/>
              </w:rPr>
              <w:t>2</w:t>
            </w:r>
            <w:r>
              <w:rPr>
                <w:rFonts w:hint="eastAsia"/>
                <w:snapToGrid w:val="0"/>
                <w:color w:val="auto"/>
                <w:kern w:val="2"/>
                <w:sz w:val="24"/>
                <w:szCs w:val="24"/>
                <w:highlight w:val="none"/>
                <w:lang w:val="en-US" w:eastAsia="zh-CN"/>
              </w:rPr>
              <w:t>2</w:t>
            </w:r>
          </w:p>
        </w:tc>
        <w:tc>
          <w:tcPr>
            <w:tcW w:w="1995" w:type="dxa"/>
            <w:tcBorders>
              <w:top w:val="single" w:color="auto" w:sz="4" w:space="0"/>
              <w:bottom w:val="single" w:color="auto" w:sz="4" w:space="0"/>
            </w:tcBorders>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rPr>
              <w:t>投标人信用信息查询渠道及截止时点、信用信息查询记录和证据留存的具体方式、信用信息的使用规则</w:t>
            </w:r>
          </w:p>
        </w:tc>
        <w:tc>
          <w:tcPr>
            <w:tcW w:w="6682" w:type="dxa"/>
            <w:tcBorders>
              <w:top w:val="single" w:color="auto" w:sz="4" w:space="0"/>
              <w:bottom w:val="single" w:color="auto" w:sz="4" w:space="0"/>
            </w:tcBorders>
            <w:noWrap w:val="0"/>
            <w:vAlign w:val="center"/>
          </w:tcPr>
          <w:p>
            <w:pPr>
              <w:keepNext w:val="0"/>
              <w:keepLines w:val="0"/>
              <w:suppressLineNumbers w:val="0"/>
              <w:wordWrap w:val="0"/>
              <w:spacing w:before="0" w:beforeAutospacing="0" w:after="0" w:afterAutospacing="0" w:line="360" w:lineRule="auto"/>
              <w:ind w:left="0" w:right="0" w:firstLine="480" w:firstLineChars="200"/>
              <w:rPr>
                <w:rFonts w:hint="eastAsia"/>
                <w:color w:val="auto"/>
                <w:kern w:val="2"/>
                <w:sz w:val="24"/>
                <w:szCs w:val="24"/>
                <w:highlight w:val="none"/>
              </w:rPr>
            </w:pPr>
            <w:r>
              <w:rPr>
                <w:rFonts w:hint="eastAsia"/>
                <w:color w:val="auto"/>
                <w:kern w:val="2"/>
                <w:sz w:val="24"/>
                <w:szCs w:val="24"/>
                <w:highlight w:val="none"/>
              </w:rPr>
              <w:t>1、查询渠道：信用中国（网址：http://www.creditchina.gov.cn）、中国政府采购网（网址：http://www.ccgp.gov.cn）。</w:t>
            </w:r>
          </w:p>
          <w:p>
            <w:pPr>
              <w:keepNext w:val="0"/>
              <w:keepLines w:val="0"/>
              <w:suppressLineNumbers w:val="0"/>
              <w:wordWrap w:val="0"/>
              <w:spacing w:before="0" w:beforeAutospacing="0" w:after="0" w:afterAutospacing="0" w:line="360" w:lineRule="auto"/>
              <w:ind w:left="0" w:right="0" w:firstLine="480" w:firstLineChars="200"/>
              <w:rPr>
                <w:rFonts w:hint="eastAsia"/>
                <w:color w:val="auto"/>
                <w:kern w:val="2"/>
                <w:sz w:val="24"/>
                <w:szCs w:val="24"/>
                <w:highlight w:val="none"/>
              </w:rPr>
            </w:pPr>
            <w:r>
              <w:rPr>
                <w:rFonts w:hint="eastAsia"/>
                <w:color w:val="auto"/>
                <w:kern w:val="2"/>
                <w:sz w:val="24"/>
                <w:szCs w:val="24"/>
                <w:highlight w:val="none"/>
              </w:rPr>
              <w:t>2、截止时点：开标后评标前。</w:t>
            </w:r>
          </w:p>
          <w:p>
            <w:pPr>
              <w:keepNext w:val="0"/>
              <w:keepLines w:val="0"/>
              <w:suppressLineNumbers w:val="0"/>
              <w:wordWrap w:val="0"/>
              <w:spacing w:before="0" w:beforeAutospacing="0" w:after="0" w:afterAutospacing="0" w:line="360" w:lineRule="auto"/>
              <w:ind w:left="0" w:right="0" w:firstLine="480" w:firstLineChars="200"/>
              <w:rPr>
                <w:rFonts w:hint="eastAsia"/>
                <w:color w:val="auto"/>
                <w:kern w:val="2"/>
                <w:sz w:val="24"/>
                <w:szCs w:val="24"/>
                <w:highlight w:val="none"/>
              </w:rPr>
            </w:pPr>
            <w:r>
              <w:rPr>
                <w:rFonts w:hint="eastAsia"/>
                <w:color w:val="auto"/>
                <w:kern w:val="2"/>
                <w:sz w:val="24"/>
                <w:szCs w:val="24"/>
                <w:highlight w:val="none"/>
              </w:rPr>
              <w:t>3、信用信息查询记录和证据留存的具体方式：由采购组织机构在规定查询时间内打印信用信息查询记录并归入项目档案。</w:t>
            </w:r>
          </w:p>
          <w:p>
            <w:pPr>
              <w:keepNext w:val="0"/>
              <w:keepLines w:val="0"/>
              <w:suppressLineNumbers w:val="0"/>
              <w:wordWrap w:val="0"/>
              <w:spacing w:before="0" w:beforeAutospacing="0" w:after="0" w:afterAutospacing="0" w:line="360" w:lineRule="auto"/>
              <w:ind w:left="0" w:right="0" w:firstLine="480" w:firstLineChars="200"/>
              <w:rPr>
                <w:rFonts w:hint="eastAsia"/>
                <w:color w:val="auto"/>
                <w:kern w:val="2"/>
                <w:sz w:val="24"/>
                <w:szCs w:val="24"/>
                <w:highlight w:val="none"/>
              </w:rPr>
            </w:pPr>
            <w:r>
              <w:rPr>
                <w:rFonts w:hint="eastAsia"/>
                <w:color w:val="auto"/>
                <w:kern w:val="2"/>
                <w:sz w:val="24"/>
                <w:szCs w:val="24"/>
                <w:highlight w:val="none"/>
              </w:rPr>
              <w:t>4、使用规则：对列入失信被执行人、重大税收违法案件当事人名单、政府采购严重违法失信行为记录名单及其他不符合《上虞区区属国有企业货物和服务采购管理办法》第十八条规定条件的供应商，将被拒绝其参与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3" w:hRule="atLeast"/>
          <w:jc w:val="center"/>
        </w:trPr>
        <w:tc>
          <w:tcPr>
            <w:tcW w:w="648" w:type="dxa"/>
            <w:tcBorders>
              <w:top w:val="single" w:color="auto" w:sz="4" w:space="0"/>
            </w:tcBorders>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eastAsia="宋体"/>
                <w:i/>
                <w:iCs/>
                <w:snapToGrid w:val="0"/>
                <w:color w:val="auto"/>
                <w:kern w:val="2"/>
                <w:sz w:val="24"/>
                <w:szCs w:val="24"/>
                <w:highlight w:val="none"/>
                <w:u w:val="single"/>
                <w:lang w:eastAsia="zh-CN"/>
              </w:rPr>
            </w:pPr>
            <w:r>
              <w:rPr>
                <w:rFonts w:hint="eastAsia"/>
                <w:color w:val="auto"/>
                <w:kern w:val="2"/>
                <w:sz w:val="24"/>
                <w:szCs w:val="24"/>
                <w:highlight w:val="none"/>
              </w:rPr>
              <w:t>2</w:t>
            </w:r>
            <w:r>
              <w:rPr>
                <w:rFonts w:hint="eastAsia"/>
                <w:color w:val="auto"/>
                <w:kern w:val="2"/>
                <w:sz w:val="24"/>
                <w:szCs w:val="24"/>
                <w:highlight w:val="none"/>
                <w:lang w:val="en-US" w:eastAsia="zh-CN"/>
              </w:rPr>
              <w:t>3</w:t>
            </w:r>
          </w:p>
        </w:tc>
        <w:tc>
          <w:tcPr>
            <w:tcW w:w="1995" w:type="dxa"/>
            <w:tcBorders>
              <w:top w:val="single" w:color="auto" w:sz="4" w:space="0"/>
            </w:tcBorders>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i/>
                <w:iCs/>
                <w:color w:val="auto"/>
                <w:kern w:val="2"/>
                <w:sz w:val="24"/>
                <w:szCs w:val="24"/>
                <w:highlight w:val="none"/>
                <w:u w:val="single"/>
              </w:rPr>
            </w:pPr>
            <w:r>
              <w:rPr>
                <w:rFonts w:hint="eastAsia"/>
                <w:color w:val="auto"/>
                <w:kern w:val="2"/>
                <w:sz w:val="24"/>
                <w:szCs w:val="24"/>
                <w:highlight w:val="none"/>
              </w:rPr>
              <w:t>金融支持</w:t>
            </w:r>
          </w:p>
        </w:tc>
        <w:tc>
          <w:tcPr>
            <w:tcW w:w="6682" w:type="dxa"/>
            <w:tcBorders>
              <w:top w:val="single" w:color="auto" w:sz="4" w:space="0"/>
            </w:tcBorders>
            <w:noWrap w:val="0"/>
            <w:vAlign w:val="top"/>
          </w:tcPr>
          <w:p>
            <w:pPr>
              <w:keepNext w:val="0"/>
              <w:keepLines w:val="0"/>
              <w:suppressLineNumbers w:val="0"/>
              <w:wordWrap w:val="0"/>
              <w:spacing w:before="0" w:beforeAutospacing="0" w:after="0" w:afterAutospacing="0" w:line="360" w:lineRule="auto"/>
              <w:ind w:left="0" w:right="0" w:firstLine="480" w:firstLineChars="200"/>
              <w:rPr>
                <w:rFonts w:hint="eastAsia"/>
                <w:i/>
                <w:iCs/>
                <w:color w:val="auto"/>
                <w:kern w:val="2"/>
                <w:sz w:val="24"/>
                <w:szCs w:val="24"/>
                <w:highlight w:val="none"/>
                <w:u w:val="single"/>
              </w:rPr>
            </w:pPr>
            <w:r>
              <w:rPr>
                <w:rFonts w:hint="eastAsia"/>
                <w:color w:val="auto"/>
                <w:kern w:val="2"/>
                <w:sz w:val="24"/>
                <w:szCs w:val="24"/>
                <w:highlight w:val="none"/>
              </w:rPr>
              <w:t>为支持和促进中小企业发展，进一步发挥政府采购政策功能，企业若有融资意向，可登录</w:t>
            </w:r>
            <w:r>
              <w:rPr>
                <w:rFonts w:hint="eastAsia"/>
                <w:color w:val="auto"/>
                <w:kern w:val="2"/>
                <w:sz w:val="24"/>
                <w:szCs w:val="24"/>
                <w:highlight w:val="none"/>
                <w:lang w:eastAsia="zh-CN"/>
              </w:rPr>
              <w:t>乐采云</w:t>
            </w:r>
            <w:r>
              <w:rPr>
                <w:rFonts w:hint="eastAsia"/>
                <w:color w:val="auto"/>
                <w:kern w:val="2"/>
                <w:sz w:val="24"/>
                <w:szCs w:val="24"/>
                <w:highlight w:val="none"/>
              </w:rPr>
              <w:t>平台融资服务（https://jinrong.zcygov.cn/），查看相应融资政策文件及各相关银行服务方案。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eastAsia="宋体"/>
                <w:snapToGrid w:val="0"/>
                <w:color w:val="auto"/>
                <w:kern w:val="2"/>
                <w:sz w:val="24"/>
                <w:szCs w:val="24"/>
                <w:highlight w:val="none"/>
                <w:lang w:eastAsia="zh-CN"/>
              </w:rPr>
            </w:pPr>
            <w:r>
              <w:rPr>
                <w:rFonts w:hint="eastAsia"/>
                <w:snapToGrid w:val="0"/>
                <w:color w:val="auto"/>
                <w:kern w:val="2"/>
                <w:sz w:val="24"/>
                <w:szCs w:val="24"/>
                <w:highlight w:val="none"/>
              </w:rPr>
              <w:t>2</w:t>
            </w:r>
            <w:r>
              <w:rPr>
                <w:rFonts w:hint="eastAsia"/>
                <w:snapToGrid w:val="0"/>
                <w:color w:val="auto"/>
                <w:kern w:val="2"/>
                <w:sz w:val="24"/>
                <w:szCs w:val="24"/>
                <w:highlight w:val="none"/>
                <w:lang w:val="en-US" w:eastAsia="zh-CN"/>
              </w:rPr>
              <w:t>4</w:t>
            </w:r>
          </w:p>
        </w:tc>
        <w:tc>
          <w:tcPr>
            <w:tcW w:w="1995" w:type="dxa"/>
            <w:noWrap w:val="0"/>
            <w:vAlign w:val="center"/>
          </w:tcPr>
          <w:p>
            <w:pPr>
              <w:keepNext w:val="0"/>
              <w:keepLines w:val="0"/>
              <w:suppressLineNumbers w:val="0"/>
              <w:wordWrap w:val="0"/>
              <w:snapToGrid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rPr>
              <w:t>其他</w:t>
            </w:r>
          </w:p>
        </w:tc>
        <w:tc>
          <w:tcPr>
            <w:tcW w:w="6682" w:type="dxa"/>
            <w:noWrap w:val="0"/>
            <w:vAlign w:val="center"/>
          </w:tcPr>
          <w:p>
            <w:pPr>
              <w:keepNext w:val="0"/>
              <w:keepLines w:val="0"/>
              <w:suppressLineNumbers w:val="0"/>
              <w:wordWrap w:val="0"/>
              <w:spacing w:before="0" w:beforeAutospacing="0" w:after="0" w:afterAutospacing="0" w:line="360" w:lineRule="auto"/>
              <w:ind w:left="0" w:right="0" w:firstLine="482" w:firstLineChars="200"/>
              <w:rPr>
                <w:rFonts w:hint="eastAsia"/>
                <w:b/>
                <w:color w:val="auto"/>
                <w:kern w:val="2"/>
                <w:sz w:val="24"/>
                <w:szCs w:val="24"/>
                <w:highlight w:val="none"/>
              </w:rPr>
            </w:pPr>
            <w:r>
              <w:rPr>
                <w:rFonts w:hint="eastAsia"/>
                <w:b/>
                <w:color w:val="auto"/>
                <w:kern w:val="2"/>
                <w:sz w:val="24"/>
                <w:szCs w:val="24"/>
                <w:highlight w:val="none"/>
              </w:rPr>
              <w:t>1、本</w:t>
            </w:r>
            <w:r>
              <w:rPr>
                <w:rFonts w:hint="eastAsia"/>
                <w:b/>
                <w:color w:val="auto"/>
                <w:kern w:val="2"/>
                <w:sz w:val="24"/>
                <w:szCs w:val="24"/>
                <w:highlight w:val="none"/>
                <w:lang w:val="en-US" w:eastAsia="zh-CN"/>
              </w:rPr>
              <w:t>招标</w:t>
            </w:r>
            <w:r>
              <w:rPr>
                <w:rFonts w:hint="eastAsia"/>
                <w:b/>
                <w:color w:val="auto"/>
                <w:kern w:val="2"/>
                <w:sz w:val="24"/>
                <w:szCs w:val="24"/>
                <w:highlight w:val="none"/>
              </w:rPr>
              <w:t>文件要求提供的身份证复印件皆需提供正反面，否则按不提供处理。</w:t>
            </w:r>
          </w:p>
          <w:p>
            <w:pPr>
              <w:keepNext w:val="0"/>
              <w:keepLines w:val="0"/>
              <w:suppressLineNumbers w:val="0"/>
              <w:wordWrap w:val="0"/>
              <w:spacing w:before="0" w:beforeAutospacing="0" w:after="0" w:afterAutospacing="0" w:line="360" w:lineRule="auto"/>
              <w:ind w:left="0" w:right="0" w:firstLine="482" w:firstLineChars="200"/>
              <w:rPr>
                <w:rFonts w:hint="eastAsia"/>
                <w:b/>
                <w:color w:val="auto"/>
                <w:kern w:val="2"/>
                <w:sz w:val="24"/>
                <w:szCs w:val="24"/>
                <w:highlight w:val="none"/>
              </w:rPr>
            </w:pPr>
            <w:r>
              <w:rPr>
                <w:rFonts w:hint="eastAsia"/>
                <w:b/>
                <w:color w:val="auto"/>
                <w:kern w:val="2"/>
                <w:sz w:val="24"/>
                <w:szCs w:val="24"/>
                <w:highlight w:val="none"/>
              </w:rPr>
              <w:t>2、若本项目涉及柴油动力移动源的应当符合低排放要求。</w:t>
            </w:r>
          </w:p>
        </w:tc>
      </w:tr>
    </w:tbl>
    <w:p>
      <w:pPr>
        <w:pStyle w:val="60"/>
        <w:spacing w:before="0" w:line="360" w:lineRule="auto"/>
        <w:ind w:firstLine="0" w:firstLineChars="0"/>
        <w:jc w:val="left"/>
        <w:rPr>
          <w:rFonts w:hint="eastAsia"/>
          <w:b/>
          <w:color w:val="auto"/>
          <w:sz w:val="32"/>
          <w:highlight w:val="none"/>
        </w:rPr>
      </w:pPr>
      <w:r>
        <w:rPr>
          <w:rFonts w:hint="eastAsia"/>
          <w:color w:val="auto"/>
          <w:sz w:val="20"/>
          <w:szCs w:val="15"/>
          <w:highlight w:val="none"/>
        </w:rPr>
        <w:t>注：以上内容如有变化将另行通知。如通知其中某一内容发生变化，其余未提及的将不作变动。</w:t>
      </w:r>
      <w:r>
        <w:rPr>
          <w:rFonts w:hint="eastAsia"/>
          <w:color w:val="auto"/>
          <w:sz w:val="20"/>
          <w:szCs w:val="15"/>
          <w:highlight w:val="none"/>
        </w:rPr>
        <w:br w:type="page"/>
      </w:r>
      <w:bookmarkStart w:id="20" w:name="_Toc3679"/>
      <w:r>
        <w:rPr>
          <w:rStyle w:val="44"/>
          <w:rFonts w:hint="eastAsia"/>
          <w:color w:val="auto"/>
          <w:highlight w:val="none"/>
        </w:rPr>
        <w:t>一、总则</w:t>
      </w:r>
      <w:bookmarkEnd w:id="12"/>
      <w:bookmarkEnd w:id="20"/>
    </w:p>
    <w:p>
      <w:pPr>
        <w:pStyle w:val="4"/>
        <w:spacing w:line="360" w:lineRule="auto"/>
        <w:ind w:firstLine="562"/>
        <w:rPr>
          <w:rFonts w:hint="eastAsia"/>
          <w:color w:val="auto"/>
          <w:highlight w:val="none"/>
        </w:rPr>
      </w:pPr>
      <w:bookmarkStart w:id="21" w:name="_Hlt74730295"/>
      <w:bookmarkEnd w:id="21"/>
      <w:bookmarkStart w:id="22" w:name="_Hlt74714665"/>
      <w:bookmarkEnd w:id="22"/>
      <w:bookmarkStart w:id="23" w:name="_Toc91899872"/>
      <w:bookmarkStart w:id="24" w:name="_Hlt74730112"/>
      <w:bookmarkStart w:id="25" w:name="_Hlt74730208"/>
      <w:r>
        <w:rPr>
          <w:rFonts w:hint="eastAsia"/>
          <w:color w:val="auto"/>
          <w:highlight w:val="none"/>
        </w:rPr>
        <w:t>1.项目说明</w:t>
      </w:r>
      <w:bookmarkEnd w:id="23"/>
    </w:p>
    <w:p>
      <w:pPr>
        <w:pStyle w:val="60"/>
        <w:numPr>
          <w:ilvl w:val="0"/>
          <w:numId w:val="10"/>
        </w:numPr>
        <w:tabs>
          <w:tab w:val="left" w:pos="0"/>
        </w:tabs>
        <w:spacing w:before="0" w:line="360" w:lineRule="auto"/>
        <w:ind w:firstLine="480"/>
        <w:rPr>
          <w:rFonts w:hint="eastAsia"/>
          <w:color w:val="auto"/>
          <w:szCs w:val="24"/>
          <w:highlight w:val="none"/>
        </w:rPr>
      </w:pPr>
      <w:r>
        <w:rPr>
          <w:rFonts w:hint="eastAsia"/>
          <w:color w:val="auto"/>
          <w:szCs w:val="24"/>
          <w:highlight w:val="none"/>
        </w:rPr>
        <w:t>项目说明见前附表所述。投标人一旦参与本次招标活动，即被视为接受了本招标文件的所有内容，如有任何异议，均已在法定时间内提出。</w:t>
      </w:r>
    </w:p>
    <w:p>
      <w:pPr>
        <w:pStyle w:val="60"/>
        <w:numPr>
          <w:ilvl w:val="0"/>
          <w:numId w:val="10"/>
        </w:numPr>
        <w:tabs>
          <w:tab w:val="left" w:pos="0"/>
        </w:tabs>
        <w:spacing w:before="0" w:line="360" w:lineRule="auto"/>
        <w:ind w:firstLine="480"/>
        <w:rPr>
          <w:rFonts w:hint="eastAsia"/>
          <w:color w:val="auto"/>
          <w:szCs w:val="24"/>
          <w:highlight w:val="none"/>
        </w:rPr>
      </w:pPr>
      <w:r>
        <w:rPr>
          <w:rFonts w:hint="eastAsia"/>
          <w:color w:val="auto"/>
          <w:szCs w:val="24"/>
          <w:highlight w:val="none"/>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color w:val="auto"/>
          <w:szCs w:val="24"/>
          <w:highlight w:val="none"/>
          <w:lang w:val="zh-CN"/>
        </w:rPr>
        <w:t>供应商</w:t>
      </w:r>
      <w:r>
        <w:rPr>
          <w:rFonts w:hint="eastAsia"/>
          <w:color w:val="auto"/>
          <w:szCs w:val="24"/>
          <w:highlight w:val="none"/>
        </w:rPr>
        <w:t>应承担相应后果，</w:t>
      </w:r>
      <w:r>
        <w:rPr>
          <w:rFonts w:hint="eastAsia"/>
          <w:color w:val="auto"/>
          <w:szCs w:val="24"/>
          <w:highlight w:val="none"/>
          <w:lang w:val="zh-CN"/>
        </w:rPr>
        <w:t>并负责赔偿。</w:t>
      </w:r>
      <w:r>
        <w:rPr>
          <w:rFonts w:hint="eastAsia"/>
          <w:color w:val="auto"/>
          <w:szCs w:val="24"/>
          <w:highlight w:val="none"/>
        </w:rPr>
        <w:t>供应商为执行本项目合同而提供的技术资料等归采购人所有。</w:t>
      </w:r>
    </w:p>
    <w:p>
      <w:pPr>
        <w:snapToGrid w:val="0"/>
        <w:spacing w:line="360" w:lineRule="auto"/>
        <w:ind w:firstLine="480" w:firstLineChars="200"/>
        <w:jc w:val="left"/>
        <w:rPr>
          <w:rFonts w:hint="eastAsia"/>
          <w:color w:val="auto"/>
          <w:kern w:val="2"/>
          <w:sz w:val="24"/>
          <w:szCs w:val="24"/>
          <w:highlight w:val="none"/>
        </w:rPr>
      </w:pPr>
      <w:bookmarkStart w:id="26" w:name="_Toc91899873"/>
      <w:r>
        <w:rPr>
          <w:rFonts w:hint="eastAsia"/>
          <w:color w:val="auto"/>
          <w:kern w:val="2"/>
          <w:sz w:val="24"/>
          <w:szCs w:val="24"/>
          <w:highlight w:val="none"/>
        </w:rPr>
        <w:t>1.3本招标文件所称公章是指单位法定名称章或者冠以单位法定名称的电子公章。</w:t>
      </w:r>
    </w:p>
    <w:p>
      <w:pPr>
        <w:snapToGrid w:val="0"/>
        <w:spacing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1.4公开招标数额标准以上的采购项目，投标截止后投标人不足3家或者通过资格审查或符合性审查的投标人不足3家的，除采购任务取消情形外，按照以下方式处理：</w:t>
      </w:r>
    </w:p>
    <w:p>
      <w:pPr>
        <w:pStyle w:val="60"/>
        <w:numPr>
          <w:ilvl w:val="0"/>
          <w:numId w:val="11"/>
        </w:numPr>
        <w:spacing w:before="0" w:line="360" w:lineRule="auto"/>
        <w:ind w:firstLine="480"/>
        <w:rPr>
          <w:rFonts w:hint="eastAsia"/>
          <w:color w:val="auto"/>
          <w:szCs w:val="24"/>
          <w:highlight w:val="none"/>
        </w:rPr>
      </w:pPr>
      <w:r>
        <w:rPr>
          <w:rFonts w:hint="eastAsia"/>
          <w:color w:val="auto"/>
          <w:szCs w:val="24"/>
          <w:highlight w:val="none"/>
        </w:rPr>
        <w:t>招标文件存在不合理条款或者招标程序不符合规定的，采购人、采购代理机构改正后依法重新招标；</w:t>
      </w:r>
    </w:p>
    <w:p>
      <w:pPr>
        <w:pStyle w:val="60"/>
        <w:numPr>
          <w:ilvl w:val="0"/>
          <w:numId w:val="11"/>
        </w:numPr>
        <w:spacing w:before="0" w:line="360" w:lineRule="auto"/>
        <w:ind w:firstLine="480"/>
        <w:rPr>
          <w:rFonts w:hint="eastAsia"/>
          <w:color w:val="auto"/>
          <w:szCs w:val="24"/>
          <w:highlight w:val="none"/>
        </w:rPr>
      </w:pPr>
      <w:r>
        <w:rPr>
          <w:rFonts w:hint="eastAsia"/>
          <w:color w:val="auto"/>
          <w:szCs w:val="24"/>
          <w:highlight w:val="none"/>
        </w:rPr>
        <w:t>招标文件没有不合理条款、招标程序符合规定，需要采用其他采购方式采购的，采购人应当依法报相关部门批准。</w:t>
      </w:r>
    </w:p>
    <w:p>
      <w:pPr>
        <w:pStyle w:val="4"/>
        <w:spacing w:line="360" w:lineRule="auto"/>
        <w:ind w:firstLine="562"/>
        <w:rPr>
          <w:rFonts w:hint="eastAsia"/>
          <w:color w:val="auto"/>
          <w:highlight w:val="none"/>
        </w:rPr>
      </w:pPr>
      <w:r>
        <w:rPr>
          <w:rFonts w:hint="eastAsia"/>
          <w:color w:val="auto"/>
          <w:highlight w:val="none"/>
        </w:rPr>
        <w:t>2.采购方式</w:t>
      </w:r>
      <w:bookmarkEnd w:id="26"/>
    </w:p>
    <w:p>
      <w:pPr>
        <w:tabs>
          <w:tab w:val="left" w:pos="3780"/>
        </w:tabs>
        <w:spacing w:line="360" w:lineRule="auto"/>
        <w:ind w:firstLine="480" w:firstLineChars="200"/>
        <w:rPr>
          <w:rFonts w:hint="eastAsia"/>
          <w:color w:val="auto"/>
          <w:sz w:val="24"/>
          <w:highlight w:val="none"/>
        </w:rPr>
      </w:pPr>
      <w:r>
        <w:rPr>
          <w:rFonts w:hint="eastAsia"/>
          <w:color w:val="auto"/>
          <w:sz w:val="24"/>
          <w:highlight w:val="none"/>
        </w:rPr>
        <w:t>公开招标。</w:t>
      </w:r>
      <w:bookmarkEnd w:id="24"/>
      <w:bookmarkEnd w:id="25"/>
      <w:bookmarkStart w:id="27" w:name="_Hlt74388212"/>
      <w:bookmarkEnd w:id="27"/>
      <w:bookmarkStart w:id="28" w:name="_Hlt68516771"/>
      <w:bookmarkEnd w:id="28"/>
    </w:p>
    <w:p>
      <w:pPr>
        <w:pStyle w:val="4"/>
        <w:spacing w:line="360" w:lineRule="auto"/>
        <w:ind w:firstLine="562"/>
        <w:rPr>
          <w:rFonts w:hint="eastAsia"/>
          <w:color w:val="auto"/>
          <w:highlight w:val="none"/>
        </w:rPr>
      </w:pPr>
      <w:bookmarkStart w:id="29" w:name="_Toc91899877"/>
      <w:bookmarkStart w:id="30" w:name="_Hlt74730303"/>
      <w:r>
        <w:rPr>
          <w:rFonts w:hint="eastAsia"/>
          <w:color w:val="auto"/>
          <w:highlight w:val="none"/>
        </w:rPr>
        <w:t>3.投标费用</w:t>
      </w:r>
      <w:bookmarkEnd w:id="29"/>
    </w:p>
    <w:bookmarkEnd w:id="30"/>
    <w:p>
      <w:pPr>
        <w:autoSpaceDE w:val="0"/>
        <w:autoSpaceDN w:val="0"/>
        <w:spacing w:line="360" w:lineRule="auto"/>
        <w:ind w:firstLine="523" w:firstLineChars="218"/>
        <w:rPr>
          <w:rFonts w:hint="eastAsia"/>
          <w:color w:val="auto"/>
          <w:sz w:val="24"/>
          <w:highlight w:val="none"/>
          <w:lang w:val="zh-CN"/>
        </w:rPr>
      </w:pPr>
      <w:r>
        <w:rPr>
          <w:rFonts w:hint="eastAsia"/>
          <w:color w:val="auto"/>
          <w:sz w:val="24"/>
          <w:highlight w:val="none"/>
        </w:rPr>
        <w:t>投标人需自行承担涉及投标的一切费用（招标文件有其他相</w:t>
      </w:r>
      <w:r>
        <w:rPr>
          <w:color w:val="auto"/>
          <w:sz w:val="24"/>
          <w:highlight w:val="none"/>
        </w:rPr>
        <w:t>关</w:t>
      </w:r>
      <w:r>
        <w:rPr>
          <w:rFonts w:hint="eastAsia"/>
          <w:color w:val="auto"/>
          <w:sz w:val="24"/>
          <w:highlight w:val="none"/>
        </w:rPr>
        <w:t>规定除外）。</w:t>
      </w:r>
    </w:p>
    <w:p>
      <w:pPr>
        <w:spacing w:line="360" w:lineRule="auto"/>
        <w:jc w:val="center"/>
        <w:rPr>
          <w:rFonts w:hint="eastAsia"/>
          <w:b/>
          <w:color w:val="auto"/>
          <w:sz w:val="24"/>
          <w:highlight w:val="none"/>
        </w:rPr>
      </w:pPr>
      <w:bookmarkStart w:id="31" w:name="_Hlt74729768"/>
      <w:bookmarkEnd w:id="31"/>
      <w:bookmarkStart w:id="32" w:name="_Hlt68057669"/>
      <w:bookmarkEnd w:id="32"/>
      <w:bookmarkStart w:id="33" w:name="_Hlt68072990"/>
      <w:bookmarkEnd w:id="33"/>
      <w:bookmarkStart w:id="34" w:name="_Hlt74707468"/>
      <w:bookmarkEnd w:id="34"/>
      <w:bookmarkStart w:id="35" w:name="_Hlt75236290"/>
      <w:bookmarkEnd w:id="35"/>
      <w:bookmarkStart w:id="36" w:name="_Toc91899879"/>
    </w:p>
    <w:p>
      <w:pPr>
        <w:pStyle w:val="3"/>
        <w:spacing w:line="360" w:lineRule="auto"/>
        <w:rPr>
          <w:rFonts w:hint="eastAsia"/>
          <w:color w:val="auto"/>
          <w:highlight w:val="none"/>
        </w:rPr>
      </w:pPr>
      <w:bookmarkStart w:id="37" w:name="_Toc6846"/>
      <w:r>
        <w:rPr>
          <w:rFonts w:hint="eastAsia"/>
          <w:color w:val="auto"/>
          <w:highlight w:val="none"/>
        </w:rPr>
        <w:t>二、招标文件</w:t>
      </w:r>
      <w:bookmarkEnd w:id="36"/>
      <w:bookmarkEnd w:id="37"/>
    </w:p>
    <w:p>
      <w:pPr>
        <w:pStyle w:val="4"/>
        <w:spacing w:line="360" w:lineRule="auto"/>
        <w:ind w:firstLine="562"/>
        <w:rPr>
          <w:rFonts w:hint="eastAsia"/>
          <w:color w:val="auto"/>
          <w:highlight w:val="none"/>
        </w:rPr>
      </w:pPr>
      <w:bookmarkStart w:id="38" w:name="_Toc91899880"/>
      <w:bookmarkStart w:id="39" w:name="_Hlt74730307"/>
      <w:r>
        <w:rPr>
          <w:rFonts w:hint="eastAsia"/>
          <w:color w:val="auto"/>
          <w:highlight w:val="none"/>
        </w:rPr>
        <w:t>1.招标文件的构成</w:t>
      </w:r>
      <w:bookmarkEnd w:id="38"/>
    </w:p>
    <w:bookmarkEnd w:id="39"/>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1.1招标文件包括下列文件及附件</w:t>
      </w:r>
    </w:p>
    <w:p>
      <w:pPr>
        <w:pStyle w:val="60"/>
        <w:numPr>
          <w:ilvl w:val="0"/>
          <w:numId w:val="12"/>
        </w:numPr>
        <w:spacing w:before="0" w:line="360" w:lineRule="auto"/>
        <w:ind w:firstLine="480"/>
        <w:rPr>
          <w:rFonts w:hint="eastAsia"/>
          <w:color w:val="auto"/>
          <w:szCs w:val="24"/>
          <w:highlight w:val="none"/>
        </w:rPr>
      </w:pPr>
      <w:r>
        <w:rPr>
          <w:rFonts w:hint="eastAsia"/>
          <w:color w:val="auto"/>
          <w:szCs w:val="24"/>
          <w:highlight w:val="none"/>
        </w:rPr>
        <w:t>第一部分 招标公告</w:t>
      </w:r>
    </w:p>
    <w:p>
      <w:pPr>
        <w:pStyle w:val="60"/>
        <w:numPr>
          <w:ilvl w:val="0"/>
          <w:numId w:val="12"/>
        </w:numPr>
        <w:spacing w:before="0" w:line="360" w:lineRule="auto"/>
        <w:ind w:firstLine="480"/>
        <w:rPr>
          <w:rFonts w:hint="eastAsia"/>
          <w:color w:val="auto"/>
          <w:szCs w:val="24"/>
          <w:highlight w:val="none"/>
        </w:rPr>
      </w:pPr>
      <w:r>
        <w:rPr>
          <w:rFonts w:hint="eastAsia"/>
          <w:color w:val="auto"/>
          <w:szCs w:val="24"/>
          <w:highlight w:val="none"/>
        </w:rPr>
        <w:t>第二部分 投标须知</w:t>
      </w:r>
    </w:p>
    <w:p>
      <w:pPr>
        <w:pStyle w:val="60"/>
        <w:numPr>
          <w:ilvl w:val="0"/>
          <w:numId w:val="12"/>
        </w:numPr>
        <w:spacing w:before="0" w:line="360" w:lineRule="auto"/>
        <w:ind w:firstLine="480"/>
        <w:rPr>
          <w:rFonts w:hint="eastAsia"/>
          <w:color w:val="auto"/>
          <w:szCs w:val="24"/>
          <w:highlight w:val="none"/>
        </w:rPr>
      </w:pPr>
      <w:r>
        <w:rPr>
          <w:rFonts w:hint="eastAsia"/>
          <w:color w:val="auto"/>
          <w:szCs w:val="24"/>
          <w:highlight w:val="none"/>
        </w:rPr>
        <w:t>第三部分 评标办法及评分标准</w:t>
      </w:r>
    </w:p>
    <w:p>
      <w:pPr>
        <w:pStyle w:val="60"/>
        <w:numPr>
          <w:ilvl w:val="0"/>
          <w:numId w:val="12"/>
        </w:numPr>
        <w:spacing w:before="0" w:line="360" w:lineRule="auto"/>
        <w:ind w:firstLine="480"/>
        <w:rPr>
          <w:rFonts w:hint="eastAsia"/>
          <w:color w:val="auto"/>
          <w:szCs w:val="24"/>
          <w:highlight w:val="none"/>
        </w:rPr>
      </w:pPr>
      <w:r>
        <w:rPr>
          <w:rFonts w:hint="eastAsia"/>
          <w:color w:val="auto"/>
          <w:szCs w:val="24"/>
          <w:highlight w:val="none"/>
        </w:rPr>
        <w:t>第四部分 采购需求</w:t>
      </w:r>
    </w:p>
    <w:p>
      <w:pPr>
        <w:pStyle w:val="60"/>
        <w:numPr>
          <w:ilvl w:val="0"/>
          <w:numId w:val="12"/>
        </w:numPr>
        <w:spacing w:before="0" w:line="360" w:lineRule="auto"/>
        <w:ind w:firstLine="480"/>
        <w:rPr>
          <w:rFonts w:hint="eastAsia"/>
          <w:color w:val="auto"/>
          <w:szCs w:val="24"/>
          <w:highlight w:val="none"/>
        </w:rPr>
      </w:pPr>
      <w:r>
        <w:rPr>
          <w:rFonts w:hint="eastAsia"/>
          <w:color w:val="auto"/>
          <w:szCs w:val="24"/>
          <w:highlight w:val="none"/>
        </w:rPr>
        <w:t>第五部分 采购合同的一般和特殊条款</w:t>
      </w:r>
    </w:p>
    <w:p>
      <w:pPr>
        <w:pStyle w:val="60"/>
        <w:numPr>
          <w:ilvl w:val="0"/>
          <w:numId w:val="12"/>
        </w:numPr>
        <w:spacing w:before="0" w:line="360" w:lineRule="auto"/>
        <w:ind w:firstLine="480"/>
        <w:rPr>
          <w:rFonts w:hint="eastAsia"/>
          <w:color w:val="auto"/>
          <w:szCs w:val="24"/>
          <w:highlight w:val="none"/>
        </w:rPr>
      </w:pPr>
      <w:r>
        <w:rPr>
          <w:rFonts w:hint="eastAsia"/>
          <w:color w:val="auto"/>
          <w:szCs w:val="24"/>
          <w:highlight w:val="none"/>
        </w:rPr>
        <w:t>第六部分 应提交的有关格式范例</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1.2投标人应认真审阅招标文件中所有的内容，包括编制和提交采购响应文件须知、评标办法及评分标准、项目技术规范和服务要求、采购合同的一般和特殊条款、应提交的有关格式范例等。</w:t>
      </w:r>
    </w:p>
    <w:p>
      <w:pPr>
        <w:pStyle w:val="15"/>
        <w:spacing w:line="360" w:lineRule="auto"/>
        <w:ind w:left="400" w:leftChars="200"/>
        <w:outlineLvl w:val="2"/>
        <w:rPr>
          <w:rStyle w:val="45"/>
          <w:rFonts w:hint="eastAsia"/>
          <w:color w:val="auto"/>
          <w:highlight w:val="none"/>
        </w:rPr>
      </w:pPr>
      <w:r>
        <w:rPr>
          <w:rFonts w:hint="eastAsia" w:hAnsi="宋体" w:cs="宋体"/>
          <w:b/>
          <w:color w:val="auto"/>
          <w:sz w:val="24"/>
          <w:szCs w:val="24"/>
          <w:highlight w:val="none"/>
        </w:rPr>
        <w:t>2.</w:t>
      </w:r>
      <w:r>
        <w:rPr>
          <w:rStyle w:val="45"/>
          <w:rFonts w:hint="eastAsia"/>
          <w:color w:val="auto"/>
          <w:highlight w:val="none"/>
        </w:rPr>
        <w:t>招标文件的解释</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2.1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2.2采购代理机构如对已发出的招标文件进行必要澄清或者修改的，将在发布招标公告的网站上发布更正公告，同时视情况延长投标截止时间和开标时间。该澄清或者修改的内容为招标文件的组成部分。</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2.3不论采购代理机构向投标人发送的资料文件，还是投标人提出的问题，均采用书面形式。</w:t>
      </w:r>
    </w:p>
    <w:p>
      <w:pPr>
        <w:pStyle w:val="15"/>
        <w:spacing w:line="360" w:lineRule="auto"/>
        <w:ind w:left="400" w:leftChars="200"/>
        <w:outlineLvl w:val="2"/>
        <w:rPr>
          <w:rFonts w:hint="eastAsia" w:hAnsi="宋体" w:cs="宋体"/>
          <w:b/>
          <w:color w:val="auto"/>
          <w:sz w:val="24"/>
          <w:szCs w:val="24"/>
          <w:highlight w:val="none"/>
        </w:rPr>
      </w:pPr>
      <w:r>
        <w:rPr>
          <w:rFonts w:hint="eastAsia" w:hAnsi="宋体" w:cs="宋体"/>
          <w:b/>
          <w:color w:val="auto"/>
          <w:sz w:val="24"/>
          <w:szCs w:val="24"/>
          <w:highlight w:val="none"/>
        </w:rPr>
        <w:t>3.招标文件的修改、澄清</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3.1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3.2对投标文件中含义不明、表述不一致或有明显计算错误等内容，评标委员会将对投标人进行询标，并要求投标人作电子澄清（询标由专家在</w:t>
      </w:r>
      <w:r>
        <w:rPr>
          <w:rFonts w:hint="eastAsia"/>
          <w:color w:val="auto"/>
          <w:szCs w:val="24"/>
          <w:highlight w:val="none"/>
          <w:lang w:eastAsia="zh-CN"/>
        </w:rPr>
        <w:t>乐采云</w:t>
      </w:r>
      <w:r>
        <w:rPr>
          <w:rFonts w:hint="eastAsia"/>
          <w:color w:val="auto"/>
          <w:szCs w:val="24"/>
          <w:highlight w:val="none"/>
        </w:rPr>
        <w:t>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15"/>
        <w:spacing w:line="360" w:lineRule="auto"/>
        <w:ind w:left="400" w:leftChars="200"/>
        <w:outlineLvl w:val="2"/>
        <w:rPr>
          <w:rFonts w:hint="eastAsia" w:hAnsi="宋体" w:cs="宋体"/>
          <w:b/>
          <w:color w:val="auto"/>
          <w:sz w:val="24"/>
          <w:szCs w:val="24"/>
          <w:highlight w:val="none"/>
        </w:rPr>
      </w:pPr>
      <w:r>
        <w:rPr>
          <w:rFonts w:hint="eastAsia" w:hAnsi="宋体" w:cs="宋体"/>
          <w:b/>
          <w:color w:val="auto"/>
          <w:sz w:val="24"/>
          <w:szCs w:val="24"/>
          <w:highlight w:val="none"/>
        </w:rPr>
        <w:t>4.投标报价</w:t>
      </w:r>
    </w:p>
    <w:p>
      <w:pPr>
        <w:pStyle w:val="60"/>
        <w:tabs>
          <w:tab w:val="left" w:pos="0"/>
        </w:tabs>
        <w:spacing w:before="0" w:line="360" w:lineRule="auto"/>
        <w:ind w:firstLine="480"/>
        <w:rPr>
          <w:rFonts w:hint="eastAsia"/>
          <w:color w:val="auto"/>
          <w:szCs w:val="24"/>
          <w:highlight w:val="none"/>
        </w:rPr>
      </w:pPr>
      <w:r>
        <w:rPr>
          <w:rFonts w:hint="eastAsia"/>
          <w:color w:val="auto"/>
          <w:szCs w:val="32"/>
          <w:highlight w:val="none"/>
        </w:rPr>
        <w:t>4.1本次报价</w:t>
      </w:r>
      <w:r>
        <w:rPr>
          <w:rFonts w:hint="eastAsia"/>
          <w:b/>
          <w:bCs/>
          <w:color w:val="auto"/>
          <w:szCs w:val="32"/>
          <w:highlight w:val="none"/>
        </w:rPr>
        <w:t>为</w:t>
      </w:r>
      <w:r>
        <w:rPr>
          <w:rFonts w:hint="eastAsia" w:eastAsia="Times New Roman"/>
          <w:b/>
          <w:bCs/>
          <w:color w:val="auto"/>
          <w:szCs w:val="32"/>
          <w:highlight w:val="none"/>
          <w:lang w:bidi="ar"/>
        </w:rPr>
        <w:t>按照采购需求完成本采购项目的全部相关费用；</w:t>
      </w:r>
      <w:r>
        <w:rPr>
          <w:rFonts w:hint="eastAsia"/>
          <w:b/>
          <w:bCs/>
          <w:color w:val="auto"/>
          <w:szCs w:val="24"/>
          <w:highlight w:val="none"/>
        </w:rPr>
        <w:t>投标报价中标明的价格为履行合同2个年度的物业管理费价格，包括但不限于人员费用、按规定缴纳的各类保险、交通费、加班费、零星工程维修费、交接费、福利费、管理费用、税费、办公用品、维修工具、服装费、安保器材、垃圾分类、保洁耗材（公共卫生间洗手液、擦手纸、卫生纸、灭“四害”药物、蚊香、垃圾袋等）、日常耗材（灯泡，灯具，电线，门锁，把手，锁芯，水龙头，生料带，胶布，玻璃胶，插座，三角阀，软管，开关，安全出口指示牌等）等所有材料及易耗品费用</w:t>
      </w:r>
      <w:r>
        <w:rPr>
          <w:rFonts w:hint="eastAsia" w:ascii="宋体" w:hAnsi="宋体" w:eastAsia="宋体" w:cs="宋体"/>
          <w:b/>
          <w:bCs/>
          <w:color w:val="auto"/>
          <w:szCs w:val="24"/>
          <w:highlight w:val="none"/>
        </w:rPr>
        <w:t>，由物业公司承担</w:t>
      </w:r>
      <w:r>
        <w:rPr>
          <w:rFonts w:hint="eastAsia"/>
          <w:b/>
          <w:bCs/>
          <w:color w:val="auto"/>
          <w:szCs w:val="24"/>
          <w:highlight w:val="none"/>
        </w:rPr>
        <w:t>。其他合同中明示或暗示的所有一般风险、责任和义务等整个项目的总报价，如有漏项，视同已包含在本报价中。</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4.2其他费用处理</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招标文件未列明，而投标人认为必需的费用也需列入报价。</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4.3投标货币</w:t>
      </w:r>
    </w:p>
    <w:p>
      <w:pPr>
        <w:pStyle w:val="60"/>
        <w:snapToGrid w:val="0"/>
        <w:spacing w:before="0" w:line="360" w:lineRule="auto"/>
        <w:ind w:firstLine="480"/>
        <w:rPr>
          <w:rFonts w:hint="eastAsia"/>
          <w:color w:val="auto"/>
          <w:szCs w:val="24"/>
          <w:highlight w:val="none"/>
        </w:rPr>
      </w:pPr>
      <w:r>
        <w:rPr>
          <w:rFonts w:hint="eastAsia"/>
          <w:color w:val="auto"/>
          <w:kern w:val="2"/>
          <w:szCs w:val="24"/>
          <w:highlight w:val="none"/>
        </w:rPr>
        <w:t>投标文件中价格全部采用人民币报价。报价应是唯一的， 采购代理机构将不接受有选择的报价。</w:t>
      </w:r>
    </w:p>
    <w:p>
      <w:pPr>
        <w:pStyle w:val="3"/>
        <w:spacing w:line="360" w:lineRule="auto"/>
        <w:rPr>
          <w:rFonts w:hint="eastAsia"/>
          <w:color w:val="auto"/>
          <w:highlight w:val="none"/>
        </w:rPr>
      </w:pPr>
      <w:bookmarkStart w:id="40" w:name="_Hlt75236011"/>
      <w:bookmarkEnd w:id="40"/>
      <w:bookmarkStart w:id="41" w:name="_Toc1743"/>
      <w:bookmarkStart w:id="42" w:name="_Toc91899884"/>
      <w:r>
        <w:rPr>
          <w:rFonts w:hint="eastAsia"/>
          <w:color w:val="auto"/>
          <w:highlight w:val="none"/>
        </w:rPr>
        <w:t>三、投标文件的编制</w:t>
      </w:r>
      <w:bookmarkEnd w:id="41"/>
      <w:bookmarkEnd w:id="42"/>
    </w:p>
    <w:p>
      <w:pPr>
        <w:pStyle w:val="15"/>
        <w:numPr>
          <w:ilvl w:val="0"/>
          <w:numId w:val="13"/>
        </w:numPr>
        <w:spacing w:line="360" w:lineRule="auto"/>
        <w:ind w:firstLine="482" w:firstLineChars="200"/>
        <w:outlineLvl w:val="2"/>
        <w:rPr>
          <w:rFonts w:hint="eastAsia" w:hAnsi="宋体" w:cs="宋体"/>
          <w:b/>
          <w:color w:val="auto"/>
          <w:sz w:val="24"/>
          <w:szCs w:val="24"/>
          <w:highlight w:val="none"/>
        </w:rPr>
      </w:pPr>
      <w:bookmarkStart w:id="43" w:name="_Toc86216991"/>
      <w:bookmarkStart w:id="44" w:name="_Toc91899892"/>
      <w:r>
        <w:rPr>
          <w:rFonts w:hint="eastAsia" w:hAnsi="宋体" w:cs="宋体"/>
          <w:b/>
          <w:color w:val="auto"/>
          <w:sz w:val="24"/>
          <w:szCs w:val="24"/>
          <w:highlight w:val="none"/>
        </w:rPr>
        <w:t>投标文件的语言</w:t>
      </w:r>
    </w:p>
    <w:p>
      <w:pPr>
        <w:pStyle w:val="60"/>
        <w:tabs>
          <w:tab w:val="left" w:pos="0"/>
        </w:tabs>
        <w:spacing w:before="0" w:line="360" w:lineRule="auto"/>
        <w:ind w:firstLine="480"/>
        <w:rPr>
          <w:rFonts w:hint="eastAsia"/>
          <w:color w:val="auto"/>
          <w:szCs w:val="24"/>
          <w:highlight w:val="none"/>
          <w:lang w:val="zh-CN"/>
        </w:rPr>
      </w:pPr>
      <w:r>
        <w:rPr>
          <w:rFonts w:hint="eastAsia"/>
          <w:color w:val="auto"/>
          <w:szCs w:val="24"/>
          <w:highlight w:val="none"/>
        </w:rPr>
        <w:t>投标文件及投标人与采购有关的来往通知、函件和文件均应使用中文。</w:t>
      </w:r>
    </w:p>
    <w:p>
      <w:pPr>
        <w:pStyle w:val="15"/>
        <w:numPr>
          <w:ilvl w:val="0"/>
          <w:numId w:val="13"/>
        </w:numPr>
        <w:spacing w:line="360" w:lineRule="auto"/>
        <w:ind w:firstLine="482" w:firstLineChars="200"/>
        <w:outlineLvl w:val="2"/>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投标文件应当包括以下主要内容：资格文件、技术文件、商务文件、报价文件。</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2.1资格文件包括以下内容：</w:t>
      </w:r>
    </w:p>
    <w:p>
      <w:pPr>
        <w:pStyle w:val="60"/>
        <w:numPr>
          <w:ilvl w:val="0"/>
          <w:numId w:val="14"/>
        </w:numPr>
        <w:spacing w:before="0" w:line="360" w:lineRule="auto"/>
        <w:ind w:firstLine="480"/>
        <w:rPr>
          <w:rFonts w:hint="eastAsia"/>
          <w:color w:val="auto"/>
          <w:szCs w:val="24"/>
          <w:highlight w:val="none"/>
        </w:rPr>
      </w:pPr>
      <w:r>
        <w:rPr>
          <w:rFonts w:hint="eastAsia"/>
          <w:color w:val="auto"/>
          <w:szCs w:val="24"/>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pPr>
        <w:pStyle w:val="60"/>
        <w:numPr>
          <w:ilvl w:val="0"/>
          <w:numId w:val="14"/>
        </w:numPr>
        <w:spacing w:before="0" w:line="360" w:lineRule="auto"/>
        <w:ind w:firstLine="480"/>
        <w:rPr>
          <w:rFonts w:hint="eastAsia"/>
          <w:color w:val="auto"/>
          <w:szCs w:val="24"/>
          <w:highlight w:val="none"/>
        </w:rPr>
      </w:pPr>
      <w:r>
        <w:rPr>
          <w:rFonts w:hint="eastAsia"/>
          <w:color w:val="auto"/>
          <w:szCs w:val="24"/>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pPr>
        <w:pStyle w:val="60"/>
        <w:spacing w:before="0" w:line="360" w:lineRule="auto"/>
        <w:ind w:firstLine="480"/>
        <w:rPr>
          <w:rFonts w:hint="eastAsia"/>
          <w:color w:val="auto"/>
          <w:szCs w:val="24"/>
          <w:highlight w:val="none"/>
        </w:rPr>
      </w:pPr>
      <w:r>
        <w:rPr>
          <w:rFonts w:hint="eastAsia"/>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pPr>
        <w:pStyle w:val="60"/>
        <w:numPr>
          <w:ilvl w:val="0"/>
          <w:numId w:val="14"/>
        </w:numPr>
        <w:spacing w:before="0" w:line="360" w:lineRule="auto"/>
        <w:ind w:firstLine="480"/>
        <w:rPr>
          <w:rFonts w:hint="eastAsia"/>
          <w:color w:val="auto"/>
          <w:szCs w:val="24"/>
          <w:highlight w:val="none"/>
        </w:rPr>
      </w:pPr>
      <w:r>
        <w:rPr>
          <w:rFonts w:hint="eastAsia"/>
          <w:color w:val="auto"/>
          <w:szCs w:val="24"/>
          <w:highlight w:val="none"/>
        </w:rPr>
        <w:t xml:space="preserve">具有履行合同所必需的产品和专业技术能力的承诺函； </w:t>
      </w:r>
    </w:p>
    <w:p>
      <w:pPr>
        <w:pStyle w:val="60"/>
        <w:numPr>
          <w:ilvl w:val="0"/>
          <w:numId w:val="14"/>
        </w:numPr>
        <w:spacing w:before="0" w:line="360" w:lineRule="auto"/>
        <w:ind w:firstLine="480"/>
        <w:rPr>
          <w:rFonts w:hint="eastAsia"/>
          <w:color w:val="auto"/>
          <w:szCs w:val="24"/>
          <w:highlight w:val="none"/>
        </w:rPr>
      </w:pPr>
      <w:r>
        <w:rPr>
          <w:rFonts w:hint="eastAsia"/>
          <w:color w:val="auto"/>
          <w:szCs w:val="24"/>
          <w:highlight w:val="none"/>
        </w:rPr>
        <w:t xml:space="preserve">投标人承诺函（格式见附件）； </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2.2技术文件，本次招标需要投标人提供以下项所列的技术文件</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评分对应表（格式见附件，主要用于评委对应评分内容）；</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投标项目明细清单（含货物、服务等）（格式见附件）；</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技术响应及建议表（格式见附件）；</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项目组人员清单（格式见附件）；</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物业管理组织架构及管理制度；</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物业保洁、保安、接待、服务方案（包括垃圾分类）与经验；</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机构节能工作方案及经验；</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安全服务工作方案及经验；</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物业突发事件的应急措施；</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项目实施的人员安排情况；</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耗材质量；</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设施设备投入方案；</w:t>
      </w:r>
    </w:p>
    <w:p>
      <w:pPr>
        <w:pStyle w:val="60"/>
        <w:numPr>
          <w:ilvl w:val="0"/>
          <w:numId w:val="15"/>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培训能力、经验及机制；</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注：以上内容应与评标办法中内容具有一致性。</w:t>
      </w:r>
    </w:p>
    <w:p>
      <w:pPr>
        <w:pStyle w:val="60"/>
        <w:tabs>
          <w:tab w:val="left" w:pos="0"/>
        </w:tabs>
        <w:spacing w:before="0" w:line="360" w:lineRule="auto"/>
        <w:ind w:firstLine="480"/>
        <w:rPr>
          <w:rFonts w:hint="eastAsia"/>
          <w:b/>
          <w:bCs/>
          <w:color w:val="auto"/>
          <w:szCs w:val="24"/>
          <w:highlight w:val="none"/>
        </w:rPr>
      </w:pPr>
      <w:r>
        <w:rPr>
          <w:rFonts w:hint="eastAsia"/>
          <w:color w:val="auto"/>
          <w:szCs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b/>
          <w:bCs/>
          <w:color w:val="auto"/>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2.3商务文件，本次招标需要投标人提供以下项所列的商务文件：</w:t>
      </w:r>
    </w:p>
    <w:p>
      <w:pPr>
        <w:pStyle w:val="60"/>
        <w:numPr>
          <w:ilvl w:val="0"/>
          <w:numId w:val="16"/>
        </w:numPr>
        <w:spacing w:before="0" w:line="360" w:lineRule="auto"/>
        <w:ind w:firstLine="480"/>
        <w:rPr>
          <w:color w:val="auto"/>
          <w:highlight w:val="none"/>
        </w:rPr>
      </w:pPr>
      <w:r>
        <w:rPr>
          <w:rFonts w:hint="eastAsia"/>
          <w:color w:val="auto"/>
          <w:highlight w:val="none"/>
        </w:rPr>
        <w:t>供应商商务文件中商务分自评表（格式见附件）；</w:t>
      </w:r>
    </w:p>
    <w:p>
      <w:pPr>
        <w:pStyle w:val="60"/>
        <w:numPr>
          <w:ilvl w:val="0"/>
          <w:numId w:val="16"/>
        </w:numPr>
        <w:spacing w:before="0" w:line="360" w:lineRule="auto"/>
        <w:ind w:firstLine="480"/>
        <w:rPr>
          <w:color w:val="auto"/>
          <w:highlight w:val="none"/>
        </w:rPr>
      </w:pPr>
      <w:r>
        <w:rPr>
          <w:rFonts w:hint="eastAsia"/>
          <w:color w:val="auto"/>
          <w:highlight w:val="none"/>
        </w:rPr>
        <w:t>商务响应表（格式见附件）；</w:t>
      </w:r>
    </w:p>
    <w:p>
      <w:pPr>
        <w:numPr>
          <w:ilvl w:val="0"/>
          <w:numId w:val="16"/>
        </w:numPr>
        <w:tabs>
          <w:tab w:val="left" w:pos="0"/>
        </w:tabs>
        <w:spacing w:line="360" w:lineRule="auto"/>
        <w:ind w:firstLine="480" w:firstLineChars="200"/>
        <w:rPr>
          <w:color w:val="auto"/>
          <w:sz w:val="24"/>
          <w:szCs w:val="24"/>
          <w:highlight w:val="none"/>
          <w:lang w:bidi="ar"/>
        </w:rPr>
      </w:pPr>
      <w:r>
        <w:rPr>
          <w:rFonts w:hint="eastAsia"/>
          <w:color w:val="auto"/>
          <w:kern w:val="2"/>
          <w:sz w:val="24"/>
          <w:highlight w:val="none"/>
        </w:rPr>
        <w:t>企业业绩；</w:t>
      </w:r>
    </w:p>
    <w:p>
      <w:pPr>
        <w:numPr>
          <w:ilvl w:val="0"/>
          <w:numId w:val="16"/>
        </w:numPr>
        <w:tabs>
          <w:tab w:val="left" w:pos="0"/>
        </w:tabs>
        <w:spacing w:line="360" w:lineRule="auto"/>
        <w:ind w:firstLine="480" w:firstLineChars="200"/>
        <w:rPr>
          <w:color w:val="auto"/>
          <w:sz w:val="24"/>
          <w:szCs w:val="24"/>
          <w:highlight w:val="none"/>
          <w:lang w:bidi="ar"/>
        </w:rPr>
      </w:pPr>
      <w:r>
        <w:rPr>
          <w:color w:val="auto"/>
          <w:kern w:val="2"/>
          <w:sz w:val="24"/>
          <w:highlight w:val="none"/>
        </w:rPr>
        <w:t>认证</w:t>
      </w:r>
      <w:r>
        <w:rPr>
          <w:rFonts w:hint="eastAsia"/>
          <w:color w:val="auto"/>
          <w:kern w:val="2"/>
          <w:sz w:val="24"/>
          <w:highlight w:val="none"/>
        </w:rPr>
        <w:t>证书；</w:t>
      </w:r>
    </w:p>
    <w:p>
      <w:pPr>
        <w:pStyle w:val="60"/>
        <w:numPr>
          <w:ilvl w:val="0"/>
          <w:numId w:val="16"/>
        </w:numPr>
        <w:spacing w:before="0" w:line="360" w:lineRule="auto"/>
        <w:ind w:firstLine="480"/>
        <w:rPr>
          <w:rFonts w:hint="eastAsia"/>
          <w:color w:val="auto"/>
          <w:szCs w:val="24"/>
          <w:highlight w:val="none"/>
        </w:rPr>
      </w:pPr>
      <w:r>
        <w:rPr>
          <w:rFonts w:hint="eastAsia"/>
          <w:color w:val="auto"/>
          <w:highlight w:val="none"/>
        </w:rPr>
        <w:t>供应商认为需要的其他文件资料。</w:t>
      </w:r>
      <w:r>
        <w:rPr>
          <w:color w:val="auto"/>
          <w:highlight w:val="none"/>
        </w:rPr>
        <w:t xml:space="preserve"> </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2.4报价文件包括以下内容：</w:t>
      </w:r>
    </w:p>
    <w:p>
      <w:pPr>
        <w:pStyle w:val="60"/>
        <w:numPr>
          <w:ilvl w:val="0"/>
          <w:numId w:val="17"/>
        </w:numPr>
        <w:spacing w:before="0" w:line="360" w:lineRule="auto"/>
        <w:ind w:firstLine="480"/>
        <w:rPr>
          <w:rFonts w:hint="eastAsia"/>
          <w:color w:val="auto"/>
          <w:szCs w:val="24"/>
          <w:highlight w:val="none"/>
        </w:rPr>
      </w:pPr>
      <w:r>
        <w:rPr>
          <w:rFonts w:hint="eastAsia"/>
          <w:color w:val="auto"/>
          <w:szCs w:val="24"/>
          <w:highlight w:val="none"/>
        </w:rPr>
        <w:t>投标函（格式见附件）；</w:t>
      </w:r>
    </w:p>
    <w:p>
      <w:pPr>
        <w:pStyle w:val="60"/>
        <w:numPr>
          <w:ilvl w:val="0"/>
          <w:numId w:val="17"/>
        </w:numPr>
        <w:spacing w:before="0" w:line="360" w:lineRule="auto"/>
        <w:ind w:firstLine="480"/>
        <w:rPr>
          <w:rFonts w:hint="eastAsia"/>
          <w:color w:val="auto"/>
          <w:szCs w:val="24"/>
          <w:highlight w:val="none"/>
        </w:rPr>
      </w:pPr>
      <w:r>
        <w:rPr>
          <w:rFonts w:hint="eastAsia"/>
          <w:color w:val="auto"/>
          <w:szCs w:val="24"/>
          <w:highlight w:val="none"/>
        </w:rPr>
        <w:t>开标一览表（格式见附件）；</w:t>
      </w:r>
    </w:p>
    <w:p>
      <w:pPr>
        <w:pStyle w:val="60"/>
        <w:numPr>
          <w:ilvl w:val="0"/>
          <w:numId w:val="17"/>
        </w:numPr>
        <w:spacing w:before="0" w:line="360" w:lineRule="auto"/>
        <w:ind w:firstLine="480"/>
        <w:rPr>
          <w:rFonts w:hint="eastAsia"/>
          <w:color w:val="auto"/>
          <w:szCs w:val="24"/>
          <w:highlight w:val="none"/>
        </w:rPr>
      </w:pPr>
      <w:r>
        <w:rPr>
          <w:rFonts w:hint="eastAsia"/>
          <w:color w:val="auto"/>
          <w:szCs w:val="24"/>
          <w:highlight w:val="none"/>
        </w:rPr>
        <w:t>投标报价明细表（格式见附件）。</w:t>
      </w:r>
    </w:p>
    <w:p>
      <w:pPr>
        <w:pStyle w:val="15"/>
        <w:numPr>
          <w:ilvl w:val="0"/>
          <w:numId w:val="13"/>
        </w:numPr>
        <w:spacing w:line="360" w:lineRule="auto"/>
        <w:ind w:firstLine="482" w:firstLineChars="200"/>
        <w:outlineLvl w:val="2"/>
        <w:rPr>
          <w:rFonts w:hint="eastAsia" w:hAnsi="宋体" w:cs="宋体"/>
          <w:b/>
          <w:color w:val="auto"/>
          <w:sz w:val="24"/>
          <w:szCs w:val="24"/>
          <w:highlight w:val="none"/>
        </w:rPr>
      </w:pPr>
      <w:bookmarkStart w:id="45" w:name="_Toc91899887"/>
      <w:r>
        <w:rPr>
          <w:rFonts w:hint="eastAsia" w:hAnsi="宋体" w:cs="宋体"/>
          <w:b/>
          <w:color w:val="auto"/>
          <w:sz w:val="24"/>
          <w:szCs w:val="24"/>
          <w:highlight w:val="none"/>
        </w:rPr>
        <w:t>投标有效期</w:t>
      </w:r>
    </w:p>
    <w:p>
      <w:pPr>
        <w:pStyle w:val="60"/>
        <w:tabs>
          <w:tab w:val="left" w:pos="0"/>
        </w:tabs>
        <w:spacing w:before="0" w:line="360" w:lineRule="auto"/>
        <w:ind w:firstLine="480"/>
        <w:rPr>
          <w:rFonts w:hint="eastAsia"/>
          <w:color w:val="auto"/>
          <w:szCs w:val="24"/>
          <w:highlight w:val="none"/>
        </w:rPr>
      </w:pPr>
      <w:r>
        <w:rPr>
          <w:rFonts w:hint="eastAsia"/>
          <w:color w:val="auto"/>
          <w:highlight w:val="none"/>
        </w:rPr>
        <w:t>3.1投标文件未在投标截止时间前完成传输的或者未按时解密的，视为放弃投标；投标文件解密失败后未提供备份文件或者备份文件也出现异常情况无法进行评审的，亦视为放弃投标。</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3.2投标文件上传后，自投标截止日期起，在前附表所列的投标有效期内有效。</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3.3在原定投标有效期满之前，如果出现特殊情况，采购代理机构可以以书面形式通知投标人延长投标有效期。</w:t>
      </w:r>
    </w:p>
    <w:p>
      <w:pPr>
        <w:pStyle w:val="15"/>
        <w:numPr>
          <w:ilvl w:val="0"/>
          <w:numId w:val="13"/>
        </w:numPr>
        <w:spacing w:line="360" w:lineRule="auto"/>
        <w:ind w:firstLine="482" w:firstLineChars="200"/>
        <w:outlineLvl w:val="2"/>
        <w:rPr>
          <w:rFonts w:hint="eastAsia" w:hAnsi="宋体" w:cs="宋体"/>
          <w:b/>
          <w:color w:val="auto"/>
          <w:sz w:val="24"/>
          <w:szCs w:val="24"/>
          <w:highlight w:val="none"/>
        </w:rPr>
      </w:pPr>
      <w:r>
        <w:rPr>
          <w:rFonts w:hint="eastAsia" w:hAnsi="宋体" w:cs="宋体"/>
          <w:b/>
          <w:color w:val="auto"/>
          <w:sz w:val="24"/>
          <w:szCs w:val="24"/>
          <w:highlight w:val="none"/>
        </w:rPr>
        <w:t>投标人如有下列情况之一者列入不良行为记录</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4.1投标人在投标有效期内撤销投标的；</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4.2中标人或中标候选人放弃中标或中标候选人资格的；</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4.3擅自修改或拒绝接受已经确认的条款；</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4.4中标人未按规定与采购人签订合同；</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4.5未按规定提供履约保证金；</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4.6投标人采取提供虚假资料等不正当手段的；</w:t>
      </w:r>
    </w:p>
    <w:p>
      <w:pPr>
        <w:pStyle w:val="60"/>
        <w:tabs>
          <w:tab w:val="left" w:pos="0"/>
        </w:tabs>
        <w:spacing w:before="0" w:line="360" w:lineRule="auto"/>
        <w:ind w:left="400" w:leftChars="200" w:firstLine="0" w:firstLineChars="0"/>
        <w:rPr>
          <w:rFonts w:hint="eastAsia"/>
          <w:color w:val="auto"/>
          <w:szCs w:val="24"/>
          <w:highlight w:val="none"/>
        </w:rPr>
      </w:pPr>
      <w:r>
        <w:rPr>
          <w:rFonts w:hint="eastAsia"/>
          <w:color w:val="auto"/>
          <w:szCs w:val="24"/>
          <w:highlight w:val="none"/>
        </w:rPr>
        <w:t>4.7投标人在投标过程中串通投标的。</w:t>
      </w:r>
    </w:p>
    <w:p>
      <w:pPr>
        <w:pStyle w:val="15"/>
        <w:numPr>
          <w:ilvl w:val="0"/>
          <w:numId w:val="13"/>
        </w:numPr>
        <w:spacing w:line="360" w:lineRule="auto"/>
        <w:ind w:firstLine="482" w:firstLineChars="200"/>
        <w:outlineLvl w:val="2"/>
        <w:rPr>
          <w:rFonts w:hint="eastAsia" w:hAnsi="宋体" w:cs="宋体"/>
          <w:b/>
          <w:color w:val="auto"/>
          <w:sz w:val="24"/>
          <w:szCs w:val="24"/>
          <w:highlight w:val="none"/>
        </w:rPr>
      </w:pPr>
      <w:r>
        <w:rPr>
          <w:rFonts w:hint="eastAsia" w:hAnsi="宋体" w:cs="宋体"/>
          <w:b/>
          <w:color w:val="auto"/>
          <w:sz w:val="24"/>
          <w:szCs w:val="24"/>
          <w:highlight w:val="none"/>
        </w:rPr>
        <w:t>投标文件的编制和签署</w:t>
      </w:r>
    </w:p>
    <w:bookmarkEnd w:id="45"/>
    <w:p>
      <w:pPr>
        <w:pStyle w:val="60"/>
        <w:tabs>
          <w:tab w:val="left" w:pos="0"/>
        </w:tabs>
        <w:spacing w:before="0" w:line="360" w:lineRule="auto"/>
        <w:ind w:firstLine="480"/>
        <w:rPr>
          <w:rFonts w:hint="eastAsia"/>
          <w:color w:val="auto"/>
          <w:szCs w:val="24"/>
          <w:highlight w:val="none"/>
        </w:rPr>
      </w:pPr>
      <w:r>
        <w:rPr>
          <w:rFonts w:hint="eastAsia"/>
          <w:color w:val="auto"/>
          <w:highlight w:val="none"/>
        </w:rPr>
        <w:t>5.1按招标文件2.1条、2.2条、2.3条要求提供的各种文件，投标文件分为资格文件、商务技术文件和报价文件三部分。</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5.2投标文件须按附件格式要求进行电子签章，投标人应写全称。（电子投标文件中所需加盖公章部分均应采用电子签章）</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5.3全套投标文件应无涂改和行间插字，除非这些删改是根据采购代理机构要求进行，或者是投标人造成的必须修改的错误。所修改处应由法定代表人或其授权代表签字盖章予以确认。</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5.4由于字迹模糊或表达不清引起的后果由投标人负责。</w:t>
      </w:r>
    </w:p>
    <w:p>
      <w:pPr>
        <w:pStyle w:val="15"/>
        <w:numPr>
          <w:ilvl w:val="0"/>
          <w:numId w:val="13"/>
        </w:numPr>
        <w:spacing w:line="360" w:lineRule="auto"/>
        <w:ind w:firstLine="482" w:firstLineChars="200"/>
        <w:outlineLvl w:val="2"/>
        <w:rPr>
          <w:rFonts w:hint="eastAsia" w:hAnsi="宋体" w:cs="宋体"/>
          <w:b/>
          <w:color w:val="auto"/>
          <w:sz w:val="24"/>
          <w:szCs w:val="24"/>
          <w:highlight w:val="none"/>
        </w:rPr>
      </w:pPr>
      <w:r>
        <w:rPr>
          <w:rFonts w:hint="eastAsia" w:hAnsi="宋体" w:cs="宋体"/>
          <w:b/>
          <w:color w:val="auto"/>
          <w:sz w:val="24"/>
          <w:szCs w:val="24"/>
          <w:highlight w:val="none"/>
        </w:rPr>
        <w:t xml:space="preserve"> 投标文件的形式</w:t>
      </w:r>
    </w:p>
    <w:p>
      <w:pPr>
        <w:autoSpaceDE w:val="0"/>
        <w:autoSpaceDN w:val="0"/>
        <w:spacing w:line="360" w:lineRule="auto"/>
        <w:ind w:firstLine="480" w:firstLineChars="200"/>
        <w:textAlignment w:val="bottom"/>
        <w:rPr>
          <w:rFonts w:hint="eastAsia"/>
          <w:color w:val="auto"/>
          <w:sz w:val="24"/>
          <w:szCs w:val="24"/>
          <w:highlight w:val="none"/>
        </w:rPr>
      </w:pPr>
      <w:r>
        <w:rPr>
          <w:rFonts w:hint="eastAsia"/>
          <w:color w:val="auto"/>
          <w:kern w:val="2"/>
          <w:sz w:val="24"/>
          <w:highlight w:val="none"/>
        </w:rPr>
        <w:t>投标文件为电子投标文件，电子投标文件按“</w:t>
      </w:r>
      <w:r>
        <w:rPr>
          <w:rFonts w:hint="eastAsia"/>
          <w:color w:val="auto"/>
          <w:kern w:val="2"/>
          <w:sz w:val="24"/>
          <w:highlight w:val="none"/>
          <w:lang w:eastAsia="zh-CN"/>
        </w:rPr>
        <w:t>乐采云</w:t>
      </w:r>
      <w:r>
        <w:rPr>
          <w:rFonts w:hint="eastAsia"/>
          <w:color w:val="auto"/>
          <w:kern w:val="2"/>
          <w:sz w:val="24"/>
          <w:highlight w:val="none"/>
        </w:rPr>
        <w:t>供应商项目采购－电子招投标操作指南”及本招标文件要求制作、加密传输。</w:t>
      </w:r>
      <w:r>
        <w:rPr>
          <w:rFonts w:hint="eastAsia"/>
          <w:color w:val="auto"/>
          <w:sz w:val="24"/>
          <w:szCs w:val="24"/>
          <w:highlight w:val="none"/>
        </w:rPr>
        <w:t xml:space="preserve"> </w:t>
      </w:r>
    </w:p>
    <w:p>
      <w:pPr>
        <w:spacing w:line="360" w:lineRule="auto"/>
        <w:jc w:val="center"/>
        <w:rPr>
          <w:rFonts w:hint="eastAsia"/>
          <w:b/>
          <w:color w:val="auto"/>
          <w:sz w:val="24"/>
          <w:highlight w:val="none"/>
        </w:rPr>
      </w:pPr>
    </w:p>
    <w:p>
      <w:pPr>
        <w:pStyle w:val="3"/>
        <w:spacing w:line="360" w:lineRule="auto"/>
        <w:rPr>
          <w:rFonts w:hint="eastAsia"/>
          <w:color w:val="auto"/>
          <w:highlight w:val="none"/>
        </w:rPr>
      </w:pPr>
      <w:bookmarkStart w:id="46" w:name="_Toc4859"/>
      <w:r>
        <w:rPr>
          <w:rFonts w:hint="eastAsia"/>
          <w:color w:val="auto"/>
          <w:highlight w:val="none"/>
        </w:rPr>
        <w:t>四、投标文件的递交</w:t>
      </w:r>
      <w:bookmarkEnd w:id="43"/>
      <w:bookmarkEnd w:id="46"/>
    </w:p>
    <w:bookmarkEnd w:id="44"/>
    <w:p>
      <w:pPr>
        <w:pStyle w:val="15"/>
        <w:spacing w:line="360" w:lineRule="auto"/>
        <w:ind w:left="400" w:leftChars="200"/>
        <w:outlineLvl w:val="2"/>
        <w:rPr>
          <w:rFonts w:hint="eastAsia" w:hAnsi="宋体" w:cs="宋体"/>
          <w:b/>
          <w:color w:val="auto"/>
          <w:sz w:val="24"/>
          <w:szCs w:val="24"/>
          <w:highlight w:val="none"/>
        </w:rPr>
      </w:pPr>
      <w:bookmarkStart w:id="47" w:name="第三部分"/>
      <w:bookmarkStart w:id="48" w:name="_Toc164416483"/>
      <w:r>
        <w:rPr>
          <w:rFonts w:hint="eastAsia" w:hAnsi="宋体" w:cs="宋体"/>
          <w:b/>
          <w:color w:val="auto"/>
          <w:sz w:val="24"/>
          <w:szCs w:val="24"/>
          <w:highlight w:val="none"/>
        </w:rPr>
        <w:t>1.投标截止期</w:t>
      </w:r>
    </w:p>
    <w:p>
      <w:pPr>
        <w:pStyle w:val="60"/>
        <w:tabs>
          <w:tab w:val="left" w:pos="0"/>
        </w:tabs>
        <w:spacing w:before="0" w:line="360" w:lineRule="auto"/>
        <w:ind w:firstLine="480"/>
        <w:rPr>
          <w:rFonts w:hint="eastAsia"/>
          <w:color w:val="auto"/>
          <w:szCs w:val="24"/>
          <w:highlight w:val="none"/>
        </w:rPr>
      </w:pPr>
      <w:r>
        <w:rPr>
          <w:rFonts w:hint="eastAsia"/>
          <w:color w:val="auto"/>
          <w:highlight w:val="none"/>
        </w:rPr>
        <w:t>1.1投标文件必须在规定的投标截止时间前在</w:t>
      </w:r>
      <w:r>
        <w:rPr>
          <w:rFonts w:hint="eastAsia"/>
          <w:color w:val="auto"/>
          <w:highlight w:val="none"/>
          <w:lang w:eastAsia="zh-CN"/>
        </w:rPr>
        <w:t>乐采云</w:t>
      </w:r>
      <w:r>
        <w:rPr>
          <w:rFonts w:hint="eastAsia"/>
          <w:color w:val="auto"/>
          <w:highlight w:val="none"/>
        </w:rPr>
        <w:t>系统内完成传输，以纸质、电报、电话、传真形式的投标概不接受。为应对投标文件解密失败等异常情况，投标人可指派授权代表在投标截止时间之前到达开标地点提交备份文件。</w:t>
      </w:r>
    </w:p>
    <w:p>
      <w:pPr>
        <w:pStyle w:val="60"/>
        <w:tabs>
          <w:tab w:val="left" w:pos="0"/>
        </w:tabs>
        <w:spacing w:before="0" w:line="360" w:lineRule="auto"/>
        <w:ind w:firstLine="480"/>
        <w:rPr>
          <w:rFonts w:hint="eastAsia"/>
          <w:color w:val="auto"/>
          <w:highlight w:val="none"/>
        </w:rPr>
      </w:pPr>
      <w:r>
        <w:rPr>
          <w:rFonts w:hint="eastAsia"/>
          <w:color w:val="auto"/>
          <w:highlight w:val="none"/>
        </w:rPr>
        <w:t>1.2采购人因故推迟投标截止时间，将以公告形式通知。在这种情况下，采购人和投标人的权利和义务将受到新的截止时间的约束。</w:t>
      </w:r>
    </w:p>
    <w:p>
      <w:pPr>
        <w:pStyle w:val="15"/>
        <w:spacing w:line="360" w:lineRule="auto"/>
        <w:ind w:left="400" w:leftChars="200"/>
        <w:outlineLvl w:val="2"/>
        <w:rPr>
          <w:rFonts w:hint="eastAsia" w:hAnsi="宋体" w:cs="宋体"/>
          <w:b/>
          <w:color w:val="auto"/>
          <w:sz w:val="24"/>
          <w:szCs w:val="24"/>
          <w:highlight w:val="none"/>
        </w:rPr>
      </w:pPr>
      <w:r>
        <w:rPr>
          <w:rFonts w:hint="eastAsia" w:hAnsi="宋体" w:cs="宋体"/>
          <w:b/>
          <w:color w:val="auto"/>
          <w:sz w:val="24"/>
          <w:szCs w:val="24"/>
          <w:highlight w:val="none"/>
        </w:rPr>
        <w:t>2.投标文件的修改、撤销</w:t>
      </w:r>
    </w:p>
    <w:p>
      <w:pPr>
        <w:pStyle w:val="15"/>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360" w:lineRule="auto"/>
        <w:jc w:val="center"/>
        <w:rPr>
          <w:rFonts w:hint="eastAsia"/>
          <w:b/>
          <w:color w:val="auto"/>
          <w:sz w:val="24"/>
          <w:highlight w:val="none"/>
        </w:rPr>
      </w:pPr>
      <w:bookmarkStart w:id="49" w:name="_Toc91899897"/>
    </w:p>
    <w:p>
      <w:pPr>
        <w:pStyle w:val="3"/>
        <w:spacing w:line="360" w:lineRule="auto"/>
        <w:rPr>
          <w:rFonts w:hint="eastAsia"/>
          <w:color w:val="auto"/>
          <w:highlight w:val="none"/>
        </w:rPr>
      </w:pPr>
      <w:bookmarkStart w:id="50" w:name="_Toc12681"/>
      <w:r>
        <w:rPr>
          <w:rFonts w:hint="eastAsia"/>
          <w:color w:val="auto"/>
          <w:highlight w:val="none"/>
        </w:rPr>
        <w:t>五、开标</w:t>
      </w:r>
      <w:bookmarkEnd w:id="49"/>
      <w:bookmarkEnd w:id="50"/>
    </w:p>
    <w:p>
      <w:pPr>
        <w:pStyle w:val="15"/>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在投标截止时间前按规定提交投标文件的投标人在三家（含）以上的，由采购人或采购代理机构组织进行开标。</w:t>
      </w:r>
    </w:p>
    <w:p>
      <w:pPr>
        <w:pStyle w:val="15"/>
        <w:spacing w:line="360" w:lineRule="auto"/>
        <w:ind w:firstLine="482" w:firstLineChars="200"/>
        <w:rPr>
          <w:rFonts w:hint="eastAsia" w:hAnsi="宋体" w:cs="宋体"/>
          <w:color w:val="auto"/>
          <w:kern w:val="2"/>
          <w:sz w:val="24"/>
          <w:szCs w:val="24"/>
          <w:highlight w:val="none"/>
        </w:rPr>
      </w:pPr>
      <w:r>
        <w:rPr>
          <w:rFonts w:hint="eastAsia" w:hAnsi="宋体" w:cs="宋体"/>
          <w:b/>
          <w:bCs/>
          <w:color w:val="auto"/>
          <w:sz w:val="24"/>
          <w:highlight w:val="none"/>
        </w:rPr>
        <w:t>投标人登录</w:t>
      </w:r>
      <w:r>
        <w:rPr>
          <w:rFonts w:hint="eastAsia" w:hAnsi="宋体" w:cs="宋体"/>
          <w:b/>
          <w:bCs/>
          <w:color w:val="auto"/>
          <w:sz w:val="24"/>
          <w:highlight w:val="none"/>
          <w:lang w:eastAsia="zh-CN"/>
        </w:rPr>
        <w:t>乐采云</w:t>
      </w:r>
      <w:r>
        <w:rPr>
          <w:rFonts w:hint="eastAsia" w:hAnsi="宋体" w:cs="宋体"/>
          <w:b/>
          <w:bCs/>
          <w:color w:val="auto"/>
          <w:sz w:val="24"/>
          <w:highlight w:val="none"/>
        </w:rPr>
        <w:t>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auto"/>
          <w:kern w:val="2"/>
          <w:sz w:val="24"/>
          <w:szCs w:val="24"/>
          <w:highlight w:val="none"/>
        </w:rPr>
        <w:t>备份文件（后缀名为.bfbs）须存储在U盘中，与上传的电子投标文件一致，用信封进行密封并盖章，由授权代表在投标截止时间前递交至开标地点。</w:t>
      </w:r>
    </w:p>
    <w:p>
      <w:pPr>
        <w:pStyle w:val="15"/>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采购人按招标文件规定的时间、地点公开开标。开标仪式由采购人或采购代理机构主持及有关人员参加。</w:t>
      </w:r>
    </w:p>
    <w:p>
      <w:pPr>
        <w:pStyle w:val="15"/>
        <w:spacing w:line="360" w:lineRule="auto"/>
        <w:ind w:firstLine="480" w:firstLineChars="200"/>
        <w:rPr>
          <w:rFonts w:hint="eastAsia"/>
          <w:color w:val="auto"/>
          <w:szCs w:val="24"/>
          <w:highlight w:val="none"/>
        </w:rPr>
      </w:pPr>
      <w:r>
        <w:rPr>
          <w:rFonts w:hint="eastAsia" w:hAnsi="宋体" w:cs="宋体"/>
          <w:color w:val="auto"/>
          <w:kern w:val="2"/>
          <w:sz w:val="24"/>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 若电子投标文件正常解锁，则U盘退还给供应商；若解锁失败，则由采购代理机构将U盘中的备份文件上传，该U盘将由采购代理机构保存。</w:t>
      </w:r>
    </w:p>
    <w:p>
      <w:pPr>
        <w:spacing w:line="360" w:lineRule="auto"/>
        <w:jc w:val="center"/>
        <w:rPr>
          <w:rFonts w:hint="eastAsia"/>
          <w:b/>
          <w:color w:val="auto"/>
          <w:sz w:val="24"/>
          <w:highlight w:val="none"/>
        </w:rPr>
      </w:pPr>
    </w:p>
    <w:p>
      <w:pPr>
        <w:pStyle w:val="3"/>
        <w:spacing w:line="360" w:lineRule="auto"/>
        <w:rPr>
          <w:rFonts w:hint="eastAsia"/>
          <w:color w:val="auto"/>
          <w:highlight w:val="none"/>
        </w:rPr>
      </w:pPr>
      <w:bookmarkStart w:id="51" w:name="_Toc12313"/>
      <w:r>
        <w:rPr>
          <w:rFonts w:hint="eastAsia"/>
          <w:color w:val="auto"/>
          <w:highlight w:val="none"/>
        </w:rPr>
        <w:t>六、资格审查</w:t>
      </w:r>
      <w:bookmarkEnd w:id="51"/>
    </w:p>
    <w:p>
      <w:pPr>
        <w:pStyle w:val="4"/>
        <w:spacing w:line="360" w:lineRule="auto"/>
        <w:ind w:firstLine="562"/>
        <w:rPr>
          <w:rFonts w:hint="eastAsia"/>
          <w:color w:val="auto"/>
          <w:highlight w:val="none"/>
        </w:rPr>
      </w:pPr>
      <w:r>
        <w:rPr>
          <w:rFonts w:hint="eastAsia"/>
          <w:color w:val="auto"/>
          <w:highlight w:val="none"/>
        </w:rPr>
        <w:t>1.资格审查</w:t>
      </w:r>
    </w:p>
    <w:p>
      <w:pPr>
        <w:pStyle w:val="60"/>
        <w:numPr>
          <w:ilvl w:val="0"/>
          <w:numId w:val="18"/>
        </w:numPr>
        <w:wordWrap w:val="0"/>
        <w:spacing w:before="0" w:line="360" w:lineRule="auto"/>
        <w:ind w:firstLine="480"/>
        <w:rPr>
          <w:rFonts w:hint="eastAsia"/>
          <w:color w:val="auto"/>
          <w:szCs w:val="24"/>
          <w:highlight w:val="none"/>
        </w:rPr>
      </w:pPr>
      <w:bookmarkStart w:id="52" w:name="_Hlt75236101"/>
      <w:bookmarkEnd w:id="52"/>
      <w:bookmarkStart w:id="53" w:name="_Toc91899902"/>
      <w:r>
        <w:rPr>
          <w:rFonts w:hint="eastAsia"/>
          <w:color w:val="auto"/>
          <w:szCs w:val="24"/>
          <w:highlight w:val="none"/>
        </w:rPr>
        <w:t>开标后，采购人或采购代理机构将依法对投标人的资格进行审查；</w:t>
      </w:r>
    </w:p>
    <w:p>
      <w:pPr>
        <w:pStyle w:val="60"/>
        <w:numPr>
          <w:ilvl w:val="0"/>
          <w:numId w:val="18"/>
        </w:numPr>
        <w:wordWrap w:val="0"/>
        <w:spacing w:before="0" w:line="360" w:lineRule="auto"/>
        <w:ind w:firstLine="480"/>
        <w:rPr>
          <w:rFonts w:hint="eastAsia"/>
          <w:color w:val="auto"/>
          <w:szCs w:val="24"/>
          <w:highlight w:val="none"/>
        </w:rPr>
      </w:pPr>
      <w:r>
        <w:rPr>
          <w:rFonts w:hint="eastAsia"/>
          <w:color w:val="auto"/>
          <w:szCs w:val="24"/>
          <w:highlight w:val="none"/>
        </w:rPr>
        <w:t>采购人或采购代理机构依据法律法规和招标文件的规定，对投标人的基本资格条件、特定资格条件进行审查；</w:t>
      </w:r>
    </w:p>
    <w:p>
      <w:pPr>
        <w:pStyle w:val="60"/>
        <w:numPr>
          <w:ilvl w:val="0"/>
          <w:numId w:val="18"/>
        </w:numPr>
        <w:wordWrap w:val="0"/>
        <w:spacing w:before="0" w:line="360" w:lineRule="auto"/>
        <w:ind w:firstLine="480"/>
        <w:rPr>
          <w:rFonts w:hint="eastAsia"/>
          <w:color w:val="auto"/>
          <w:szCs w:val="24"/>
          <w:highlight w:val="none"/>
        </w:rPr>
      </w:pPr>
      <w:r>
        <w:rPr>
          <w:rFonts w:hint="eastAsia"/>
          <w:color w:val="auto"/>
          <w:szCs w:val="24"/>
          <w:highlight w:val="none"/>
        </w:rPr>
        <w:t>采购人或采购代理机构将通过“信用中国”网站（www.creditchina.gov.cn）、中国政府采购网（www.ccgp.gov.cn）渠道查询投标人开标后评标前的信用记录，经查询投标人列入失信被执行人名单、重大税收违法案件当事人名单、政府采购严重违法失信行为记录名单的，其投标无效；</w:t>
      </w:r>
    </w:p>
    <w:p>
      <w:pPr>
        <w:pStyle w:val="60"/>
        <w:numPr>
          <w:ilvl w:val="0"/>
          <w:numId w:val="18"/>
        </w:numPr>
        <w:wordWrap w:val="0"/>
        <w:spacing w:before="0" w:line="360" w:lineRule="auto"/>
        <w:ind w:firstLine="480"/>
        <w:rPr>
          <w:rFonts w:hint="eastAsia"/>
          <w:color w:val="auto"/>
          <w:szCs w:val="24"/>
          <w:highlight w:val="none"/>
        </w:rPr>
      </w:pPr>
      <w:r>
        <w:rPr>
          <w:rFonts w:hint="eastAsia"/>
          <w:color w:val="auto"/>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pacing w:line="360" w:lineRule="auto"/>
        <w:jc w:val="center"/>
        <w:rPr>
          <w:rFonts w:hint="eastAsia"/>
          <w:b/>
          <w:color w:val="auto"/>
          <w:sz w:val="24"/>
          <w:highlight w:val="none"/>
        </w:rPr>
      </w:pPr>
    </w:p>
    <w:p>
      <w:pPr>
        <w:pStyle w:val="3"/>
        <w:spacing w:line="360" w:lineRule="auto"/>
        <w:rPr>
          <w:rFonts w:hint="eastAsia"/>
          <w:color w:val="auto"/>
          <w:highlight w:val="none"/>
        </w:rPr>
      </w:pPr>
      <w:bookmarkStart w:id="54" w:name="_Toc31597"/>
      <w:r>
        <w:rPr>
          <w:rFonts w:hint="eastAsia"/>
          <w:color w:val="auto"/>
          <w:highlight w:val="none"/>
        </w:rPr>
        <w:t>七、评标</w:t>
      </w:r>
      <w:bookmarkEnd w:id="53"/>
      <w:bookmarkEnd w:id="54"/>
    </w:p>
    <w:p>
      <w:pPr>
        <w:pStyle w:val="4"/>
        <w:spacing w:line="360" w:lineRule="auto"/>
        <w:ind w:left="400" w:leftChars="200" w:firstLine="0" w:firstLineChars="0"/>
        <w:rPr>
          <w:rFonts w:hint="eastAsia"/>
          <w:color w:val="auto"/>
          <w:highlight w:val="none"/>
        </w:rPr>
      </w:pPr>
      <w:bookmarkStart w:id="55" w:name="_Toc91899903"/>
      <w:r>
        <w:rPr>
          <w:rFonts w:hint="eastAsia"/>
          <w:color w:val="auto"/>
          <w:highlight w:val="none"/>
        </w:rPr>
        <w:t>1.评标原则</w:t>
      </w:r>
    </w:p>
    <w:p>
      <w:pPr>
        <w:pStyle w:val="60"/>
        <w:numPr>
          <w:ilvl w:val="0"/>
          <w:numId w:val="19"/>
        </w:numPr>
        <w:spacing w:before="0" w:line="360" w:lineRule="auto"/>
        <w:ind w:firstLine="480"/>
        <w:rPr>
          <w:rFonts w:hint="eastAsia"/>
          <w:color w:val="auto"/>
          <w:szCs w:val="24"/>
          <w:highlight w:val="none"/>
        </w:rPr>
      </w:pPr>
      <w:r>
        <w:rPr>
          <w:rFonts w:hint="eastAsia"/>
          <w:color w:val="auto"/>
          <w:szCs w:val="24"/>
          <w:highlight w:val="none"/>
        </w:rPr>
        <w:t>竞争优选；</w:t>
      </w:r>
    </w:p>
    <w:p>
      <w:pPr>
        <w:pStyle w:val="60"/>
        <w:numPr>
          <w:ilvl w:val="0"/>
          <w:numId w:val="19"/>
        </w:numPr>
        <w:spacing w:before="0" w:line="360" w:lineRule="auto"/>
        <w:ind w:firstLine="480"/>
        <w:rPr>
          <w:rFonts w:hint="eastAsia"/>
          <w:color w:val="auto"/>
          <w:szCs w:val="24"/>
          <w:highlight w:val="none"/>
        </w:rPr>
      </w:pPr>
      <w:r>
        <w:rPr>
          <w:rFonts w:hint="eastAsia"/>
          <w:color w:val="auto"/>
          <w:szCs w:val="24"/>
          <w:highlight w:val="none"/>
          <w:lang w:val="zh-CN"/>
        </w:rPr>
        <w:t>坚持</w:t>
      </w:r>
      <w:r>
        <w:rPr>
          <w:rFonts w:hint="eastAsia"/>
          <w:color w:val="auto"/>
          <w:szCs w:val="24"/>
          <w:highlight w:val="none"/>
        </w:rPr>
        <w:t>公平、公正、科学合理</w:t>
      </w:r>
      <w:r>
        <w:rPr>
          <w:rFonts w:hint="eastAsia"/>
          <w:color w:val="auto"/>
          <w:szCs w:val="24"/>
          <w:highlight w:val="none"/>
          <w:lang w:val="zh-CN"/>
        </w:rPr>
        <w:t>的原则；</w:t>
      </w:r>
    </w:p>
    <w:p>
      <w:pPr>
        <w:pStyle w:val="60"/>
        <w:numPr>
          <w:ilvl w:val="0"/>
          <w:numId w:val="19"/>
        </w:numPr>
        <w:spacing w:before="0" w:line="360" w:lineRule="auto"/>
        <w:ind w:firstLine="480"/>
        <w:rPr>
          <w:rFonts w:hint="eastAsia"/>
          <w:color w:val="auto"/>
          <w:szCs w:val="24"/>
          <w:highlight w:val="none"/>
          <w:lang w:val="zh-CN"/>
        </w:rPr>
      </w:pPr>
      <w:r>
        <w:rPr>
          <w:rFonts w:hint="eastAsia"/>
          <w:color w:val="auto"/>
          <w:szCs w:val="24"/>
          <w:highlight w:val="none"/>
        </w:rPr>
        <w:t>价格合理，方案、产品先进可行；</w:t>
      </w:r>
    </w:p>
    <w:p>
      <w:pPr>
        <w:pStyle w:val="60"/>
        <w:numPr>
          <w:ilvl w:val="0"/>
          <w:numId w:val="19"/>
        </w:numPr>
        <w:spacing w:before="0" w:line="360" w:lineRule="auto"/>
        <w:ind w:firstLine="480"/>
        <w:rPr>
          <w:rFonts w:hint="eastAsia"/>
          <w:color w:val="auto"/>
          <w:szCs w:val="24"/>
          <w:highlight w:val="none"/>
          <w:lang w:val="zh-CN"/>
        </w:rPr>
      </w:pPr>
      <w:r>
        <w:rPr>
          <w:rFonts w:hint="eastAsia"/>
          <w:color w:val="auto"/>
          <w:szCs w:val="24"/>
          <w:highlight w:val="none"/>
          <w:lang w:val="zh-CN"/>
        </w:rPr>
        <w:t>反对不正当竞争。</w:t>
      </w:r>
    </w:p>
    <w:p>
      <w:pPr>
        <w:pStyle w:val="4"/>
        <w:spacing w:line="360" w:lineRule="auto"/>
        <w:ind w:firstLine="562"/>
        <w:rPr>
          <w:rFonts w:hint="eastAsia"/>
          <w:color w:val="auto"/>
          <w:highlight w:val="none"/>
        </w:rPr>
      </w:pPr>
      <w:r>
        <w:rPr>
          <w:rFonts w:hint="eastAsia"/>
          <w:color w:val="auto"/>
          <w:highlight w:val="none"/>
        </w:rPr>
        <w:t>2.评标组织</w:t>
      </w:r>
    </w:p>
    <w:p>
      <w:pPr>
        <w:pStyle w:val="60"/>
        <w:numPr>
          <w:ilvl w:val="0"/>
          <w:numId w:val="20"/>
        </w:numPr>
        <w:spacing w:before="0" w:line="360" w:lineRule="auto"/>
        <w:ind w:firstLine="480"/>
        <w:rPr>
          <w:rFonts w:hint="eastAsia"/>
          <w:color w:val="auto"/>
          <w:szCs w:val="24"/>
          <w:highlight w:val="none"/>
          <w:lang w:val="zh-CN"/>
        </w:rPr>
      </w:pPr>
      <w:r>
        <w:rPr>
          <w:rFonts w:hint="eastAsia"/>
          <w:color w:val="auto"/>
          <w:szCs w:val="24"/>
          <w:highlight w:val="none"/>
          <w:lang w:val="zh-CN"/>
        </w:rPr>
        <w:t>评标委员会由采购人代表和评审专家组成，成员人数应当为</w:t>
      </w:r>
      <w:r>
        <w:rPr>
          <w:rFonts w:hint="eastAsia"/>
          <w:color w:val="auto"/>
          <w:szCs w:val="24"/>
          <w:highlight w:val="none"/>
        </w:rPr>
        <w:t>5</w:t>
      </w:r>
      <w:r>
        <w:rPr>
          <w:rFonts w:hint="eastAsia"/>
          <w:color w:val="auto"/>
          <w:szCs w:val="24"/>
          <w:highlight w:val="none"/>
          <w:lang w:val="zh-CN"/>
        </w:rPr>
        <w:t>人（</w:t>
      </w:r>
      <w:r>
        <w:rPr>
          <w:rFonts w:hint="eastAsia"/>
          <w:color w:val="auto"/>
          <w:szCs w:val="24"/>
          <w:highlight w:val="none"/>
        </w:rPr>
        <w:t>含</w:t>
      </w:r>
      <w:r>
        <w:rPr>
          <w:rFonts w:hint="eastAsia"/>
          <w:color w:val="auto"/>
          <w:szCs w:val="24"/>
          <w:highlight w:val="none"/>
          <w:lang w:val="zh-CN"/>
        </w:rPr>
        <w:t>）以上单数，其中评审专家不得少于成员总数的三分之二；</w:t>
      </w:r>
    </w:p>
    <w:p>
      <w:pPr>
        <w:pStyle w:val="60"/>
        <w:numPr>
          <w:ilvl w:val="0"/>
          <w:numId w:val="20"/>
        </w:numPr>
        <w:spacing w:before="0" w:line="360" w:lineRule="auto"/>
        <w:ind w:firstLine="480"/>
        <w:rPr>
          <w:rFonts w:hint="eastAsia"/>
          <w:color w:val="auto"/>
          <w:szCs w:val="24"/>
          <w:highlight w:val="none"/>
          <w:lang w:val="zh-CN"/>
        </w:rPr>
      </w:pPr>
      <w:r>
        <w:rPr>
          <w:rFonts w:hint="eastAsia"/>
          <w:color w:val="auto"/>
          <w:szCs w:val="24"/>
          <w:highlight w:val="none"/>
          <w:lang w:val="zh-CN"/>
        </w:rPr>
        <w:t>评标工作由评标委员会负责，并由推选产生的组长主持；</w:t>
      </w:r>
    </w:p>
    <w:p>
      <w:pPr>
        <w:pStyle w:val="60"/>
        <w:numPr>
          <w:ilvl w:val="0"/>
          <w:numId w:val="20"/>
        </w:numPr>
        <w:spacing w:before="0" w:line="360" w:lineRule="auto"/>
        <w:ind w:firstLine="480"/>
        <w:rPr>
          <w:rFonts w:hint="eastAsia"/>
          <w:color w:val="auto"/>
          <w:szCs w:val="24"/>
          <w:highlight w:val="none"/>
          <w:lang w:val="zh-CN"/>
        </w:rPr>
      </w:pPr>
      <w:r>
        <w:rPr>
          <w:rFonts w:hint="eastAsia"/>
          <w:color w:val="auto"/>
          <w:szCs w:val="24"/>
          <w:highlight w:val="none"/>
          <w:lang w:val="zh-CN"/>
        </w:rPr>
        <w:t>本次评标为在线评标。</w:t>
      </w:r>
    </w:p>
    <w:p>
      <w:pPr>
        <w:pStyle w:val="4"/>
        <w:spacing w:line="360" w:lineRule="auto"/>
        <w:ind w:firstLine="562"/>
        <w:rPr>
          <w:rFonts w:hint="eastAsia"/>
          <w:color w:val="auto"/>
          <w:highlight w:val="none"/>
        </w:rPr>
      </w:pPr>
      <w:r>
        <w:rPr>
          <w:rFonts w:hint="eastAsia"/>
          <w:color w:val="auto"/>
          <w:highlight w:val="none"/>
        </w:rPr>
        <w:t>3.评标办法</w:t>
      </w:r>
    </w:p>
    <w:p>
      <w:pPr>
        <w:spacing w:line="360" w:lineRule="auto"/>
        <w:ind w:firstLine="467" w:firstLineChars="194"/>
        <w:rPr>
          <w:rFonts w:hint="eastAsia"/>
          <w:b/>
          <w:color w:val="auto"/>
          <w:sz w:val="24"/>
          <w:szCs w:val="20"/>
          <w:highlight w:val="none"/>
        </w:rPr>
      </w:pPr>
      <w:r>
        <w:rPr>
          <w:rFonts w:hint="eastAsia"/>
          <w:b/>
          <w:color w:val="auto"/>
          <w:sz w:val="24"/>
          <w:szCs w:val="20"/>
          <w:highlight w:val="none"/>
        </w:rPr>
        <w:t>本项目评标办法是综合评分法，具体评标内容及评分标准等详见招标文件第三部分。</w:t>
      </w:r>
    </w:p>
    <w:p>
      <w:pPr>
        <w:pStyle w:val="4"/>
        <w:spacing w:line="360" w:lineRule="auto"/>
        <w:ind w:firstLine="562"/>
        <w:rPr>
          <w:rFonts w:hint="eastAsia"/>
          <w:color w:val="auto"/>
          <w:highlight w:val="none"/>
        </w:rPr>
      </w:pPr>
      <w:r>
        <w:rPr>
          <w:rFonts w:hint="eastAsia"/>
          <w:color w:val="auto"/>
          <w:highlight w:val="none"/>
        </w:rPr>
        <w:t>4.投标文件符合性审查</w:t>
      </w:r>
    </w:p>
    <w:p>
      <w:pPr>
        <w:pStyle w:val="60"/>
        <w:numPr>
          <w:ilvl w:val="0"/>
          <w:numId w:val="21"/>
        </w:numPr>
        <w:spacing w:before="0" w:line="360" w:lineRule="auto"/>
        <w:ind w:firstLine="480"/>
        <w:rPr>
          <w:rFonts w:hint="eastAsia"/>
          <w:color w:val="auto"/>
          <w:szCs w:val="24"/>
          <w:highlight w:val="none"/>
          <w:lang w:val="zh-CN"/>
        </w:rPr>
      </w:pPr>
      <w:r>
        <w:rPr>
          <w:rFonts w:hint="eastAsia"/>
          <w:color w:val="auto"/>
          <w:szCs w:val="24"/>
          <w:highlight w:val="none"/>
          <w:lang w:val="zh-CN"/>
        </w:rPr>
        <w:t>投标文件符合性审查：评标委员会依据招标文件的规定，从投标文件的有效性、完整性和对招标文件的响应程度进行审查，以确定是否对招标文件的要求作出实质性响应。</w:t>
      </w:r>
    </w:p>
    <w:p>
      <w:pPr>
        <w:pStyle w:val="60"/>
        <w:numPr>
          <w:ilvl w:val="0"/>
          <w:numId w:val="21"/>
        </w:numPr>
        <w:spacing w:before="0" w:line="360" w:lineRule="auto"/>
        <w:ind w:firstLine="480"/>
        <w:rPr>
          <w:rFonts w:hint="eastAsia"/>
          <w:color w:val="auto"/>
          <w:szCs w:val="24"/>
          <w:highlight w:val="none"/>
          <w:lang w:val="zh-CN"/>
        </w:rPr>
      </w:pPr>
      <w:r>
        <w:rPr>
          <w:rFonts w:hint="eastAsia"/>
          <w:color w:val="auto"/>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60"/>
        <w:numPr>
          <w:ilvl w:val="0"/>
          <w:numId w:val="21"/>
        </w:numPr>
        <w:spacing w:before="0" w:line="360" w:lineRule="auto"/>
        <w:ind w:firstLine="480"/>
        <w:rPr>
          <w:rFonts w:hint="eastAsia"/>
          <w:color w:val="auto"/>
          <w:szCs w:val="24"/>
          <w:highlight w:val="none"/>
          <w:lang w:val="zh-CN"/>
        </w:rPr>
      </w:pPr>
      <w:r>
        <w:rPr>
          <w:rFonts w:hint="eastAsia"/>
          <w:color w:val="auto"/>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pPr>
        <w:pStyle w:val="60"/>
        <w:numPr>
          <w:ilvl w:val="0"/>
          <w:numId w:val="21"/>
        </w:numPr>
        <w:spacing w:before="0" w:line="360" w:lineRule="auto"/>
        <w:ind w:firstLine="480"/>
        <w:rPr>
          <w:rFonts w:hint="eastAsia"/>
          <w:color w:val="auto"/>
          <w:szCs w:val="24"/>
          <w:highlight w:val="none"/>
          <w:lang w:val="zh-CN"/>
        </w:rPr>
      </w:pPr>
      <w:r>
        <w:rPr>
          <w:rFonts w:hint="eastAsia"/>
          <w:color w:val="auto"/>
          <w:szCs w:val="24"/>
          <w:highlight w:val="none"/>
          <w:lang w:val="zh-CN"/>
        </w:rPr>
        <w:t>即按《评分标准》确定的标准，以经审查合格的投标文件进行商务、技术和报价评估，并综合进行比较与评价。</w:t>
      </w:r>
      <w:r>
        <w:rPr>
          <w:rFonts w:hint="eastAsia"/>
          <w:color w:val="auto"/>
          <w:szCs w:val="24"/>
          <w:highlight w:val="none"/>
        </w:rPr>
        <w:t>参照</w:t>
      </w:r>
      <w:r>
        <w:rPr>
          <w:rFonts w:hint="eastAsia"/>
          <w:color w:val="auto"/>
          <w:szCs w:val="24"/>
          <w:highlight w:val="none"/>
          <w:lang w:val="zh-CN"/>
        </w:rPr>
        <w:t>《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4"/>
        <w:spacing w:line="360" w:lineRule="auto"/>
        <w:ind w:firstLine="562"/>
        <w:rPr>
          <w:rFonts w:hint="eastAsia"/>
          <w:color w:val="auto"/>
          <w:highlight w:val="none"/>
        </w:rPr>
      </w:pPr>
      <w:r>
        <w:rPr>
          <w:rFonts w:hint="eastAsia"/>
          <w:color w:val="auto"/>
          <w:highlight w:val="none"/>
        </w:rPr>
        <w:t>5.修正原则</w:t>
      </w:r>
    </w:p>
    <w:p>
      <w:pPr>
        <w:pStyle w:val="60"/>
        <w:spacing w:before="0" w:line="360" w:lineRule="auto"/>
        <w:ind w:left="400" w:leftChars="200" w:firstLine="0" w:firstLineChars="0"/>
        <w:rPr>
          <w:rFonts w:hint="eastAsia"/>
          <w:color w:val="auto"/>
          <w:szCs w:val="24"/>
          <w:highlight w:val="none"/>
          <w:lang w:val="zh-CN"/>
        </w:rPr>
      </w:pPr>
      <w:r>
        <w:rPr>
          <w:rFonts w:hint="eastAsia"/>
          <w:color w:val="auto"/>
          <w:szCs w:val="24"/>
          <w:highlight w:val="none"/>
          <w:lang w:val="zh-CN"/>
        </w:rPr>
        <w:t>投标文件报价出现前后不一致的，按照下列规定修正：</w:t>
      </w:r>
    </w:p>
    <w:p>
      <w:pPr>
        <w:pStyle w:val="60"/>
        <w:numPr>
          <w:ilvl w:val="0"/>
          <w:numId w:val="22"/>
        </w:numPr>
        <w:spacing w:before="0" w:line="360" w:lineRule="auto"/>
        <w:ind w:firstLine="480"/>
        <w:rPr>
          <w:rFonts w:hint="eastAsia"/>
          <w:color w:val="auto"/>
          <w:szCs w:val="24"/>
          <w:highlight w:val="none"/>
          <w:lang w:val="zh-CN"/>
        </w:rPr>
      </w:pPr>
      <w:r>
        <w:rPr>
          <w:rFonts w:hint="eastAsia"/>
          <w:color w:val="auto"/>
          <w:szCs w:val="24"/>
          <w:highlight w:val="none"/>
          <w:lang w:val="zh-CN"/>
        </w:rPr>
        <w:t>投标文件中投标（开标）一览表内容与投标文件中相应内容不一致的，以投标（开标）一览表为准；</w:t>
      </w:r>
    </w:p>
    <w:p>
      <w:pPr>
        <w:pStyle w:val="60"/>
        <w:numPr>
          <w:ilvl w:val="0"/>
          <w:numId w:val="22"/>
        </w:numPr>
        <w:spacing w:before="0" w:line="360" w:lineRule="auto"/>
        <w:ind w:firstLine="480"/>
        <w:rPr>
          <w:rFonts w:hint="eastAsia"/>
          <w:color w:val="auto"/>
          <w:szCs w:val="24"/>
          <w:highlight w:val="none"/>
          <w:lang w:val="zh-CN"/>
        </w:rPr>
      </w:pPr>
      <w:r>
        <w:rPr>
          <w:rFonts w:hint="eastAsia"/>
          <w:color w:val="auto"/>
          <w:szCs w:val="24"/>
          <w:highlight w:val="none"/>
          <w:lang w:val="zh-CN"/>
        </w:rPr>
        <w:t>大写金额和小写金额不一致的，以大写金额为准；</w:t>
      </w:r>
    </w:p>
    <w:p>
      <w:pPr>
        <w:pStyle w:val="60"/>
        <w:numPr>
          <w:ilvl w:val="0"/>
          <w:numId w:val="22"/>
        </w:numPr>
        <w:spacing w:before="0" w:line="360" w:lineRule="auto"/>
        <w:ind w:firstLine="480"/>
        <w:rPr>
          <w:rFonts w:hint="eastAsia"/>
          <w:color w:val="auto"/>
          <w:szCs w:val="24"/>
          <w:highlight w:val="none"/>
          <w:lang w:val="zh-CN"/>
        </w:rPr>
      </w:pPr>
      <w:r>
        <w:rPr>
          <w:rFonts w:hint="eastAsia"/>
          <w:color w:val="auto"/>
          <w:szCs w:val="24"/>
          <w:highlight w:val="none"/>
          <w:lang w:val="zh-CN"/>
        </w:rPr>
        <w:t>单价金额小数点或者百分比有明显错位的，以投标（开标）一览表的总价为准，并修改单价；</w:t>
      </w:r>
    </w:p>
    <w:p>
      <w:pPr>
        <w:pStyle w:val="60"/>
        <w:numPr>
          <w:ilvl w:val="0"/>
          <w:numId w:val="22"/>
        </w:numPr>
        <w:spacing w:before="0" w:line="360" w:lineRule="auto"/>
        <w:ind w:firstLine="480"/>
        <w:rPr>
          <w:rFonts w:hint="eastAsia"/>
          <w:color w:val="auto"/>
          <w:szCs w:val="24"/>
          <w:highlight w:val="none"/>
          <w:lang w:val="zh-CN"/>
        </w:rPr>
      </w:pPr>
      <w:r>
        <w:rPr>
          <w:rFonts w:hint="eastAsia"/>
          <w:color w:val="auto"/>
          <w:szCs w:val="24"/>
          <w:highlight w:val="none"/>
          <w:lang w:val="zh-CN"/>
        </w:rPr>
        <w:t>总价金额与按单价汇总金额不一致的，以单价金额计算结果为准。</w:t>
      </w:r>
    </w:p>
    <w:p>
      <w:pPr>
        <w:pStyle w:val="60"/>
        <w:spacing w:before="0" w:line="360" w:lineRule="auto"/>
        <w:ind w:firstLine="480"/>
        <w:rPr>
          <w:rFonts w:hint="eastAsia"/>
          <w:color w:val="auto"/>
          <w:szCs w:val="24"/>
          <w:highlight w:val="none"/>
          <w:lang w:val="zh-CN"/>
        </w:rPr>
      </w:pPr>
      <w:r>
        <w:rPr>
          <w:rFonts w:hint="eastAsia"/>
          <w:color w:val="auto"/>
          <w:szCs w:val="24"/>
          <w:highlight w:val="none"/>
          <w:lang w:val="zh-CN"/>
        </w:rPr>
        <w:t>同时出现两种以上不一致的，按照前款规定的顺序修正。修正后的报价参照财政部公布第87号令《政府采购货物和服务招标投标管理办法》第五十一条第二款的规定经投标人确认后产生约束力，投标人不确认的，其投标无效。</w:t>
      </w:r>
    </w:p>
    <w:p>
      <w:pPr>
        <w:pStyle w:val="4"/>
        <w:spacing w:line="360" w:lineRule="auto"/>
        <w:ind w:firstLine="562"/>
        <w:rPr>
          <w:rFonts w:hint="eastAsia"/>
          <w:color w:val="auto"/>
          <w:highlight w:val="none"/>
        </w:rPr>
      </w:pPr>
      <w:r>
        <w:rPr>
          <w:rFonts w:hint="eastAsia"/>
          <w:color w:val="auto"/>
          <w:highlight w:val="none"/>
        </w:rPr>
        <w:t>6.投标文件的澄清</w:t>
      </w:r>
    </w:p>
    <w:p>
      <w:pPr>
        <w:pStyle w:val="60"/>
        <w:tabs>
          <w:tab w:val="left" w:pos="0"/>
        </w:tabs>
        <w:spacing w:before="0" w:line="360" w:lineRule="auto"/>
        <w:ind w:firstLine="480"/>
        <w:rPr>
          <w:rFonts w:hint="eastAsia"/>
          <w:color w:val="auto"/>
          <w:szCs w:val="24"/>
          <w:highlight w:val="none"/>
          <w:lang w:val="zh-CN"/>
        </w:rPr>
      </w:pPr>
      <w:r>
        <w:rPr>
          <w:rFonts w:hint="eastAsia"/>
          <w:color w:val="auto"/>
          <w:szCs w:val="24"/>
          <w:highlight w:val="none"/>
        </w:rPr>
        <w:t>6.1</w:t>
      </w:r>
      <w:r>
        <w:rPr>
          <w:rFonts w:hint="eastAsia"/>
          <w:color w:val="auto"/>
          <w:szCs w:val="24"/>
          <w:highlight w:val="none"/>
          <w:lang w:val="zh-CN"/>
        </w:rPr>
        <w:t>评审中因投标文件含义不明、表述不一致或有明显计算错误等内容需要供应商作出澄清、说明或者补正的，评标委员会和供应商应当通过乐采云平台交换数据电文，给予供应商提交澄清说明或补正的时间不少于半小时，供应商已经明确表示澄清说明或补正完毕的除外。</w:t>
      </w:r>
    </w:p>
    <w:p>
      <w:pPr>
        <w:pStyle w:val="60"/>
        <w:tabs>
          <w:tab w:val="left" w:pos="0"/>
        </w:tabs>
        <w:spacing w:before="0" w:line="360" w:lineRule="auto"/>
        <w:ind w:left="400" w:leftChars="200" w:firstLine="0" w:firstLineChars="0"/>
        <w:rPr>
          <w:rFonts w:hint="eastAsia"/>
          <w:color w:val="auto"/>
          <w:szCs w:val="24"/>
          <w:highlight w:val="none"/>
          <w:lang w:val="zh-CN"/>
        </w:rPr>
      </w:pPr>
      <w:r>
        <w:rPr>
          <w:rFonts w:hint="eastAsia"/>
          <w:color w:val="auto"/>
          <w:szCs w:val="24"/>
          <w:highlight w:val="none"/>
        </w:rPr>
        <w:t>6.2</w:t>
      </w:r>
      <w:r>
        <w:rPr>
          <w:rFonts w:hint="eastAsia"/>
          <w:color w:val="auto"/>
          <w:szCs w:val="24"/>
          <w:highlight w:val="none"/>
          <w:lang w:val="zh-CN"/>
        </w:rPr>
        <w:t>供应商通过乐采云平台交换的数据电文必须进行电子签章。</w:t>
      </w:r>
    </w:p>
    <w:p>
      <w:pPr>
        <w:pStyle w:val="4"/>
        <w:numPr>
          <w:ilvl w:val="0"/>
          <w:numId w:val="13"/>
        </w:numPr>
        <w:spacing w:line="360" w:lineRule="auto"/>
        <w:ind w:firstLine="562"/>
        <w:rPr>
          <w:rFonts w:hint="eastAsia"/>
          <w:color w:val="auto"/>
          <w:highlight w:val="none"/>
        </w:rPr>
      </w:pPr>
      <w:r>
        <w:rPr>
          <w:rFonts w:hint="eastAsia"/>
          <w:color w:val="auto"/>
          <w:highlight w:val="none"/>
        </w:rPr>
        <w:t>无效投标</w:t>
      </w:r>
    </w:p>
    <w:p>
      <w:pPr>
        <w:spacing w:line="360" w:lineRule="auto"/>
        <w:ind w:firstLine="480" w:firstLineChars="200"/>
        <w:rPr>
          <w:rFonts w:hint="eastAsia"/>
          <w:color w:val="auto"/>
          <w:sz w:val="24"/>
          <w:highlight w:val="none"/>
        </w:rPr>
      </w:pPr>
      <w:r>
        <w:rPr>
          <w:rFonts w:hint="eastAsia"/>
          <w:color w:val="auto"/>
          <w:sz w:val="24"/>
          <w:highlight w:val="none"/>
        </w:rPr>
        <w:t>经过审查，凡不符合有关规定，不响应招标文件的实质性条款，存在以下重大偏离之一的，经评标委员会认定，将因未通过资格性或符合性审查而被作为无效投标处理：</w:t>
      </w:r>
    </w:p>
    <w:p>
      <w:pPr>
        <w:numPr>
          <w:ilvl w:val="0"/>
          <w:numId w:val="23"/>
        </w:numPr>
        <w:spacing w:line="360" w:lineRule="auto"/>
        <w:ind w:firstLine="482" w:firstLineChars="200"/>
        <w:rPr>
          <w:rFonts w:hint="eastAsia"/>
          <w:b/>
          <w:bCs/>
          <w:color w:val="auto"/>
          <w:sz w:val="24"/>
          <w:highlight w:val="none"/>
        </w:rPr>
      </w:pPr>
      <w:r>
        <w:rPr>
          <w:rFonts w:hint="eastAsia"/>
          <w:b/>
          <w:color w:val="auto"/>
          <w:sz w:val="24"/>
          <w:highlight w:val="none"/>
        </w:rPr>
        <w:t>未按规定缴纳投标保证金或所提供的投标保证金有瑕疵的；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未按照招标文件规定要求签署、盖章的；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 xml:space="preserve">《法定代表人授权书》填写不全、错误、未加盖投标人公章（公章和签字或盖章缺一不可）； </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个体工商户的身份证明与营业执照不一致的；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投标文件中的投标函未加盖投标人的企业公章或填写不全的；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报价一经涂改，未在涂改处加盖投标单位公章或者未经法定代表人或其授权代表签字或盖章的；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因未按规定的格式填写，内容不全或主要实质性内容字迹模糊辨认不清，经评标委员会认定为无法评审的；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出现同一标的物或本次招标产品（服务）内的主要产品（重要组成部分）出现技术、商务描述不一致或前后描述不一致，经评标委员会认定后为无法评审的；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投标详细配置清单响应表不真实填写或弄虚作假的；改变招标文件提供的清单中的计量单位、工程数量；</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对招标产品技术规格未详细应答，致使其技术文件无法评审的；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投标文件有招标方不能接受的条件；</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评标委员会认为投标人的报价明显低于其他通过符合性审查的投标人的报价，有可能影响产品质量或者不能诚信履约的，应当要求其在评标现场合理的时间内通过</w:t>
      </w:r>
      <w:r>
        <w:rPr>
          <w:rFonts w:hint="eastAsia"/>
          <w:b/>
          <w:bCs/>
          <w:color w:val="auto"/>
          <w:sz w:val="24"/>
          <w:highlight w:val="none"/>
          <w:lang w:eastAsia="zh-CN"/>
        </w:rPr>
        <w:t>乐采云</w:t>
      </w:r>
      <w:r>
        <w:rPr>
          <w:rFonts w:hint="eastAsia"/>
          <w:b/>
          <w:bCs/>
          <w:color w:val="auto"/>
          <w:sz w:val="24"/>
          <w:highlight w:val="none"/>
        </w:rPr>
        <w:t>平台提供线上说明，必要时提交相关证明材料。</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投标报价超过预算金额或最高限价或单项最高限价的；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投标文件“商务技术文件资料”部分中出现《开标一览表》或《投标报价明细表》相关内容的；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评标委员会认定有重大偏差或实质性不响应招标文件要求的，即“★”的关键性指标及技术参数要求负偏离或缺漏；</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投标人拒绝按招标文件规定的修正原则对投标文件进行修改的；</w:t>
      </w:r>
    </w:p>
    <w:p>
      <w:pPr>
        <w:numPr>
          <w:ilvl w:val="0"/>
          <w:numId w:val="23"/>
        </w:numPr>
        <w:spacing w:line="360" w:lineRule="auto"/>
        <w:ind w:firstLine="482" w:firstLineChars="200"/>
        <w:rPr>
          <w:rFonts w:hint="eastAsia"/>
          <w:b/>
          <w:bCs/>
          <w:color w:val="auto"/>
          <w:sz w:val="24"/>
          <w:highlight w:val="none"/>
        </w:rPr>
      </w:pPr>
      <w:r>
        <w:rPr>
          <w:rFonts w:hint="eastAsia"/>
          <w:b/>
          <w:bCs/>
          <w:color w:val="auto"/>
          <w:sz w:val="24"/>
          <w:highlight w:val="none"/>
        </w:rPr>
        <w:t>有下列情形之一的，视为投标人串通投标，其投标无效：</w:t>
      </w:r>
    </w:p>
    <w:p>
      <w:pPr>
        <w:numPr>
          <w:ilvl w:val="0"/>
          <w:numId w:val="24"/>
        </w:numPr>
        <w:spacing w:line="360" w:lineRule="auto"/>
        <w:ind w:firstLine="482" w:firstLineChars="200"/>
        <w:rPr>
          <w:rFonts w:hint="eastAsia"/>
          <w:b/>
          <w:bCs/>
          <w:color w:val="auto"/>
          <w:sz w:val="24"/>
          <w:highlight w:val="none"/>
        </w:rPr>
      </w:pPr>
      <w:r>
        <w:rPr>
          <w:rFonts w:hint="eastAsia"/>
          <w:b/>
          <w:bCs/>
          <w:color w:val="auto"/>
          <w:sz w:val="24"/>
          <w:highlight w:val="none"/>
        </w:rPr>
        <w:t>不同投标人的投标文件由同一单位或者个人编制；</w:t>
      </w:r>
    </w:p>
    <w:p>
      <w:pPr>
        <w:numPr>
          <w:ilvl w:val="0"/>
          <w:numId w:val="24"/>
        </w:numPr>
        <w:spacing w:line="360" w:lineRule="auto"/>
        <w:ind w:firstLine="482" w:firstLineChars="200"/>
        <w:rPr>
          <w:rFonts w:hint="eastAsia"/>
          <w:b/>
          <w:bCs/>
          <w:color w:val="auto"/>
          <w:sz w:val="24"/>
          <w:highlight w:val="none"/>
        </w:rPr>
      </w:pPr>
      <w:r>
        <w:rPr>
          <w:rFonts w:hint="eastAsia"/>
          <w:b/>
          <w:bCs/>
          <w:color w:val="auto"/>
          <w:sz w:val="24"/>
          <w:highlight w:val="none"/>
        </w:rPr>
        <w:t>不同投标人委托同一单位或者个人办理投标事宜；</w:t>
      </w:r>
    </w:p>
    <w:p>
      <w:pPr>
        <w:numPr>
          <w:ilvl w:val="0"/>
          <w:numId w:val="24"/>
        </w:numPr>
        <w:spacing w:line="360" w:lineRule="auto"/>
        <w:ind w:firstLine="482" w:firstLineChars="200"/>
        <w:rPr>
          <w:rFonts w:hint="eastAsia"/>
          <w:b/>
          <w:bCs/>
          <w:color w:val="auto"/>
          <w:sz w:val="24"/>
          <w:highlight w:val="none"/>
        </w:rPr>
      </w:pPr>
      <w:r>
        <w:rPr>
          <w:rFonts w:hint="eastAsia"/>
          <w:b/>
          <w:bCs/>
          <w:color w:val="auto"/>
          <w:sz w:val="24"/>
          <w:highlight w:val="none"/>
        </w:rPr>
        <w:t>不同投标人的投标文件载明的项目管理成员或者联系人员为同一人；</w:t>
      </w:r>
    </w:p>
    <w:p>
      <w:pPr>
        <w:numPr>
          <w:ilvl w:val="0"/>
          <w:numId w:val="24"/>
        </w:numPr>
        <w:spacing w:line="360" w:lineRule="auto"/>
        <w:ind w:firstLine="482" w:firstLineChars="200"/>
        <w:rPr>
          <w:rFonts w:hint="eastAsia"/>
          <w:b/>
          <w:bCs/>
          <w:color w:val="auto"/>
          <w:sz w:val="24"/>
          <w:highlight w:val="none"/>
        </w:rPr>
      </w:pPr>
      <w:r>
        <w:rPr>
          <w:rFonts w:hint="eastAsia"/>
          <w:b/>
          <w:bCs/>
          <w:color w:val="auto"/>
          <w:sz w:val="24"/>
          <w:highlight w:val="none"/>
        </w:rPr>
        <w:t>不同投标人的投标文件异常一致或者投标报价呈规律性差异；</w:t>
      </w:r>
    </w:p>
    <w:p>
      <w:pPr>
        <w:numPr>
          <w:ilvl w:val="0"/>
          <w:numId w:val="24"/>
        </w:numPr>
        <w:spacing w:line="360" w:lineRule="auto"/>
        <w:ind w:firstLine="482" w:firstLineChars="200"/>
        <w:rPr>
          <w:rFonts w:hint="eastAsia"/>
          <w:b/>
          <w:bCs/>
          <w:color w:val="auto"/>
          <w:sz w:val="24"/>
          <w:szCs w:val="32"/>
          <w:highlight w:val="none"/>
        </w:rPr>
      </w:pPr>
      <w:r>
        <w:rPr>
          <w:rFonts w:hint="eastAsia"/>
          <w:b/>
          <w:bCs/>
          <w:color w:val="auto"/>
          <w:sz w:val="24"/>
          <w:highlight w:val="none"/>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0"/>
        </w:tabs>
        <w:spacing w:line="360" w:lineRule="auto"/>
        <w:ind w:firstLine="482" w:firstLineChars="200"/>
        <w:rPr>
          <w:rFonts w:hint="eastAsia"/>
          <w:b/>
          <w:bCs/>
          <w:color w:val="auto"/>
          <w:sz w:val="24"/>
          <w:szCs w:val="32"/>
          <w:highlight w:val="none"/>
        </w:rPr>
      </w:pPr>
      <w:r>
        <w:rPr>
          <w:rFonts w:hint="eastAsia"/>
          <w:b/>
          <w:bCs/>
          <w:color w:val="auto"/>
          <w:sz w:val="24"/>
          <w:szCs w:val="32"/>
          <w:highlight w:val="none"/>
        </w:rPr>
        <w:t>7.18其他违反法律法规的情形。</w:t>
      </w:r>
    </w:p>
    <w:p>
      <w:pPr>
        <w:pStyle w:val="4"/>
        <w:numPr>
          <w:ilvl w:val="0"/>
          <w:numId w:val="13"/>
        </w:numPr>
        <w:spacing w:line="360" w:lineRule="auto"/>
        <w:ind w:firstLine="562"/>
        <w:rPr>
          <w:rFonts w:hint="eastAsia"/>
          <w:color w:val="auto"/>
          <w:highlight w:val="none"/>
        </w:rPr>
      </w:pPr>
      <w:r>
        <w:rPr>
          <w:rFonts w:hint="eastAsia"/>
          <w:color w:val="auto"/>
          <w:highlight w:val="none"/>
        </w:rPr>
        <w:t>废标</w:t>
      </w:r>
    </w:p>
    <w:p>
      <w:pPr>
        <w:spacing w:line="360" w:lineRule="auto"/>
        <w:ind w:firstLine="480" w:firstLineChars="200"/>
        <w:rPr>
          <w:rFonts w:hint="eastAsia"/>
          <w:color w:val="auto"/>
          <w:sz w:val="24"/>
          <w:highlight w:val="none"/>
        </w:rPr>
      </w:pPr>
      <w:r>
        <w:rPr>
          <w:rFonts w:hint="eastAsia"/>
          <w:color w:val="auto"/>
          <w:sz w:val="24"/>
          <w:highlight w:val="none"/>
        </w:rPr>
        <w:t>根据《上虞区区属国有企业货物和服务采购管理办法》第四十二条之规定：在公开招标采购中，出现下列情形之一的，应予终止采购程序或废标：</w:t>
      </w:r>
    </w:p>
    <w:p>
      <w:pPr>
        <w:spacing w:line="360" w:lineRule="auto"/>
        <w:ind w:firstLine="480" w:firstLineChars="200"/>
        <w:rPr>
          <w:rFonts w:hint="eastAsia"/>
          <w:color w:val="auto"/>
          <w:sz w:val="24"/>
          <w:highlight w:val="none"/>
        </w:rPr>
      </w:pPr>
      <w:r>
        <w:rPr>
          <w:rFonts w:hint="eastAsia"/>
          <w:color w:val="auto"/>
          <w:sz w:val="24"/>
          <w:highlight w:val="none"/>
        </w:rPr>
        <w:t>（一）符合专业条件的供应商或者对采购文件做实质响应的供应商不足3家；</w:t>
      </w:r>
    </w:p>
    <w:p>
      <w:pPr>
        <w:spacing w:line="360" w:lineRule="auto"/>
        <w:ind w:firstLine="480" w:firstLineChars="200"/>
        <w:rPr>
          <w:rFonts w:hint="eastAsia"/>
          <w:color w:val="auto"/>
          <w:sz w:val="24"/>
          <w:highlight w:val="none"/>
        </w:rPr>
      </w:pPr>
      <w:r>
        <w:rPr>
          <w:rFonts w:hint="eastAsia"/>
          <w:color w:val="auto"/>
          <w:sz w:val="24"/>
          <w:highlight w:val="none"/>
        </w:rPr>
        <w:t>（二）出现影响采购公正的违法、违规行为；</w:t>
      </w:r>
    </w:p>
    <w:p>
      <w:pPr>
        <w:spacing w:line="360" w:lineRule="auto"/>
        <w:ind w:firstLine="480" w:firstLineChars="200"/>
        <w:rPr>
          <w:rFonts w:hint="eastAsia"/>
          <w:color w:val="auto"/>
          <w:sz w:val="24"/>
          <w:highlight w:val="none"/>
        </w:rPr>
      </w:pPr>
      <w:r>
        <w:rPr>
          <w:rFonts w:hint="eastAsia"/>
          <w:color w:val="auto"/>
          <w:sz w:val="24"/>
          <w:highlight w:val="none"/>
        </w:rPr>
        <w:t>（三）投标人的报价均超过了采购预算；</w:t>
      </w:r>
    </w:p>
    <w:p>
      <w:pPr>
        <w:spacing w:line="360" w:lineRule="auto"/>
        <w:ind w:firstLine="480" w:firstLineChars="200"/>
        <w:rPr>
          <w:rFonts w:hint="eastAsia"/>
          <w:color w:val="auto"/>
          <w:sz w:val="24"/>
          <w:highlight w:val="none"/>
        </w:rPr>
      </w:pPr>
      <w:r>
        <w:rPr>
          <w:rFonts w:hint="eastAsia"/>
          <w:color w:val="auto"/>
          <w:sz w:val="24"/>
          <w:highlight w:val="none"/>
        </w:rPr>
        <w:t>（四）因重大变故，采购任务取消。</w:t>
      </w:r>
    </w:p>
    <w:p>
      <w:pPr>
        <w:spacing w:line="360" w:lineRule="auto"/>
        <w:ind w:firstLine="480" w:firstLineChars="200"/>
        <w:rPr>
          <w:rFonts w:hint="eastAsia"/>
          <w:color w:val="auto"/>
          <w:sz w:val="24"/>
          <w:highlight w:val="none"/>
        </w:rPr>
      </w:pPr>
      <w:r>
        <w:rPr>
          <w:rFonts w:hint="eastAsia"/>
          <w:color w:val="auto"/>
          <w:sz w:val="24"/>
          <w:highlight w:val="none"/>
        </w:rPr>
        <w:t>终止采购程序或废标后，采购人应当将决定及相关理由及时通知所有投标供应商；评审现场废标决定由采购人根据评标委员会提出的废标意见作出；非评审现场废标决定原则上由采购人主管部门作出，另有约定的除外。除采购任务取消情形外，应当重新组织招标。</w:t>
      </w:r>
    </w:p>
    <w:p>
      <w:pPr>
        <w:pStyle w:val="4"/>
        <w:numPr>
          <w:ilvl w:val="0"/>
          <w:numId w:val="13"/>
        </w:numPr>
        <w:spacing w:line="360" w:lineRule="auto"/>
        <w:ind w:firstLine="562"/>
        <w:rPr>
          <w:rFonts w:hint="eastAsia"/>
          <w:color w:val="auto"/>
          <w:highlight w:val="none"/>
        </w:rPr>
      </w:pPr>
      <w:r>
        <w:rPr>
          <w:rFonts w:hint="eastAsia"/>
          <w:color w:val="auto"/>
          <w:highlight w:val="none"/>
          <w:lang w:val="zh-CN"/>
        </w:rPr>
        <w:t>中止电子交易活动和</w:t>
      </w:r>
      <w:r>
        <w:rPr>
          <w:rFonts w:hint="eastAsia"/>
          <w:color w:val="auto"/>
          <w:highlight w:val="none"/>
        </w:rPr>
        <w:t>重新组织采购</w:t>
      </w:r>
    </w:p>
    <w:p>
      <w:pPr>
        <w:pStyle w:val="60"/>
        <w:tabs>
          <w:tab w:val="left" w:pos="0"/>
        </w:tabs>
        <w:spacing w:before="0" w:line="360" w:lineRule="auto"/>
        <w:ind w:firstLine="480"/>
        <w:rPr>
          <w:rFonts w:hint="eastAsia"/>
          <w:color w:val="auto"/>
          <w:szCs w:val="24"/>
          <w:highlight w:val="none"/>
          <w:lang w:val="zh-CN"/>
        </w:rPr>
      </w:pPr>
      <w:r>
        <w:rPr>
          <w:rFonts w:hint="eastAsia"/>
          <w:color w:val="auto"/>
          <w:szCs w:val="24"/>
          <w:highlight w:val="none"/>
        </w:rPr>
        <w:t>9.1</w:t>
      </w:r>
      <w:r>
        <w:rPr>
          <w:rFonts w:hint="eastAsia"/>
          <w:color w:val="auto"/>
          <w:szCs w:val="24"/>
          <w:highlight w:val="none"/>
          <w:lang w:val="zh-CN"/>
        </w:rPr>
        <w:t>采购过程中出现以下情形，导致电子交易平台无法正常运行，或者无法保证电子交易的公平、公正和安全时，采购组织机构可中止电子交易活动：</w:t>
      </w:r>
    </w:p>
    <w:p>
      <w:pPr>
        <w:numPr>
          <w:ilvl w:val="0"/>
          <w:numId w:val="25"/>
        </w:numPr>
        <w:tabs>
          <w:tab w:val="left" w:pos="0"/>
        </w:tabs>
        <w:spacing w:line="360" w:lineRule="auto"/>
        <w:ind w:firstLine="480" w:firstLineChars="200"/>
        <w:rPr>
          <w:rFonts w:hint="eastAsia"/>
          <w:color w:val="auto"/>
          <w:sz w:val="24"/>
          <w:highlight w:val="none"/>
        </w:rPr>
      </w:pPr>
      <w:r>
        <w:rPr>
          <w:rFonts w:hint="eastAsia"/>
          <w:color w:val="auto"/>
          <w:sz w:val="24"/>
          <w:highlight w:val="none"/>
        </w:rPr>
        <w:t xml:space="preserve">电子交易平台发生故障而无法登录访问的； </w:t>
      </w:r>
    </w:p>
    <w:p>
      <w:pPr>
        <w:numPr>
          <w:ilvl w:val="0"/>
          <w:numId w:val="25"/>
        </w:numPr>
        <w:tabs>
          <w:tab w:val="left" w:pos="0"/>
        </w:tabs>
        <w:spacing w:line="360" w:lineRule="auto"/>
        <w:ind w:firstLine="480" w:firstLineChars="200"/>
        <w:rPr>
          <w:rFonts w:hint="eastAsia"/>
          <w:color w:val="auto"/>
          <w:sz w:val="24"/>
          <w:highlight w:val="none"/>
        </w:rPr>
      </w:pPr>
      <w:r>
        <w:rPr>
          <w:rFonts w:hint="eastAsia"/>
          <w:color w:val="auto"/>
          <w:sz w:val="24"/>
          <w:highlight w:val="none"/>
        </w:rPr>
        <w:t>电子交易平台应用或数据库出现错误，不能进行正常操作的；</w:t>
      </w:r>
    </w:p>
    <w:p>
      <w:pPr>
        <w:numPr>
          <w:ilvl w:val="0"/>
          <w:numId w:val="25"/>
        </w:numPr>
        <w:tabs>
          <w:tab w:val="left" w:pos="0"/>
        </w:tabs>
        <w:spacing w:line="360" w:lineRule="auto"/>
        <w:ind w:firstLine="480" w:firstLineChars="200"/>
        <w:rPr>
          <w:rFonts w:hint="eastAsia"/>
          <w:color w:val="auto"/>
          <w:sz w:val="24"/>
          <w:highlight w:val="none"/>
        </w:rPr>
      </w:pPr>
      <w:r>
        <w:rPr>
          <w:rFonts w:hint="eastAsia"/>
          <w:color w:val="auto"/>
          <w:sz w:val="24"/>
          <w:highlight w:val="none"/>
        </w:rPr>
        <w:t>电子交易平台发现严重安全漏洞，有潜在泄密危险的；</w:t>
      </w:r>
    </w:p>
    <w:p>
      <w:pPr>
        <w:numPr>
          <w:ilvl w:val="0"/>
          <w:numId w:val="25"/>
        </w:numPr>
        <w:tabs>
          <w:tab w:val="left" w:pos="0"/>
        </w:tabs>
        <w:spacing w:line="360" w:lineRule="auto"/>
        <w:ind w:firstLine="480" w:firstLineChars="200"/>
        <w:rPr>
          <w:rFonts w:hint="eastAsia"/>
          <w:color w:val="auto"/>
          <w:sz w:val="24"/>
          <w:highlight w:val="none"/>
        </w:rPr>
      </w:pPr>
      <w:r>
        <w:rPr>
          <w:rFonts w:hint="eastAsia"/>
          <w:color w:val="auto"/>
          <w:sz w:val="24"/>
          <w:highlight w:val="none"/>
        </w:rPr>
        <w:t>病毒发作导致不能进行正常操作的；</w:t>
      </w:r>
    </w:p>
    <w:p>
      <w:pPr>
        <w:numPr>
          <w:ilvl w:val="0"/>
          <w:numId w:val="25"/>
        </w:numPr>
        <w:tabs>
          <w:tab w:val="left" w:pos="0"/>
        </w:tabs>
        <w:spacing w:line="360" w:lineRule="auto"/>
        <w:ind w:firstLine="480" w:firstLineChars="200"/>
        <w:rPr>
          <w:rFonts w:hint="eastAsia"/>
          <w:color w:val="auto"/>
          <w:sz w:val="24"/>
          <w:highlight w:val="none"/>
        </w:rPr>
      </w:pPr>
      <w:r>
        <w:rPr>
          <w:rFonts w:hint="eastAsia"/>
          <w:color w:val="auto"/>
          <w:sz w:val="24"/>
          <w:highlight w:val="none"/>
        </w:rPr>
        <w:t>其他无法保证电子交易的公平、公正和安全的情况。</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9.2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4"/>
        <w:numPr>
          <w:ilvl w:val="0"/>
          <w:numId w:val="13"/>
        </w:numPr>
        <w:spacing w:line="360" w:lineRule="auto"/>
        <w:ind w:firstLine="562"/>
        <w:rPr>
          <w:rFonts w:hint="eastAsia"/>
          <w:color w:val="auto"/>
          <w:highlight w:val="none"/>
        </w:rPr>
      </w:pPr>
      <w:r>
        <w:rPr>
          <w:rFonts w:hint="eastAsia"/>
          <w:color w:val="auto"/>
          <w:highlight w:val="none"/>
        </w:rPr>
        <w:t>保密及其他注意事项</w:t>
      </w:r>
    </w:p>
    <w:p>
      <w:pPr>
        <w:pStyle w:val="60"/>
        <w:numPr>
          <w:ilvl w:val="0"/>
          <w:numId w:val="26"/>
        </w:numPr>
        <w:spacing w:before="0" w:line="360" w:lineRule="auto"/>
        <w:ind w:firstLine="480"/>
        <w:rPr>
          <w:rFonts w:hint="eastAsia"/>
          <w:color w:val="auto"/>
          <w:szCs w:val="24"/>
          <w:highlight w:val="none"/>
        </w:rPr>
      </w:pPr>
      <w:r>
        <w:rPr>
          <w:rFonts w:hint="eastAsia"/>
          <w:color w:val="auto"/>
          <w:szCs w:val="24"/>
          <w:highlight w:val="none"/>
        </w:rPr>
        <w:t>评标是招标工作的重要环节，评标工作由评标委员会独立进行。评标委员会将遵照评标原则，公正、平等地对待所有投标人；</w:t>
      </w:r>
    </w:p>
    <w:p>
      <w:pPr>
        <w:pStyle w:val="60"/>
        <w:numPr>
          <w:ilvl w:val="0"/>
          <w:numId w:val="26"/>
        </w:numPr>
        <w:spacing w:before="0" w:line="360" w:lineRule="auto"/>
        <w:ind w:firstLine="480"/>
        <w:rPr>
          <w:rFonts w:hint="eastAsia"/>
          <w:color w:val="auto"/>
          <w:szCs w:val="24"/>
          <w:highlight w:val="none"/>
        </w:rPr>
      </w:pPr>
      <w:r>
        <w:rPr>
          <w:rFonts w:hint="eastAsia"/>
          <w:color w:val="auto"/>
          <w:szCs w:val="24"/>
          <w:highlight w:val="none"/>
        </w:rPr>
        <w:t>在开标、投标期间，投标人不得向评委询问评标情况，不得进行旨在影响评标结果的活动。采购人不得在中标人确定前，与投标人就投标价格、投标方案等实质性内容进行谈判；</w:t>
      </w:r>
    </w:p>
    <w:p>
      <w:pPr>
        <w:pStyle w:val="60"/>
        <w:numPr>
          <w:ilvl w:val="0"/>
          <w:numId w:val="26"/>
        </w:numPr>
        <w:spacing w:before="0" w:line="360" w:lineRule="auto"/>
        <w:ind w:firstLine="480"/>
        <w:rPr>
          <w:rFonts w:hint="eastAsia"/>
          <w:color w:val="auto"/>
          <w:szCs w:val="24"/>
          <w:highlight w:val="none"/>
        </w:rPr>
      </w:pPr>
      <w:r>
        <w:rPr>
          <w:rFonts w:hint="eastAsia"/>
          <w:color w:val="auto"/>
          <w:szCs w:val="24"/>
          <w:highlight w:val="none"/>
        </w:rPr>
        <w:t>为保证定标的公正性，在评标过程中，评委不得与投标人私下交换意见。在招标工作结束后，凡与评标情况有接触的任何人，不得也不应将评标情况扩散出评委人员之外；</w:t>
      </w:r>
    </w:p>
    <w:p>
      <w:pPr>
        <w:pStyle w:val="60"/>
        <w:numPr>
          <w:ilvl w:val="0"/>
          <w:numId w:val="26"/>
        </w:numPr>
        <w:spacing w:before="0" w:line="360" w:lineRule="auto"/>
        <w:ind w:firstLine="480"/>
        <w:rPr>
          <w:rFonts w:hint="eastAsia"/>
          <w:color w:val="auto"/>
          <w:szCs w:val="24"/>
          <w:highlight w:val="none"/>
        </w:rPr>
      </w:pPr>
      <w:r>
        <w:rPr>
          <w:rFonts w:hint="eastAsia"/>
          <w:color w:val="auto"/>
          <w:szCs w:val="24"/>
          <w:highlight w:val="none"/>
        </w:rPr>
        <w:t>投标人相互之间，或与采购人相互不得串通投标，不得排挤其他投标人的公平竞争，损害采购人或者其他投标人的合法权益；</w:t>
      </w:r>
    </w:p>
    <w:p>
      <w:pPr>
        <w:pStyle w:val="60"/>
        <w:numPr>
          <w:ilvl w:val="0"/>
          <w:numId w:val="26"/>
        </w:numPr>
        <w:spacing w:before="0" w:line="360" w:lineRule="auto"/>
        <w:ind w:firstLine="480"/>
        <w:rPr>
          <w:rFonts w:hint="eastAsia"/>
          <w:color w:val="auto"/>
          <w:szCs w:val="24"/>
          <w:highlight w:val="none"/>
        </w:rPr>
      </w:pPr>
      <w:r>
        <w:rPr>
          <w:rFonts w:hint="eastAsia"/>
          <w:color w:val="auto"/>
          <w:szCs w:val="24"/>
          <w:highlight w:val="none"/>
        </w:rPr>
        <w:t>评标委员会不向投标人解释未中标的原因；</w:t>
      </w:r>
    </w:p>
    <w:p>
      <w:pPr>
        <w:pStyle w:val="60"/>
        <w:numPr>
          <w:ilvl w:val="0"/>
          <w:numId w:val="26"/>
        </w:numPr>
        <w:spacing w:before="0" w:line="360" w:lineRule="auto"/>
        <w:ind w:firstLine="480"/>
        <w:rPr>
          <w:rFonts w:hint="eastAsia"/>
          <w:color w:val="auto"/>
          <w:szCs w:val="24"/>
          <w:highlight w:val="none"/>
        </w:rPr>
      </w:pPr>
      <w:r>
        <w:rPr>
          <w:rFonts w:hint="eastAsia"/>
          <w:color w:val="auto"/>
          <w:szCs w:val="24"/>
          <w:highlight w:val="none"/>
        </w:rPr>
        <w:t>特别说明：</w:t>
      </w:r>
      <w:r>
        <w:rPr>
          <w:rFonts w:hint="eastAsia"/>
          <w:color w:val="auto"/>
          <w:szCs w:val="24"/>
          <w:highlight w:val="none"/>
          <w:lang w:eastAsia="zh-CN"/>
        </w:rPr>
        <w:t>乐采云</w:t>
      </w:r>
      <w:r>
        <w:rPr>
          <w:rFonts w:hint="eastAsia"/>
          <w:color w:val="auto"/>
          <w:szCs w:val="24"/>
          <w:highlight w:val="none"/>
        </w:rPr>
        <w:t>公司如对电子化开标及评审程序有调整的，按调整后的程序操作。</w:t>
      </w:r>
    </w:p>
    <w:p>
      <w:pPr>
        <w:spacing w:line="360" w:lineRule="auto"/>
        <w:rPr>
          <w:rFonts w:hint="eastAsia"/>
          <w:b/>
          <w:color w:val="auto"/>
          <w:sz w:val="24"/>
          <w:highlight w:val="none"/>
        </w:rPr>
      </w:pPr>
    </w:p>
    <w:p>
      <w:pPr>
        <w:pStyle w:val="3"/>
        <w:spacing w:line="360" w:lineRule="auto"/>
        <w:rPr>
          <w:rFonts w:hint="eastAsia"/>
          <w:color w:val="auto"/>
          <w:highlight w:val="none"/>
        </w:rPr>
      </w:pPr>
      <w:bookmarkStart w:id="56" w:name="_Toc855"/>
      <w:r>
        <w:rPr>
          <w:rFonts w:hint="eastAsia"/>
          <w:color w:val="auto"/>
          <w:highlight w:val="none"/>
        </w:rPr>
        <w:t>八、定标</w:t>
      </w:r>
      <w:bookmarkEnd w:id="56"/>
    </w:p>
    <w:p>
      <w:pPr>
        <w:pStyle w:val="60"/>
        <w:tabs>
          <w:tab w:val="left" w:pos="0"/>
        </w:tabs>
        <w:spacing w:before="0" w:line="360" w:lineRule="auto"/>
        <w:ind w:firstLine="480"/>
        <w:rPr>
          <w:rFonts w:hint="eastAsia"/>
          <w:color w:val="auto"/>
          <w:kern w:val="2"/>
          <w:szCs w:val="24"/>
          <w:highlight w:val="none"/>
        </w:rPr>
      </w:pPr>
      <w:r>
        <w:rPr>
          <w:rFonts w:hint="eastAsia"/>
          <w:color w:val="auto"/>
          <w:kern w:val="2"/>
          <w:szCs w:val="24"/>
          <w:highlight w:val="none"/>
        </w:rPr>
        <w:t>项目由评标委员会根据第三部分《评标办法与评分标准》规定提出中标候选人排序。</w:t>
      </w:r>
    </w:p>
    <w:p>
      <w:pPr>
        <w:pStyle w:val="60"/>
        <w:tabs>
          <w:tab w:val="left" w:pos="0"/>
        </w:tabs>
        <w:spacing w:before="0" w:line="360" w:lineRule="auto"/>
        <w:ind w:firstLine="480"/>
        <w:rPr>
          <w:rFonts w:hint="eastAsia"/>
          <w:color w:val="auto"/>
          <w:kern w:val="2"/>
          <w:szCs w:val="24"/>
          <w:highlight w:val="none"/>
        </w:rPr>
      </w:pPr>
      <w:r>
        <w:rPr>
          <w:rFonts w:hint="eastAsia"/>
          <w:color w:val="auto"/>
          <w:kern w:val="2"/>
          <w:szCs w:val="24"/>
          <w:highlight w:val="none"/>
        </w:rPr>
        <w:t>采购代理机构应当在评标结束后2个工作日内将评标报告送采购人。</w:t>
      </w:r>
    </w:p>
    <w:p>
      <w:pPr>
        <w:pStyle w:val="60"/>
        <w:tabs>
          <w:tab w:val="left" w:pos="0"/>
        </w:tabs>
        <w:spacing w:before="0" w:line="360" w:lineRule="auto"/>
        <w:ind w:firstLine="480"/>
        <w:rPr>
          <w:rFonts w:hint="eastAsia"/>
          <w:color w:val="auto"/>
          <w:kern w:val="2"/>
          <w:szCs w:val="24"/>
          <w:highlight w:val="none"/>
        </w:rPr>
      </w:pPr>
      <w:r>
        <w:rPr>
          <w:rFonts w:hint="eastAsia"/>
          <w:color w:val="auto"/>
          <w:kern w:val="2"/>
          <w:szCs w:val="24"/>
          <w:highlight w:val="none"/>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60"/>
        <w:tabs>
          <w:tab w:val="left" w:pos="0"/>
        </w:tabs>
        <w:spacing w:before="0" w:line="360" w:lineRule="auto"/>
        <w:ind w:firstLine="480"/>
        <w:rPr>
          <w:rFonts w:hint="eastAsia"/>
          <w:color w:val="auto"/>
          <w:kern w:val="2"/>
          <w:szCs w:val="24"/>
          <w:highlight w:val="none"/>
        </w:rPr>
      </w:pPr>
      <w:r>
        <w:rPr>
          <w:rFonts w:hint="eastAsia"/>
          <w:color w:val="auto"/>
          <w:kern w:val="2"/>
          <w:szCs w:val="24"/>
          <w:highlight w:val="none"/>
        </w:rPr>
        <w:t>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60"/>
        <w:tabs>
          <w:tab w:val="left" w:pos="0"/>
        </w:tabs>
        <w:spacing w:before="0" w:line="360" w:lineRule="auto"/>
        <w:ind w:firstLine="480"/>
        <w:rPr>
          <w:rFonts w:hint="eastAsia"/>
          <w:color w:val="auto"/>
          <w:kern w:val="2"/>
          <w:szCs w:val="24"/>
          <w:highlight w:val="none"/>
        </w:rPr>
      </w:pPr>
      <w:r>
        <w:rPr>
          <w:rFonts w:hint="eastAsia"/>
          <w:color w:val="auto"/>
          <w:kern w:val="2"/>
          <w:szCs w:val="24"/>
          <w:highlight w:val="none"/>
        </w:rPr>
        <w:t>中标人应携带介绍信自行前往采购代理机构领取中标通知书。</w:t>
      </w:r>
    </w:p>
    <w:p>
      <w:pPr>
        <w:pStyle w:val="60"/>
        <w:tabs>
          <w:tab w:val="left" w:pos="0"/>
        </w:tabs>
        <w:spacing w:before="0" w:line="360" w:lineRule="auto"/>
        <w:ind w:firstLine="480"/>
        <w:rPr>
          <w:color w:val="auto"/>
          <w:highlight w:val="none"/>
        </w:rPr>
      </w:pPr>
      <w:r>
        <w:rPr>
          <w:rFonts w:hint="eastAsia"/>
          <w:color w:val="auto"/>
          <w:kern w:val="2"/>
          <w:szCs w:val="24"/>
          <w:highlight w:val="none"/>
        </w:rPr>
        <w:t>中标通知书发出后，采购人不得违法改变中标结果，中标人无正当理由不得放弃中标。</w:t>
      </w:r>
      <w:r>
        <w:rPr>
          <w:color w:val="auto"/>
          <w:szCs w:val="24"/>
          <w:highlight w:val="none"/>
        </w:rPr>
        <w:t>中标人无正当理由放弃中标的，不得参加对该项目重新开展的采购活动，采购人及采购人主管部门保留对其依法追究责任的权利。</w:t>
      </w:r>
    </w:p>
    <w:p>
      <w:pPr>
        <w:pStyle w:val="3"/>
        <w:spacing w:line="360" w:lineRule="auto"/>
        <w:rPr>
          <w:rFonts w:hint="eastAsia"/>
          <w:color w:val="auto"/>
          <w:highlight w:val="none"/>
        </w:rPr>
      </w:pPr>
      <w:bookmarkStart w:id="57" w:name="_Toc12564"/>
      <w:r>
        <w:rPr>
          <w:rFonts w:hint="eastAsia"/>
          <w:color w:val="auto"/>
          <w:highlight w:val="none"/>
        </w:rPr>
        <w:t>九、合同签订及其他</w:t>
      </w:r>
      <w:bookmarkEnd w:id="57"/>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中标或者成交供应商拒绝与采购人签订合同的，采购人可以按照评审报告推荐的中标或者成交候选人名单排序，确定下一候选人为中标或者成交供应商，也可以重新开展采购活动。拒绝签订合同的中标或者成交供应商不得参加对该项目重新开展的采购活动，并承担相应法律责任。</w:t>
      </w:r>
    </w:p>
    <w:p>
      <w:pPr>
        <w:pStyle w:val="4"/>
        <w:spacing w:line="360" w:lineRule="auto"/>
        <w:ind w:firstLine="562"/>
        <w:rPr>
          <w:color w:val="auto"/>
          <w:highlight w:val="none"/>
        </w:rPr>
      </w:pPr>
      <w:r>
        <w:rPr>
          <w:rFonts w:hint="eastAsia"/>
          <w:color w:val="auto"/>
          <w:highlight w:val="none"/>
        </w:rPr>
        <w:t>1.履约保证金：无</w:t>
      </w:r>
    </w:p>
    <w:p>
      <w:pPr>
        <w:pStyle w:val="4"/>
        <w:spacing w:line="360" w:lineRule="auto"/>
        <w:ind w:firstLine="562"/>
        <w:rPr>
          <w:color w:val="auto"/>
          <w:highlight w:val="none"/>
        </w:rPr>
      </w:pPr>
      <w:r>
        <w:rPr>
          <w:rFonts w:hint="eastAsia"/>
          <w:color w:val="auto"/>
          <w:highlight w:val="none"/>
        </w:rPr>
        <w:t>2.验收</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采购人应当及时对采购项目进行验收，采购人可以邀请参加本项目的其他投标人或者第三方机构参与验收，参与验收的投标人或者第三方机构的意见作为验收书的参考资料一并存档。</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采购人负责加强对中标人的履约管理，并按照采购合同约定，及时向中标人支付采购资金。对于中标人违反采购合同约定的行为，采购人应当及时处理，依法追究其违约责任。</w:t>
      </w:r>
    </w:p>
    <w:p>
      <w:pPr>
        <w:pStyle w:val="4"/>
        <w:spacing w:line="360" w:lineRule="auto"/>
        <w:ind w:firstLine="562"/>
        <w:rPr>
          <w:rFonts w:hint="eastAsia"/>
          <w:color w:val="auto"/>
          <w:highlight w:val="none"/>
        </w:rPr>
      </w:pPr>
      <w:r>
        <w:rPr>
          <w:rFonts w:hint="eastAsia"/>
          <w:color w:val="auto"/>
          <w:highlight w:val="none"/>
        </w:rPr>
        <w:t>3.货款结算方式</w:t>
      </w:r>
    </w:p>
    <w:p>
      <w:pPr>
        <w:tabs>
          <w:tab w:val="left" w:pos="0"/>
        </w:tabs>
        <w:spacing w:line="360" w:lineRule="auto"/>
        <w:ind w:firstLine="480"/>
        <w:rPr>
          <w:rFonts w:hint="eastAsia"/>
          <w:color w:val="auto"/>
          <w:sz w:val="24"/>
          <w:highlight w:val="none"/>
        </w:rPr>
      </w:pPr>
      <w:r>
        <w:rPr>
          <w:rFonts w:hint="eastAsia"/>
          <w:color w:val="auto"/>
          <w:sz w:val="24"/>
          <w:highlight w:val="none"/>
        </w:rPr>
        <w:t>付款方式：采购人与中标人依照招标文件规定的付款方式进行项目款项的支付。</w:t>
      </w:r>
    </w:p>
    <w:p>
      <w:pPr>
        <w:pStyle w:val="4"/>
        <w:spacing w:line="360" w:lineRule="auto"/>
        <w:ind w:firstLine="562"/>
        <w:rPr>
          <w:rFonts w:hint="eastAsia"/>
          <w:color w:val="auto"/>
          <w:highlight w:val="none"/>
        </w:rPr>
      </w:pPr>
      <w:r>
        <w:rPr>
          <w:rFonts w:hint="eastAsia"/>
          <w:color w:val="auto"/>
          <w:highlight w:val="none"/>
        </w:rPr>
        <w:t>4.售后服务考核</w:t>
      </w:r>
    </w:p>
    <w:p>
      <w:pPr>
        <w:spacing w:line="360" w:lineRule="auto"/>
        <w:ind w:firstLine="480"/>
        <w:rPr>
          <w:rFonts w:hint="eastAsia"/>
          <w:color w:val="auto"/>
          <w:sz w:val="24"/>
          <w:szCs w:val="24"/>
          <w:highlight w:val="none"/>
        </w:rPr>
      </w:pPr>
      <w:r>
        <w:rPr>
          <w:rFonts w:hint="eastAsia"/>
          <w:color w:val="auto"/>
          <w:sz w:val="24"/>
          <w:szCs w:val="24"/>
          <w:highlight w:val="none"/>
          <w:lang w:bidi="ar"/>
        </w:rPr>
        <w:t>采购代理机构将配合采购人主管部门不定期对合同的履约情况进行检查，发现弄虚作假，偷工减料，以次充好，达不到国家、行业有关标准和技术文件规定的，一经查实，由有关职能部门给予相应处罚。</w:t>
      </w:r>
    </w:p>
    <w:p>
      <w:pPr>
        <w:spacing w:line="360" w:lineRule="auto"/>
        <w:jc w:val="center"/>
        <w:rPr>
          <w:rFonts w:hint="eastAsia"/>
          <w:b/>
          <w:color w:val="auto"/>
          <w:sz w:val="24"/>
          <w:highlight w:val="none"/>
        </w:rPr>
      </w:pPr>
    </w:p>
    <w:p>
      <w:pPr>
        <w:pStyle w:val="3"/>
        <w:spacing w:line="360" w:lineRule="auto"/>
        <w:rPr>
          <w:rFonts w:hint="eastAsia"/>
          <w:color w:val="auto"/>
          <w:highlight w:val="none"/>
        </w:rPr>
      </w:pPr>
      <w:bookmarkStart w:id="58" w:name="_Toc3549"/>
      <w:r>
        <w:rPr>
          <w:rFonts w:hint="eastAsia"/>
          <w:color w:val="auto"/>
          <w:highlight w:val="none"/>
        </w:rPr>
        <w:t>十、质疑与投诉</w:t>
      </w:r>
      <w:bookmarkEnd w:id="58"/>
    </w:p>
    <w:p>
      <w:pPr>
        <w:tabs>
          <w:tab w:val="left" w:pos="0"/>
        </w:tabs>
        <w:spacing w:line="360" w:lineRule="auto"/>
        <w:ind w:firstLine="480"/>
        <w:rPr>
          <w:rFonts w:hint="eastAsia"/>
          <w:color w:val="auto"/>
          <w:sz w:val="24"/>
          <w:highlight w:val="none"/>
        </w:rPr>
      </w:pPr>
      <w:r>
        <w:rPr>
          <w:rFonts w:hint="eastAsia"/>
          <w:color w:val="auto"/>
          <w:sz w:val="24"/>
          <w:highlight w:val="none"/>
        </w:rPr>
        <w:t>根据《上虞区区属国有企业货物和服务采购管理办法》等有关规定，国企采购供应商可以依法提起质疑和投诉。</w:t>
      </w:r>
    </w:p>
    <w:p>
      <w:pPr>
        <w:pStyle w:val="4"/>
        <w:spacing w:line="360" w:lineRule="auto"/>
        <w:ind w:firstLine="562"/>
        <w:rPr>
          <w:rFonts w:hint="eastAsia"/>
          <w:color w:val="auto"/>
          <w:highlight w:val="none"/>
          <w:lang w:val="zh-CN"/>
        </w:rPr>
      </w:pPr>
      <w:r>
        <w:rPr>
          <w:rFonts w:hint="eastAsia"/>
          <w:color w:val="auto"/>
          <w:highlight w:val="none"/>
        </w:rPr>
        <w:t>1.</w:t>
      </w:r>
      <w:r>
        <w:rPr>
          <w:rFonts w:hint="eastAsia"/>
          <w:color w:val="auto"/>
          <w:highlight w:val="none"/>
          <w:lang w:val="zh-CN"/>
        </w:rPr>
        <w:t>供应商询问</w:t>
      </w:r>
    </w:p>
    <w:p>
      <w:pPr>
        <w:pStyle w:val="15"/>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供应商对国企采购活动事项有疑问的，可以向采购代理机构提出询问，采购代理机构将对供应商依法提出的询问作出答复，但答复的内容不得涉及商业秘密。</w:t>
      </w:r>
    </w:p>
    <w:p>
      <w:pPr>
        <w:pStyle w:val="4"/>
        <w:spacing w:line="360" w:lineRule="auto"/>
        <w:ind w:firstLine="562"/>
        <w:rPr>
          <w:rFonts w:hint="eastAsia"/>
          <w:color w:val="auto"/>
          <w:highlight w:val="none"/>
          <w:lang w:val="zh-CN"/>
        </w:rPr>
      </w:pPr>
      <w:r>
        <w:rPr>
          <w:rFonts w:hint="eastAsia"/>
          <w:color w:val="auto"/>
          <w:highlight w:val="none"/>
        </w:rPr>
        <w:t>2.</w:t>
      </w:r>
      <w:r>
        <w:rPr>
          <w:rFonts w:hint="eastAsia"/>
          <w:color w:val="auto"/>
          <w:highlight w:val="none"/>
          <w:lang w:val="zh-CN"/>
        </w:rPr>
        <w:t>供应商质疑</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供应商认为采购文件、采购过程和成交结果使自己的权益受到损害的，可以在知道或者应知其权益受到损害之日起七个工作日内，以书面形式向采购代理机构提出质疑，否则，采购代理机构不予受理：</w:t>
      </w:r>
    </w:p>
    <w:p>
      <w:pPr>
        <w:pStyle w:val="31"/>
        <w:widowControl w:val="0"/>
        <w:spacing w:before="0" w:beforeAutospacing="0" w:after="0" w:afterAutospacing="0" w:line="360" w:lineRule="auto"/>
        <w:ind w:firstLine="480" w:firstLineChars="200"/>
        <w:jc w:val="both"/>
        <w:rPr>
          <w:rFonts w:hint="eastAsia"/>
          <w:color w:val="auto"/>
          <w:szCs w:val="24"/>
          <w:highlight w:val="none"/>
        </w:rPr>
      </w:pPr>
      <w:r>
        <w:rPr>
          <w:rFonts w:hint="eastAsia"/>
          <w:color w:val="auto"/>
          <w:szCs w:val="24"/>
          <w:highlight w:val="none"/>
          <w:lang w:bidi="ar"/>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函范本请到浙江政府采购网下载专区下载。</w:t>
      </w:r>
      <w:r>
        <w:rPr>
          <w:rFonts w:hint="eastAsia"/>
          <w:b/>
          <w:bCs/>
          <w:color w:val="auto"/>
          <w:szCs w:val="24"/>
          <w:highlight w:val="none"/>
          <w:lang w:bidi="ar"/>
        </w:rPr>
        <w:t>供应商在法定质疑期内应一次性提出针对同一采购程序环节的质疑。</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《上虞区区属国有企业货物和服务采购管理办法》第四十九条规定的供应商应知其权益受到损害之日，是指：</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（一）对可以质疑的采购文件提出质疑的，为收到采购文件之日或者采购文件公告期限届满之日（公告期限届满后获取采购文件的，以公告期限届满之日为准）；</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（二）对采购过程提出质疑的，为各采购程序环节结束之日；</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（三）对中标或者成交结果提出质疑的，为中标或者成交结果公告期限届满之日。</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供应商提交的质疑书需一式三份，由法定代表人签字（或盖章）并加盖单位公章。质疑书至少应包括下列主要内容：</w:t>
      </w:r>
    </w:p>
    <w:p>
      <w:pPr>
        <w:pStyle w:val="15"/>
        <w:numPr>
          <w:ilvl w:val="0"/>
          <w:numId w:val="27"/>
        </w:num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质疑人的名称、地址、邮政编码、联系人、联系电话，以及被质疑人名称及联系方式；</w:t>
      </w:r>
    </w:p>
    <w:p>
      <w:pPr>
        <w:pStyle w:val="15"/>
        <w:numPr>
          <w:ilvl w:val="0"/>
          <w:numId w:val="27"/>
        </w:num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被质疑采购项目名称、编号及采购内容；</w:t>
      </w:r>
    </w:p>
    <w:p>
      <w:pPr>
        <w:pStyle w:val="15"/>
        <w:numPr>
          <w:ilvl w:val="0"/>
          <w:numId w:val="27"/>
        </w:num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具体的质疑事项及事实依据；</w:t>
      </w:r>
    </w:p>
    <w:p>
      <w:pPr>
        <w:pStyle w:val="15"/>
        <w:numPr>
          <w:ilvl w:val="0"/>
          <w:numId w:val="27"/>
        </w:num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认为自己合法权益受到损害或可能受到损害的相关证据材料；</w:t>
      </w:r>
    </w:p>
    <w:p>
      <w:pPr>
        <w:pStyle w:val="15"/>
        <w:numPr>
          <w:ilvl w:val="0"/>
          <w:numId w:val="27"/>
        </w:num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提出质疑的日期。</w:t>
      </w:r>
    </w:p>
    <w:p>
      <w:pPr>
        <w:pStyle w:val="15"/>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未按上述内容填写的质疑书将不予受理。</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采购代理机构应当在收到供应商的书面质疑后七个工作日内作出答复，并以书面形式通知质疑供应商和其他与质疑处理结果有利害关系的国企采购当事人，但答复的内容不得涉及商业秘密。</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询问或者质疑事项可能影响采购结果的，采购人应当暂停签订合同，已经签订合同的，应当中止履行合同。</w:t>
      </w:r>
    </w:p>
    <w:p>
      <w:pPr>
        <w:pStyle w:val="4"/>
        <w:spacing w:line="360" w:lineRule="auto"/>
        <w:ind w:firstLine="562"/>
        <w:rPr>
          <w:rFonts w:hint="eastAsia"/>
          <w:color w:val="auto"/>
          <w:highlight w:val="none"/>
          <w:lang w:val="zh-CN"/>
        </w:rPr>
      </w:pPr>
      <w:r>
        <w:rPr>
          <w:rFonts w:hint="eastAsia"/>
          <w:color w:val="auto"/>
          <w:highlight w:val="none"/>
        </w:rPr>
        <w:t>3.</w:t>
      </w:r>
      <w:r>
        <w:rPr>
          <w:rFonts w:hint="eastAsia"/>
          <w:color w:val="auto"/>
          <w:highlight w:val="none"/>
          <w:lang w:val="zh-CN"/>
        </w:rPr>
        <w:t>供应商投诉</w:t>
      </w:r>
    </w:p>
    <w:p>
      <w:pPr>
        <w:pStyle w:val="60"/>
        <w:tabs>
          <w:tab w:val="left" w:pos="0"/>
        </w:tabs>
        <w:spacing w:before="0" w:line="360" w:lineRule="auto"/>
        <w:ind w:firstLine="480"/>
        <w:rPr>
          <w:rFonts w:hint="eastAsia"/>
          <w:color w:val="auto"/>
          <w:szCs w:val="24"/>
          <w:highlight w:val="none"/>
        </w:rPr>
      </w:pPr>
      <w:r>
        <w:rPr>
          <w:rFonts w:hint="eastAsia"/>
          <w:color w:val="auto"/>
          <w:szCs w:val="24"/>
          <w:highlight w:val="none"/>
        </w:rPr>
        <w:t xml:space="preserve"> 供应商质疑、投诉应当有明确的请求和必要的证明材料，供应商投诉的事项不得超出已质疑事项的范围，不符合上述要求的投诉将不予受理。</w:t>
      </w:r>
    </w:p>
    <w:p>
      <w:pPr>
        <w:pStyle w:val="31"/>
        <w:widowControl w:val="0"/>
        <w:adjustRightInd w:val="0"/>
        <w:spacing w:before="0" w:beforeAutospacing="0" w:line="360" w:lineRule="auto"/>
        <w:ind w:firstLine="480" w:firstLineChars="200"/>
        <w:jc w:val="both"/>
        <w:rPr>
          <w:rFonts w:hint="eastAsia"/>
          <w:b/>
          <w:color w:val="auto"/>
          <w:szCs w:val="24"/>
          <w:highlight w:val="none"/>
        </w:rPr>
      </w:pPr>
      <w:r>
        <w:rPr>
          <w:rFonts w:hint="eastAsia"/>
          <w:color w:val="auto"/>
          <w:szCs w:val="24"/>
          <w:highlight w:val="none"/>
          <w:lang w:bidi="ar"/>
        </w:rPr>
        <w:t xml:space="preserve"> 质疑供应商对采购代理机构的答复不满意或者采购代理机构未在规定的时间内作出答复的，可以在答复期满后十五个工作日内向采购人上级主管部门提出投诉，投诉书范本请到浙江政府采购网下载专区下载。</w:t>
      </w:r>
    </w:p>
    <w:bookmarkEnd w:id="55"/>
    <w:p>
      <w:pPr>
        <w:spacing w:after="156" w:afterLines="50" w:line="360" w:lineRule="auto"/>
        <w:jc w:val="center"/>
        <w:rPr>
          <w:rFonts w:hint="eastAsia"/>
          <w:b/>
          <w:color w:val="auto"/>
          <w:sz w:val="36"/>
          <w:szCs w:val="36"/>
          <w:highlight w:val="none"/>
        </w:rPr>
      </w:pPr>
      <w:bookmarkStart w:id="59" w:name="_Toc25139"/>
    </w:p>
    <w:p>
      <w:pPr>
        <w:spacing w:after="156" w:afterLines="50" w:line="360" w:lineRule="auto"/>
        <w:jc w:val="center"/>
        <w:rPr>
          <w:rFonts w:hint="eastAsia"/>
          <w:b/>
          <w:color w:val="auto"/>
          <w:sz w:val="36"/>
          <w:szCs w:val="36"/>
          <w:highlight w:val="none"/>
        </w:rPr>
      </w:pPr>
    </w:p>
    <w:p>
      <w:pPr>
        <w:spacing w:after="156" w:afterLines="50" w:line="360" w:lineRule="auto"/>
        <w:jc w:val="center"/>
        <w:rPr>
          <w:rFonts w:hint="eastAsia"/>
          <w:b/>
          <w:color w:val="auto"/>
          <w:sz w:val="36"/>
          <w:szCs w:val="36"/>
          <w:highlight w:val="none"/>
        </w:rPr>
      </w:pPr>
    </w:p>
    <w:p>
      <w:pPr>
        <w:spacing w:after="156" w:afterLines="50" w:line="360" w:lineRule="auto"/>
        <w:jc w:val="center"/>
        <w:rPr>
          <w:rFonts w:hint="eastAsia"/>
          <w:b/>
          <w:color w:val="auto"/>
          <w:sz w:val="36"/>
          <w:szCs w:val="36"/>
          <w:highlight w:val="none"/>
        </w:rPr>
      </w:pPr>
    </w:p>
    <w:p>
      <w:pPr>
        <w:spacing w:after="156" w:afterLines="50" w:line="360" w:lineRule="auto"/>
        <w:jc w:val="center"/>
        <w:rPr>
          <w:rFonts w:hint="eastAsia"/>
          <w:b/>
          <w:color w:val="auto"/>
          <w:sz w:val="36"/>
          <w:szCs w:val="36"/>
          <w:highlight w:val="none"/>
        </w:rPr>
      </w:pPr>
    </w:p>
    <w:p>
      <w:pPr>
        <w:pStyle w:val="2"/>
        <w:rPr>
          <w:rFonts w:hint="eastAsia"/>
          <w:b/>
          <w:color w:val="auto"/>
          <w:sz w:val="36"/>
          <w:szCs w:val="36"/>
          <w:highlight w:val="none"/>
        </w:rPr>
      </w:pPr>
    </w:p>
    <w:p>
      <w:pPr>
        <w:rPr>
          <w:rFonts w:hint="eastAsia"/>
          <w:b/>
          <w:color w:val="auto"/>
          <w:sz w:val="36"/>
          <w:szCs w:val="36"/>
          <w:highlight w:val="none"/>
        </w:rPr>
      </w:pPr>
    </w:p>
    <w:p>
      <w:pPr>
        <w:pStyle w:val="2"/>
        <w:rPr>
          <w:rFonts w:hint="eastAsia"/>
          <w:b/>
          <w:color w:val="auto"/>
          <w:sz w:val="36"/>
          <w:szCs w:val="36"/>
          <w:highlight w:val="none"/>
        </w:rPr>
      </w:pPr>
    </w:p>
    <w:p>
      <w:pPr>
        <w:rPr>
          <w:rFonts w:hint="eastAsia"/>
          <w:color w:val="auto"/>
        </w:rPr>
      </w:pPr>
    </w:p>
    <w:p>
      <w:pPr>
        <w:spacing w:after="156" w:afterLines="50" w:line="360" w:lineRule="auto"/>
        <w:jc w:val="center"/>
        <w:rPr>
          <w:rFonts w:hint="eastAsia"/>
          <w:b/>
          <w:color w:val="auto"/>
          <w:sz w:val="36"/>
          <w:szCs w:val="36"/>
          <w:highlight w:val="none"/>
        </w:rPr>
      </w:pPr>
    </w:p>
    <w:p>
      <w:pPr>
        <w:pStyle w:val="2"/>
        <w:spacing w:line="360" w:lineRule="auto"/>
        <w:rPr>
          <w:rFonts w:hint="eastAsia"/>
          <w:b w:val="0"/>
          <w:color w:val="auto"/>
          <w:sz w:val="36"/>
          <w:szCs w:val="36"/>
          <w:highlight w:val="none"/>
        </w:rPr>
      </w:pPr>
      <w:bookmarkStart w:id="60" w:name="_Toc7927"/>
      <w:r>
        <w:rPr>
          <w:rFonts w:hint="eastAsia"/>
          <w:color w:val="auto"/>
          <w:highlight w:val="none"/>
        </w:rPr>
        <w:t xml:space="preserve">第三部分  </w:t>
      </w:r>
      <w:bookmarkEnd w:id="47"/>
      <w:bookmarkEnd w:id="48"/>
      <w:bookmarkStart w:id="61" w:name="_Toc184310295"/>
      <w:bookmarkEnd w:id="61"/>
      <w:bookmarkStart w:id="62" w:name="_Toc184313244"/>
      <w:bookmarkEnd w:id="62"/>
      <w:bookmarkStart w:id="63" w:name="_Toc184310326"/>
      <w:bookmarkEnd w:id="63"/>
      <w:bookmarkStart w:id="64" w:name="_Toc184314437"/>
      <w:bookmarkEnd w:id="64"/>
      <w:bookmarkStart w:id="65" w:name="_Toc184313240"/>
      <w:bookmarkEnd w:id="65"/>
      <w:bookmarkStart w:id="66" w:name="_Toc184308077"/>
      <w:bookmarkEnd w:id="66"/>
      <w:bookmarkStart w:id="67" w:name="_Toc184308056"/>
      <w:bookmarkEnd w:id="67"/>
      <w:bookmarkStart w:id="68" w:name="_Toc184313301"/>
      <w:bookmarkEnd w:id="68"/>
      <w:bookmarkStart w:id="69" w:name="_Toc184312105"/>
      <w:bookmarkEnd w:id="69"/>
      <w:bookmarkStart w:id="70" w:name="_Toc184308060"/>
      <w:bookmarkEnd w:id="70"/>
      <w:bookmarkStart w:id="71" w:name="_Toc184314434"/>
      <w:bookmarkEnd w:id="71"/>
      <w:bookmarkStart w:id="72" w:name="_Toc184314430"/>
      <w:bookmarkEnd w:id="72"/>
      <w:bookmarkStart w:id="73" w:name="_Toc184314422"/>
      <w:bookmarkEnd w:id="73"/>
      <w:bookmarkStart w:id="74" w:name="_Toc184312070"/>
      <w:bookmarkEnd w:id="74"/>
      <w:bookmarkStart w:id="75" w:name="_Toc184308073"/>
      <w:bookmarkEnd w:id="75"/>
      <w:bookmarkStart w:id="76" w:name="_Toc184308057"/>
      <w:bookmarkEnd w:id="76"/>
      <w:bookmarkStart w:id="77" w:name="_Toc184314417"/>
      <w:bookmarkEnd w:id="77"/>
      <w:bookmarkStart w:id="78" w:name="_Toc184308069"/>
      <w:bookmarkEnd w:id="78"/>
      <w:bookmarkStart w:id="79" w:name="_Toc184314433"/>
      <w:bookmarkEnd w:id="79"/>
      <w:bookmarkStart w:id="80" w:name="_Toc184313241"/>
      <w:bookmarkEnd w:id="80"/>
      <w:bookmarkStart w:id="81" w:name="_Toc184308043"/>
      <w:bookmarkEnd w:id="81"/>
      <w:bookmarkStart w:id="82" w:name="_Toc184308062"/>
      <w:bookmarkEnd w:id="82"/>
      <w:bookmarkStart w:id="83" w:name="_Toc184314461"/>
      <w:bookmarkEnd w:id="83"/>
      <w:bookmarkStart w:id="84" w:name="_Toc184314455"/>
      <w:bookmarkEnd w:id="84"/>
      <w:bookmarkStart w:id="85" w:name="_Toc184314460"/>
      <w:bookmarkEnd w:id="85"/>
      <w:bookmarkStart w:id="86" w:name="_Toc184308086"/>
      <w:bookmarkEnd w:id="86"/>
      <w:bookmarkStart w:id="87" w:name="_Toc184314458"/>
      <w:bookmarkEnd w:id="87"/>
      <w:bookmarkStart w:id="88" w:name="_Toc184310319"/>
      <w:bookmarkEnd w:id="88"/>
      <w:bookmarkStart w:id="89" w:name="_Toc184313282"/>
      <w:bookmarkEnd w:id="89"/>
      <w:bookmarkStart w:id="90" w:name="_Toc184308046"/>
      <w:bookmarkEnd w:id="90"/>
      <w:bookmarkStart w:id="91" w:name="_Toc184312122"/>
      <w:bookmarkEnd w:id="91"/>
      <w:bookmarkStart w:id="92" w:name="_Toc184310307"/>
      <w:bookmarkEnd w:id="92"/>
      <w:bookmarkStart w:id="93" w:name="_Toc184312137"/>
      <w:bookmarkEnd w:id="93"/>
      <w:bookmarkStart w:id="94" w:name="_Toc184312107"/>
      <w:bookmarkEnd w:id="94"/>
      <w:bookmarkStart w:id="95" w:name="_Toc184312099"/>
      <w:bookmarkEnd w:id="95"/>
      <w:bookmarkStart w:id="96" w:name="_Toc184314478"/>
      <w:bookmarkEnd w:id="96"/>
      <w:bookmarkStart w:id="97" w:name="_Toc184312132"/>
      <w:bookmarkEnd w:id="97"/>
      <w:bookmarkStart w:id="98" w:name="_Toc184313302"/>
      <w:bookmarkEnd w:id="98"/>
      <w:bookmarkStart w:id="99" w:name="_Toc184310323"/>
      <w:bookmarkEnd w:id="99"/>
      <w:bookmarkStart w:id="100" w:name="_Toc184308087"/>
      <w:bookmarkEnd w:id="100"/>
      <w:bookmarkStart w:id="101" w:name="_Toc184310301"/>
      <w:bookmarkEnd w:id="101"/>
      <w:bookmarkStart w:id="102" w:name="_Toc184314410"/>
      <w:bookmarkEnd w:id="102"/>
      <w:bookmarkStart w:id="103" w:name="_Toc184313269"/>
      <w:bookmarkEnd w:id="103"/>
      <w:bookmarkStart w:id="104" w:name="_Toc184313309"/>
      <w:bookmarkEnd w:id="104"/>
      <w:bookmarkStart w:id="105" w:name="_Toc184312124"/>
      <w:bookmarkEnd w:id="105"/>
      <w:bookmarkStart w:id="106" w:name="_Toc184312079"/>
      <w:bookmarkEnd w:id="106"/>
      <w:bookmarkStart w:id="107" w:name="_Toc184312109"/>
      <w:bookmarkEnd w:id="107"/>
      <w:bookmarkStart w:id="108" w:name="_Toc184310293"/>
      <w:bookmarkEnd w:id="108"/>
      <w:bookmarkStart w:id="109" w:name="_Toc184308094"/>
      <w:bookmarkEnd w:id="109"/>
      <w:bookmarkStart w:id="110" w:name="_Toc184314454"/>
      <w:bookmarkEnd w:id="110"/>
      <w:bookmarkStart w:id="111" w:name="_Toc184312093"/>
      <w:bookmarkEnd w:id="111"/>
      <w:bookmarkStart w:id="112" w:name="_Toc184310292"/>
      <w:bookmarkEnd w:id="112"/>
      <w:bookmarkStart w:id="113" w:name="_Toc184308063"/>
      <w:bookmarkEnd w:id="113"/>
      <w:bookmarkStart w:id="114" w:name="_Toc184312071"/>
      <w:bookmarkEnd w:id="114"/>
      <w:bookmarkStart w:id="115" w:name="_Toc184310313"/>
      <w:bookmarkEnd w:id="115"/>
      <w:bookmarkStart w:id="116" w:name="_Toc184312082"/>
      <w:bookmarkEnd w:id="116"/>
      <w:bookmarkStart w:id="117" w:name="_Toc184312068"/>
      <w:bookmarkEnd w:id="117"/>
      <w:bookmarkStart w:id="118" w:name="_Toc184313293"/>
      <w:bookmarkEnd w:id="118"/>
      <w:bookmarkStart w:id="119" w:name="_Toc184308082"/>
      <w:bookmarkEnd w:id="119"/>
      <w:bookmarkStart w:id="120" w:name="_Toc184313268"/>
      <w:bookmarkEnd w:id="120"/>
      <w:bookmarkStart w:id="121" w:name="_Toc184308107"/>
      <w:bookmarkEnd w:id="121"/>
      <w:bookmarkStart w:id="122" w:name="_Toc184308065"/>
      <w:bookmarkEnd w:id="122"/>
      <w:bookmarkStart w:id="123" w:name="_Toc184312120"/>
      <w:bookmarkEnd w:id="123"/>
      <w:bookmarkStart w:id="124" w:name="_Toc184313270"/>
      <w:bookmarkEnd w:id="124"/>
      <w:bookmarkStart w:id="125" w:name="_Toc184313251"/>
      <w:bookmarkEnd w:id="125"/>
      <w:bookmarkStart w:id="126" w:name="_Toc184312100"/>
      <w:bookmarkEnd w:id="126"/>
      <w:bookmarkStart w:id="127" w:name="_Toc184310291"/>
      <w:bookmarkEnd w:id="127"/>
      <w:bookmarkStart w:id="128" w:name="_Toc184314457"/>
      <w:bookmarkEnd w:id="128"/>
      <w:bookmarkStart w:id="129" w:name="_Toc184314428"/>
      <w:bookmarkEnd w:id="129"/>
      <w:bookmarkStart w:id="130" w:name="_Toc184314471"/>
      <w:bookmarkEnd w:id="130"/>
      <w:bookmarkStart w:id="131" w:name="_Toc184312134"/>
      <w:bookmarkEnd w:id="131"/>
      <w:bookmarkStart w:id="132" w:name="_Toc184313255"/>
      <w:bookmarkEnd w:id="132"/>
      <w:bookmarkStart w:id="133" w:name="_Toc184308095"/>
      <w:bookmarkEnd w:id="133"/>
      <w:bookmarkStart w:id="134" w:name="_Toc184310282"/>
      <w:bookmarkEnd w:id="134"/>
      <w:bookmarkStart w:id="135" w:name="_Toc184310325"/>
      <w:bookmarkEnd w:id="135"/>
      <w:bookmarkStart w:id="136" w:name="_Toc184310344"/>
      <w:bookmarkEnd w:id="136"/>
      <w:bookmarkStart w:id="137" w:name="_Toc184313271"/>
      <w:bookmarkEnd w:id="137"/>
      <w:bookmarkStart w:id="138" w:name="_Toc184312091"/>
      <w:bookmarkEnd w:id="138"/>
      <w:bookmarkStart w:id="139" w:name="_Toc184310317"/>
      <w:bookmarkEnd w:id="139"/>
      <w:bookmarkStart w:id="140" w:name="_Toc184312127"/>
      <w:bookmarkEnd w:id="140"/>
      <w:bookmarkStart w:id="141" w:name="_Toc184308055"/>
      <w:bookmarkEnd w:id="141"/>
      <w:bookmarkStart w:id="142" w:name="_Toc184312104"/>
      <w:bookmarkEnd w:id="142"/>
      <w:bookmarkStart w:id="143" w:name="_Toc184310283"/>
      <w:bookmarkEnd w:id="143"/>
      <w:bookmarkStart w:id="144" w:name="_Toc184312077"/>
      <w:bookmarkEnd w:id="144"/>
      <w:bookmarkStart w:id="145" w:name="_Toc184310303"/>
      <w:bookmarkEnd w:id="145"/>
      <w:bookmarkStart w:id="146" w:name="_Toc184312078"/>
      <w:bookmarkEnd w:id="146"/>
      <w:bookmarkStart w:id="147" w:name="_Toc184313296"/>
      <w:bookmarkEnd w:id="147"/>
      <w:bookmarkStart w:id="148" w:name="_Toc184310280"/>
      <w:bookmarkEnd w:id="148"/>
      <w:bookmarkStart w:id="149" w:name="_Toc184310311"/>
      <w:bookmarkEnd w:id="149"/>
      <w:bookmarkStart w:id="150" w:name="_Toc184312118"/>
      <w:bookmarkEnd w:id="150"/>
      <w:bookmarkStart w:id="151" w:name="_Toc184312125"/>
      <w:bookmarkEnd w:id="151"/>
      <w:bookmarkStart w:id="152" w:name="_Toc184308066"/>
      <w:bookmarkEnd w:id="152"/>
      <w:bookmarkStart w:id="153" w:name="_Toc184308100"/>
      <w:bookmarkEnd w:id="153"/>
      <w:bookmarkStart w:id="154" w:name="_Toc184310341"/>
      <w:bookmarkEnd w:id="154"/>
      <w:bookmarkStart w:id="155" w:name="_Toc184310284"/>
      <w:bookmarkEnd w:id="155"/>
      <w:bookmarkStart w:id="156" w:name="_Toc184310276"/>
      <w:bookmarkEnd w:id="156"/>
      <w:bookmarkStart w:id="157" w:name="_Toc184314427"/>
      <w:bookmarkEnd w:id="157"/>
      <w:bookmarkStart w:id="158" w:name="_Toc184314469"/>
      <w:bookmarkEnd w:id="158"/>
      <w:bookmarkStart w:id="159" w:name="_Toc184308103"/>
      <w:bookmarkEnd w:id="159"/>
      <w:bookmarkStart w:id="160" w:name="_Toc184308083"/>
      <w:bookmarkEnd w:id="160"/>
      <w:bookmarkStart w:id="161" w:name="_Toc184310329"/>
      <w:bookmarkEnd w:id="161"/>
      <w:bookmarkStart w:id="162" w:name="_Toc184308051"/>
      <w:bookmarkEnd w:id="162"/>
      <w:bookmarkStart w:id="163" w:name="_Toc184313304"/>
      <w:bookmarkEnd w:id="163"/>
      <w:bookmarkStart w:id="164" w:name="_Toc184310290"/>
      <w:bookmarkEnd w:id="164"/>
      <w:bookmarkStart w:id="165" w:name="_Toc184308106"/>
      <w:bookmarkEnd w:id="165"/>
      <w:bookmarkStart w:id="166" w:name="_Toc184314481"/>
      <w:bookmarkEnd w:id="166"/>
      <w:bookmarkStart w:id="167" w:name="_Toc184308104"/>
      <w:bookmarkEnd w:id="167"/>
      <w:bookmarkStart w:id="168" w:name="_Toc184312069"/>
      <w:bookmarkEnd w:id="168"/>
      <w:bookmarkStart w:id="169" w:name="_Toc184308074"/>
      <w:bookmarkEnd w:id="169"/>
      <w:bookmarkStart w:id="170" w:name="_Toc184310296"/>
      <w:bookmarkEnd w:id="170"/>
      <w:bookmarkStart w:id="171" w:name="_Toc184310328"/>
      <w:bookmarkEnd w:id="171"/>
      <w:bookmarkStart w:id="172" w:name="_Toc184314426"/>
      <w:bookmarkEnd w:id="172"/>
      <w:bookmarkStart w:id="173" w:name="_Toc184308099"/>
      <w:bookmarkEnd w:id="173"/>
      <w:bookmarkStart w:id="174" w:name="_Toc184310335"/>
      <w:bookmarkEnd w:id="174"/>
      <w:bookmarkStart w:id="175" w:name="_Toc184310332"/>
      <w:bookmarkEnd w:id="175"/>
      <w:bookmarkStart w:id="176" w:name="_Toc184312095"/>
      <w:bookmarkEnd w:id="176"/>
      <w:bookmarkStart w:id="177" w:name="_Toc184310312"/>
      <w:bookmarkEnd w:id="177"/>
      <w:bookmarkStart w:id="178" w:name="_Toc184308049"/>
      <w:bookmarkEnd w:id="178"/>
      <w:bookmarkStart w:id="179" w:name="_Toc184314445"/>
      <w:bookmarkEnd w:id="179"/>
      <w:bookmarkStart w:id="180" w:name="_Toc184310343"/>
      <w:bookmarkEnd w:id="180"/>
      <w:bookmarkStart w:id="181" w:name="_Toc184310322"/>
      <w:bookmarkEnd w:id="181"/>
      <w:bookmarkStart w:id="182" w:name="_Toc184314414"/>
      <w:bookmarkEnd w:id="182"/>
      <w:bookmarkStart w:id="183" w:name="_Toc184312117"/>
      <w:bookmarkEnd w:id="183"/>
      <w:bookmarkStart w:id="184" w:name="_Toc184310306"/>
      <w:bookmarkEnd w:id="184"/>
      <w:bookmarkStart w:id="185" w:name="_Toc184308070"/>
      <w:bookmarkEnd w:id="185"/>
      <w:bookmarkStart w:id="186" w:name="_Toc184308045"/>
      <w:bookmarkEnd w:id="186"/>
      <w:bookmarkStart w:id="187" w:name="_Toc184312075"/>
      <w:bookmarkEnd w:id="187"/>
      <w:bookmarkStart w:id="188" w:name="_Toc184314450"/>
      <w:bookmarkEnd w:id="188"/>
      <w:bookmarkStart w:id="189" w:name="_Toc184310309"/>
      <w:bookmarkEnd w:id="189"/>
      <w:bookmarkStart w:id="190" w:name="_Toc184308102"/>
      <w:bookmarkEnd w:id="190"/>
      <w:bookmarkStart w:id="191" w:name="_Toc184312098"/>
      <w:bookmarkEnd w:id="191"/>
      <w:bookmarkStart w:id="192" w:name="_Toc184310327"/>
      <w:bookmarkEnd w:id="192"/>
      <w:bookmarkStart w:id="193" w:name="_Toc184314474"/>
      <w:bookmarkEnd w:id="193"/>
      <w:bookmarkStart w:id="194" w:name="_Toc184314477"/>
      <w:bookmarkEnd w:id="194"/>
      <w:bookmarkStart w:id="195" w:name="_Toc184312119"/>
      <w:bookmarkEnd w:id="195"/>
      <w:bookmarkStart w:id="196" w:name="_Toc184312073"/>
      <w:bookmarkEnd w:id="196"/>
      <w:bookmarkStart w:id="197" w:name="_Toc184314459"/>
      <w:bookmarkEnd w:id="197"/>
      <w:bookmarkStart w:id="198" w:name="_Toc184313247"/>
      <w:bookmarkEnd w:id="198"/>
      <w:bookmarkStart w:id="199" w:name="_Toc184312133"/>
      <w:bookmarkEnd w:id="199"/>
      <w:bookmarkStart w:id="200" w:name="_Toc184312115"/>
      <w:bookmarkEnd w:id="200"/>
      <w:bookmarkStart w:id="201" w:name="_Toc184310305"/>
      <w:bookmarkEnd w:id="201"/>
      <w:bookmarkStart w:id="202" w:name="_Toc184308090"/>
      <w:bookmarkEnd w:id="202"/>
      <w:bookmarkStart w:id="203" w:name="_Toc184308079"/>
      <w:bookmarkEnd w:id="203"/>
      <w:bookmarkStart w:id="204" w:name="_Toc184314435"/>
      <w:bookmarkEnd w:id="204"/>
      <w:bookmarkStart w:id="205" w:name="_Toc184308068"/>
      <w:bookmarkEnd w:id="205"/>
      <w:bookmarkStart w:id="206" w:name="_Toc184313292"/>
      <w:bookmarkEnd w:id="206"/>
      <w:bookmarkStart w:id="207" w:name="_Toc184310334"/>
      <w:bookmarkEnd w:id="207"/>
      <w:bookmarkStart w:id="208" w:name="_Toc184314416"/>
      <w:bookmarkEnd w:id="208"/>
      <w:bookmarkStart w:id="209" w:name="_Toc184313303"/>
      <w:bookmarkEnd w:id="209"/>
      <w:bookmarkStart w:id="210" w:name="_Toc184313242"/>
      <w:bookmarkEnd w:id="210"/>
      <w:bookmarkStart w:id="211" w:name="_Toc184314444"/>
      <w:bookmarkEnd w:id="211"/>
      <w:bookmarkStart w:id="212" w:name="_Toc184310340"/>
      <w:bookmarkEnd w:id="212"/>
      <w:bookmarkStart w:id="213" w:name="_Toc184312126"/>
      <w:bookmarkEnd w:id="213"/>
      <w:bookmarkStart w:id="214" w:name="_Toc184308084"/>
      <w:bookmarkEnd w:id="214"/>
      <w:bookmarkStart w:id="215" w:name="_Toc184310287"/>
      <w:bookmarkEnd w:id="215"/>
      <w:bookmarkStart w:id="216" w:name="_Toc184312116"/>
      <w:bookmarkEnd w:id="216"/>
      <w:bookmarkStart w:id="217" w:name="_Toc184313297"/>
      <w:bookmarkEnd w:id="217"/>
      <w:bookmarkStart w:id="218" w:name="_Toc184314423"/>
      <w:bookmarkEnd w:id="218"/>
      <w:bookmarkStart w:id="219" w:name="_Toc184314449"/>
      <w:bookmarkEnd w:id="219"/>
      <w:bookmarkStart w:id="220" w:name="_Toc184312102"/>
      <w:bookmarkEnd w:id="220"/>
      <w:bookmarkStart w:id="221" w:name="_Toc184313263"/>
      <w:bookmarkEnd w:id="221"/>
      <w:bookmarkStart w:id="222" w:name="_Toc184308041"/>
      <w:bookmarkEnd w:id="222"/>
      <w:bookmarkStart w:id="223" w:name="_Toc184313243"/>
      <w:bookmarkEnd w:id="223"/>
      <w:bookmarkStart w:id="224" w:name="_Toc184310278"/>
      <w:bookmarkEnd w:id="224"/>
      <w:bookmarkStart w:id="225" w:name="_Toc184314470"/>
      <w:bookmarkEnd w:id="225"/>
      <w:bookmarkStart w:id="226" w:name="_Toc184310308"/>
      <w:bookmarkEnd w:id="226"/>
      <w:bookmarkStart w:id="227" w:name="_Toc184313260"/>
      <w:bookmarkEnd w:id="227"/>
      <w:bookmarkStart w:id="228" w:name="_Toc184314464"/>
      <w:bookmarkEnd w:id="228"/>
      <w:bookmarkStart w:id="229" w:name="_Toc184312090"/>
      <w:bookmarkEnd w:id="229"/>
      <w:bookmarkStart w:id="230" w:name="_Toc184308075"/>
      <w:bookmarkEnd w:id="230"/>
      <w:bookmarkStart w:id="231" w:name="_Toc184313252"/>
      <w:bookmarkEnd w:id="231"/>
      <w:bookmarkStart w:id="232" w:name="_Toc184310338"/>
      <w:bookmarkEnd w:id="232"/>
      <w:bookmarkStart w:id="233" w:name="_Toc184313286"/>
      <w:bookmarkEnd w:id="233"/>
      <w:bookmarkStart w:id="234" w:name="_Toc184313289"/>
      <w:bookmarkEnd w:id="234"/>
      <w:bookmarkStart w:id="235" w:name="_Toc184308053"/>
      <w:bookmarkEnd w:id="235"/>
      <w:bookmarkStart w:id="236" w:name="_Toc184314452"/>
      <w:bookmarkEnd w:id="236"/>
      <w:bookmarkStart w:id="237" w:name="_Toc184314480"/>
      <w:bookmarkEnd w:id="237"/>
      <w:bookmarkStart w:id="238" w:name="_Toc184312121"/>
      <w:bookmarkEnd w:id="238"/>
      <w:bookmarkStart w:id="239" w:name="_Toc184313294"/>
      <w:bookmarkEnd w:id="239"/>
      <w:bookmarkStart w:id="240" w:name="_Toc184314463"/>
      <w:bookmarkEnd w:id="240"/>
      <w:bookmarkStart w:id="241" w:name="_Toc184313262"/>
      <w:bookmarkEnd w:id="241"/>
      <w:bookmarkStart w:id="242" w:name="_Toc184314467"/>
      <w:bookmarkEnd w:id="242"/>
      <w:bookmarkStart w:id="243" w:name="_Toc184313298"/>
      <w:bookmarkEnd w:id="243"/>
      <w:bookmarkStart w:id="244" w:name="_Toc184312089"/>
      <w:bookmarkEnd w:id="244"/>
      <w:bookmarkStart w:id="245" w:name="_Toc184314420"/>
      <w:bookmarkEnd w:id="245"/>
      <w:bookmarkStart w:id="246" w:name="_Toc184310300"/>
      <w:bookmarkEnd w:id="246"/>
      <w:bookmarkStart w:id="247" w:name="_Toc184314442"/>
      <w:bookmarkEnd w:id="247"/>
      <w:bookmarkStart w:id="248" w:name="_Toc184312087"/>
      <w:bookmarkEnd w:id="248"/>
      <w:bookmarkStart w:id="249" w:name="_Toc184312074"/>
      <w:bookmarkEnd w:id="249"/>
      <w:bookmarkStart w:id="250" w:name="_Toc184310330"/>
      <w:bookmarkEnd w:id="250"/>
      <w:bookmarkStart w:id="251" w:name="_Toc184314482"/>
      <w:bookmarkEnd w:id="251"/>
      <w:bookmarkStart w:id="252" w:name="_Toc184310324"/>
      <w:bookmarkEnd w:id="252"/>
      <w:bookmarkStart w:id="253" w:name="_Toc184312136"/>
      <w:bookmarkEnd w:id="253"/>
      <w:bookmarkStart w:id="254" w:name="_Toc184314473"/>
      <w:bookmarkEnd w:id="254"/>
      <w:bookmarkStart w:id="255" w:name="_Toc184310288"/>
      <w:bookmarkEnd w:id="255"/>
      <w:bookmarkStart w:id="256" w:name="_Toc184308048"/>
      <w:bookmarkEnd w:id="256"/>
      <w:bookmarkStart w:id="257" w:name="_Toc184308071"/>
      <w:bookmarkEnd w:id="257"/>
      <w:bookmarkStart w:id="258" w:name="_Toc184313259"/>
      <w:bookmarkEnd w:id="258"/>
      <w:bookmarkStart w:id="259" w:name="_Toc184310316"/>
      <w:bookmarkEnd w:id="259"/>
      <w:bookmarkStart w:id="260" w:name="_Toc184310285"/>
      <w:bookmarkEnd w:id="260"/>
      <w:bookmarkStart w:id="261" w:name="_Toc184313238"/>
      <w:bookmarkEnd w:id="261"/>
      <w:bookmarkStart w:id="262" w:name="_Toc184308076"/>
      <w:bookmarkEnd w:id="262"/>
      <w:bookmarkStart w:id="263" w:name="_Toc184312138"/>
      <w:bookmarkEnd w:id="263"/>
      <w:bookmarkStart w:id="264" w:name="_Toc184312129"/>
      <w:bookmarkEnd w:id="264"/>
      <w:bookmarkStart w:id="265" w:name="_Toc184310339"/>
      <w:bookmarkEnd w:id="265"/>
      <w:bookmarkStart w:id="266" w:name="_Toc184308088"/>
      <w:bookmarkEnd w:id="266"/>
      <w:bookmarkStart w:id="267" w:name="_Toc184313300"/>
      <w:bookmarkEnd w:id="267"/>
      <w:bookmarkStart w:id="268" w:name="_Toc184310321"/>
      <w:bookmarkEnd w:id="268"/>
      <w:bookmarkStart w:id="269" w:name="_Toc184310274"/>
      <w:bookmarkEnd w:id="269"/>
      <w:bookmarkStart w:id="270" w:name="_Toc184314440"/>
      <w:bookmarkEnd w:id="270"/>
      <w:bookmarkStart w:id="271" w:name="_Toc184313273"/>
      <w:bookmarkEnd w:id="271"/>
      <w:bookmarkStart w:id="272" w:name="_Toc184308058"/>
      <w:bookmarkEnd w:id="272"/>
      <w:bookmarkStart w:id="273" w:name="_Toc184313305"/>
      <w:bookmarkEnd w:id="273"/>
      <w:bookmarkStart w:id="274" w:name="_Toc184313281"/>
      <w:bookmarkEnd w:id="274"/>
      <w:bookmarkStart w:id="275" w:name="_Toc184313299"/>
      <w:bookmarkEnd w:id="275"/>
      <w:bookmarkStart w:id="276" w:name="_Toc184310320"/>
      <w:bookmarkEnd w:id="276"/>
      <w:bookmarkStart w:id="277" w:name="_Toc184313280"/>
      <w:bookmarkEnd w:id="277"/>
      <w:bookmarkStart w:id="278" w:name="_Toc184310310"/>
      <w:bookmarkEnd w:id="278"/>
      <w:bookmarkStart w:id="279" w:name="_Toc184312112"/>
      <w:bookmarkEnd w:id="279"/>
      <w:bookmarkStart w:id="280" w:name="_Toc184312130"/>
      <w:bookmarkEnd w:id="280"/>
      <w:bookmarkStart w:id="281" w:name="_Toc184308044"/>
      <w:bookmarkEnd w:id="281"/>
      <w:bookmarkStart w:id="282" w:name="_Toc184308092"/>
      <w:bookmarkEnd w:id="282"/>
      <w:bookmarkStart w:id="283" w:name="_Toc184313250"/>
      <w:bookmarkEnd w:id="283"/>
      <w:bookmarkStart w:id="284" w:name="_Toc184312080"/>
      <w:bookmarkEnd w:id="284"/>
      <w:bookmarkStart w:id="285" w:name="_Toc184312103"/>
      <w:bookmarkEnd w:id="285"/>
      <w:bookmarkStart w:id="286" w:name="_Toc184310294"/>
      <w:bookmarkEnd w:id="286"/>
      <w:bookmarkStart w:id="287" w:name="_Toc184312085"/>
      <w:bookmarkEnd w:id="287"/>
      <w:bookmarkStart w:id="288" w:name="_Toc184308105"/>
      <w:bookmarkEnd w:id="288"/>
      <w:bookmarkStart w:id="289" w:name="_Toc184308036"/>
      <w:bookmarkEnd w:id="289"/>
      <w:bookmarkStart w:id="290" w:name="_Toc184313283"/>
      <w:bookmarkEnd w:id="290"/>
      <w:bookmarkStart w:id="291" w:name="_Toc184310315"/>
      <w:bookmarkEnd w:id="291"/>
      <w:bookmarkStart w:id="292" w:name="_Toc184308081"/>
      <w:bookmarkEnd w:id="292"/>
      <w:bookmarkStart w:id="293" w:name="_Toc184312096"/>
      <w:bookmarkEnd w:id="293"/>
      <w:bookmarkStart w:id="294" w:name="_Toc184313267"/>
      <w:bookmarkEnd w:id="294"/>
      <w:bookmarkStart w:id="295" w:name="_Toc184314432"/>
      <w:bookmarkEnd w:id="295"/>
      <w:bookmarkStart w:id="296" w:name="_Toc184314447"/>
      <w:bookmarkEnd w:id="296"/>
      <w:bookmarkStart w:id="297" w:name="_Toc184313284"/>
      <w:bookmarkEnd w:id="297"/>
      <w:bookmarkStart w:id="298" w:name="_Toc184314476"/>
      <w:bookmarkEnd w:id="298"/>
      <w:bookmarkStart w:id="299" w:name="_Toc184312114"/>
      <w:bookmarkEnd w:id="299"/>
      <w:bookmarkStart w:id="300" w:name="_Toc184308067"/>
      <w:bookmarkEnd w:id="300"/>
      <w:bookmarkStart w:id="301" w:name="_Toc184308089"/>
      <w:bookmarkEnd w:id="301"/>
      <w:bookmarkStart w:id="302" w:name="_Toc184314468"/>
      <w:bookmarkEnd w:id="302"/>
      <w:bookmarkStart w:id="303" w:name="_Toc184313265"/>
      <w:bookmarkEnd w:id="303"/>
      <w:bookmarkStart w:id="304" w:name="_Toc184313277"/>
      <w:bookmarkEnd w:id="304"/>
      <w:bookmarkStart w:id="305" w:name="_Toc184312081"/>
      <w:bookmarkEnd w:id="305"/>
      <w:bookmarkStart w:id="306" w:name="_Toc184314479"/>
      <w:bookmarkEnd w:id="306"/>
      <w:bookmarkStart w:id="307" w:name="_Toc184310279"/>
      <w:bookmarkEnd w:id="307"/>
      <w:bookmarkStart w:id="308" w:name="_Toc184313295"/>
      <w:bookmarkEnd w:id="308"/>
      <w:bookmarkStart w:id="309" w:name="_Toc184310342"/>
      <w:bookmarkEnd w:id="309"/>
      <w:bookmarkStart w:id="310" w:name="_Toc184312123"/>
      <w:bookmarkEnd w:id="310"/>
      <w:bookmarkStart w:id="311" w:name="_Toc184308080"/>
      <w:bookmarkEnd w:id="311"/>
      <w:bookmarkStart w:id="312" w:name="_Toc184313291"/>
      <w:bookmarkEnd w:id="312"/>
      <w:bookmarkStart w:id="313" w:name="_Toc184310318"/>
      <w:bookmarkEnd w:id="313"/>
      <w:bookmarkStart w:id="314" w:name="_Toc184314429"/>
      <w:bookmarkEnd w:id="314"/>
      <w:bookmarkStart w:id="315" w:name="_Toc184313253"/>
      <w:bookmarkEnd w:id="315"/>
      <w:bookmarkStart w:id="316" w:name="_Toc184310314"/>
      <w:bookmarkEnd w:id="316"/>
      <w:bookmarkStart w:id="317" w:name="_Toc184314439"/>
      <w:bookmarkEnd w:id="317"/>
      <w:bookmarkStart w:id="318" w:name="_Toc184314462"/>
      <w:bookmarkEnd w:id="318"/>
      <w:bookmarkStart w:id="319" w:name="_Toc184308093"/>
      <w:bookmarkEnd w:id="319"/>
      <w:bookmarkStart w:id="320" w:name="_Toc184308101"/>
      <w:bookmarkEnd w:id="320"/>
      <w:bookmarkStart w:id="321" w:name="_Toc184312128"/>
      <w:bookmarkEnd w:id="321"/>
      <w:bookmarkStart w:id="322" w:name="_Toc184314419"/>
      <w:bookmarkEnd w:id="322"/>
      <w:bookmarkStart w:id="323" w:name="_Toc184314415"/>
      <w:bookmarkEnd w:id="323"/>
      <w:bookmarkStart w:id="324" w:name="_Toc184313279"/>
      <w:bookmarkEnd w:id="324"/>
      <w:bookmarkStart w:id="325" w:name="_Toc184313278"/>
      <w:bookmarkEnd w:id="325"/>
      <w:bookmarkStart w:id="326" w:name="_Toc184313287"/>
      <w:bookmarkEnd w:id="326"/>
      <w:bookmarkStart w:id="327" w:name="_Toc184313245"/>
      <w:bookmarkEnd w:id="327"/>
      <w:bookmarkStart w:id="328" w:name="_Toc184313264"/>
      <w:bookmarkEnd w:id="328"/>
      <w:bookmarkStart w:id="329" w:name="_Toc184314441"/>
      <w:bookmarkEnd w:id="329"/>
      <w:bookmarkStart w:id="330" w:name="_Toc184313285"/>
      <w:bookmarkEnd w:id="330"/>
      <w:bookmarkStart w:id="331" w:name="_Toc184312139"/>
      <w:bookmarkEnd w:id="331"/>
      <w:bookmarkStart w:id="332" w:name="_Toc184314431"/>
      <w:bookmarkEnd w:id="332"/>
      <w:bookmarkStart w:id="333" w:name="_Toc184310299"/>
      <w:bookmarkEnd w:id="333"/>
      <w:bookmarkStart w:id="334" w:name="_Toc184308064"/>
      <w:bookmarkEnd w:id="334"/>
      <w:bookmarkStart w:id="335" w:name="_Toc184308091"/>
      <w:bookmarkEnd w:id="335"/>
      <w:bookmarkStart w:id="336" w:name="_Toc184313254"/>
      <w:bookmarkEnd w:id="336"/>
      <w:bookmarkStart w:id="337" w:name="_Toc184313310"/>
      <w:bookmarkEnd w:id="337"/>
      <w:bookmarkStart w:id="338" w:name="_Toc184314418"/>
      <w:bookmarkEnd w:id="338"/>
      <w:bookmarkStart w:id="339" w:name="_Toc184310333"/>
      <w:bookmarkEnd w:id="339"/>
      <w:bookmarkStart w:id="340" w:name="_Toc184313249"/>
      <w:bookmarkEnd w:id="340"/>
      <w:bookmarkStart w:id="341" w:name="_Toc184313274"/>
      <w:bookmarkEnd w:id="341"/>
      <w:bookmarkStart w:id="342" w:name="_Toc184314443"/>
      <w:bookmarkEnd w:id="342"/>
      <w:bookmarkStart w:id="343" w:name="_Toc184312108"/>
      <w:bookmarkEnd w:id="343"/>
      <w:bookmarkStart w:id="344" w:name="_Toc184314472"/>
      <w:bookmarkEnd w:id="344"/>
      <w:bookmarkStart w:id="345" w:name="_Toc184308050"/>
      <w:bookmarkEnd w:id="345"/>
      <w:bookmarkStart w:id="346" w:name="_Toc184314424"/>
      <w:bookmarkEnd w:id="346"/>
      <w:bookmarkStart w:id="347" w:name="_Toc184313239"/>
      <w:bookmarkEnd w:id="347"/>
      <w:bookmarkStart w:id="348" w:name="_Toc184314412"/>
      <w:bookmarkEnd w:id="348"/>
      <w:bookmarkStart w:id="349" w:name="_Toc184310336"/>
      <w:bookmarkEnd w:id="349"/>
      <w:bookmarkStart w:id="350" w:name="_Toc184310297"/>
      <w:bookmarkEnd w:id="350"/>
      <w:bookmarkStart w:id="351" w:name="_Toc184313306"/>
      <w:bookmarkEnd w:id="351"/>
      <w:bookmarkStart w:id="352" w:name="_Toc184312076"/>
      <w:bookmarkEnd w:id="352"/>
      <w:bookmarkStart w:id="353" w:name="_Toc184313258"/>
      <w:bookmarkEnd w:id="353"/>
      <w:bookmarkStart w:id="354" w:name="_Toc184312083"/>
      <w:bookmarkEnd w:id="354"/>
      <w:bookmarkStart w:id="355" w:name="_Toc184314453"/>
      <w:bookmarkEnd w:id="355"/>
      <w:bookmarkStart w:id="356" w:name="_Toc184310337"/>
      <w:bookmarkEnd w:id="356"/>
      <w:bookmarkStart w:id="357" w:name="_Toc184314413"/>
      <w:bookmarkEnd w:id="357"/>
      <w:bookmarkStart w:id="358" w:name="_Toc184312106"/>
      <w:bookmarkEnd w:id="358"/>
      <w:bookmarkStart w:id="359" w:name="_Toc184312094"/>
      <w:bookmarkEnd w:id="359"/>
      <w:bookmarkStart w:id="360" w:name="_Toc184312131"/>
      <w:bookmarkEnd w:id="360"/>
      <w:bookmarkStart w:id="361" w:name="_Toc184314438"/>
      <w:bookmarkEnd w:id="361"/>
      <w:bookmarkStart w:id="362" w:name="_Toc184312113"/>
      <w:bookmarkEnd w:id="362"/>
      <w:bookmarkStart w:id="363" w:name="_Toc184314436"/>
      <w:bookmarkEnd w:id="363"/>
      <w:bookmarkStart w:id="364" w:name="_Toc184308054"/>
      <w:bookmarkEnd w:id="364"/>
      <w:bookmarkStart w:id="365" w:name="_Toc184313257"/>
      <w:bookmarkEnd w:id="365"/>
      <w:bookmarkStart w:id="366" w:name="_Toc184313272"/>
      <w:bookmarkEnd w:id="366"/>
      <w:bookmarkStart w:id="367" w:name="_Toc184314465"/>
      <w:bookmarkEnd w:id="367"/>
      <w:bookmarkStart w:id="368" w:name="_Toc184308047"/>
      <w:bookmarkEnd w:id="368"/>
      <w:bookmarkStart w:id="369" w:name="_Toc184313266"/>
      <w:bookmarkEnd w:id="369"/>
      <w:bookmarkStart w:id="370" w:name="_Toc184312092"/>
      <w:bookmarkEnd w:id="370"/>
      <w:bookmarkStart w:id="371" w:name="_Toc184308061"/>
      <w:bookmarkEnd w:id="371"/>
      <w:bookmarkStart w:id="372" w:name="_Toc184314446"/>
      <w:bookmarkEnd w:id="372"/>
      <w:bookmarkStart w:id="373" w:name="_Toc184308108"/>
      <w:bookmarkEnd w:id="373"/>
      <w:bookmarkStart w:id="374" w:name="_Toc184310302"/>
      <w:bookmarkEnd w:id="374"/>
      <w:bookmarkStart w:id="375" w:name="_Toc184310277"/>
      <w:bookmarkEnd w:id="375"/>
      <w:bookmarkStart w:id="376" w:name="_Toc184308072"/>
      <w:bookmarkEnd w:id="376"/>
      <w:bookmarkStart w:id="377" w:name="_Toc184310286"/>
      <w:bookmarkEnd w:id="377"/>
      <w:bookmarkStart w:id="378" w:name="_Toc184308039"/>
      <w:bookmarkEnd w:id="378"/>
      <w:bookmarkStart w:id="379" w:name="_Toc184313246"/>
      <w:bookmarkEnd w:id="379"/>
      <w:bookmarkStart w:id="380" w:name="_Toc184308059"/>
      <w:bookmarkEnd w:id="380"/>
      <w:bookmarkStart w:id="381" w:name="_Toc184308042"/>
      <w:bookmarkEnd w:id="381"/>
      <w:bookmarkStart w:id="382" w:name="_Toc184314451"/>
      <w:bookmarkEnd w:id="382"/>
      <w:bookmarkStart w:id="383" w:name="_Toc184310275"/>
      <w:bookmarkEnd w:id="383"/>
      <w:bookmarkStart w:id="384" w:name="_Toc184308096"/>
      <w:bookmarkEnd w:id="384"/>
      <w:bookmarkStart w:id="385" w:name="_Toc184312097"/>
      <w:bookmarkEnd w:id="385"/>
      <w:bookmarkStart w:id="386" w:name="_Toc184308037"/>
      <w:bookmarkEnd w:id="386"/>
      <w:bookmarkStart w:id="387" w:name="_Toc184312111"/>
      <w:bookmarkEnd w:id="387"/>
      <w:bookmarkStart w:id="388" w:name="_Toc184310289"/>
      <w:bookmarkEnd w:id="388"/>
      <w:bookmarkStart w:id="389" w:name="_Toc184308038"/>
      <w:bookmarkEnd w:id="389"/>
      <w:bookmarkStart w:id="390" w:name="_Toc184308097"/>
      <w:bookmarkEnd w:id="390"/>
      <w:bookmarkStart w:id="391" w:name="_Toc184312101"/>
      <w:bookmarkEnd w:id="391"/>
      <w:bookmarkStart w:id="392" w:name="_Toc184313248"/>
      <w:bookmarkEnd w:id="392"/>
      <w:bookmarkStart w:id="393" w:name="_Toc184313261"/>
      <w:bookmarkEnd w:id="393"/>
      <w:bookmarkStart w:id="394" w:name="_Toc184308040"/>
      <w:bookmarkEnd w:id="394"/>
      <w:bookmarkStart w:id="395" w:name="_Toc184314475"/>
      <w:bookmarkEnd w:id="395"/>
      <w:bookmarkStart w:id="396" w:name="_Toc184312086"/>
      <w:bookmarkEnd w:id="396"/>
      <w:bookmarkStart w:id="397" w:name="_Toc184308098"/>
      <w:bookmarkEnd w:id="397"/>
      <w:bookmarkStart w:id="398" w:name="_Toc184308085"/>
      <w:bookmarkEnd w:id="398"/>
      <w:bookmarkStart w:id="399" w:name="_Toc184310272"/>
      <w:bookmarkEnd w:id="399"/>
      <w:bookmarkStart w:id="400" w:name="_Toc184313276"/>
      <w:bookmarkEnd w:id="400"/>
      <w:bookmarkStart w:id="401" w:name="_Toc184312088"/>
      <w:bookmarkEnd w:id="401"/>
      <w:bookmarkStart w:id="402" w:name="_Toc184312072"/>
      <w:bookmarkEnd w:id="402"/>
      <w:bookmarkStart w:id="403" w:name="_Toc184310298"/>
      <w:bookmarkEnd w:id="403"/>
      <w:bookmarkStart w:id="404" w:name="_Toc184312135"/>
      <w:bookmarkEnd w:id="404"/>
      <w:bookmarkStart w:id="405" w:name="_Toc184310304"/>
      <w:bookmarkEnd w:id="405"/>
      <w:bookmarkStart w:id="406" w:name="_Toc184313256"/>
      <w:bookmarkEnd w:id="406"/>
      <w:bookmarkStart w:id="407" w:name="_Toc184310331"/>
      <w:bookmarkEnd w:id="407"/>
      <w:bookmarkStart w:id="408" w:name="_Toc184314448"/>
      <w:bookmarkEnd w:id="408"/>
      <w:bookmarkStart w:id="409" w:name="_Toc184314456"/>
      <w:bookmarkEnd w:id="409"/>
      <w:bookmarkStart w:id="410" w:name="_Toc184314421"/>
      <w:bookmarkEnd w:id="410"/>
      <w:bookmarkStart w:id="411" w:name="_Toc184308078"/>
      <w:bookmarkEnd w:id="411"/>
      <w:bookmarkStart w:id="412" w:name="_Toc184312110"/>
      <w:bookmarkEnd w:id="412"/>
      <w:bookmarkStart w:id="413" w:name="_Toc184313307"/>
      <w:bookmarkEnd w:id="413"/>
      <w:bookmarkStart w:id="414" w:name="_Toc184313288"/>
      <w:bookmarkEnd w:id="414"/>
      <w:bookmarkStart w:id="415" w:name="_Toc184310281"/>
      <w:bookmarkEnd w:id="415"/>
      <w:bookmarkStart w:id="416" w:name="_Toc184313290"/>
      <w:bookmarkEnd w:id="416"/>
      <w:bookmarkStart w:id="417" w:name="_Toc184314425"/>
      <w:bookmarkEnd w:id="417"/>
      <w:bookmarkStart w:id="418" w:name="_Toc184314466"/>
      <w:bookmarkEnd w:id="418"/>
      <w:bookmarkStart w:id="419" w:name="_Toc184313275"/>
      <w:bookmarkEnd w:id="419"/>
      <w:bookmarkStart w:id="420" w:name="_Toc184314411"/>
      <w:bookmarkEnd w:id="420"/>
      <w:bookmarkStart w:id="421" w:name="_Toc184308052"/>
      <w:bookmarkEnd w:id="421"/>
      <w:bookmarkStart w:id="422" w:name="_Toc184313308"/>
      <w:bookmarkEnd w:id="422"/>
      <w:bookmarkStart w:id="423" w:name="_Toc184312067"/>
      <w:bookmarkEnd w:id="423"/>
      <w:bookmarkStart w:id="424" w:name="_Toc184312084"/>
      <w:bookmarkEnd w:id="424"/>
      <w:bookmarkStart w:id="425" w:name="_Toc184310273"/>
      <w:bookmarkEnd w:id="425"/>
      <w:bookmarkStart w:id="426" w:name="第四部分"/>
      <w:r>
        <w:rPr>
          <w:rFonts w:hint="eastAsia"/>
          <w:color w:val="auto"/>
          <w:highlight w:val="none"/>
        </w:rPr>
        <w:t>评标办法及评分标准</w:t>
      </w:r>
      <w:bookmarkEnd w:id="59"/>
      <w:bookmarkEnd w:id="60"/>
    </w:p>
    <w:p>
      <w:pPr>
        <w:pStyle w:val="3"/>
        <w:spacing w:line="360" w:lineRule="auto"/>
        <w:rPr>
          <w:rFonts w:hint="eastAsia"/>
          <w:color w:val="auto"/>
          <w:highlight w:val="none"/>
        </w:rPr>
      </w:pPr>
      <w:bookmarkStart w:id="427" w:name="_Toc1764"/>
      <w:r>
        <w:rPr>
          <w:rFonts w:hint="eastAsia"/>
          <w:color w:val="auto"/>
          <w:highlight w:val="none"/>
        </w:rPr>
        <w:t>一、评标办法</w:t>
      </w:r>
      <w:bookmarkEnd w:id="427"/>
    </w:p>
    <w:p>
      <w:pPr>
        <w:spacing w:line="360" w:lineRule="auto"/>
        <w:ind w:firstLine="482" w:firstLineChars="200"/>
        <w:rPr>
          <w:rFonts w:hint="eastAsia"/>
          <w:b/>
          <w:bCs/>
          <w:color w:val="auto"/>
          <w:sz w:val="24"/>
          <w:highlight w:val="none"/>
        </w:rPr>
      </w:pPr>
      <w:r>
        <w:rPr>
          <w:rFonts w:hint="eastAsia"/>
          <w:b/>
          <w:bCs/>
          <w:color w:val="auto"/>
          <w:sz w:val="24"/>
          <w:highlight w:val="none"/>
        </w:rPr>
        <w:t>本次招标将按下列评标办法进行评标：</w:t>
      </w:r>
    </w:p>
    <w:p>
      <w:pPr>
        <w:numPr>
          <w:ilvl w:val="0"/>
          <w:numId w:val="28"/>
        </w:numPr>
        <w:spacing w:line="360" w:lineRule="auto"/>
        <w:ind w:firstLine="482" w:firstLineChars="200"/>
        <w:rPr>
          <w:rFonts w:hint="eastAsia"/>
          <w:color w:val="auto"/>
          <w:sz w:val="24"/>
          <w:highlight w:val="none"/>
        </w:rPr>
      </w:pPr>
      <w:r>
        <w:rPr>
          <w:rFonts w:hint="eastAsia"/>
          <w:b/>
          <w:bCs/>
          <w:color w:val="auto"/>
          <w:sz w:val="24"/>
          <w:highlight w:val="none"/>
        </w:rPr>
        <w:t>综合评分法</w:t>
      </w:r>
      <w:r>
        <w:rPr>
          <w:rFonts w:hint="eastAsia"/>
          <w:color w:val="auto"/>
          <w:sz w:val="24"/>
          <w:highlight w:val="none"/>
        </w:rPr>
        <w:t>。即在最大限度地满足招标文件实质性要求的前提下，按照《评分标准》规定的评分因素对各投标人的投标文件进行综合评审，以技术分、商务分、报价分总得分最高的投标人作为中标候选人。如最高总得分相同的，以报价低者作为中标候选人。如最高总得分且报价相同的，以技术指标优者作为中标候选人；无法确定技术指标优劣的，则抽签确定中标候选人。</w:t>
      </w:r>
    </w:p>
    <w:p>
      <w:pPr>
        <w:numPr>
          <w:ilvl w:val="0"/>
          <w:numId w:val="28"/>
        </w:numPr>
        <w:spacing w:line="360" w:lineRule="auto"/>
        <w:ind w:firstLine="480" w:firstLineChars="200"/>
        <w:rPr>
          <w:rFonts w:hint="eastAsia"/>
          <w:color w:val="auto"/>
          <w:sz w:val="24"/>
          <w:highlight w:val="none"/>
        </w:rPr>
      </w:pPr>
      <w:r>
        <w:rPr>
          <w:rFonts w:hint="eastAsia"/>
          <w:color w:val="auto"/>
          <w:sz w:val="24"/>
          <w:highlight w:val="none"/>
        </w:rPr>
        <w:t>本次评标采用</w:t>
      </w:r>
      <w:r>
        <w:rPr>
          <w:rFonts w:hint="eastAsia"/>
          <w:b/>
          <w:bCs/>
          <w:color w:val="auto"/>
          <w:sz w:val="24"/>
          <w:highlight w:val="none"/>
        </w:rPr>
        <w:t>百分制计分</w:t>
      </w:r>
      <w:r>
        <w:rPr>
          <w:rFonts w:hint="eastAsia"/>
          <w:color w:val="auto"/>
          <w:sz w:val="24"/>
          <w:highlight w:val="none"/>
        </w:rPr>
        <w:t>，计算时四舍五入保留到小数点后两位。</w:t>
      </w:r>
    </w:p>
    <w:p>
      <w:pPr>
        <w:pStyle w:val="3"/>
        <w:spacing w:line="360" w:lineRule="auto"/>
        <w:rPr>
          <w:rFonts w:hint="eastAsia"/>
          <w:color w:val="auto"/>
          <w:highlight w:val="none"/>
        </w:rPr>
      </w:pPr>
      <w:r>
        <w:rPr>
          <w:rFonts w:hint="eastAsia"/>
          <w:color w:val="auto"/>
          <w:highlight w:val="none"/>
        </w:rPr>
        <w:t>二、评分标准</w:t>
      </w:r>
    </w:p>
    <w:p>
      <w:pPr>
        <w:spacing w:line="360" w:lineRule="auto"/>
        <w:ind w:firstLine="482" w:firstLineChars="200"/>
        <w:rPr>
          <w:rFonts w:hint="eastAsia"/>
          <w:b/>
          <w:bCs/>
          <w:color w:val="auto"/>
          <w:sz w:val="24"/>
          <w:highlight w:val="none"/>
        </w:rPr>
      </w:pPr>
      <w:bookmarkStart w:id="428" w:name="_Toc3852"/>
      <w:bookmarkStart w:id="429" w:name="_Toc28612"/>
      <w:bookmarkStart w:id="430" w:name="_Toc506107086"/>
      <w:bookmarkStart w:id="431" w:name="_Toc2947"/>
      <w:bookmarkStart w:id="432" w:name="_Hlk98661099"/>
      <w:r>
        <w:rPr>
          <w:rFonts w:hint="eastAsia"/>
          <w:b/>
          <w:bCs/>
          <w:color w:val="auto"/>
          <w:sz w:val="24"/>
          <w:highlight w:val="none"/>
        </w:rPr>
        <w:t>一、报价文件评分标准（</w:t>
      </w:r>
      <w:r>
        <w:rPr>
          <w:rFonts w:hint="eastAsia"/>
          <w:b/>
          <w:bCs/>
          <w:color w:val="auto"/>
          <w:sz w:val="24"/>
          <w:highlight w:val="none"/>
          <w:lang w:val="en-US" w:eastAsia="zh-CN"/>
        </w:rPr>
        <w:t>3</w:t>
      </w:r>
      <w:r>
        <w:rPr>
          <w:rFonts w:hint="eastAsia"/>
          <w:b/>
          <w:bCs/>
          <w:color w:val="auto"/>
          <w:sz w:val="24"/>
          <w:highlight w:val="none"/>
        </w:rPr>
        <w:t>0分）</w:t>
      </w:r>
    </w:p>
    <w:p>
      <w:pPr>
        <w:spacing w:line="360" w:lineRule="auto"/>
        <w:ind w:firstLine="480" w:firstLineChars="200"/>
        <w:rPr>
          <w:rFonts w:hint="eastAsia"/>
          <w:color w:val="auto"/>
          <w:sz w:val="24"/>
          <w:highlight w:val="none"/>
        </w:rPr>
      </w:pPr>
      <w:r>
        <w:rPr>
          <w:rFonts w:hint="eastAsia"/>
          <w:color w:val="auto"/>
          <w:sz w:val="24"/>
          <w:highlight w:val="none"/>
        </w:rPr>
        <w:t>报价文件主要是对投标人的有效报价进行评议，其评分标准及分值设置规则如下：</w:t>
      </w:r>
    </w:p>
    <w:p>
      <w:pPr>
        <w:spacing w:line="360" w:lineRule="auto"/>
        <w:ind w:firstLine="480" w:firstLineChars="200"/>
        <w:rPr>
          <w:rFonts w:hint="eastAsia"/>
          <w:color w:val="auto"/>
          <w:sz w:val="24"/>
          <w:highlight w:val="none"/>
        </w:rPr>
      </w:pPr>
      <w:r>
        <w:rPr>
          <w:rFonts w:hint="eastAsia"/>
          <w:color w:val="auto"/>
          <w:sz w:val="24"/>
          <w:highlight w:val="none"/>
        </w:rPr>
        <w:t>1、本次招标最高限价规定如下：</w:t>
      </w:r>
    </w:p>
    <w:p>
      <w:pPr>
        <w:spacing w:line="360" w:lineRule="auto"/>
        <w:ind w:firstLine="480" w:firstLineChars="200"/>
        <w:rPr>
          <w:rFonts w:hint="eastAsia"/>
          <w:color w:val="auto"/>
          <w:sz w:val="24"/>
          <w:highlight w:val="none"/>
        </w:rPr>
      </w:pPr>
      <w:r>
        <w:rPr>
          <w:rFonts w:hint="eastAsia"/>
          <w:color w:val="auto"/>
          <w:sz w:val="24"/>
          <w:highlight w:val="none"/>
        </w:rPr>
        <w:t>本项目投标报价的最高限价具体如下：</w:t>
      </w:r>
    </w:p>
    <w:p>
      <w:pPr>
        <w:spacing w:line="360" w:lineRule="auto"/>
        <w:ind w:firstLine="482" w:firstLineChars="200"/>
        <w:rPr>
          <w:rFonts w:hint="eastAsia" w:eastAsia="宋体"/>
          <w:b/>
          <w:color w:val="auto"/>
          <w:sz w:val="24"/>
          <w:highlight w:val="none"/>
          <w:lang w:eastAsia="zh-CN"/>
        </w:rPr>
      </w:pPr>
      <w:r>
        <w:rPr>
          <w:rFonts w:hint="eastAsia"/>
          <w:b/>
          <w:bCs/>
          <w:color w:val="auto"/>
          <w:sz w:val="24"/>
          <w:highlight w:val="none"/>
        </w:rPr>
        <w:t>本项目最高限价为人</w:t>
      </w:r>
      <w:r>
        <w:rPr>
          <w:rFonts w:hint="eastAsia"/>
          <w:b/>
          <w:color w:val="auto"/>
          <w:sz w:val="24"/>
          <w:highlight w:val="none"/>
        </w:rPr>
        <w:t>民币</w:t>
      </w:r>
      <w:r>
        <w:rPr>
          <w:rFonts w:hint="eastAsia"/>
          <w:b/>
          <w:color w:val="auto"/>
          <w:sz w:val="24"/>
          <w:highlight w:val="none"/>
          <w:u w:val="single"/>
          <w:lang w:eastAsia="zh-CN"/>
        </w:rPr>
        <w:t>玖佰贰拾万</w:t>
      </w:r>
      <w:r>
        <w:rPr>
          <w:rFonts w:hint="eastAsia"/>
          <w:b/>
          <w:color w:val="auto"/>
          <w:sz w:val="24"/>
          <w:highlight w:val="none"/>
          <w:u w:val="single"/>
        </w:rPr>
        <w:t>元</w:t>
      </w:r>
      <w:r>
        <w:rPr>
          <w:rFonts w:hint="eastAsia"/>
          <w:b/>
          <w:color w:val="auto"/>
          <w:sz w:val="24"/>
          <w:highlight w:val="none"/>
        </w:rPr>
        <w:t>（小写</w:t>
      </w:r>
      <w:r>
        <w:rPr>
          <w:rFonts w:hint="eastAsia" w:cs="宋体"/>
          <w:b/>
          <w:color w:val="auto"/>
          <w:sz w:val="24"/>
          <w:highlight w:val="none"/>
          <w:lang w:val="en-US" w:eastAsia="zh-CN"/>
        </w:rPr>
        <w:t>9200000</w:t>
      </w:r>
      <w:r>
        <w:rPr>
          <w:rFonts w:hint="eastAsia" w:ascii="宋体" w:hAnsi="宋体" w:eastAsia="宋体" w:cs="宋体"/>
          <w:b/>
          <w:color w:val="auto"/>
          <w:sz w:val="24"/>
          <w:highlight w:val="none"/>
        </w:rPr>
        <w:t>元</w:t>
      </w:r>
      <w:r>
        <w:rPr>
          <w:rFonts w:hint="eastAsia"/>
          <w:b/>
          <w:color w:val="auto"/>
          <w:sz w:val="24"/>
          <w:highlight w:val="none"/>
        </w:rPr>
        <w:t>）</w:t>
      </w:r>
      <w:r>
        <w:rPr>
          <w:rFonts w:hint="eastAsia"/>
          <w:b/>
          <w:color w:val="auto"/>
          <w:sz w:val="24"/>
          <w:highlight w:val="none"/>
          <w:lang w:eastAsia="zh-CN"/>
        </w:rPr>
        <w:t>。</w:t>
      </w:r>
      <w:r>
        <w:rPr>
          <w:rFonts w:hint="eastAsia"/>
          <w:b/>
          <w:color w:val="auto"/>
          <w:sz w:val="24"/>
          <w:highlight w:val="none"/>
          <w:lang w:val="en-US" w:eastAsia="zh-CN"/>
        </w:rPr>
        <w:t>其中</w:t>
      </w:r>
      <w:r>
        <w:rPr>
          <w:rFonts w:hint="eastAsia"/>
          <w:b/>
          <w:bCs/>
          <w:color w:val="auto"/>
          <w:sz w:val="24"/>
          <w:highlight w:val="none"/>
          <w:lang w:eastAsia="zh-CN"/>
        </w:rPr>
        <w:t>惠普广场ABC楼区域</w:t>
      </w:r>
      <w:r>
        <w:rPr>
          <w:rFonts w:hint="eastAsia"/>
          <w:b/>
          <w:bCs/>
          <w:color w:val="auto"/>
          <w:sz w:val="24"/>
          <w:highlight w:val="none"/>
        </w:rPr>
        <w:t>最高限价为人</w:t>
      </w:r>
      <w:r>
        <w:rPr>
          <w:rFonts w:hint="eastAsia"/>
          <w:b/>
          <w:color w:val="auto"/>
          <w:sz w:val="24"/>
          <w:highlight w:val="none"/>
        </w:rPr>
        <w:t>民币</w:t>
      </w:r>
      <w:r>
        <w:rPr>
          <w:rFonts w:hint="eastAsia"/>
          <w:b/>
          <w:color w:val="auto"/>
          <w:sz w:val="24"/>
          <w:highlight w:val="none"/>
          <w:u w:val="single"/>
          <w:lang w:val="en-US" w:eastAsia="zh-CN"/>
        </w:rPr>
        <w:t>陆佰零捌万玖仟捌佰捌拾</w:t>
      </w:r>
      <w:r>
        <w:rPr>
          <w:rFonts w:hint="eastAsia"/>
          <w:b/>
          <w:color w:val="auto"/>
          <w:sz w:val="24"/>
          <w:highlight w:val="none"/>
          <w:u w:val="single"/>
        </w:rPr>
        <w:t>元</w:t>
      </w:r>
      <w:r>
        <w:rPr>
          <w:rFonts w:hint="eastAsia"/>
          <w:b/>
          <w:color w:val="auto"/>
          <w:sz w:val="24"/>
          <w:highlight w:val="none"/>
        </w:rPr>
        <w:t>（小写</w:t>
      </w:r>
      <w:r>
        <w:rPr>
          <w:rFonts w:hint="eastAsia"/>
          <w:b/>
          <w:bCs/>
          <w:color w:val="auto"/>
          <w:sz w:val="24"/>
          <w:highlight w:val="none"/>
          <w:lang w:eastAsia="zh-CN"/>
        </w:rPr>
        <w:t>6089880元；惠普广场D楼区域</w:t>
      </w:r>
      <w:r>
        <w:rPr>
          <w:rFonts w:hint="eastAsia"/>
          <w:b/>
          <w:bCs/>
          <w:color w:val="auto"/>
          <w:sz w:val="24"/>
          <w:highlight w:val="none"/>
        </w:rPr>
        <w:t>最高限价为人</w:t>
      </w:r>
      <w:r>
        <w:rPr>
          <w:rFonts w:hint="eastAsia"/>
          <w:b/>
          <w:color w:val="auto"/>
          <w:sz w:val="24"/>
          <w:highlight w:val="none"/>
        </w:rPr>
        <w:t>民币</w:t>
      </w:r>
      <w:r>
        <w:rPr>
          <w:rFonts w:hint="eastAsia"/>
          <w:b/>
          <w:color w:val="auto"/>
          <w:sz w:val="24"/>
          <w:highlight w:val="none"/>
          <w:u w:val="single"/>
          <w:lang w:val="en-US" w:eastAsia="zh-CN"/>
        </w:rPr>
        <w:t>壹佰柒拾伍万陆仟零陆拾</w:t>
      </w:r>
      <w:r>
        <w:rPr>
          <w:rFonts w:hint="eastAsia"/>
          <w:b/>
          <w:color w:val="auto"/>
          <w:sz w:val="24"/>
          <w:highlight w:val="none"/>
          <w:u w:val="single"/>
        </w:rPr>
        <w:t>元</w:t>
      </w:r>
      <w:r>
        <w:rPr>
          <w:rFonts w:hint="eastAsia"/>
          <w:b/>
          <w:color w:val="auto"/>
          <w:sz w:val="24"/>
          <w:highlight w:val="none"/>
        </w:rPr>
        <w:t>（小写</w:t>
      </w:r>
      <w:r>
        <w:rPr>
          <w:rFonts w:hint="eastAsia"/>
          <w:b/>
          <w:bCs/>
          <w:color w:val="auto"/>
          <w:sz w:val="24"/>
          <w:highlight w:val="none"/>
          <w:lang w:eastAsia="zh-CN"/>
        </w:rPr>
        <w:t>1756060元；惠普大通e享城商贸区域</w:t>
      </w:r>
      <w:r>
        <w:rPr>
          <w:rFonts w:hint="eastAsia"/>
          <w:b/>
          <w:bCs/>
          <w:color w:val="auto"/>
          <w:sz w:val="24"/>
          <w:highlight w:val="none"/>
        </w:rPr>
        <w:t>最高限价为人</w:t>
      </w:r>
      <w:r>
        <w:rPr>
          <w:rFonts w:hint="eastAsia"/>
          <w:b/>
          <w:color w:val="auto"/>
          <w:sz w:val="24"/>
          <w:highlight w:val="none"/>
        </w:rPr>
        <w:t>民币</w:t>
      </w:r>
      <w:r>
        <w:rPr>
          <w:rFonts w:hint="eastAsia"/>
          <w:b/>
          <w:color w:val="auto"/>
          <w:sz w:val="24"/>
          <w:highlight w:val="none"/>
          <w:u w:val="single"/>
          <w:lang w:val="en-US" w:eastAsia="zh-CN"/>
        </w:rPr>
        <w:t>壹佰叁拾伍万肆仟零陆拾</w:t>
      </w:r>
      <w:r>
        <w:rPr>
          <w:rFonts w:hint="eastAsia"/>
          <w:b/>
          <w:color w:val="auto"/>
          <w:sz w:val="24"/>
          <w:highlight w:val="none"/>
          <w:u w:val="single"/>
        </w:rPr>
        <w:t>元</w:t>
      </w:r>
      <w:r>
        <w:rPr>
          <w:rFonts w:hint="eastAsia"/>
          <w:b/>
          <w:color w:val="auto"/>
          <w:sz w:val="24"/>
          <w:highlight w:val="none"/>
        </w:rPr>
        <w:t>（小写</w:t>
      </w:r>
      <w:r>
        <w:rPr>
          <w:rFonts w:hint="eastAsia"/>
          <w:b/>
          <w:bCs/>
          <w:color w:val="auto"/>
          <w:sz w:val="24"/>
          <w:highlight w:val="none"/>
          <w:lang w:eastAsia="zh-CN"/>
        </w:rPr>
        <w:t>1354060元。</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2、投标报价文件中，如有以下情况之一的，不进入评审：</w:t>
      </w:r>
    </w:p>
    <w:p>
      <w:pPr>
        <w:spacing w:line="360" w:lineRule="auto"/>
        <w:ind w:firstLine="480" w:firstLineChars="20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投标人的报价超出最高限价的，不进入商务评审</w:t>
      </w:r>
      <w:r>
        <w:rPr>
          <w:rFonts w:hint="eastAsia" w:ascii="宋体" w:hAnsi="宋体" w:eastAsia="宋体" w:cs="宋体"/>
          <w:color w:val="auto"/>
          <w:sz w:val="24"/>
          <w:szCs w:val="21"/>
          <w:highlight w:val="none"/>
          <w:lang w:eastAsia="zh-CN"/>
        </w:rPr>
        <w:t>。</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3、报价分计算方法：根据进入商务评审的各投标人的有效投标报价的平均价作为评标基准价</w:t>
      </w:r>
      <w:r>
        <w:rPr>
          <w:rFonts w:hint="eastAsia" w:ascii="宋体" w:hAnsi="宋体" w:eastAsia="宋体" w:cs="宋体"/>
          <w:color w:val="auto"/>
          <w:sz w:val="24"/>
          <w:szCs w:val="21"/>
          <w:highlight w:val="none"/>
          <w:lang w:eastAsia="zh-CN"/>
        </w:rPr>
        <w:t>（当</w:t>
      </w:r>
      <w:r>
        <w:rPr>
          <w:rFonts w:hint="eastAsia" w:ascii="宋体" w:hAnsi="宋体" w:eastAsia="宋体" w:cs="宋体"/>
          <w:color w:val="auto"/>
          <w:sz w:val="24"/>
          <w:szCs w:val="21"/>
          <w:highlight w:val="none"/>
        </w:rPr>
        <w:t>有效投标报价</w:t>
      </w:r>
      <w:r>
        <w:rPr>
          <w:rFonts w:hint="eastAsia" w:ascii="宋体" w:hAnsi="宋体" w:eastAsia="宋体" w:cs="宋体"/>
          <w:color w:val="auto"/>
          <w:sz w:val="24"/>
          <w:szCs w:val="21"/>
          <w:highlight w:val="none"/>
          <w:lang w:eastAsia="zh-CN"/>
        </w:rPr>
        <w:t>小于等于</w:t>
      </w:r>
      <w:r>
        <w:rPr>
          <w:rFonts w:hint="eastAsia" w:ascii="宋体" w:hAnsi="宋体" w:eastAsia="宋体" w:cs="宋体"/>
          <w:color w:val="auto"/>
          <w:sz w:val="24"/>
          <w:szCs w:val="21"/>
          <w:highlight w:val="none"/>
          <w:lang w:val="en-US" w:eastAsia="zh-CN"/>
        </w:rPr>
        <w:t>5个时，取所有</w:t>
      </w:r>
      <w:r>
        <w:rPr>
          <w:rFonts w:hint="eastAsia" w:ascii="宋体" w:hAnsi="宋体" w:eastAsia="宋体" w:cs="宋体"/>
          <w:color w:val="auto"/>
          <w:sz w:val="24"/>
          <w:szCs w:val="21"/>
          <w:highlight w:val="none"/>
        </w:rPr>
        <w:t>有效投标报价</w:t>
      </w:r>
      <w:r>
        <w:rPr>
          <w:rFonts w:hint="eastAsia" w:ascii="宋体" w:hAnsi="宋体" w:eastAsia="宋体" w:cs="宋体"/>
          <w:color w:val="auto"/>
          <w:sz w:val="24"/>
          <w:szCs w:val="21"/>
          <w:highlight w:val="none"/>
          <w:lang w:eastAsia="zh-CN"/>
        </w:rPr>
        <w:t>的平均值，当</w:t>
      </w:r>
      <w:r>
        <w:rPr>
          <w:rFonts w:hint="eastAsia" w:ascii="宋体" w:hAnsi="宋体" w:eastAsia="宋体" w:cs="宋体"/>
          <w:color w:val="auto"/>
          <w:sz w:val="24"/>
          <w:szCs w:val="21"/>
          <w:highlight w:val="none"/>
        </w:rPr>
        <w:t>有效投标报价</w:t>
      </w:r>
      <w:r>
        <w:rPr>
          <w:rFonts w:hint="eastAsia" w:ascii="宋体" w:hAnsi="宋体" w:eastAsia="宋体" w:cs="宋体"/>
          <w:color w:val="auto"/>
          <w:sz w:val="24"/>
          <w:szCs w:val="21"/>
          <w:highlight w:val="none"/>
          <w:lang w:eastAsia="zh-CN"/>
        </w:rPr>
        <w:t>大于</w:t>
      </w:r>
      <w:r>
        <w:rPr>
          <w:rFonts w:hint="eastAsia" w:ascii="宋体" w:hAnsi="宋体" w:eastAsia="宋体" w:cs="宋体"/>
          <w:color w:val="auto"/>
          <w:sz w:val="24"/>
          <w:szCs w:val="21"/>
          <w:highlight w:val="none"/>
          <w:lang w:val="en-US" w:eastAsia="zh-CN"/>
        </w:rPr>
        <w:t>5个时，取去掉一个最高</w:t>
      </w:r>
      <w:r>
        <w:rPr>
          <w:rFonts w:hint="eastAsia" w:ascii="宋体" w:hAnsi="宋体" w:eastAsia="宋体" w:cs="宋体"/>
          <w:color w:val="auto"/>
          <w:sz w:val="24"/>
          <w:szCs w:val="21"/>
          <w:highlight w:val="none"/>
        </w:rPr>
        <w:t>有效投标报价</w:t>
      </w:r>
      <w:r>
        <w:rPr>
          <w:rFonts w:hint="eastAsia" w:ascii="宋体" w:hAnsi="宋体" w:eastAsia="宋体" w:cs="宋体"/>
          <w:color w:val="auto"/>
          <w:sz w:val="24"/>
          <w:szCs w:val="21"/>
          <w:highlight w:val="none"/>
          <w:lang w:eastAsia="zh-CN"/>
        </w:rPr>
        <w:t>和一个最低</w:t>
      </w:r>
      <w:r>
        <w:rPr>
          <w:rFonts w:hint="eastAsia" w:ascii="宋体" w:hAnsi="宋体" w:eastAsia="宋体" w:cs="宋体"/>
          <w:color w:val="auto"/>
          <w:sz w:val="24"/>
          <w:szCs w:val="21"/>
          <w:highlight w:val="none"/>
        </w:rPr>
        <w:t>有效投标报价</w:t>
      </w:r>
      <w:r>
        <w:rPr>
          <w:rFonts w:hint="eastAsia" w:ascii="宋体" w:hAnsi="宋体" w:eastAsia="宋体" w:cs="宋体"/>
          <w:color w:val="auto"/>
          <w:sz w:val="24"/>
          <w:szCs w:val="21"/>
          <w:highlight w:val="none"/>
          <w:lang w:eastAsia="zh-CN"/>
        </w:rPr>
        <w:t>后其余</w:t>
      </w:r>
      <w:r>
        <w:rPr>
          <w:rFonts w:hint="eastAsia" w:ascii="宋体" w:hAnsi="宋体" w:eastAsia="宋体" w:cs="宋体"/>
          <w:color w:val="auto"/>
          <w:sz w:val="24"/>
          <w:szCs w:val="21"/>
          <w:highlight w:val="none"/>
          <w:lang w:val="en-US" w:eastAsia="zh-CN"/>
        </w:rPr>
        <w:t>所有</w:t>
      </w:r>
      <w:r>
        <w:rPr>
          <w:rFonts w:hint="eastAsia" w:ascii="宋体" w:hAnsi="宋体" w:eastAsia="宋体" w:cs="宋体"/>
          <w:color w:val="auto"/>
          <w:sz w:val="24"/>
          <w:szCs w:val="21"/>
          <w:highlight w:val="none"/>
        </w:rPr>
        <w:t>有效投标报价</w:t>
      </w:r>
      <w:r>
        <w:rPr>
          <w:rFonts w:hint="eastAsia" w:ascii="宋体" w:hAnsi="宋体" w:eastAsia="宋体" w:cs="宋体"/>
          <w:color w:val="auto"/>
          <w:sz w:val="24"/>
          <w:szCs w:val="21"/>
          <w:highlight w:val="none"/>
          <w:lang w:eastAsia="zh-CN"/>
        </w:rPr>
        <w:t>的平均值）</w:t>
      </w:r>
      <w:r>
        <w:rPr>
          <w:rFonts w:hint="eastAsia" w:ascii="宋体" w:hAnsi="宋体" w:eastAsia="宋体" w:cs="宋体"/>
          <w:color w:val="auto"/>
          <w:sz w:val="24"/>
          <w:szCs w:val="21"/>
          <w:highlight w:val="none"/>
        </w:rPr>
        <w:t>。</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每个投标报价与评标基准价对比，计算商务报价的得分值，即：</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a</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投标报价等于评标基准价时，得满分</w:t>
      </w:r>
      <w:r>
        <w:rPr>
          <w:rFonts w:hint="eastAsia" w:cs="宋体"/>
          <w:color w:val="auto"/>
          <w:sz w:val="24"/>
          <w:szCs w:val="21"/>
          <w:highlight w:val="none"/>
          <w:lang w:val="en-US" w:eastAsia="zh-CN"/>
        </w:rPr>
        <w:t>3</w:t>
      </w:r>
      <w:r>
        <w:rPr>
          <w:rFonts w:hint="eastAsia" w:ascii="宋体" w:hAnsi="宋体" w:eastAsia="宋体" w:cs="宋体"/>
          <w:color w:val="auto"/>
          <w:sz w:val="24"/>
          <w:szCs w:val="21"/>
          <w:highlight w:val="none"/>
        </w:rPr>
        <w:t>0分；</w:t>
      </w:r>
    </w:p>
    <w:p>
      <w:pPr>
        <w:spacing w:line="360" w:lineRule="auto"/>
        <w:ind w:firstLine="480" w:firstLineChars="200"/>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b．投标报价每低于评标基准价1个百分点，扣</w:t>
      </w:r>
      <w:r>
        <w:rPr>
          <w:rFonts w:hint="eastAsia" w:cs="宋体"/>
          <w:color w:val="auto"/>
          <w:sz w:val="24"/>
          <w:szCs w:val="21"/>
          <w:highlight w:val="none"/>
          <w:lang w:val="en-US" w:eastAsia="zh-CN"/>
        </w:rPr>
        <w:t>1</w:t>
      </w:r>
      <w:r>
        <w:rPr>
          <w:rFonts w:hint="eastAsia" w:ascii="宋体" w:hAnsi="宋体" w:eastAsia="宋体" w:cs="宋体"/>
          <w:color w:val="auto"/>
          <w:sz w:val="24"/>
          <w:szCs w:val="21"/>
          <w:highlight w:val="none"/>
        </w:rPr>
        <w:t>分</w:t>
      </w:r>
      <w:r>
        <w:rPr>
          <w:rFonts w:hint="eastAsia" w:ascii="宋体" w:hAnsi="宋体" w:eastAsia="宋体" w:cs="宋体"/>
          <w:color w:val="auto"/>
          <w:sz w:val="24"/>
          <w:szCs w:val="21"/>
          <w:highlight w:val="none"/>
          <w:lang w:val="en-US" w:eastAsia="zh-CN"/>
        </w:rPr>
        <w:t>。</w:t>
      </w:r>
    </w:p>
    <w:p>
      <w:pPr>
        <w:spacing w:line="360" w:lineRule="auto"/>
        <w:ind w:firstLine="480" w:firstLineChars="200"/>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投标报价得分</w:t>
      </w:r>
      <w:r>
        <w:rPr>
          <w:rFonts w:hint="eastAsia" w:ascii="宋体" w:hAnsi="宋体" w:eastAsia="宋体" w:cs="宋体"/>
          <w:color w:val="auto"/>
          <w:sz w:val="24"/>
          <w:szCs w:val="21"/>
          <w:highlight w:val="none"/>
          <w:lang w:eastAsia="zh-CN"/>
        </w:rPr>
        <w:t>（最低得分为</w:t>
      </w:r>
      <w:r>
        <w:rPr>
          <w:rFonts w:hint="eastAsia" w:ascii="宋体" w:hAnsi="宋体" w:eastAsia="宋体" w:cs="宋体"/>
          <w:color w:val="auto"/>
          <w:sz w:val="24"/>
          <w:szCs w:val="21"/>
          <w:highlight w:val="none"/>
          <w:lang w:val="en-US" w:eastAsia="zh-CN"/>
        </w:rPr>
        <w:t>0分</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w:t>
      </w:r>
      <w:r>
        <w:rPr>
          <w:rFonts w:hint="eastAsia" w:cs="宋体"/>
          <w:color w:val="auto"/>
          <w:sz w:val="24"/>
          <w:szCs w:val="21"/>
          <w:highlight w:val="none"/>
          <w:lang w:val="en-US" w:eastAsia="zh-CN"/>
        </w:rPr>
        <w:t>3</w:t>
      </w:r>
      <w:r>
        <w:rPr>
          <w:rFonts w:hint="eastAsia" w:ascii="宋体" w:hAnsi="宋体" w:eastAsia="宋体" w:cs="宋体"/>
          <w:color w:val="auto"/>
          <w:sz w:val="24"/>
          <w:szCs w:val="21"/>
          <w:highlight w:val="none"/>
        </w:rPr>
        <w:t>0—100%×（评标基准价—投标报价）÷评标基准价×100×</w:t>
      </w:r>
      <w:r>
        <w:rPr>
          <w:rFonts w:hint="eastAsia" w:cs="宋体"/>
          <w:color w:val="auto"/>
          <w:sz w:val="24"/>
          <w:szCs w:val="21"/>
          <w:highlight w:val="none"/>
          <w:lang w:val="en-US" w:eastAsia="zh-CN"/>
        </w:rPr>
        <w:t>1</w:t>
      </w:r>
      <w:r>
        <w:rPr>
          <w:rFonts w:hint="eastAsia" w:ascii="宋体" w:hAnsi="宋体" w:eastAsia="宋体" w:cs="宋体"/>
          <w:color w:val="auto"/>
          <w:sz w:val="24"/>
          <w:szCs w:val="21"/>
          <w:highlight w:val="none"/>
          <w:lang w:val="en-US" w:eastAsia="zh-CN"/>
        </w:rPr>
        <w:t>。</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c．投标报价每高于评标基准价1个百分点，扣</w:t>
      </w:r>
      <w:r>
        <w:rPr>
          <w:rFonts w:hint="eastAsia" w:cs="宋体"/>
          <w:color w:val="auto"/>
          <w:sz w:val="24"/>
          <w:szCs w:val="21"/>
          <w:highlight w:val="none"/>
          <w:lang w:val="en-US" w:eastAsia="zh-CN"/>
        </w:rPr>
        <w:t>1.2</w:t>
      </w:r>
      <w:r>
        <w:rPr>
          <w:rFonts w:hint="eastAsia" w:ascii="宋体" w:hAnsi="宋体" w:eastAsia="宋体" w:cs="宋体"/>
          <w:color w:val="auto"/>
          <w:sz w:val="24"/>
          <w:szCs w:val="21"/>
          <w:highlight w:val="none"/>
        </w:rPr>
        <w:t>分</w:t>
      </w:r>
      <w:r>
        <w:rPr>
          <w:rFonts w:hint="eastAsia" w:ascii="宋体" w:hAnsi="宋体" w:eastAsia="宋体" w:cs="宋体"/>
          <w:color w:val="auto"/>
          <w:sz w:val="24"/>
          <w:szCs w:val="21"/>
          <w:highlight w:val="none"/>
          <w:lang w:val="en-US" w:eastAsia="zh-CN"/>
        </w:rPr>
        <w:t>。</w:t>
      </w:r>
    </w:p>
    <w:p>
      <w:pPr>
        <w:spacing w:line="360" w:lineRule="auto"/>
        <w:ind w:firstLine="480" w:firstLineChars="20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投标报价得分</w:t>
      </w:r>
      <w:r>
        <w:rPr>
          <w:rFonts w:hint="eastAsia" w:ascii="宋体" w:hAnsi="宋体" w:eastAsia="宋体" w:cs="宋体"/>
          <w:color w:val="auto"/>
          <w:sz w:val="24"/>
          <w:szCs w:val="21"/>
          <w:highlight w:val="none"/>
          <w:lang w:eastAsia="zh-CN"/>
        </w:rPr>
        <w:t>（最低得分为</w:t>
      </w:r>
      <w:r>
        <w:rPr>
          <w:rFonts w:hint="eastAsia" w:ascii="宋体" w:hAnsi="宋体" w:eastAsia="宋体" w:cs="宋体"/>
          <w:color w:val="auto"/>
          <w:sz w:val="24"/>
          <w:szCs w:val="21"/>
          <w:highlight w:val="none"/>
          <w:lang w:val="en-US" w:eastAsia="zh-CN"/>
        </w:rPr>
        <w:t>0分</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w:t>
      </w:r>
      <w:r>
        <w:rPr>
          <w:rFonts w:hint="eastAsia" w:cs="宋体"/>
          <w:color w:val="auto"/>
          <w:sz w:val="24"/>
          <w:szCs w:val="21"/>
          <w:highlight w:val="none"/>
          <w:lang w:val="en-US" w:eastAsia="zh-CN"/>
        </w:rPr>
        <w:t>3</w:t>
      </w:r>
      <w:r>
        <w:rPr>
          <w:rFonts w:hint="eastAsia" w:ascii="宋体" w:hAnsi="宋体" w:eastAsia="宋体" w:cs="宋体"/>
          <w:color w:val="auto"/>
          <w:sz w:val="24"/>
          <w:szCs w:val="21"/>
          <w:highlight w:val="none"/>
        </w:rPr>
        <w:t>0—100%×（投标报价—评标基准价）÷评标基准价×100×</w:t>
      </w:r>
      <w:r>
        <w:rPr>
          <w:rFonts w:hint="eastAsia" w:cs="宋体"/>
          <w:color w:val="auto"/>
          <w:sz w:val="24"/>
          <w:szCs w:val="21"/>
          <w:highlight w:val="none"/>
          <w:lang w:val="en-US" w:eastAsia="zh-CN"/>
        </w:rPr>
        <w:t>1.2</w:t>
      </w:r>
      <w:r>
        <w:rPr>
          <w:rFonts w:hint="eastAsia" w:ascii="宋体" w:hAnsi="宋体" w:eastAsia="宋体" w:cs="宋体"/>
          <w:color w:val="auto"/>
          <w:sz w:val="24"/>
          <w:szCs w:val="21"/>
          <w:highlight w:val="none"/>
          <w:lang w:val="en-US" w:eastAsia="zh-CN"/>
        </w:rPr>
        <w:t>。</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d．评分不足一个百分点时，使用直线插入法计算。以此求得各投标人商务标得分，得分精确到小数点后2位，第三位四舍五入。</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4、后续评标过程中出现的任何情形都将不会导致评标基准价的变化。</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5、当投标（开标）一览表与投标报价明细表报价不一致时，以投标（开标）一览表为准，报价明细表报价予以修正并由授权代表签字确认，拒绝修正或确认的，则做无效标处理。</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6、投标文件只允许有一个报价，投标报价应按招标文件中相关附表格式填报，该投标报价应与明细报价汇总相等，且不允许出现报价优惠、赠送等字样（明细出现“0”元，视同赠送）</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如出现则</w:t>
      </w:r>
      <w:r>
        <w:rPr>
          <w:rFonts w:hint="eastAsia" w:ascii="宋体" w:hAnsi="宋体" w:eastAsia="宋体" w:cs="宋体"/>
          <w:color w:val="auto"/>
          <w:sz w:val="24"/>
          <w:szCs w:val="21"/>
          <w:highlight w:val="none"/>
          <w:lang w:eastAsia="zh-CN"/>
        </w:rPr>
        <w:t>作</w:t>
      </w:r>
      <w:r>
        <w:rPr>
          <w:rFonts w:hint="eastAsia" w:ascii="宋体" w:hAnsi="宋体" w:eastAsia="宋体" w:cs="宋体"/>
          <w:color w:val="auto"/>
          <w:sz w:val="24"/>
          <w:szCs w:val="21"/>
          <w:highlight w:val="none"/>
        </w:rPr>
        <w:t>无效投标处理。</w:t>
      </w:r>
    </w:p>
    <w:p>
      <w:pPr>
        <w:autoSpaceDE w:val="0"/>
        <w:autoSpaceDN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7、</w:t>
      </w:r>
      <w:r>
        <w:rPr>
          <w:rFonts w:hint="eastAsia" w:ascii="宋体" w:hAnsi="宋体" w:eastAsia="宋体" w:cs="宋体"/>
          <w:b/>
          <w:color w:val="auto"/>
          <w:sz w:val="24"/>
          <w:highlight w:val="none"/>
        </w:rPr>
        <w:t>投标价格的合理性</w:t>
      </w:r>
      <w:r>
        <w:rPr>
          <w:rFonts w:hint="eastAsia" w:ascii="宋体" w:hAnsi="宋体" w:eastAsia="宋体" w:cs="宋体"/>
          <w:color w:val="auto"/>
          <w:sz w:val="24"/>
          <w:highlight w:val="none"/>
        </w:rPr>
        <w:t>：评标委员会认为投标人的报价明显低于其他通过符合性审</w:t>
      </w:r>
      <w:r>
        <w:rPr>
          <w:rFonts w:hint="eastAsia" w:ascii="宋体" w:hAnsi="宋体" w:eastAsia="宋体" w:cs="宋体"/>
          <w:color w:val="auto"/>
          <w:sz w:val="24"/>
          <w:highlight w:val="none"/>
          <w:lang w:eastAsia="zh-CN"/>
        </w:rPr>
        <w:t>查的</w:t>
      </w:r>
      <w:r>
        <w:rPr>
          <w:rFonts w:hint="eastAsia" w:ascii="宋体" w:hAnsi="宋体" w:eastAsia="宋体" w:cs="宋体"/>
          <w:color w:val="auto"/>
          <w:sz w:val="24"/>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outlineLvl w:val="2"/>
        <w:rPr>
          <w:rFonts w:hint="eastAsia"/>
          <w:b/>
          <w:bCs/>
          <w:color w:val="auto"/>
          <w:sz w:val="24"/>
          <w:szCs w:val="24"/>
          <w:highlight w:val="none"/>
        </w:rPr>
      </w:pPr>
      <w:r>
        <w:rPr>
          <w:rFonts w:hint="eastAsia"/>
          <w:b/>
          <w:bCs/>
          <w:color w:val="auto"/>
          <w:sz w:val="24"/>
          <w:highlight w:val="none"/>
        </w:rPr>
        <w:t>二.技术商务文件评标内容及标准（</w:t>
      </w:r>
      <w:r>
        <w:rPr>
          <w:rFonts w:hint="eastAsia"/>
          <w:b/>
          <w:bCs/>
          <w:color w:val="auto"/>
          <w:sz w:val="24"/>
          <w:highlight w:val="none"/>
          <w:lang w:val="en-US" w:eastAsia="zh-CN"/>
        </w:rPr>
        <w:t>7</w:t>
      </w:r>
      <w:r>
        <w:rPr>
          <w:rFonts w:hint="eastAsia"/>
          <w:b/>
          <w:bCs/>
          <w:color w:val="auto"/>
          <w:sz w:val="24"/>
          <w:highlight w:val="none"/>
        </w:rPr>
        <w:t>0分）</w:t>
      </w:r>
    </w:p>
    <w:p>
      <w:pPr>
        <w:tabs>
          <w:tab w:val="left" w:pos="0"/>
        </w:tabs>
        <w:spacing w:line="360" w:lineRule="auto"/>
        <w:ind w:firstLine="542" w:firstLineChars="225"/>
        <w:outlineLvl w:val="0"/>
        <w:rPr>
          <w:rFonts w:hint="eastAsia"/>
          <w:b/>
          <w:color w:val="auto"/>
          <w:sz w:val="24"/>
          <w:szCs w:val="24"/>
          <w:highlight w:val="none"/>
        </w:rPr>
      </w:pPr>
      <w:bookmarkStart w:id="433" w:name="_Toc30865"/>
      <w:r>
        <w:rPr>
          <w:rFonts w:hint="eastAsia"/>
          <w:b/>
          <w:color w:val="auto"/>
          <w:sz w:val="24"/>
          <w:szCs w:val="24"/>
          <w:highlight w:val="none"/>
          <w:lang w:val="en-US" w:eastAsia="zh-CN"/>
        </w:rPr>
        <w:t>1</w:t>
      </w:r>
      <w:r>
        <w:rPr>
          <w:rFonts w:hint="eastAsia"/>
          <w:b/>
          <w:color w:val="auto"/>
          <w:sz w:val="24"/>
          <w:szCs w:val="24"/>
          <w:highlight w:val="none"/>
        </w:rPr>
        <w:t>、技术部分（</w:t>
      </w:r>
      <w:r>
        <w:rPr>
          <w:rFonts w:hint="eastAsia"/>
          <w:b/>
          <w:color w:val="auto"/>
          <w:sz w:val="24"/>
          <w:szCs w:val="24"/>
          <w:highlight w:val="none"/>
          <w:lang w:val="en-US" w:eastAsia="zh-CN"/>
        </w:rPr>
        <w:t>62</w:t>
      </w:r>
      <w:r>
        <w:rPr>
          <w:rFonts w:hint="eastAsia"/>
          <w:b/>
          <w:color w:val="auto"/>
          <w:sz w:val="24"/>
          <w:szCs w:val="24"/>
          <w:highlight w:val="none"/>
        </w:rPr>
        <w:t>分）</w:t>
      </w:r>
      <w:bookmarkEnd w:id="433"/>
    </w:p>
    <w:p>
      <w:pPr>
        <w:autoSpaceDE w:val="0"/>
        <w:autoSpaceDN w:val="0"/>
        <w:spacing w:line="360" w:lineRule="auto"/>
        <w:ind w:firstLine="482"/>
        <w:rPr>
          <w:rFonts w:hint="eastAsia"/>
          <w:color w:val="auto"/>
          <w:sz w:val="24"/>
          <w:highlight w:val="none"/>
        </w:rPr>
      </w:pPr>
      <w:r>
        <w:rPr>
          <w:rFonts w:hint="eastAsia"/>
          <w:color w:val="auto"/>
          <w:sz w:val="24"/>
          <w:highlight w:val="none"/>
        </w:rPr>
        <w:t>评标委员会按照评分细则，以投标人的投标文件为评审依据，对投标人的技术响应情况进行独立评审并打分。</w:t>
      </w:r>
    </w:p>
    <w:tbl>
      <w:tblPr>
        <w:tblStyle w:val="35"/>
        <w:tblW w:w="55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106"/>
        <w:gridCol w:w="673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eastAsia="zh-CN"/>
              </w:rPr>
            </w:pPr>
            <w:bookmarkStart w:id="434" w:name="scoringRules2"/>
            <w:r>
              <w:rPr>
                <w:rFonts w:hint="eastAsia" w:ascii="宋体" w:hAnsi="宋体" w:eastAsia="宋体" w:cs="宋体"/>
                <w:b/>
                <w:color w:val="auto"/>
                <w:kern w:val="2"/>
                <w:sz w:val="24"/>
                <w:szCs w:val="24"/>
                <w:highlight w:val="none"/>
                <w:lang w:eastAsia="zh-CN"/>
              </w:rPr>
              <w:t>序号</w:t>
            </w:r>
          </w:p>
          <w:bookmarkEnd w:id="434"/>
        </w:tc>
        <w:tc>
          <w:tcPr>
            <w:tcW w:w="583" w:type="pct"/>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评审因素</w:t>
            </w:r>
          </w:p>
        </w:tc>
        <w:tc>
          <w:tcPr>
            <w:tcW w:w="3548" w:type="pct"/>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评分标准说明</w:t>
            </w:r>
          </w:p>
        </w:tc>
        <w:tc>
          <w:tcPr>
            <w:tcW w:w="537" w:type="pct"/>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583"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物业管理组织架构及管理制度</w:t>
            </w: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根据本项目物业使用特点提出全面合理的物业管理服务理念、目标定位，物业管理服务理念具有创新性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、目标定位切实可行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83"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有完善的物业管理制度、作业流程及物业管理工作计划及实施时间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，并建立和完善档案管理制度、物业管理制度及其配套设施权属清册等制度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，体现标准化服务，管理服务水平符合国家和行业标准。</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583"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物业保洁、保安、服务方案（包括垃圾分类）与经验</w:t>
            </w: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根据标准化及精细化管理，做好保洁服务工作，包括室内办公室保洁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r>
              <w:rPr>
                <w:rFonts w:hint="eastAsia"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、室内公共区域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r>
              <w:rPr>
                <w:rFonts w:hint="eastAsia"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、场外保洁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r>
              <w:rPr>
                <w:rFonts w:hint="eastAsia"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、地下室保洁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r>
              <w:rPr>
                <w:rFonts w:hint="eastAsia"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、玻璃长廊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r>
              <w:rPr>
                <w:rFonts w:hint="eastAsia"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、工具摆放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r>
              <w:rPr>
                <w:rFonts w:hint="eastAsia"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、日常消杀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r>
              <w:rPr>
                <w:rFonts w:hint="eastAsia"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、灭四害</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r>
              <w:rPr>
                <w:rFonts w:hint="eastAsia"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、垃圾废弃物清理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0-1分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等方案。</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83"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根据项目实际情况制定垃圾分类工作方案（垃圾分类投放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、标识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等），规范垃圾集置点管理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31"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83"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评委根据供应商提供的安保人员服务方案进行综合打分。</w:t>
            </w:r>
            <w:r>
              <w:rPr>
                <w:rFonts w:hint="eastAsia" w:ascii="宋体" w:hAnsi="宋体" w:cs="宋体"/>
                <w:bCs/>
                <w:color w:val="auto"/>
                <w:kern w:val="2"/>
                <w:sz w:val="24"/>
                <w:szCs w:val="24"/>
                <w:highlight w:val="none"/>
              </w:rPr>
              <w:t>【说明：</w:t>
            </w:r>
            <w:r>
              <w:rPr>
                <w:rFonts w:hint="eastAsia" w:ascii="宋体" w:hAnsi="宋体" w:cs="宋体"/>
                <w:color w:val="auto"/>
                <w:kern w:val="2"/>
                <w:sz w:val="24"/>
                <w:szCs w:val="24"/>
                <w:highlight w:val="none"/>
              </w:rPr>
              <w:t>以上投标人内容阐述详细完整得</w:t>
            </w:r>
            <w:r>
              <w:rPr>
                <w:rFonts w:hint="eastAsia" w:ascii="宋体" w:hAnsi="宋体" w:cs="宋体"/>
                <w:color w:val="auto"/>
                <w:kern w:val="2"/>
                <w:sz w:val="24"/>
                <w:szCs w:val="24"/>
                <w:highlight w:val="none"/>
                <w:lang w:val="en-US" w:eastAsia="zh-CN"/>
              </w:rPr>
              <w:t>3.1-5</w:t>
            </w:r>
            <w:r>
              <w:rPr>
                <w:rFonts w:hint="eastAsia" w:ascii="宋体" w:hAnsi="宋体" w:cs="宋体"/>
                <w:color w:val="auto"/>
                <w:kern w:val="2"/>
                <w:sz w:val="24"/>
                <w:szCs w:val="24"/>
                <w:highlight w:val="none"/>
              </w:rPr>
              <w:t>分，内容描述简单且立意不明确或内容有漏项得</w:t>
            </w:r>
            <w:r>
              <w:rPr>
                <w:rFonts w:hint="eastAsia" w:ascii="宋体" w:hAnsi="宋体" w:cs="宋体"/>
                <w:color w:val="auto"/>
                <w:kern w:val="2"/>
                <w:sz w:val="24"/>
                <w:szCs w:val="24"/>
                <w:highlight w:val="none"/>
                <w:lang w:val="en-US" w:eastAsia="zh-CN"/>
              </w:rPr>
              <w:t>1.1-3</w:t>
            </w:r>
            <w:r>
              <w:rPr>
                <w:rFonts w:hint="eastAsia" w:ascii="宋体" w:hAnsi="宋体" w:cs="宋体"/>
                <w:color w:val="auto"/>
                <w:kern w:val="2"/>
                <w:sz w:val="24"/>
                <w:szCs w:val="24"/>
                <w:highlight w:val="none"/>
              </w:rPr>
              <w:t>分，</w:t>
            </w:r>
            <w:r>
              <w:rPr>
                <w:rFonts w:hint="eastAsia" w:ascii="宋体" w:hAnsi="宋体" w:cs="宋体"/>
                <w:color w:val="auto"/>
                <w:kern w:val="2"/>
                <w:sz w:val="24"/>
                <w:szCs w:val="24"/>
                <w:highlight w:val="none"/>
                <w:lang w:eastAsia="zh-CN"/>
              </w:rPr>
              <w:t>内容描述与招标需求匹配不充分</w:t>
            </w:r>
            <w:r>
              <w:rPr>
                <w:rFonts w:hint="eastAsia" w:ascii="宋体" w:hAnsi="宋体" w:cs="宋体"/>
                <w:color w:val="auto"/>
                <w:kern w:val="2"/>
                <w:sz w:val="24"/>
                <w:szCs w:val="24"/>
                <w:highlight w:val="none"/>
              </w:rPr>
              <w:t>得</w:t>
            </w:r>
            <w:r>
              <w:rPr>
                <w:rFonts w:hint="eastAsia" w:ascii="宋体" w:hAnsi="宋体" w:cs="宋体"/>
                <w:color w:val="auto"/>
                <w:kern w:val="2"/>
                <w:sz w:val="24"/>
                <w:szCs w:val="24"/>
                <w:highlight w:val="none"/>
                <w:lang w:val="en-US" w:eastAsia="zh-CN"/>
              </w:rPr>
              <w:t>0.1-1</w:t>
            </w:r>
            <w:r>
              <w:rPr>
                <w:rFonts w:hint="eastAsia" w:ascii="宋体" w:hAnsi="宋体" w:cs="宋体"/>
                <w:color w:val="auto"/>
                <w:kern w:val="2"/>
                <w:sz w:val="24"/>
                <w:szCs w:val="24"/>
                <w:highlight w:val="none"/>
              </w:rPr>
              <w:t>分，未提供方案得</w:t>
            </w:r>
            <w:r>
              <w:rPr>
                <w:rFonts w:hint="default" w:ascii="宋体" w:hAnsi="宋体" w:cs="宋体"/>
                <w:color w:val="auto"/>
                <w:kern w:val="2"/>
                <w:sz w:val="24"/>
                <w:szCs w:val="24"/>
                <w:highlight w:val="none"/>
              </w:rPr>
              <w:t>0分</w:t>
            </w:r>
            <w:r>
              <w:rPr>
                <w:rFonts w:hint="eastAsia" w:ascii="宋体" w:hAnsi="宋体" w:cs="宋体"/>
                <w:color w:val="auto"/>
                <w:kern w:val="2"/>
                <w:sz w:val="24"/>
                <w:szCs w:val="24"/>
                <w:highlight w:val="none"/>
              </w:rPr>
              <w:t>。</w:t>
            </w:r>
            <w:r>
              <w:rPr>
                <w:rFonts w:hint="eastAsia" w:ascii="宋体" w:hAnsi="宋体" w:cs="宋体"/>
                <w:bCs/>
                <w:color w:val="auto"/>
                <w:kern w:val="2"/>
                <w:sz w:val="24"/>
                <w:szCs w:val="24"/>
                <w:highlight w:val="none"/>
              </w:rPr>
              <w:t>】</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3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3</w:t>
            </w:r>
          </w:p>
        </w:tc>
        <w:tc>
          <w:tcPr>
            <w:tcW w:w="58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机构节能工作方案及经验</w:t>
            </w: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根据本项目有严格的节能管控制度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，管理制度明确清晰，落实到细节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，并做好节能宣传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4</w:t>
            </w:r>
          </w:p>
        </w:tc>
        <w:tc>
          <w:tcPr>
            <w:tcW w:w="58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安全服务工作方案及经验</w:t>
            </w: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根据标准化及精细化管理，针对本项目特点做好安全服务工作，包括消防安全管理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、用电安全管理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、停车服务管理工作方案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，做到严格有序，服务到位。</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5</w:t>
            </w:r>
          </w:p>
        </w:tc>
        <w:tc>
          <w:tcPr>
            <w:tcW w:w="583"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物业突发事件的应急措施</w:t>
            </w: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对物业突发事件（包括发生台风、暴雨等灾害性天气及断水、断电、断气、防台、抗震等其他突发事件）时的应急预案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及相应的措施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31"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83"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对物业管理区域内的防火、防涝的安全防范巡查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、应急供电系统、给排水设备、空调系统、电气照明装置、电梯等设备应急检修措施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等。</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1"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6</w:t>
            </w:r>
          </w:p>
        </w:tc>
        <w:tc>
          <w:tcPr>
            <w:tcW w:w="583"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项目实施的人员安排情况</w:t>
            </w: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根据本项目</w:t>
            </w:r>
            <w:r>
              <w:rPr>
                <w:rFonts w:hint="eastAsia" w:ascii="宋体" w:hAnsi="宋体" w:eastAsia="宋体" w:cs="宋体"/>
                <w:color w:val="auto"/>
                <w:kern w:val="0"/>
                <w:sz w:val="24"/>
                <w:szCs w:val="24"/>
                <w:highlight w:val="none"/>
              </w:rPr>
              <w:t>负责人具有物业管理师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中级职称</w:t>
            </w:r>
            <w:r>
              <w:rPr>
                <w:rFonts w:hint="eastAsia" w:ascii="宋体" w:hAnsi="宋体" w:eastAsia="宋体" w:cs="宋体"/>
                <w:color w:val="auto"/>
                <w:kern w:val="0"/>
                <w:sz w:val="24"/>
                <w:szCs w:val="24"/>
                <w:highlight w:val="none"/>
                <w:lang w:eastAsia="zh-CN"/>
              </w:rPr>
              <w:t>及以上（</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物业管理经验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等打分，最高得</w:t>
            </w:r>
            <w:r>
              <w:rPr>
                <w:rFonts w:hint="eastAsia"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需提供相关证书扫描件及经社保部门盖章的社保人员缴纳证明。</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83"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对人员岗位安排分配明细情况比较，包括人员配备是否合理、符合要</w:t>
            </w:r>
            <w:r>
              <w:rPr>
                <w:rFonts w:hint="eastAsia" w:ascii="宋体" w:hAnsi="宋体" w:eastAsia="宋体" w:cs="宋体"/>
                <w:color w:val="auto"/>
                <w:kern w:val="0"/>
                <w:sz w:val="24"/>
                <w:szCs w:val="24"/>
                <w:highlight w:val="none"/>
                <w:lang w:eastAsia="zh-CN"/>
              </w:rPr>
              <w:t>求</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相关人员要求见采购需求。</w:t>
            </w:r>
            <w:r>
              <w:rPr>
                <w:rFonts w:hint="eastAsia" w:ascii="宋体" w:hAnsi="宋体" w:cs="宋体"/>
                <w:bCs/>
                <w:color w:val="auto"/>
                <w:kern w:val="2"/>
                <w:sz w:val="24"/>
                <w:szCs w:val="24"/>
                <w:highlight w:val="none"/>
              </w:rPr>
              <w:t>【说明：</w:t>
            </w:r>
            <w:r>
              <w:rPr>
                <w:rFonts w:hint="eastAsia" w:ascii="宋体" w:hAnsi="宋体" w:cs="宋体"/>
                <w:color w:val="auto"/>
                <w:kern w:val="2"/>
                <w:sz w:val="24"/>
                <w:szCs w:val="24"/>
                <w:highlight w:val="none"/>
              </w:rPr>
              <w:t>以上投标人</w:t>
            </w:r>
            <w:r>
              <w:rPr>
                <w:rFonts w:hint="eastAsia" w:ascii="宋体" w:hAnsi="宋体" w:cs="宋体"/>
                <w:color w:val="auto"/>
                <w:kern w:val="2"/>
                <w:sz w:val="24"/>
                <w:szCs w:val="24"/>
                <w:highlight w:val="none"/>
                <w:lang w:val="en-US" w:eastAsia="zh-CN"/>
              </w:rPr>
              <w:t>提供人员清单合理</w:t>
            </w:r>
            <w:r>
              <w:rPr>
                <w:rFonts w:hint="eastAsia" w:ascii="宋体" w:hAnsi="宋体" w:cs="宋体"/>
                <w:color w:val="auto"/>
                <w:kern w:val="2"/>
                <w:sz w:val="24"/>
                <w:szCs w:val="24"/>
                <w:highlight w:val="none"/>
              </w:rPr>
              <w:t>完整得</w:t>
            </w:r>
            <w:r>
              <w:rPr>
                <w:rFonts w:hint="eastAsia" w:ascii="宋体" w:hAnsi="宋体" w:cs="宋体"/>
                <w:color w:val="auto"/>
                <w:kern w:val="2"/>
                <w:sz w:val="24"/>
                <w:szCs w:val="24"/>
                <w:highlight w:val="none"/>
                <w:lang w:val="en-US" w:eastAsia="zh-CN"/>
              </w:rPr>
              <w:t>3.1-4</w:t>
            </w:r>
            <w:r>
              <w:rPr>
                <w:rFonts w:hint="eastAsia" w:ascii="宋体" w:hAnsi="宋体" w:cs="宋体"/>
                <w:color w:val="auto"/>
                <w:kern w:val="2"/>
                <w:sz w:val="24"/>
                <w:szCs w:val="24"/>
                <w:highlight w:val="none"/>
              </w:rPr>
              <w:t>分，</w:t>
            </w:r>
            <w:r>
              <w:rPr>
                <w:rFonts w:hint="eastAsia" w:ascii="宋体" w:hAnsi="宋体" w:cs="宋体"/>
                <w:color w:val="auto"/>
                <w:kern w:val="2"/>
                <w:sz w:val="24"/>
                <w:szCs w:val="24"/>
                <w:highlight w:val="none"/>
                <w:lang w:val="en-US" w:eastAsia="zh-CN"/>
              </w:rPr>
              <w:t>人员配备一般</w:t>
            </w:r>
            <w:r>
              <w:rPr>
                <w:rFonts w:hint="eastAsia" w:ascii="宋体" w:hAnsi="宋体" w:cs="宋体"/>
                <w:color w:val="auto"/>
                <w:kern w:val="2"/>
                <w:sz w:val="24"/>
                <w:szCs w:val="24"/>
                <w:highlight w:val="none"/>
              </w:rPr>
              <w:t>得</w:t>
            </w:r>
            <w:r>
              <w:rPr>
                <w:rFonts w:hint="eastAsia" w:ascii="宋体" w:hAnsi="宋体" w:cs="宋体"/>
                <w:color w:val="auto"/>
                <w:kern w:val="2"/>
                <w:sz w:val="24"/>
                <w:szCs w:val="24"/>
                <w:highlight w:val="none"/>
                <w:lang w:val="en-US" w:eastAsia="zh-CN"/>
              </w:rPr>
              <w:t>1.1-3</w:t>
            </w:r>
            <w:r>
              <w:rPr>
                <w:rFonts w:hint="eastAsia" w:ascii="宋体" w:hAnsi="宋体" w:cs="宋体"/>
                <w:color w:val="auto"/>
                <w:kern w:val="2"/>
                <w:sz w:val="24"/>
                <w:szCs w:val="24"/>
                <w:highlight w:val="none"/>
              </w:rPr>
              <w:t>分，</w:t>
            </w:r>
            <w:r>
              <w:rPr>
                <w:rFonts w:hint="eastAsia" w:ascii="宋体" w:hAnsi="宋体" w:cs="宋体"/>
                <w:color w:val="auto"/>
                <w:kern w:val="2"/>
                <w:sz w:val="24"/>
                <w:szCs w:val="24"/>
                <w:highlight w:val="none"/>
                <w:lang w:val="en-US" w:eastAsia="zh-CN"/>
              </w:rPr>
              <w:t>人员</w:t>
            </w:r>
            <w:r>
              <w:rPr>
                <w:rFonts w:hint="eastAsia" w:ascii="宋体" w:hAnsi="宋体" w:cs="宋体"/>
                <w:color w:val="auto"/>
                <w:kern w:val="2"/>
                <w:sz w:val="24"/>
                <w:szCs w:val="24"/>
                <w:highlight w:val="none"/>
                <w:lang w:eastAsia="zh-CN"/>
              </w:rPr>
              <w:t>招标需求匹配不充分</w:t>
            </w:r>
            <w:r>
              <w:rPr>
                <w:rFonts w:hint="eastAsia" w:ascii="宋体" w:hAnsi="宋体" w:cs="宋体"/>
                <w:color w:val="auto"/>
                <w:kern w:val="2"/>
                <w:sz w:val="24"/>
                <w:szCs w:val="24"/>
                <w:highlight w:val="none"/>
              </w:rPr>
              <w:t>得</w:t>
            </w:r>
            <w:r>
              <w:rPr>
                <w:rFonts w:hint="eastAsia" w:ascii="宋体" w:hAnsi="宋体" w:cs="宋体"/>
                <w:color w:val="auto"/>
                <w:kern w:val="2"/>
                <w:sz w:val="24"/>
                <w:szCs w:val="24"/>
                <w:highlight w:val="none"/>
                <w:lang w:val="en-US" w:eastAsia="zh-CN"/>
              </w:rPr>
              <w:t>0.1-1</w:t>
            </w:r>
            <w:r>
              <w:rPr>
                <w:rFonts w:hint="eastAsia" w:ascii="宋体" w:hAnsi="宋体" w:cs="宋体"/>
                <w:color w:val="auto"/>
                <w:kern w:val="2"/>
                <w:sz w:val="24"/>
                <w:szCs w:val="24"/>
                <w:highlight w:val="none"/>
              </w:rPr>
              <w:t>分，未提供方案得</w:t>
            </w:r>
            <w:r>
              <w:rPr>
                <w:rFonts w:hint="default" w:ascii="宋体" w:hAnsi="宋体" w:cs="宋体"/>
                <w:color w:val="auto"/>
                <w:kern w:val="2"/>
                <w:sz w:val="24"/>
                <w:szCs w:val="24"/>
                <w:highlight w:val="none"/>
              </w:rPr>
              <w:t>0分</w:t>
            </w:r>
            <w:r>
              <w:rPr>
                <w:rFonts w:hint="eastAsia" w:ascii="宋体" w:hAnsi="宋体" w:cs="宋体"/>
                <w:color w:val="auto"/>
                <w:kern w:val="2"/>
                <w:sz w:val="24"/>
                <w:szCs w:val="24"/>
                <w:highlight w:val="none"/>
              </w:rPr>
              <w:t>。</w:t>
            </w:r>
            <w:r>
              <w:rPr>
                <w:rFonts w:hint="eastAsia" w:ascii="宋体" w:hAnsi="宋体" w:cs="宋体"/>
                <w:bCs/>
                <w:color w:val="auto"/>
                <w:kern w:val="2"/>
                <w:sz w:val="24"/>
                <w:szCs w:val="24"/>
                <w:highlight w:val="none"/>
              </w:rPr>
              <w:t>】</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7</w:t>
            </w:r>
          </w:p>
        </w:tc>
        <w:tc>
          <w:tcPr>
            <w:tcW w:w="58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耗材质量</w:t>
            </w: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根据拟投入本项目的耗材质量的优劣性打分。</w:t>
            </w:r>
            <w:r>
              <w:rPr>
                <w:rFonts w:hint="eastAsia" w:ascii="宋体" w:hAnsi="宋体" w:cs="宋体"/>
                <w:bCs/>
                <w:color w:val="auto"/>
                <w:kern w:val="2"/>
                <w:sz w:val="24"/>
                <w:szCs w:val="24"/>
                <w:highlight w:val="none"/>
              </w:rPr>
              <w:t>【说明：</w:t>
            </w:r>
            <w:r>
              <w:rPr>
                <w:rFonts w:hint="eastAsia" w:ascii="宋体" w:hAnsi="宋体" w:cs="宋体"/>
                <w:color w:val="auto"/>
                <w:kern w:val="2"/>
                <w:sz w:val="24"/>
                <w:szCs w:val="24"/>
                <w:highlight w:val="none"/>
              </w:rPr>
              <w:t>以上投标人</w:t>
            </w:r>
            <w:r>
              <w:rPr>
                <w:rFonts w:hint="eastAsia" w:ascii="宋体" w:hAnsi="宋体" w:cs="宋体"/>
                <w:color w:val="auto"/>
                <w:kern w:val="2"/>
                <w:sz w:val="24"/>
                <w:szCs w:val="24"/>
                <w:highlight w:val="none"/>
                <w:lang w:val="en-US" w:eastAsia="zh-CN"/>
              </w:rPr>
              <w:t>提供的耗材优质</w:t>
            </w:r>
            <w:r>
              <w:rPr>
                <w:rFonts w:hint="eastAsia" w:ascii="宋体" w:hAnsi="宋体" w:cs="宋体"/>
                <w:color w:val="auto"/>
                <w:kern w:val="2"/>
                <w:sz w:val="24"/>
                <w:szCs w:val="24"/>
                <w:highlight w:val="none"/>
              </w:rPr>
              <w:t>得</w:t>
            </w:r>
            <w:r>
              <w:rPr>
                <w:rFonts w:hint="eastAsia" w:ascii="宋体" w:hAnsi="宋体" w:cs="宋体"/>
                <w:color w:val="auto"/>
                <w:kern w:val="2"/>
                <w:sz w:val="24"/>
                <w:szCs w:val="24"/>
                <w:highlight w:val="none"/>
                <w:lang w:val="en-US" w:eastAsia="zh-CN"/>
              </w:rPr>
              <w:t>3.1-5</w:t>
            </w:r>
            <w:r>
              <w:rPr>
                <w:rFonts w:hint="eastAsia" w:ascii="宋体" w:hAnsi="宋体" w:cs="宋体"/>
                <w:color w:val="auto"/>
                <w:kern w:val="2"/>
                <w:sz w:val="24"/>
                <w:szCs w:val="24"/>
                <w:highlight w:val="none"/>
              </w:rPr>
              <w:t>分，</w:t>
            </w:r>
            <w:r>
              <w:rPr>
                <w:rFonts w:hint="eastAsia" w:ascii="宋体" w:hAnsi="宋体" w:cs="宋体"/>
                <w:color w:val="auto"/>
                <w:kern w:val="2"/>
                <w:sz w:val="24"/>
                <w:szCs w:val="24"/>
                <w:highlight w:val="none"/>
                <w:lang w:val="en-US" w:eastAsia="zh-CN"/>
              </w:rPr>
              <w:t>质量一般得1.1-3</w:t>
            </w:r>
            <w:r>
              <w:rPr>
                <w:rFonts w:hint="eastAsia" w:ascii="宋体" w:hAnsi="宋体" w:cs="宋体"/>
                <w:color w:val="auto"/>
                <w:kern w:val="2"/>
                <w:sz w:val="24"/>
                <w:szCs w:val="24"/>
                <w:highlight w:val="none"/>
              </w:rPr>
              <w:t>分，</w:t>
            </w:r>
            <w:r>
              <w:rPr>
                <w:rFonts w:hint="eastAsia" w:ascii="宋体" w:hAnsi="宋体" w:cs="宋体"/>
                <w:color w:val="auto"/>
                <w:kern w:val="2"/>
                <w:sz w:val="24"/>
                <w:szCs w:val="24"/>
                <w:highlight w:val="none"/>
                <w:lang w:val="en-US" w:eastAsia="zh-CN"/>
              </w:rPr>
              <w:t>质量较差</w:t>
            </w:r>
            <w:r>
              <w:rPr>
                <w:rFonts w:hint="eastAsia" w:ascii="宋体" w:hAnsi="宋体" w:cs="宋体"/>
                <w:color w:val="auto"/>
                <w:kern w:val="2"/>
                <w:sz w:val="24"/>
                <w:szCs w:val="24"/>
                <w:highlight w:val="none"/>
              </w:rPr>
              <w:t>得</w:t>
            </w:r>
            <w:r>
              <w:rPr>
                <w:rFonts w:hint="eastAsia" w:ascii="宋体" w:hAnsi="宋体" w:cs="宋体"/>
                <w:color w:val="auto"/>
                <w:kern w:val="2"/>
                <w:sz w:val="24"/>
                <w:szCs w:val="24"/>
                <w:highlight w:val="none"/>
                <w:lang w:val="en-US" w:eastAsia="zh-CN"/>
              </w:rPr>
              <w:t>0.1-1</w:t>
            </w:r>
            <w:r>
              <w:rPr>
                <w:rFonts w:hint="eastAsia" w:ascii="宋体" w:hAnsi="宋体" w:cs="宋体"/>
                <w:color w:val="auto"/>
                <w:kern w:val="2"/>
                <w:sz w:val="24"/>
                <w:szCs w:val="24"/>
                <w:highlight w:val="none"/>
              </w:rPr>
              <w:t>分，未提供方案得</w:t>
            </w:r>
            <w:r>
              <w:rPr>
                <w:rFonts w:hint="default" w:ascii="宋体" w:hAnsi="宋体" w:cs="宋体"/>
                <w:color w:val="auto"/>
                <w:kern w:val="2"/>
                <w:sz w:val="24"/>
                <w:szCs w:val="24"/>
                <w:highlight w:val="none"/>
              </w:rPr>
              <w:t>0分</w:t>
            </w:r>
            <w:r>
              <w:rPr>
                <w:rFonts w:hint="eastAsia" w:ascii="宋体" w:hAnsi="宋体" w:cs="宋体"/>
                <w:color w:val="auto"/>
                <w:kern w:val="2"/>
                <w:sz w:val="24"/>
                <w:szCs w:val="24"/>
                <w:highlight w:val="none"/>
              </w:rPr>
              <w:t>。</w:t>
            </w:r>
            <w:r>
              <w:rPr>
                <w:rFonts w:hint="eastAsia" w:ascii="宋体" w:hAnsi="宋体" w:cs="宋体"/>
                <w:bCs/>
                <w:color w:val="auto"/>
                <w:kern w:val="2"/>
                <w:sz w:val="24"/>
                <w:szCs w:val="24"/>
                <w:highlight w:val="none"/>
              </w:rPr>
              <w:t>】</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8</w:t>
            </w:r>
          </w:p>
        </w:tc>
        <w:tc>
          <w:tcPr>
            <w:tcW w:w="58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设施设备投入方案</w:t>
            </w: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评委根据投标人提供的拟投入本项目使用的相关设备种类与采购需求的适配度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、合理性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进行综合打分。</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31"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9</w:t>
            </w:r>
          </w:p>
        </w:tc>
        <w:tc>
          <w:tcPr>
            <w:tcW w:w="58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培训能力、经验及机制</w:t>
            </w:r>
          </w:p>
        </w:tc>
        <w:tc>
          <w:tcPr>
            <w:tcW w:w="354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根据本项目的特点就物业管理与服务的各项内容有</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培训</w:t>
            </w:r>
            <w:r>
              <w:rPr>
                <w:rFonts w:hint="eastAsia" w:ascii="宋体" w:hAnsi="宋体" w:eastAsia="宋体" w:cs="宋体"/>
                <w:color w:val="auto"/>
                <w:kern w:val="0"/>
                <w:sz w:val="24"/>
                <w:szCs w:val="24"/>
                <w:highlight w:val="none"/>
                <w:lang w:eastAsia="zh-CN"/>
              </w:rPr>
              <w:t>计划</w:t>
            </w:r>
            <w:r>
              <w:rPr>
                <w:rFonts w:hint="eastAsia" w:ascii="宋体" w:hAnsi="宋体" w:eastAsia="宋体" w:cs="宋体"/>
                <w:color w:val="auto"/>
                <w:kern w:val="0"/>
                <w:sz w:val="24"/>
                <w:szCs w:val="24"/>
                <w:highlight w:val="none"/>
              </w:rPr>
              <w:t>，培训能力与经验，根据提供的培训类别</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培训频次（</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培训案例及图片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（标明培训时间、培训主题、内容等）</w:t>
            </w:r>
            <w:r>
              <w:rPr>
                <w:rFonts w:hint="eastAsia" w:ascii="宋体" w:hAnsi="宋体" w:eastAsia="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rPr>
              <w:t>打分。</w:t>
            </w:r>
          </w:p>
        </w:tc>
        <w:tc>
          <w:tcPr>
            <w:tcW w:w="5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3</w:t>
            </w:r>
          </w:p>
        </w:tc>
      </w:tr>
    </w:tbl>
    <w:p>
      <w:pPr>
        <w:pStyle w:val="7"/>
        <w:spacing w:line="360" w:lineRule="auto"/>
        <w:ind w:left="0" w:leftChars="0" w:firstLine="0" w:firstLineChars="0"/>
        <w:rPr>
          <w:rFonts w:hint="eastAsia"/>
          <w:color w:val="auto"/>
          <w:sz w:val="24"/>
          <w:highlight w:val="none"/>
        </w:rPr>
      </w:pPr>
    </w:p>
    <w:p>
      <w:pPr>
        <w:numPr>
          <w:ilvl w:val="0"/>
          <w:numId w:val="0"/>
        </w:numPr>
        <w:spacing w:line="360" w:lineRule="auto"/>
        <w:rPr>
          <w:rFonts w:hint="eastAsia"/>
          <w:color w:val="auto"/>
          <w:highlight w:val="none"/>
        </w:rPr>
      </w:pPr>
      <w:r>
        <w:rPr>
          <w:rFonts w:hint="eastAsia"/>
          <w:b/>
          <w:bCs/>
          <w:color w:val="auto"/>
          <w:sz w:val="24"/>
          <w:szCs w:val="24"/>
          <w:highlight w:val="none"/>
          <w:lang w:val="en-US" w:eastAsia="zh-CN"/>
        </w:rPr>
        <w:t>2、商务</w:t>
      </w:r>
      <w:r>
        <w:rPr>
          <w:rFonts w:hint="eastAsia"/>
          <w:b/>
          <w:color w:val="auto"/>
          <w:sz w:val="24"/>
          <w:szCs w:val="24"/>
          <w:highlight w:val="none"/>
        </w:rPr>
        <w:t>部分（</w:t>
      </w:r>
      <w:r>
        <w:rPr>
          <w:rFonts w:hint="eastAsia"/>
          <w:b/>
          <w:color w:val="auto"/>
          <w:sz w:val="24"/>
          <w:szCs w:val="24"/>
          <w:highlight w:val="none"/>
          <w:lang w:val="en-US" w:eastAsia="zh-CN"/>
        </w:rPr>
        <w:t>8</w:t>
      </w:r>
      <w:r>
        <w:rPr>
          <w:rFonts w:hint="eastAsia"/>
          <w:b/>
          <w:color w:val="auto"/>
          <w:sz w:val="24"/>
          <w:szCs w:val="24"/>
          <w:highlight w:val="none"/>
        </w:rPr>
        <w:t>分）</w:t>
      </w:r>
    </w:p>
    <w:tbl>
      <w:tblPr>
        <w:tblStyle w:val="35"/>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119"/>
        <w:gridCol w:w="678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auto"/>
              <w:ind w:left="0" w:right="0"/>
              <w:jc w:val="center"/>
              <w:rPr>
                <w:rFonts w:hint="default"/>
                <w:b/>
                <w:color w:val="auto"/>
                <w:kern w:val="2"/>
                <w:sz w:val="24"/>
                <w:szCs w:val="24"/>
                <w:highlight w:val="none"/>
              </w:rPr>
            </w:pPr>
            <w:r>
              <w:rPr>
                <w:rFonts w:hint="eastAsia"/>
                <w:b/>
                <w:color w:val="auto"/>
                <w:kern w:val="2"/>
                <w:sz w:val="24"/>
                <w:szCs w:val="24"/>
                <w:highlight w:val="none"/>
              </w:rPr>
              <w:t>序号</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auto"/>
              <w:ind w:left="0" w:right="0"/>
              <w:jc w:val="center"/>
              <w:rPr>
                <w:rFonts w:hint="default"/>
                <w:b/>
                <w:color w:val="auto"/>
                <w:kern w:val="2"/>
                <w:sz w:val="24"/>
                <w:szCs w:val="24"/>
                <w:highlight w:val="none"/>
              </w:rPr>
            </w:pPr>
            <w:r>
              <w:rPr>
                <w:rFonts w:hint="eastAsia"/>
                <w:b/>
                <w:color w:val="auto"/>
                <w:kern w:val="2"/>
                <w:sz w:val="24"/>
                <w:szCs w:val="24"/>
                <w:highlight w:val="none"/>
              </w:rPr>
              <w:t>类别</w:t>
            </w:r>
          </w:p>
        </w:tc>
        <w:tc>
          <w:tcPr>
            <w:tcW w:w="6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auto"/>
              <w:ind w:left="0" w:right="0"/>
              <w:jc w:val="center"/>
              <w:rPr>
                <w:rFonts w:hint="default"/>
                <w:b/>
                <w:color w:val="auto"/>
                <w:kern w:val="2"/>
                <w:sz w:val="24"/>
                <w:szCs w:val="24"/>
                <w:highlight w:val="none"/>
              </w:rPr>
            </w:pPr>
            <w:r>
              <w:rPr>
                <w:rFonts w:hint="eastAsia"/>
                <w:b/>
                <w:color w:val="auto"/>
                <w:kern w:val="2"/>
                <w:sz w:val="24"/>
                <w:szCs w:val="24"/>
                <w:highlight w:val="none"/>
              </w:rPr>
              <w:t>评分项目内容</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auto"/>
              <w:ind w:left="0" w:right="0"/>
              <w:jc w:val="center"/>
              <w:rPr>
                <w:rFonts w:hint="default"/>
                <w:b/>
                <w:color w:val="auto"/>
                <w:kern w:val="2"/>
                <w:sz w:val="24"/>
                <w:szCs w:val="24"/>
                <w:highlight w:val="none"/>
              </w:rPr>
            </w:pPr>
            <w:r>
              <w:rPr>
                <w:rFonts w:hint="eastAsia"/>
                <w:b/>
                <w:color w:val="auto"/>
                <w:kern w:val="2"/>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color w:val="auto"/>
                <w:kern w:val="0"/>
                <w:sz w:val="24"/>
                <w:szCs w:val="24"/>
                <w:highlight w:val="none"/>
                <w:lang w:eastAsia="zh-CN"/>
              </w:rPr>
              <w:t>企业</w:t>
            </w:r>
            <w:r>
              <w:rPr>
                <w:rFonts w:hint="eastAsia" w:ascii="宋体" w:hAnsi="宋体" w:eastAsia="宋体" w:cs="宋体"/>
                <w:color w:val="auto"/>
                <w:kern w:val="0"/>
                <w:sz w:val="24"/>
                <w:szCs w:val="24"/>
                <w:highlight w:val="none"/>
              </w:rPr>
              <w:t>业绩</w:t>
            </w:r>
          </w:p>
        </w:tc>
        <w:tc>
          <w:tcPr>
            <w:tcW w:w="6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投标人自202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年1月1日以来</w:t>
            </w:r>
            <w:r>
              <w:rPr>
                <w:rFonts w:hint="eastAsia" w:ascii="宋体" w:hAnsi="宋体" w:eastAsia="宋体" w:cs="宋体"/>
                <w:color w:val="auto"/>
                <w:kern w:val="0"/>
                <w:sz w:val="24"/>
                <w:szCs w:val="24"/>
                <w:highlight w:val="none"/>
                <w:lang w:eastAsia="zh-CN"/>
              </w:rPr>
              <w:t>实施的</w:t>
            </w:r>
            <w:r>
              <w:rPr>
                <w:rFonts w:hint="eastAsia" w:ascii="宋体" w:hAnsi="宋体" w:eastAsia="宋体" w:cs="宋体"/>
                <w:color w:val="auto"/>
                <w:kern w:val="0"/>
                <w:sz w:val="24"/>
                <w:szCs w:val="24"/>
                <w:highlight w:val="none"/>
              </w:rPr>
              <w:t>类似物业管理服务</w:t>
            </w:r>
            <w:r>
              <w:rPr>
                <w:rFonts w:hint="eastAsia" w:ascii="宋体" w:hAnsi="宋体" w:eastAsia="宋体" w:cs="宋体"/>
                <w:color w:val="auto"/>
                <w:kern w:val="0"/>
                <w:sz w:val="24"/>
                <w:szCs w:val="24"/>
                <w:highlight w:val="none"/>
                <w:lang w:eastAsia="zh-CN"/>
              </w:rPr>
              <w:t>项目</w:t>
            </w:r>
            <w:r>
              <w:rPr>
                <w:rFonts w:hint="eastAsia" w:ascii="宋体" w:hAnsi="宋体" w:eastAsia="宋体" w:cs="宋体"/>
                <w:color w:val="auto"/>
                <w:kern w:val="0"/>
                <w:sz w:val="24"/>
                <w:szCs w:val="24"/>
                <w:highlight w:val="none"/>
              </w:rPr>
              <w:t>（以签订时间为准），每提供一个业绩得</w:t>
            </w:r>
            <w:r>
              <w:rPr>
                <w:rFonts w:hint="eastAsia"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分，最高得</w:t>
            </w:r>
            <w:r>
              <w:rPr>
                <w:rFonts w:hint="eastAsia"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color w:val="auto"/>
                <w:kern w:val="2"/>
                <w:sz w:val="24"/>
                <w:szCs w:val="24"/>
              </w:rPr>
              <w:t>需提供中标通知书、合同复印件并加盖公章，缺一不可。</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rPr>
            </w:pPr>
            <w:r>
              <w:rPr>
                <w:rFonts w:hint="eastAsia" w:eastAsia="宋体" w:cs="宋体"/>
                <w:b w:val="0"/>
                <w:bCs/>
                <w:color w:val="auto"/>
                <w:kern w:val="2"/>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2</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eastAsia="zh-CN"/>
              </w:rPr>
              <w:t>认证证书</w:t>
            </w:r>
          </w:p>
        </w:tc>
        <w:tc>
          <w:tcPr>
            <w:tcW w:w="6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Times New Roman" w:hAnsi="Times New Roman" w:eastAsia="宋体" w:cs="Times New Roman"/>
                <w:color w:val="auto"/>
                <w:kern w:val="2"/>
                <w:sz w:val="24"/>
                <w:szCs w:val="24"/>
              </w:rPr>
              <w:t>投标人具有质量管理体系认证证书、环境管理体系认证证书</w:t>
            </w:r>
            <w:r>
              <w:rPr>
                <w:rFonts w:hint="eastAsia" w:ascii="Times New Roman" w:hAnsi="Times New Roman" w:eastAsia="宋体" w:cs="Times New Roman"/>
                <w:color w:val="auto"/>
                <w:kern w:val="2"/>
                <w:sz w:val="24"/>
                <w:szCs w:val="24"/>
                <w:lang w:eastAsia="zh-CN"/>
              </w:rPr>
              <w:t>、职业健康安全管理体系认证证书、</w:t>
            </w:r>
            <w:r>
              <w:rPr>
                <w:rFonts w:hint="eastAsia" w:cs="Times New Roman"/>
                <w:color w:val="auto"/>
                <w:kern w:val="2"/>
                <w:sz w:val="24"/>
                <w:szCs w:val="24"/>
                <w:lang w:val="en-US" w:eastAsia="zh-CN"/>
              </w:rPr>
              <w:t>物业服务</w:t>
            </w:r>
            <w:r>
              <w:rPr>
                <w:rFonts w:hint="eastAsia" w:ascii="Times New Roman" w:hAnsi="Times New Roman" w:eastAsia="宋体" w:cs="Times New Roman"/>
                <w:color w:val="auto"/>
                <w:kern w:val="2"/>
                <w:sz w:val="24"/>
                <w:szCs w:val="24"/>
              </w:rPr>
              <w:t>体系认证证书、应急管理体系</w:t>
            </w:r>
            <w:r>
              <w:rPr>
                <w:rFonts w:hint="eastAsia" w:ascii="Times New Roman" w:hAnsi="Times New Roman" w:eastAsia="宋体" w:cs="Times New Roman"/>
                <w:color w:val="auto"/>
                <w:kern w:val="2"/>
                <w:sz w:val="24"/>
                <w:szCs w:val="24"/>
                <w:lang w:val="en-US" w:eastAsia="zh-CN"/>
              </w:rPr>
              <w:t>认证证书</w:t>
            </w:r>
            <w:r>
              <w:rPr>
                <w:rFonts w:hint="eastAsia" w:ascii="Times New Roman" w:hAnsi="Times New Roman" w:cs="Times New Roman"/>
                <w:color w:val="auto"/>
                <w:kern w:val="2"/>
                <w:sz w:val="24"/>
                <w:szCs w:val="24"/>
                <w:lang w:val="en-US" w:eastAsia="zh-CN"/>
              </w:rPr>
              <w:t>、</w:t>
            </w:r>
            <w:r>
              <w:rPr>
                <w:rFonts w:hint="eastAsia" w:cs="Times New Roman"/>
                <w:color w:val="auto"/>
                <w:kern w:val="2"/>
                <w:sz w:val="24"/>
                <w:szCs w:val="24"/>
                <w:lang w:val="en-US" w:eastAsia="zh-CN"/>
              </w:rPr>
              <w:t>培训</w:t>
            </w:r>
            <w:r>
              <w:rPr>
                <w:rFonts w:hint="eastAsia" w:ascii="Times New Roman" w:hAnsi="Times New Roman" w:eastAsia="宋体" w:cs="Times New Roman"/>
                <w:color w:val="auto"/>
                <w:kern w:val="2"/>
                <w:sz w:val="24"/>
                <w:szCs w:val="24"/>
              </w:rPr>
              <w:t>管理体系认证证书的每个得</w:t>
            </w:r>
            <w:r>
              <w:rPr>
                <w:rFonts w:hint="eastAsia" w:ascii="Times New Roman" w:hAnsi="Times New Roman" w:cs="Times New Roman"/>
                <w:color w:val="auto"/>
                <w:kern w:val="2"/>
                <w:sz w:val="24"/>
                <w:szCs w:val="24"/>
                <w:lang w:val="en-US" w:eastAsia="zh-CN"/>
              </w:rPr>
              <w:t>1</w:t>
            </w:r>
            <w:r>
              <w:rPr>
                <w:rFonts w:hint="eastAsia" w:ascii="Times New Roman" w:hAnsi="Times New Roman" w:eastAsia="宋体" w:cs="Times New Roman"/>
                <w:color w:val="auto"/>
                <w:kern w:val="2"/>
                <w:sz w:val="24"/>
                <w:szCs w:val="24"/>
              </w:rPr>
              <w:t>分</w:t>
            </w:r>
            <w:r>
              <w:rPr>
                <w:rFonts w:hint="eastAsia" w:ascii="Times New Roman" w:hAnsi="Times New Roman" w:eastAsia="宋体" w:cs="Times New Roman"/>
                <w:color w:val="auto"/>
                <w:kern w:val="2"/>
                <w:sz w:val="24"/>
                <w:szCs w:val="24"/>
                <w:lang w:eastAsia="zh-CN"/>
              </w:rPr>
              <w:t>，</w:t>
            </w:r>
            <w:r>
              <w:rPr>
                <w:rFonts w:hint="eastAsia" w:ascii="Times New Roman" w:hAnsi="Times New Roman" w:eastAsia="宋体" w:cs="Times New Roman"/>
                <w:color w:val="auto"/>
                <w:kern w:val="2"/>
                <w:sz w:val="24"/>
                <w:szCs w:val="24"/>
              </w:rPr>
              <w:t>最高得</w:t>
            </w:r>
            <w:r>
              <w:rPr>
                <w:rFonts w:hint="eastAsia" w:ascii="Times New Roman" w:hAnsi="Times New Roman" w:cs="Times New Roman"/>
                <w:color w:val="auto"/>
                <w:kern w:val="2"/>
                <w:sz w:val="24"/>
                <w:szCs w:val="24"/>
                <w:lang w:val="en-US" w:eastAsia="zh-CN"/>
              </w:rPr>
              <w:t>6</w:t>
            </w:r>
            <w:r>
              <w:rPr>
                <w:rFonts w:hint="eastAsia" w:ascii="Times New Roman" w:hAnsi="Times New Roman" w:eastAsia="宋体" w:cs="Times New Roman"/>
                <w:color w:val="auto"/>
                <w:kern w:val="2"/>
                <w:sz w:val="24"/>
                <w:szCs w:val="24"/>
              </w:rPr>
              <w:t>分，没有不得分，需提供认证证书扫描件并加盖投标人公章（认监委网站查询有效），认证范围需覆盖物业管理。</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0" w:beforeAutospacing="1" w:after="100" w:afterAutospacing="1" w:line="400" w:lineRule="exact"/>
              <w:ind w:left="0" w:right="0"/>
              <w:jc w:val="center"/>
              <w:rPr>
                <w:rFonts w:hint="eastAsia" w:ascii="宋体" w:hAnsi="宋体" w:eastAsia="宋体" w:cs="宋体"/>
                <w:bCs/>
                <w:color w:val="auto"/>
                <w:kern w:val="2"/>
                <w:sz w:val="24"/>
                <w:szCs w:val="24"/>
                <w:highlight w:val="none"/>
                <w:lang w:eastAsia="zh-CN"/>
              </w:rPr>
            </w:pPr>
            <w:r>
              <w:rPr>
                <w:rFonts w:hint="eastAsia" w:cs="宋体"/>
                <w:b w:val="0"/>
                <w:bCs/>
                <w:color w:val="auto"/>
                <w:kern w:val="2"/>
                <w:sz w:val="24"/>
                <w:szCs w:val="24"/>
                <w:highlight w:val="none"/>
                <w:lang w:val="en-US" w:eastAsia="zh-CN"/>
              </w:rPr>
              <w:t>6</w:t>
            </w:r>
          </w:p>
        </w:tc>
      </w:tr>
    </w:tbl>
    <w:p>
      <w:pPr>
        <w:spacing w:line="360" w:lineRule="auto"/>
        <w:ind w:firstLine="480" w:firstLineChars="200"/>
        <w:rPr>
          <w:rFonts w:hint="eastAsia"/>
          <w:color w:val="auto"/>
          <w:sz w:val="24"/>
          <w:szCs w:val="24"/>
          <w:highlight w:val="none"/>
        </w:rPr>
      </w:pPr>
      <w:r>
        <w:rPr>
          <w:rFonts w:hint="eastAsia"/>
          <w:color w:val="auto"/>
          <w:sz w:val="24"/>
          <w:szCs w:val="24"/>
          <w:highlight w:val="none"/>
        </w:rPr>
        <w:t>注：1、评标委员会各成员应当独立对每个投标人的投标文件进行评价，并汇总每个投标人的得分。资信分为客观分，也需独立进行评价并核对分值，最终分值需一致。</w:t>
      </w:r>
    </w:p>
    <w:p>
      <w:pPr>
        <w:numPr>
          <w:ilvl w:val="0"/>
          <w:numId w:val="29"/>
        </w:numPr>
        <w:spacing w:line="360" w:lineRule="auto"/>
        <w:ind w:firstLine="480" w:firstLineChars="200"/>
        <w:rPr>
          <w:rFonts w:hint="eastAsia"/>
          <w:color w:val="auto"/>
          <w:sz w:val="24"/>
          <w:szCs w:val="24"/>
          <w:highlight w:val="none"/>
        </w:rPr>
      </w:pPr>
      <w:r>
        <w:rPr>
          <w:rFonts w:hint="eastAsia"/>
          <w:color w:val="auto"/>
          <w:sz w:val="24"/>
          <w:szCs w:val="24"/>
          <w:highlight w:val="none"/>
        </w:rPr>
        <w:t>所有文件、合同、证书、资质等需要真实有效。中标人在中标后签订合同时需提供以上证明文件原件，若发现资料作假的取消中标资格。</w:t>
      </w:r>
    </w:p>
    <w:p>
      <w:pPr>
        <w:spacing w:after="156" w:afterLines="50" w:line="360" w:lineRule="auto"/>
        <w:jc w:val="center"/>
        <w:outlineLvl w:val="0"/>
        <w:rPr>
          <w:rStyle w:val="43"/>
          <w:rFonts w:hint="eastAsia"/>
          <w:color w:val="auto"/>
          <w:highlight w:val="none"/>
        </w:rPr>
      </w:pPr>
    </w:p>
    <w:p>
      <w:pPr>
        <w:spacing w:after="156" w:afterLines="50" w:line="360" w:lineRule="auto"/>
        <w:jc w:val="both"/>
        <w:outlineLvl w:val="0"/>
        <w:rPr>
          <w:rStyle w:val="43"/>
          <w:rFonts w:hint="eastAsia"/>
          <w:color w:val="auto"/>
          <w:highlight w:val="none"/>
        </w:rPr>
      </w:pPr>
    </w:p>
    <w:p>
      <w:pPr>
        <w:spacing w:after="156" w:afterLines="50" w:line="360" w:lineRule="auto"/>
        <w:jc w:val="center"/>
        <w:outlineLvl w:val="0"/>
        <w:rPr>
          <w:rFonts w:hint="eastAsia"/>
          <w:b/>
          <w:color w:val="auto"/>
          <w:sz w:val="36"/>
          <w:szCs w:val="36"/>
          <w:highlight w:val="none"/>
        </w:rPr>
      </w:pPr>
      <w:r>
        <w:rPr>
          <w:rStyle w:val="43"/>
          <w:rFonts w:hint="eastAsia"/>
          <w:color w:val="auto"/>
          <w:highlight w:val="none"/>
        </w:rPr>
        <w:t xml:space="preserve">第四部分  </w:t>
      </w:r>
      <w:bookmarkEnd w:id="428"/>
      <w:r>
        <w:rPr>
          <w:rStyle w:val="43"/>
          <w:rFonts w:hint="eastAsia"/>
          <w:color w:val="auto"/>
          <w:highlight w:val="none"/>
        </w:rPr>
        <w:t>采购需求</w:t>
      </w:r>
      <w:bookmarkEnd w:id="429"/>
    </w:p>
    <w:bookmarkEnd w:id="430"/>
    <w:bookmarkEnd w:id="431"/>
    <w:p>
      <w:pPr>
        <w:pStyle w:val="3"/>
        <w:spacing w:line="360" w:lineRule="auto"/>
        <w:rPr>
          <w:rFonts w:hint="eastAsia" w:cs="Courier New"/>
          <w:color w:val="auto"/>
          <w:sz w:val="24"/>
          <w:szCs w:val="21"/>
          <w:highlight w:val="none"/>
        </w:rPr>
      </w:pPr>
      <w:bookmarkStart w:id="435" w:name="_Toc20820"/>
      <w:bookmarkStart w:id="436" w:name="_Toc9198"/>
      <w:bookmarkStart w:id="437" w:name="_Toc11439"/>
      <w:bookmarkStart w:id="438" w:name="_Toc31736"/>
      <w:bookmarkStart w:id="439" w:name="_Toc15635"/>
      <w:r>
        <w:rPr>
          <w:rFonts w:hint="eastAsia"/>
          <w:color w:val="auto"/>
          <w:highlight w:val="none"/>
        </w:rPr>
        <w:t>第一章　服务内容及要求</w:t>
      </w:r>
      <w:bookmarkEnd w:id="435"/>
    </w:p>
    <w:bookmarkEnd w:id="436"/>
    <w:bookmarkEnd w:id="437"/>
    <w:bookmarkEnd w:id="438"/>
    <w:bookmarkEnd w:id="439"/>
    <w:p>
      <w:pPr>
        <w:numPr>
          <w:ilvl w:val="0"/>
          <w:numId w:val="30"/>
        </w:numPr>
        <w:spacing w:line="360" w:lineRule="auto"/>
        <w:ind w:firstLine="482" w:firstLineChars="200"/>
        <w:rPr>
          <w:rFonts w:hint="eastAsia" w:ascii="宋体" w:hAnsi="宋体" w:cs="宋体"/>
          <w:b/>
          <w:color w:val="auto"/>
          <w:sz w:val="24"/>
          <w:highlight w:val="none"/>
        </w:rPr>
      </w:pPr>
      <w:bookmarkStart w:id="440" w:name="_Toc3363"/>
      <w:bookmarkStart w:id="441" w:name="_Toc3222"/>
      <w:r>
        <w:rPr>
          <w:rFonts w:hint="eastAsia" w:ascii="宋体" w:hAnsi="宋体" w:cs="宋体"/>
          <w:b/>
          <w:color w:val="auto"/>
          <w:sz w:val="24"/>
          <w:highlight w:val="none"/>
        </w:rPr>
        <w:t>物业管理项目基本情况</w:t>
      </w:r>
    </w:p>
    <w:p>
      <w:pPr>
        <w:numPr>
          <w:ilvl w:val="0"/>
          <w:numId w:val="31"/>
        </w:numPr>
        <w:spacing w:line="360" w:lineRule="auto"/>
        <w:ind w:firstLine="480" w:firstLineChars="200"/>
        <w:jc w:val="left"/>
        <w:rPr>
          <w:rFonts w:hint="eastAsia"/>
          <w:color w:val="auto"/>
        </w:rPr>
      </w:pPr>
      <w:r>
        <w:rPr>
          <w:rFonts w:hint="eastAsia" w:ascii="宋体" w:hAnsi="宋体" w:cs="宋体"/>
          <w:color w:val="auto"/>
          <w:sz w:val="24"/>
          <w:highlight w:val="none"/>
        </w:rPr>
        <w:t>绍兴市上虞区曹娥街道兴业北路惠普广场建筑面积118939.39平方米，其中包括地上建筑面积99607.13平方米，地下建筑面积19333.26平方米。分A、BC、D、E四栋楼（BC两栋为相连大楼）。地下室设置车位327个。本次招标的物业管理年限定为</w:t>
      </w:r>
      <w:r>
        <w:rPr>
          <w:rFonts w:hint="eastAsia" w:ascii="宋体" w:hAnsi="宋体" w:cs="宋体"/>
          <w:color w:val="auto"/>
          <w:sz w:val="24"/>
          <w:highlight w:val="none"/>
          <w:u w:val="single"/>
        </w:rPr>
        <w:t xml:space="preserve"> 2</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2025年1月1日到2026年12月31日</w:t>
      </w:r>
      <w:r>
        <w:rPr>
          <w:rFonts w:hint="eastAsia" w:ascii="宋体" w:hAnsi="宋体" w:cs="宋体"/>
          <w:color w:val="auto"/>
          <w:sz w:val="24"/>
          <w:highlight w:val="none"/>
          <w:lang w:eastAsia="zh-CN"/>
        </w:rPr>
        <w:t>，</w:t>
      </w:r>
      <w:r>
        <w:rPr>
          <w:rFonts w:hint="eastAsia" w:ascii="宋体" w:hAnsi="宋体" w:cs="宋体"/>
          <w:color w:val="auto"/>
          <w:sz w:val="24"/>
          <w:highlight w:val="none"/>
        </w:rPr>
        <w:t>具体时间根据签订的合同为准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numPr>
          <w:ilvl w:val="0"/>
          <w:numId w:val="31"/>
        </w:numPr>
        <w:spacing w:line="360" w:lineRule="auto"/>
        <w:ind w:firstLine="480" w:firstLineChars="200"/>
        <w:jc w:val="left"/>
        <w:rPr>
          <w:rFonts w:hint="eastAsia" w:cs="宋体"/>
          <w:b w:val="0"/>
          <w:color w:val="auto"/>
          <w:sz w:val="24"/>
          <w:szCs w:val="24"/>
          <w:highlight w:val="none"/>
        </w:rPr>
      </w:pPr>
      <w:bookmarkStart w:id="442" w:name="_Toc15434"/>
      <w:bookmarkStart w:id="443" w:name="_Toc6890"/>
      <w:r>
        <w:rPr>
          <w:rFonts w:hint="eastAsia" w:ascii="宋体" w:hAnsi="宋体" w:eastAsia="宋体" w:cs="宋体"/>
          <w:color w:val="auto"/>
          <w:kern w:val="2"/>
          <w:sz w:val="24"/>
          <w:szCs w:val="24"/>
          <w:lang w:val="en-US" w:eastAsia="zh-CN" w:bidi="ar-SA"/>
        </w:rPr>
        <w:t>惠普广场</w:t>
      </w:r>
      <w:r>
        <w:rPr>
          <w:rFonts w:hint="eastAsia" w:eastAsia="宋体" w:cs="宋体"/>
          <w:b w:val="0"/>
          <w:color w:val="auto"/>
          <w:sz w:val="24"/>
          <w:szCs w:val="24"/>
          <w:highlight w:val="none"/>
          <w:lang w:val="en-US" w:eastAsia="zh-CN"/>
        </w:rPr>
        <w:t>物业分三</w:t>
      </w:r>
      <w:r>
        <w:rPr>
          <w:rFonts w:hint="eastAsia" w:cs="宋体"/>
          <w:b w:val="0"/>
          <w:color w:val="auto"/>
          <w:sz w:val="24"/>
          <w:szCs w:val="24"/>
          <w:highlight w:val="none"/>
        </w:rPr>
        <w:t>块物业管理服务和考核，分别为数创广场ABC楼区域（85297.71平）由绍兴市上虞区特色小镇投资建设有限公司负责考核、数创广场D楼（生态环境分局、</w:t>
      </w:r>
      <w:r>
        <w:rPr>
          <w:rFonts w:hint="eastAsia" w:cs="宋体"/>
          <w:b w:val="0"/>
          <w:color w:val="auto"/>
          <w:sz w:val="24"/>
          <w:szCs w:val="24"/>
          <w:highlight w:val="none"/>
          <w:lang w:eastAsia="zh-CN"/>
        </w:rPr>
        <w:t>第二稽查局</w:t>
      </w:r>
      <w:r>
        <w:rPr>
          <w:rFonts w:hint="eastAsia" w:cs="宋体"/>
          <w:b w:val="0"/>
          <w:color w:val="auto"/>
          <w:sz w:val="24"/>
          <w:szCs w:val="24"/>
          <w:highlight w:val="none"/>
        </w:rPr>
        <w:t>）区域（15504.62平）由绍兴市生态环境局上虞分局和绍兴市税务局第二稽查分局负责考核、数创大通e享城商贸区域（18137.06平）由</w:t>
      </w:r>
      <w:r>
        <w:rPr>
          <w:rFonts w:hint="eastAsia" w:cs="宋体"/>
          <w:b w:val="0"/>
          <w:color w:val="auto"/>
          <w:sz w:val="24"/>
          <w:szCs w:val="24"/>
          <w:highlight w:val="none"/>
          <w:lang w:eastAsia="zh-CN"/>
        </w:rPr>
        <w:t>绍兴市上虞大通易享城商业管理有限公司</w:t>
      </w:r>
      <w:r>
        <w:rPr>
          <w:rFonts w:hint="eastAsia" w:cs="宋体"/>
          <w:b w:val="0"/>
          <w:color w:val="auto"/>
          <w:sz w:val="24"/>
          <w:szCs w:val="24"/>
          <w:highlight w:val="none"/>
        </w:rPr>
        <w:t>负责考核。</w:t>
      </w:r>
      <w:bookmarkEnd w:id="442"/>
      <w:bookmarkEnd w:id="443"/>
    </w:p>
    <w:p>
      <w:pPr>
        <w:spacing w:line="360" w:lineRule="auto"/>
        <w:ind w:firstLine="480"/>
        <w:rPr>
          <w:rFonts w:hint="default" w:eastAsia="宋体"/>
          <w:color w:val="auto"/>
          <w:highlight w:val="none"/>
          <w:lang w:val="en-US" w:eastAsia="zh-CN"/>
        </w:rPr>
      </w:pPr>
      <w:r>
        <w:rPr>
          <w:rFonts w:hint="eastAsia" w:ascii="宋体" w:hAnsi="宋体" w:cs="宋体"/>
          <w:color w:val="auto"/>
          <w:sz w:val="24"/>
          <w:highlight w:val="none"/>
        </w:rPr>
        <w:t>服务内容：本次招标的物业管理服务内容但不限于以下内容：环境卫生管理（包括灭“四害”消杀和门前“三包”）；传达、保安、秩序管理；室外公共区域保洁管理；会务服务管理；消防、监控设施管理；弱电系统管理；供电设备管理；给排水设备运行维护；空调系统运行管理；电梯管理；停车管理方案</w:t>
      </w:r>
      <w:r>
        <w:rPr>
          <w:rFonts w:hint="eastAsia" w:ascii="宋体" w:hAnsi="宋体" w:cs="宋体"/>
          <w:color w:val="auto"/>
          <w:sz w:val="24"/>
          <w:highlight w:val="none"/>
          <w:lang w:eastAsia="zh-CN"/>
        </w:rPr>
        <w:t>（</w:t>
      </w:r>
      <w:r>
        <w:rPr>
          <w:rFonts w:hint="eastAsia" w:cs="宋体"/>
          <w:b/>
          <w:bCs/>
          <w:color w:val="auto"/>
          <w:sz w:val="24"/>
          <w:highlight w:val="none"/>
          <w:lang w:val="en-US" w:eastAsia="zh-CN"/>
        </w:rPr>
        <w:t>管理</w:t>
      </w:r>
      <w:r>
        <w:rPr>
          <w:rFonts w:hint="eastAsia" w:ascii="宋体" w:hAnsi="宋体" w:cs="宋体"/>
          <w:b/>
          <w:bCs/>
          <w:color w:val="auto"/>
          <w:sz w:val="24"/>
          <w:highlight w:val="none"/>
          <w:lang w:val="en-US" w:eastAsia="zh-CN"/>
        </w:rPr>
        <w:t>期间停车收费系统及相关设施设备维修保养由中标方负责实施。其中D幢地下室加装4个充电头，包括埋线，总的线要求45㎜²，分线15㎜²。</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；物业费、企业房租收缴、水电费抄录和收取等。</w:t>
      </w:r>
      <w:r>
        <w:rPr>
          <w:rFonts w:hint="eastAsia" w:ascii="宋体" w:hAnsi="宋体" w:cs="宋体"/>
          <w:color w:val="auto"/>
          <w:kern w:val="0"/>
          <w:sz w:val="24"/>
          <w:highlight w:val="none"/>
        </w:rPr>
        <w:t>对未详细列出或说明，但为项目物业服务运行不可缺少的内容及工作也包括在本物业服务招标范围内。</w:t>
      </w:r>
      <w:r>
        <w:rPr>
          <w:rFonts w:hint="eastAsia" w:ascii="宋体"/>
          <w:color w:val="auto"/>
          <w:kern w:val="0"/>
          <w:sz w:val="24"/>
          <w:highlight w:val="none"/>
        </w:rPr>
        <w:t>办公和商业区域需要分别制定一整套严格的管理制度和操作规程，通过科学的管理和优质服务，提升项目整体服务水平。（</w:t>
      </w:r>
      <w:r>
        <w:rPr>
          <w:rFonts w:hint="eastAsia" w:ascii="宋体" w:hAnsi="宋体" w:cs="宋体"/>
          <w:b/>
          <w:bCs/>
          <w:color w:val="auto"/>
          <w:sz w:val="24"/>
          <w:szCs w:val="21"/>
          <w:highlight w:val="none"/>
          <w:lang w:val="zh-CN"/>
        </w:rPr>
        <w:t>注：</w:t>
      </w:r>
      <w:r>
        <w:rPr>
          <w:rFonts w:hint="eastAsia" w:ascii="宋体" w:hAnsi="宋体" w:cs="宋体"/>
          <w:b/>
          <w:bCs/>
          <w:color w:val="auto"/>
          <w:sz w:val="24"/>
          <w:szCs w:val="21"/>
          <w:highlight w:val="none"/>
        </w:rPr>
        <w:t>A幢一楼大厅，需负责经营咖啡、烘焙或轻餐饮，盈亏自负。</w:t>
      </w:r>
      <w:r>
        <w:rPr>
          <w:rFonts w:hint="eastAsia" w:ascii="宋体"/>
          <w:color w:val="auto"/>
          <w:kern w:val="0"/>
          <w:sz w:val="24"/>
          <w:highlight w:val="none"/>
        </w:rPr>
        <w:t>）</w:t>
      </w:r>
      <w:r>
        <w:rPr>
          <w:rFonts w:hint="eastAsia"/>
          <w:color w:val="auto"/>
          <w:kern w:val="0"/>
          <w:sz w:val="24"/>
          <w:highlight w:val="none"/>
          <w:lang w:val="en-US" w:eastAsia="zh-CN"/>
        </w:rPr>
        <w:t>另供应商需要投保</w:t>
      </w:r>
      <w:r>
        <w:rPr>
          <w:rFonts w:hint="eastAsia" w:ascii="宋体"/>
          <w:color w:val="auto"/>
          <w:kern w:val="0"/>
          <w:sz w:val="24"/>
          <w:highlight w:val="none"/>
        </w:rPr>
        <w:t>公众责任险</w:t>
      </w:r>
      <w:r>
        <w:rPr>
          <w:rFonts w:hint="eastAsia"/>
          <w:color w:val="auto"/>
          <w:kern w:val="0"/>
          <w:sz w:val="24"/>
          <w:highlight w:val="none"/>
          <w:lang w:val="en-US" w:eastAsia="zh-CN"/>
        </w:rPr>
        <w:t>不低于2万元。</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投标报价：投标报价中标明的价格为履行合同</w:t>
      </w:r>
      <w:r>
        <w:rPr>
          <w:rFonts w:hint="eastAsia" w:ascii="宋体" w:hAnsi="宋体" w:cs="宋体"/>
          <w:color w:val="auto"/>
          <w:sz w:val="24"/>
          <w:highlight w:val="none"/>
          <w:lang w:val="en-US" w:eastAsia="zh-CN"/>
        </w:rPr>
        <w:t>总服务期内</w:t>
      </w:r>
      <w:r>
        <w:rPr>
          <w:rFonts w:hint="eastAsia" w:ascii="宋体" w:hAnsi="宋体" w:cs="宋体"/>
          <w:color w:val="auto"/>
          <w:sz w:val="24"/>
          <w:highlight w:val="none"/>
        </w:rPr>
        <w:t>的物业管理费价格，包括人员工资（包括加班费）、福利、奖金（过节费、高温费、伙食费、住宿费等）、保险（五险一金、商业保险、残障金等）、劳保用品、服装、工具、耗材（公共卫生间洗手液、擦手纸、卫生纸、灭“四害”药物、蚊香、垃圾袋等保洁耗材）、机械、设备、车辆维修、养护、油料、办公文具电脑打印机用品。垃圾清运费及处置费、利润、管理、税金及不可预见费用（如突击工作费，人工增加费，设施维护费</w:t>
      </w:r>
      <w:r>
        <w:rPr>
          <w:rFonts w:hint="eastAsia" w:cs="宋体"/>
          <w:color w:val="auto"/>
          <w:sz w:val="24"/>
          <w:highlight w:val="none"/>
          <w:lang w:eastAsia="zh-CN"/>
        </w:rPr>
        <w:t>及其他</w:t>
      </w:r>
      <w:r>
        <w:rPr>
          <w:rFonts w:hint="eastAsia" w:ascii="宋体" w:hAnsi="宋体" w:cs="宋体"/>
          <w:color w:val="auto"/>
          <w:sz w:val="24"/>
          <w:highlight w:val="none"/>
        </w:rPr>
        <w:t>等）等一切费用。</w:t>
      </w:r>
    </w:p>
    <w:p>
      <w:pPr>
        <w:pStyle w:val="9"/>
        <w:spacing w:line="360" w:lineRule="auto"/>
        <w:rPr>
          <w:rFonts w:hint="eastAsia" w:hAnsi="宋体" w:cs="宋体"/>
          <w:b/>
          <w:bCs/>
          <w:color w:val="auto"/>
          <w:highlight w:val="none"/>
          <w:lang w:val="en-US" w:eastAsia="zh-CN"/>
        </w:rPr>
      </w:pPr>
      <w:r>
        <w:rPr>
          <w:rFonts w:hint="eastAsia" w:hAnsi="宋体" w:cs="宋体"/>
          <w:b/>
          <w:bCs/>
          <w:color w:val="auto"/>
          <w:highlight w:val="none"/>
        </w:rPr>
        <w:t>（注：本次项目</w:t>
      </w:r>
      <w:r>
        <w:rPr>
          <w:rFonts w:hint="eastAsia" w:hAnsi="宋体" w:cs="宋体"/>
          <w:b/>
          <w:bCs/>
          <w:color w:val="auto"/>
          <w:highlight w:val="none"/>
          <w:lang w:eastAsia="zh-CN"/>
        </w:rPr>
        <w:t>包含</w:t>
      </w:r>
      <w:r>
        <w:rPr>
          <w:rFonts w:hint="eastAsia" w:hAnsi="宋体" w:cs="宋体"/>
          <w:b/>
          <w:bCs/>
          <w:color w:val="auto"/>
          <w:highlight w:val="none"/>
        </w:rPr>
        <w:t>：</w:t>
      </w:r>
      <w:r>
        <w:rPr>
          <w:rFonts w:hint="eastAsia" w:hAnsi="宋体" w:cs="宋体"/>
          <w:b/>
          <w:bCs/>
          <w:color w:val="auto"/>
          <w:highlight w:val="none"/>
          <w:lang w:val="en-US" w:eastAsia="zh-CN"/>
        </w:rPr>
        <w:t>1</w:t>
      </w:r>
      <w:r>
        <w:rPr>
          <w:rFonts w:hint="eastAsia" w:hAnsi="宋体" w:cs="宋体"/>
          <w:b/>
          <w:bCs/>
          <w:color w:val="auto"/>
          <w:highlight w:val="none"/>
          <w:lang w:val="en-US"/>
        </w:rPr>
        <w:t>、生活垃圾</w:t>
      </w:r>
      <w:r>
        <w:rPr>
          <w:rFonts w:hint="eastAsia" w:hAnsi="宋体" w:cs="宋体"/>
          <w:b/>
          <w:bCs/>
          <w:color w:val="auto"/>
          <w:highlight w:val="none"/>
        </w:rPr>
        <w:t>清理费；</w:t>
      </w:r>
      <w:r>
        <w:rPr>
          <w:rFonts w:hint="eastAsia" w:hAnsi="宋体" w:cs="宋体"/>
          <w:b/>
          <w:bCs/>
          <w:color w:val="auto"/>
          <w:highlight w:val="none"/>
          <w:lang w:val="en-US" w:eastAsia="zh-CN"/>
        </w:rPr>
        <w:t>2</w:t>
      </w:r>
      <w:r>
        <w:rPr>
          <w:rFonts w:hint="eastAsia" w:hAnsi="宋体" w:cs="宋体"/>
          <w:b/>
          <w:bCs/>
          <w:color w:val="auto"/>
          <w:highlight w:val="none"/>
          <w:lang w:val="en-US"/>
        </w:rPr>
        <w:t>、绿化维护、保养、绿植租赁</w:t>
      </w:r>
      <w:r>
        <w:rPr>
          <w:rFonts w:hint="eastAsia" w:hAnsi="宋体" w:cs="宋体"/>
          <w:b/>
          <w:bCs/>
          <w:color w:val="auto"/>
          <w:highlight w:val="none"/>
        </w:rPr>
        <w:t>（数量及质量不得低于现有要求）；</w:t>
      </w:r>
      <w:r>
        <w:rPr>
          <w:rFonts w:hint="eastAsia" w:hAnsi="宋体" w:cs="宋体"/>
          <w:b/>
          <w:bCs/>
          <w:color w:val="auto"/>
          <w:highlight w:val="none"/>
          <w:lang w:val="en-US" w:eastAsia="zh-CN"/>
        </w:rPr>
        <w:t>3</w:t>
      </w:r>
      <w:r>
        <w:rPr>
          <w:rFonts w:hint="eastAsia" w:hAnsi="宋体" w:cs="宋体"/>
          <w:b/>
          <w:bCs/>
          <w:color w:val="auto"/>
          <w:highlight w:val="none"/>
          <w:lang w:val="en-US"/>
        </w:rPr>
        <w:t>、</w:t>
      </w:r>
      <w:r>
        <w:rPr>
          <w:rFonts w:hint="eastAsia" w:hAnsi="宋体" w:cs="宋体"/>
          <w:b/>
          <w:bCs/>
          <w:color w:val="auto"/>
          <w:highlight w:val="none"/>
          <w:lang w:val="en-US" w:eastAsia="zh-CN"/>
        </w:rPr>
        <w:t>惠普D幢</w:t>
      </w:r>
      <w:r>
        <w:rPr>
          <w:rFonts w:hint="eastAsia" w:hAnsi="宋体" w:cs="宋体"/>
          <w:b/>
          <w:bCs/>
          <w:color w:val="auto"/>
          <w:highlight w:val="none"/>
          <w:lang w:val="en-US"/>
        </w:rPr>
        <w:t>中央空调维保费用</w:t>
      </w:r>
      <w:r>
        <w:rPr>
          <w:rFonts w:hint="eastAsia" w:ascii="宋体" w:hAnsi="宋体" w:eastAsia="宋体" w:cs="宋体"/>
          <w:b/>
          <w:bCs/>
          <w:color w:val="auto"/>
          <w:highlight w:val="none"/>
          <w:lang w:val="en-US"/>
        </w:rPr>
        <w:t>；</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lang w:val="en-US"/>
        </w:rPr>
        <w:t>弱电</w:t>
      </w:r>
      <w:r>
        <w:rPr>
          <w:rFonts w:hint="eastAsia" w:ascii="宋体" w:hAnsi="宋体" w:eastAsia="宋体" w:cs="宋体"/>
          <w:b/>
          <w:bCs/>
          <w:color w:val="auto"/>
          <w:highlight w:val="none"/>
          <w:lang w:val="en-US" w:eastAsia="zh-CN"/>
        </w:rPr>
        <w:t>维保。</w:t>
      </w:r>
      <w:r>
        <w:rPr>
          <w:rFonts w:hint="eastAsia" w:hAnsi="宋体" w:cs="宋体"/>
          <w:b/>
          <w:bCs/>
          <w:color w:val="auto"/>
          <w:highlight w:val="none"/>
          <w:lang w:val="en-US" w:eastAsia="zh-CN"/>
        </w:rPr>
        <w:t>）</w:t>
      </w:r>
    </w:p>
    <w:tbl>
      <w:tblPr>
        <w:tblStyle w:val="35"/>
        <w:tblW w:w="8264"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526"/>
        <w:gridCol w:w="2062"/>
        <w:gridCol w:w="2162"/>
        <w:gridCol w:w="2199"/>
        <w:gridCol w:w="13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49" w:hRule="atLeast"/>
        </w:trPr>
        <w:tc>
          <w:tcPr>
            <w:tcW w:w="526" w:type="dxa"/>
            <w:tcBorders>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序号</w:t>
            </w:r>
          </w:p>
        </w:tc>
        <w:tc>
          <w:tcPr>
            <w:tcW w:w="2062" w:type="dxa"/>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服务内容</w:t>
            </w:r>
          </w:p>
        </w:tc>
        <w:tc>
          <w:tcPr>
            <w:tcW w:w="2162" w:type="dxa"/>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数创广场ABC楼区域</w:t>
            </w:r>
          </w:p>
        </w:tc>
        <w:tc>
          <w:tcPr>
            <w:tcW w:w="2199" w:type="dxa"/>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数创广场D楼</w:t>
            </w:r>
          </w:p>
        </w:tc>
        <w:tc>
          <w:tcPr>
            <w:tcW w:w="1315" w:type="dxa"/>
            <w:tcBorders>
              <w:left w:val="single" w:color="000000" w:sz="4" w:space="0"/>
              <w:bottom w:val="single" w:color="auto"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大通e享城商贸区域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59" w:hRule="atLeast"/>
        </w:trPr>
        <w:tc>
          <w:tcPr>
            <w:tcW w:w="526" w:type="dxa"/>
            <w:tcBorders>
              <w:top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0"/>
                <w:sz w:val="22"/>
                <w:szCs w:val="22"/>
                <w:highlight w:val="none"/>
                <w:lang w:val="en-US"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绿化维护、保养、绿植租赁</w:t>
            </w:r>
          </w:p>
        </w:tc>
        <w:tc>
          <w:tcPr>
            <w:tcW w:w="2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无</w:t>
            </w:r>
          </w:p>
        </w:tc>
        <w:tc>
          <w:tcPr>
            <w:tcW w:w="219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1315" w:type="dxa"/>
            <w:tcBorders>
              <w:top w:val="single" w:color="auto" w:sz="4" w:space="0"/>
              <w:left w:val="single" w:color="auto" w:sz="4" w:space="0"/>
              <w:bottom w:val="single" w:color="auto"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59" w:hRule="atLeast"/>
        </w:trPr>
        <w:tc>
          <w:tcPr>
            <w:tcW w:w="526" w:type="dxa"/>
            <w:tcBorders>
              <w:top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0"/>
                <w:sz w:val="22"/>
                <w:szCs w:val="22"/>
                <w:highlight w:val="none"/>
                <w:lang w:val="en-US"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中央空调维保</w:t>
            </w:r>
          </w:p>
        </w:tc>
        <w:tc>
          <w:tcPr>
            <w:tcW w:w="2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无</w:t>
            </w:r>
          </w:p>
        </w:tc>
        <w:tc>
          <w:tcPr>
            <w:tcW w:w="2199" w:type="dxa"/>
            <w:tcBorders>
              <w:top w:val="single" w:color="000000" w:sz="4" w:space="0"/>
              <w:left w:val="nil"/>
              <w:bottom w:val="single" w:color="000000"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w:t>
            </w:r>
          </w:p>
        </w:tc>
        <w:tc>
          <w:tcPr>
            <w:tcW w:w="1315" w:type="dxa"/>
            <w:tcBorders>
              <w:top w:val="single" w:color="auto" w:sz="4" w:space="0"/>
              <w:left w:val="single" w:color="auto" w:sz="4" w:space="0"/>
              <w:bottom w:val="single" w:color="auto"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26" w:type="dxa"/>
            <w:tcBorders>
              <w:top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0"/>
                <w:sz w:val="22"/>
                <w:szCs w:val="22"/>
                <w:highlight w:val="none"/>
                <w:lang w:val="en-US"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弱电</w:t>
            </w:r>
            <w:r>
              <w:rPr>
                <w:rFonts w:hint="eastAsia" w:ascii="宋体" w:hAnsi="宋体" w:cs="宋体"/>
                <w:color w:val="auto"/>
                <w:kern w:val="0"/>
                <w:sz w:val="22"/>
                <w:szCs w:val="22"/>
                <w:highlight w:val="none"/>
                <w:lang w:eastAsia="zh-CN" w:bidi="ar"/>
              </w:rPr>
              <w:t>维保</w:t>
            </w:r>
          </w:p>
        </w:tc>
        <w:tc>
          <w:tcPr>
            <w:tcW w:w="2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w:t>
            </w:r>
          </w:p>
        </w:tc>
        <w:tc>
          <w:tcPr>
            <w:tcW w:w="219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w:t>
            </w:r>
          </w:p>
        </w:tc>
        <w:tc>
          <w:tcPr>
            <w:tcW w:w="1315" w:type="dxa"/>
            <w:tcBorders>
              <w:top w:val="single" w:color="auto" w:sz="4" w:space="0"/>
              <w:left w:val="single" w:color="auto" w:sz="4" w:space="0"/>
              <w:bottom w:val="single" w:color="auto"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26" w:type="dxa"/>
            <w:tcBorders>
              <w:top w:val="nil"/>
              <w:bottom w:val="single" w:color="auto"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0"/>
                <w:sz w:val="22"/>
                <w:szCs w:val="22"/>
                <w:highlight w:val="none"/>
                <w:lang w:val="en-US" w:eastAsia="zh-CN" w:bidi="ar"/>
              </w:rPr>
              <w:t>4</w:t>
            </w:r>
          </w:p>
        </w:tc>
        <w:tc>
          <w:tcPr>
            <w:tcW w:w="206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生活垃圾清运费</w:t>
            </w:r>
          </w:p>
        </w:tc>
        <w:tc>
          <w:tcPr>
            <w:tcW w:w="2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219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1315" w:type="dxa"/>
            <w:tcBorders>
              <w:top w:val="single" w:color="auto" w:sz="4" w:space="0"/>
              <w:left w:val="single" w:color="auto" w:sz="4" w:space="0"/>
              <w:bottom w:val="single" w:color="auto" w:sz="4" w:space="0"/>
            </w:tcBorders>
            <w:shd w:val="clear" w:color="auto" w:fill="FFFFFF"/>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r>
    </w:tbl>
    <w:p>
      <w:pPr>
        <w:pStyle w:val="10"/>
        <w:spacing w:line="360" w:lineRule="auto"/>
        <w:rPr>
          <w:color w:val="auto"/>
        </w:rPr>
      </w:pP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二、管理及服务人员要求</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color w:val="auto"/>
          <w:sz w:val="24"/>
          <w:highlight w:val="none"/>
        </w:rPr>
        <w:t>人员配置要求</w:t>
      </w:r>
    </w:p>
    <w:p>
      <w:pPr>
        <w:spacing w:line="360" w:lineRule="auto"/>
        <w:ind w:firstLine="480"/>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1.惠普广场ABC楼</w:t>
      </w:r>
      <w:r>
        <w:rPr>
          <w:rFonts w:hint="eastAsia" w:eastAsia="宋体" w:cs="宋体"/>
          <w:b w:val="0"/>
          <w:color w:val="auto"/>
          <w:sz w:val="24"/>
          <w:szCs w:val="24"/>
          <w:highlight w:val="none"/>
          <w:lang w:val="en-US" w:eastAsia="zh-CN"/>
        </w:rPr>
        <w:t>物业</w:t>
      </w:r>
      <w:r>
        <w:rPr>
          <w:rFonts w:hint="eastAsia" w:ascii="宋体" w:hAnsi="宋体" w:eastAsia="宋体" w:cs="宋体"/>
          <w:color w:val="auto"/>
          <w:kern w:val="2"/>
          <w:sz w:val="24"/>
          <w:szCs w:val="24"/>
          <w:lang w:val="en-US" w:eastAsia="zh-CN" w:bidi="ar-SA"/>
        </w:rPr>
        <w:t>人员配置要求</w:t>
      </w:r>
      <w:r>
        <w:rPr>
          <w:rFonts w:hint="eastAsia" w:ascii="宋体" w:hAnsi="宋体" w:cs="宋体"/>
          <w:color w:val="auto"/>
          <w:sz w:val="24"/>
          <w:highlight w:val="none"/>
        </w:rPr>
        <w:t>：项目经理</w:t>
      </w:r>
      <w:r>
        <w:rPr>
          <w:rFonts w:hint="eastAsia" w:ascii="宋体" w:hAnsi="宋体" w:cs="宋体"/>
          <w:color w:val="auto"/>
          <w:sz w:val="24"/>
          <w:highlight w:val="none"/>
          <w:lang w:val="en-US" w:eastAsia="zh-CN"/>
        </w:rPr>
        <w:t>岗位不少于</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个</w:t>
      </w:r>
      <w:r>
        <w:rPr>
          <w:rFonts w:hint="eastAsia" w:ascii="宋体" w:hAnsi="宋体" w:cs="宋体"/>
          <w:color w:val="auto"/>
          <w:sz w:val="24"/>
          <w:highlight w:val="none"/>
        </w:rPr>
        <w:t>、消控</w:t>
      </w:r>
      <w:r>
        <w:rPr>
          <w:rFonts w:hint="eastAsia" w:ascii="宋体" w:hAnsi="宋体" w:cs="宋体"/>
          <w:color w:val="auto"/>
          <w:sz w:val="24"/>
          <w:highlight w:val="none"/>
          <w:lang w:val="en-US" w:eastAsia="zh-CN"/>
        </w:rPr>
        <w:t>岗位不少于2个，监控岗位不少于2个，安保、门卫、巡逻白班岗位不少于6个，安保、门卫、训练晚班岗位不少于5个，安保、监控、消控替班岗位2个，A楼宇保洁岗位不少于6个，BC楼宇保洁岗位不少于5个，外围保洁岗位不少于2个，垃圾分类岗位不少于1个，保洁替班加派门户岗位不少于</w:t>
      </w:r>
      <w:r>
        <w:rPr>
          <w:rFonts w:hint="eastAsia" w:cs="宋体"/>
          <w:color w:val="auto"/>
          <w:sz w:val="24"/>
          <w:highlight w:val="none"/>
          <w:lang w:val="en-US" w:eastAsia="zh-CN"/>
        </w:rPr>
        <w:t>4</w:t>
      </w:r>
      <w:r>
        <w:rPr>
          <w:rFonts w:hint="eastAsia" w:ascii="宋体" w:hAnsi="宋体" w:cs="宋体"/>
          <w:color w:val="auto"/>
          <w:sz w:val="24"/>
          <w:highlight w:val="none"/>
          <w:lang w:val="en-US" w:eastAsia="zh-CN"/>
        </w:rPr>
        <w:t>个，前台、统计</w:t>
      </w:r>
      <w:r>
        <w:rPr>
          <w:rFonts w:hint="eastAsia" w:cs="宋体"/>
          <w:color w:val="auto"/>
          <w:sz w:val="24"/>
          <w:highlight w:val="none"/>
          <w:lang w:val="en-US" w:eastAsia="zh-CN"/>
        </w:rPr>
        <w:t>和接待</w:t>
      </w:r>
      <w:r>
        <w:rPr>
          <w:rFonts w:hint="eastAsia" w:ascii="宋体" w:hAnsi="宋体" w:cs="宋体"/>
          <w:color w:val="auto"/>
          <w:sz w:val="24"/>
          <w:highlight w:val="none"/>
          <w:lang w:val="en-US" w:eastAsia="zh-CN"/>
        </w:rPr>
        <w:t>岗位不少于</w:t>
      </w:r>
      <w:r>
        <w:rPr>
          <w:rFonts w:hint="eastAsia" w:cs="宋体"/>
          <w:color w:val="auto"/>
          <w:sz w:val="24"/>
          <w:highlight w:val="none"/>
          <w:lang w:val="en-US" w:eastAsia="zh-CN"/>
        </w:rPr>
        <w:t>3</w:t>
      </w:r>
      <w:r>
        <w:rPr>
          <w:rFonts w:hint="eastAsia" w:ascii="宋体" w:hAnsi="宋体" w:cs="宋体"/>
          <w:color w:val="auto"/>
          <w:sz w:val="24"/>
          <w:highlight w:val="none"/>
          <w:lang w:val="en-US" w:eastAsia="zh-CN"/>
        </w:rPr>
        <w:t>个，强弱电维修、日常维修岗位不少于2个</w:t>
      </w:r>
      <w:r>
        <w:rPr>
          <w:rFonts w:hint="eastAsia" w:ascii="宋体" w:hAnsi="宋体" w:cs="宋体"/>
          <w:color w:val="auto"/>
          <w:sz w:val="24"/>
          <w:highlight w:val="none"/>
        </w:rPr>
        <w:t>。</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2.惠普广场D楼物业人员配置要求：安保、门卫、巡逻岗位不少于3个，楼宇、室内保洁岗位不少于6个，强弱电维修、日常维修岗位1个。</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3.惠普广场大通e享城商物业人员配置要求：安保、门卫、巡逻岗位不少于3个，楼宇、室内保洁岗位不少于4个，前台客服、维修岗位1个。</w:t>
      </w:r>
    </w:p>
    <w:p>
      <w:pPr>
        <w:spacing w:line="360" w:lineRule="auto"/>
        <w:ind w:firstLine="480"/>
        <w:rPr>
          <w:rFonts w:hint="eastAsia"/>
          <w:color w:val="auto"/>
          <w:highlight w:val="none"/>
        </w:rPr>
      </w:pPr>
      <w:r>
        <w:rPr>
          <w:rFonts w:hint="eastAsia" w:ascii="宋体" w:hAnsi="宋体" w:cs="宋体"/>
          <w:color w:val="auto"/>
          <w:sz w:val="24"/>
          <w:highlight w:val="none"/>
        </w:rPr>
        <w:t>上述人员配置为建议性，报价单位可以根据本项目的实际情况提出专业性调整。服务人员上岗时须统一着装，服装样式体现岗位特色和方便不同岗位操作，并经采购单位认可。拟派人员须提供相应的从业资格证书或上岗证，未经招标人书面同意，中标投标人不得变更。</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cs="宋体"/>
          <w:color w:val="auto"/>
          <w:sz w:val="24"/>
          <w:highlight w:val="none"/>
        </w:rPr>
        <w:t>部分人员具体要求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拟派项目经理：45岁及以下，从事物业管理经验4年以上，需有物业经理证；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维修：50岁及以下，具有操作证；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保安员：40岁及以下男性，身高172CM以上，有保安员证。具有保安师证者可以适当放宽年龄，保安员应维护好项目的正常秩序，确保项目正常</w:t>
      </w:r>
      <w:r>
        <w:rPr>
          <w:rFonts w:hint="eastAsia" w:ascii="宋体" w:hAnsi="宋体" w:cs="宋体"/>
          <w:color w:val="auto"/>
          <w:sz w:val="24"/>
          <w:highlight w:val="none"/>
          <w:lang w:eastAsia="zh-CN"/>
        </w:rPr>
        <w:t>地</w:t>
      </w:r>
      <w:r>
        <w:rPr>
          <w:rFonts w:hint="eastAsia" w:ascii="宋体" w:hAnsi="宋体" w:cs="宋体"/>
          <w:color w:val="auto"/>
          <w:sz w:val="24"/>
          <w:highlight w:val="none"/>
        </w:rPr>
        <w:t>运行。尤其在发生突发性事件时，除了维护项目秩序的同时，应保护好甲方人员的人身安全；形象岗必须为年轻退伍军人。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消防</w:t>
      </w:r>
      <w:r>
        <w:rPr>
          <w:rFonts w:hint="eastAsia" w:ascii="宋体" w:hAnsi="宋体" w:cs="宋体"/>
          <w:color w:val="auto"/>
          <w:sz w:val="24"/>
          <w:highlight w:val="none"/>
        </w:rPr>
        <w:t>监控值班：消控室值班员必须持有建（构）筑消防消防员证；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保洁人员：55岁及以下；</w:t>
      </w:r>
    </w:p>
    <w:p>
      <w:pPr>
        <w:spacing w:line="360" w:lineRule="auto"/>
        <w:ind w:firstLine="480" w:firstLineChars="200"/>
        <w:rPr>
          <w:rFonts w:hint="eastAsia" w:ascii="宋体" w:hAnsi="宋体"/>
          <w:b/>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以上人员要求政治上可靠，遵纪守法，敬业爱岗，身体素质好，无不良行为记录，知晓本岗位的服务礼仪，工作时间着工作服。</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三、物业管理主要项目  </w:t>
      </w:r>
    </w:p>
    <w:p>
      <w:pPr>
        <w:spacing w:line="360" w:lineRule="auto"/>
        <w:ind w:firstLine="480" w:firstLineChars="200"/>
        <w:rPr>
          <w:rFonts w:hint="eastAsia" w:ascii="宋体" w:hAnsi="宋体"/>
          <w:color w:val="auto"/>
          <w:sz w:val="24"/>
          <w:highlight w:val="none"/>
        </w:rPr>
      </w:pPr>
      <w:bookmarkStart w:id="444" w:name="OLE_LINK8"/>
      <w:bookmarkStart w:id="445" w:name="OLE_LINK13"/>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环境卫生管理；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传达、保安、秩序管理；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室外公共区域保洁管理；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消防、监控设施管理维护；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弱电系统管理维护；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w:t>
      </w:r>
      <w:r>
        <w:rPr>
          <w:rFonts w:hint="eastAsia" w:ascii="宋体" w:hAnsi="宋体"/>
          <w:color w:val="auto"/>
          <w:sz w:val="24"/>
          <w:highlight w:val="none"/>
        </w:rPr>
        <w:t>供电设备管理维护；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w:t>
      </w:r>
      <w:r>
        <w:rPr>
          <w:rFonts w:hint="eastAsia" w:ascii="宋体" w:hAnsi="宋体"/>
          <w:color w:val="auto"/>
          <w:sz w:val="24"/>
          <w:highlight w:val="none"/>
        </w:rPr>
        <w:t>给排水设备系统管理维护；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w:t>
      </w:r>
      <w:r>
        <w:rPr>
          <w:rFonts w:hint="eastAsia" w:ascii="宋体" w:hAnsi="宋体"/>
          <w:color w:val="auto"/>
          <w:sz w:val="24"/>
          <w:highlight w:val="none"/>
        </w:rPr>
        <w:t>空调系统管理维护；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w:t>
      </w:r>
      <w:r>
        <w:rPr>
          <w:rFonts w:hint="eastAsia" w:ascii="宋体" w:hAnsi="宋体"/>
          <w:color w:val="auto"/>
          <w:sz w:val="24"/>
          <w:highlight w:val="none"/>
          <w:lang w:val="en-US" w:eastAsia="zh-CN"/>
        </w:rPr>
        <w:t>.</w:t>
      </w:r>
      <w:r>
        <w:rPr>
          <w:rFonts w:hint="eastAsia" w:ascii="宋体" w:hAnsi="宋体"/>
          <w:color w:val="auto"/>
          <w:sz w:val="24"/>
          <w:highlight w:val="none"/>
        </w:rPr>
        <w:t>电梯管理维护；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w:t>
      </w:r>
      <w:r>
        <w:rPr>
          <w:rFonts w:hint="eastAsia" w:ascii="宋体" w:hAnsi="宋体"/>
          <w:color w:val="auto"/>
          <w:sz w:val="24"/>
          <w:highlight w:val="none"/>
        </w:rPr>
        <w:t>停车位管理；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w:t>
      </w:r>
      <w:r>
        <w:rPr>
          <w:rFonts w:hint="eastAsia" w:ascii="宋体" w:hAnsi="宋体"/>
          <w:color w:val="auto"/>
          <w:sz w:val="24"/>
          <w:highlight w:val="none"/>
          <w:lang w:val="en-US" w:eastAsia="zh-CN"/>
        </w:rPr>
        <w:t>.</w:t>
      </w:r>
      <w:r>
        <w:rPr>
          <w:rFonts w:hint="eastAsia" w:ascii="宋体" w:hAnsi="宋体"/>
          <w:color w:val="auto"/>
          <w:sz w:val="24"/>
          <w:highlight w:val="none"/>
        </w:rPr>
        <w:t>企业房租收缴；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val="en-US" w:eastAsia="zh-CN"/>
        </w:rPr>
        <w:t>.</w:t>
      </w:r>
      <w:r>
        <w:rPr>
          <w:rFonts w:hint="eastAsia" w:ascii="宋体" w:hAnsi="宋体"/>
          <w:color w:val="auto"/>
          <w:sz w:val="24"/>
          <w:highlight w:val="none"/>
        </w:rPr>
        <w:t>物业费及水电费抄录和收取；</w:t>
      </w:r>
    </w:p>
    <w:bookmarkEnd w:id="444"/>
    <w:bookmarkEnd w:id="445"/>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四、物业管理服务内容 </w:t>
      </w:r>
    </w:p>
    <w:p>
      <w:pPr>
        <w:spacing w:line="360" w:lineRule="auto"/>
        <w:ind w:firstLine="482" w:firstLineChars="200"/>
        <w:rPr>
          <w:rFonts w:hint="eastAsia"/>
          <w:color w:val="auto"/>
        </w:rPr>
      </w:pPr>
      <w:r>
        <w:rPr>
          <w:rFonts w:hint="eastAsia" w:ascii="宋体" w:hAnsi="宋体"/>
          <w:b/>
          <w:color w:val="auto"/>
          <w:sz w:val="24"/>
          <w:highlight w:val="none"/>
        </w:rPr>
        <w:t>（一）环境卫生管理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服务内容</w:t>
      </w:r>
      <w:r>
        <w:rPr>
          <w:rFonts w:hint="eastAsia"/>
          <w:color w:val="auto"/>
          <w:sz w:val="24"/>
          <w:highlight w:val="none"/>
          <w:lang w:eastAsia="zh-CN"/>
        </w:rPr>
        <w:t>：</w:t>
      </w:r>
      <w:r>
        <w:rPr>
          <w:rFonts w:hint="eastAsia" w:ascii="宋体" w:hAnsi="宋体"/>
          <w:color w:val="auto"/>
          <w:sz w:val="24"/>
          <w:highlight w:val="none"/>
        </w:rPr>
        <w:t>大楼内的楼梯、大厅、走廊、屋顶天台、吊顶、平台、雨棚、电梯厅、电梯间、卫生间、茶水间、花盆、会议室、接待室、公共场所的台（地）面、明沟、墙面、门、窗、灯具、果壳箱等设施和器皿，红线规划内的道路、园林、停车场</w:t>
      </w:r>
      <w:r>
        <w:rPr>
          <w:rFonts w:hint="eastAsia" w:ascii="宋体" w:hAnsi="宋体"/>
          <w:color w:val="auto"/>
          <w:sz w:val="24"/>
          <w:highlight w:val="none"/>
          <w:lang w:eastAsia="zh-CN"/>
        </w:rPr>
        <w:t>（</w:t>
      </w:r>
      <w:r>
        <w:rPr>
          <w:rFonts w:hint="eastAsia" w:ascii="宋体" w:hAnsi="宋体"/>
          <w:color w:val="auto"/>
          <w:sz w:val="24"/>
          <w:highlight w:val="none"/>
        </w:rPr>
        <w:t>库</w:t>
      </w:r>
      <w:r>
        <w:rPr>
          <w:rFonts w:hint="eastAsia" w:ascii="宋体" w:hAnsi="宋体"/>
          <w:color w:val="auto"/>
          <w:sz w:val="24"/>
          <w:highlight w:val="none"/>
          <w:lang w:eastAsia="zh-CN"/>
        </w:rPr>
        <w:t>）</w:t>
      </w:r>
      <w:r>
        <w:rPr>
          <w:rFonts w:hint="eastAsia" w:ascii="宋体" w:hAnsi="宋体"/>
          <w:color w:val="auto"/>
          <w:sz w:val="24"/>
          <w:highlight w:val="none"/>
        </w:rPr>
        <w:t>、垃圾房等所有公共场地及设施和门前“三包”区域的日常保洁保养以及垃圾、废弃物清理和灭“四害”等红线规划范围内的所有环境卫生保洁。</w:t>
      </w:r>
      <w:r>
        <w:rPr>
          <w:rFonts w:hint="eastAsia" w:ascii="宋体" w:hAnsi="宋体"/>
          <w:color w:val="auto"/>
          <w:sz w:val="24"/>
          <w:highlight w:val="none"/>
          <w:lang w:val="en-US" w:eastAsia="zh-CN"/>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服务质量标准</w:t>
      </w:r>
      <w:r>
        <w:rPr>
          <w:rFonts w:hint="eastAsia"/>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园区的道路、停车场和门前“三包”及所有公共区域的地面，无有形垃圾和建筑垃圾、无堆积杂物、无积灰、无积水和淤泥、无阻塞等。做到每日清扫两次，循环保洁。</w:t>
      </w:r>
    </w:p>
    <w:tbl>
      <w:tblPr>
        <w:tblStyle w:val="35"/>
        <w:tblW w:w="95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979"/>
        <w:gridCol w:w="2416"/>
        <w:gridCol w:w="1930"/>
        <w:gridCol w:w="22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52" w:type="dxa"/>
            <w:vMerge w:val="restart"/>
            <w:tcBorders>
              <w:top w:val="doub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区</w:t>
            </w:r>
          </w:p>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域</w:t>
            </w:r>
          </w:p>
        </w:tc>
        <w:tc>
          <w:tcPr>
            <w:tcW w:w="1979" w:type="dxa"/>
            <w:vMerge w:val="restart"/>
            <w:tcBorders>
              <w:top w:val="doub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项  目</w:t>
            </w:r>
          </w:p>
        </w:tc>
        <w:tc>
          <w:tcPr>
            <w:tcW w:w="2416" w:type="dxa"/>
            <w:vMerge w:val="restart"/>
            <w:tcBorders>
              <w:top w:val="doub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工作内容</w:t>
            </w:r>
          </w:p>
        </w:tc>
        <w:tc>
          <w:tcPr>
            <w:tcW w:w="1930" w:type="dxa"/>
            <w:vMerge w:val="restart"/>
            <w:tcBorders>
              <w:top w:val="doub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标  准</w:t>
            </w:r>
          </w:p>
        </w:tc>
        <w:tc>
          <w:tcPr>
            <w:tcW w:w="2263" w:type="dxa"/>
            <w:vMerge w:val="restart"/>
            <w:tcBorders>
              <w:top w:val="double" w:color="auto" w:sz="4" w:space="0"/>
              <w:left w:val="single" w:color="auto" w:sz="4" w:space="0"/>
              <w:bottom w:val="doub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保洁频率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52" w:type="dxa"/>
            <w:vMerge w:val="continue"/>
            <w:tcBorders>
              <w:top w:val="doub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vMerge w:val="continue"/>
            <w:tcBorders>
              <w:top w:val="doub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2416" w:type="dxa"/>
            <w:vMerge w:val="continue"/>
            <w:tcBorders>
              <w:top w:val="doub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30" w:type="dxa"/>
            <w:vMerge w:val="continue"/>
            <w:tcBorders>
              <w:top w:val="doub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2263" w:type="dxa"/>
            <w:vMerge w:val="continue"/>
            <w:tcBorders>
              <w:top w:val="double" w:color="auto" w:sz="4" w:space="0"/>
              <w:left w:val="single" w:color="auto" w:sz="4" w:space="0"/>
              <w:bottom w:val="doub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952" w:type="dxa"/>
            <w:vMerge w:val="restart"/>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总</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体</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外</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围</w:t>
            </w:r>
          </w:p>
        </w:tc>
        <w:tc>
          <w:tcPr>
            <w:tcW w:w="1979"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各出入口地面</w:t>
            </w:r>
          </w:p>
        </w:tc>
        <w:tc>
          <w:tcPr>
            <w:tcW w:w="2416"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清扫、收集垃圾、水力冲洗</w:t>
            </w:r>
          </w:p>
        </w:tc>
        <w:tc>
          <w:tcPr>
            <w:tcW w:w="193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无垃圾、烟头、杂物、明显泥沙</w:t>
            </w:r>
          </w:p>
        </w:tc>
        <w:tc>
          <w:tcPr>
            <w:tcW w:w="2263" w:type="dxa"/>
            <w:tcBorders>
              <w:top w:val="doub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循环清扫，每星期冲洗一次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52" w:type="dxa"/>
            <w:vMerge w:val="continue"/>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明沟</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清扫、收集垃圾、刷洗、清洁堵塞物</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无垃圾、杂物、无苔藓</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每日清扫，每星期冲洗一次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52" w:type="dxa"/>
            <w:vMerge w:val="continue"/>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广场地面及周边</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清扫、收集垃圾、水力冲洗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无垃圾、积水、烟头、杂物、明显泥沙</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循环清扫，每月冲洗一次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952" w:type="dxa"/>
            <w:vMerge w:val="continue"/>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外露管道</w:t>
            </w:r>
          </w:p>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（二米以下）</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每周清抹一次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952" w:type="dxa"/>
            <w:vMerge w:val="continue"/>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屋顶及周边</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清扫、收集垃圾、刷洗、清洁堵塞物</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无垃圾、杂物、树叶、积水</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每周清扫，雨雪天气、台风季节重点清扫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52" w:type="dxa"/>
            <w:vMerge w:val="continue"/>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标志牌</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每周清抹一次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52" w:type="dxa"/>
            <w:vMerge w:val="continue"/>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外立面幕墙玻璃、铝板</w:t>
            </w:r>
          </w:p>
        </w:tc>
        <w:tc>
          <w:tcPr>
            <w:tcW w:w="43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保持清洁</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每年清洗一次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52" w:type="dxa"/>
            <w:vMerge w:val="continue"/>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大楼</w:t>
            </w:r>
            <w:r>
              <w:rPr>
                <w:rFonts w:hint="eastAsia"/>
                <w:color w:val="auto"/>
                <w:kern w:val="2"/>
                <w:sz w:val="21"/>
                <w:lang w:eastAsia="zh-CN"/>
              </w:rPr>
              <w:t>铭牌</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每日清抹一次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52" w:type="dxa"/>
            <w:vMerge w:val="continue"/>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2米以下外墙</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刷洗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52" w:type="dxa"/>
            <w:vMerge w:val="continue"/>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2米以上外墙</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刷洗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无污渍、积灰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每季度清洁一次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监控探头</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每月清抹一次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restart"/>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大</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厅</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各</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楼</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层</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地毯、踏垫</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除尘、清洗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保持地毯干净、松软、无污渍斑点，洗后无色差</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每日清扫，每日吸尘清洁，每周局部使用清洁剂清洁，每月一次用清洁剂清洗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窗帘</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清洗、除尘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窗套、窗台每日清抹一次，布质窗帘每季度清洗一次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石材地面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除尘、清洗、打蜡</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无灰尘、光亮、无水迹、无脚印、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每日保洁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木地板地面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除尘、清洗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无灰尘，光亮、无</w:t>
            </w:r>
            <w:r>
              <w:rPr>
                <w:rFonts w:hint="eastAsia"/>
                <w:color w:val="auto"/>
                <w:kern w:val="2"/>
                <w:sz w:val="21"/>
                <w:lang w:eastAsia="zh-CN"/>
              </w:rPr>
              <w:t>水渍</w:t>
            </w:r>
            <w:r>
              <w:rPr>
                <w:rFonts w:hint="eastAsia"/>
                <w:color w:val="auto"/>
                <w:kern w:val="2"/>
                <w:sz w:val="21"/>
              </w:rPr>
              <w:t>、无脚印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循环推尘，每日清抹一次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地胶板地面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除尘、清洗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无灰尘，光亮、无</w:t>
            </w:r>
            <w:r>
              <w:rPr>
                <w:rFonts w:hint="eastAsia"/>
                <w:color w:val="auto"/>
                <w:kern w:val="2"/>
                <w:sz w:val="21"/>
                <w:lang w:eastAsia="zh-CN"/>
              </w:rPr>
              <w:t>水渍</w:t>
            </w:r>
            <w:r>
              <w:rPr>
                <w:rFonts w:hint="eastAsia"/>
                <w:color w:val="auto"/>
                <w:kern w:val="2"/>
                <w:sz w:val="21"/>
              </w:rPr>
              <w:t>、无脚印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循环推尘，每日清洗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抹灰墙面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无积灰、无蜘蛛网</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每月清洁两次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瓷砖墙面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除尘、清洗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清洁无灰尘，光亮、无蜘蛛网</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952" w:type="dxa"/>
            <w:vMerge w:val="restart"/>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大</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厅</w:t>
            </w: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w:t>
            </w: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各</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楼</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层</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墙脚线</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每日保洁，每星期清除一次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大理石墙面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除尘、清洗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无灰尘，光亮、无蜘蛛网</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大理石柱</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木质立面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除尘（用碧丽珠）</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无灰尘、光亮</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每日保洁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标识牌（各类）</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灯箱</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外表除尘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每周清抹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各类消防设施</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每周清抹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风口</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每月冲洗一次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废物箱</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清除垃圾、外表抹净</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无垃圾满溢、无拖挂</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每日及时清洗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门框</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除尘（木质上碧丽珠）铜把手</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无灰尘、无手印、明亮</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循环保洁，每日清抹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大玻璃窗</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无积灰、无划痕，明亮</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循环保洁，每星期保洁一次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花岗岩墙面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除尘、清洗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无灰尘，光亮、无蜘蛛网</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花盆套</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无灰尘、盆内无垃圾</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每日保洁，每星期清洗一次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灯具</w:t>
            </w:r>
          </w:p>
        </w:tc>
        <w:tc>
          <w:tcPr>
            <w:tcW w:w="2416"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w:t>
            </w:r>
          </w:p>
        </w:tc>
        <w:tc>
          <w:tcPr>
            <w:tcW w:w="2263" w:type="dxa"/>
            <w:tcBorders>
              <w:top w:val="single" w:color="auto" w:sz="4" w:space="0"/>
              <w:left w:val="single" w:color="auto" w:sz="4" w:space="0"/>
              <w:bottom w:val="doub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952" w:type="dxa"/>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强弱</w:t>
            </w:r>
          </w:p>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电机房</w:t>
            </w:r>
          </w:p>
        </w:tc>
        <w:tc>
          <w:tcPr>
            <w:tcW w:w="1979"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室内、机柜</w:t>
            </w:r>
          </w:p>
        </w:tc>
        <w:tc>
          <w:tcPr>
            <w:tcW w:w="2416"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doub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每周清抹一次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952" w:type="dxa"/>
            <w:vMerge w:val="restart"/>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电</w:t>
            </w:r>
          </w:p>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梯</w:t>
            </w:r>
          </w:p>
        </w:tc>
        <w:tc>
          <w:tcPr>
            <w:tcW w:w="1979"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地毯</w:t>
            </w:r>
          </w:p>
        </w:tc>
        <w:tc>
          <w:tcPr>
            <w:tcW w:w="2416"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除尘、清洗</w:t>
            </w:r>
          </w:p>
        </w:tc>
        <w:tc>
          <w:tcPr>
            <w:tcW w:w="193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无灰尘、无垃圾、无污渍</w:t>
            </w:r>
          </w:p>
        </w:tc>
        <w:tc>
          <w:tcPr>
            <w:tcW w:w="2263" w:type="dxa"/>
            <w:tcBorders>
              <w:top w:val="doub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每日吸尘一次，每月清洗一次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墙面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木质（除尘）铝合金（上保护剂）、镜面清洁</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无灰尘、无手印、光亮</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每日保洁，每星期清洁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门（内外）</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抹净（上保护剂）</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无灰尘、无垃圾、光亮</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循环保洁，每星期清洁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门槽</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清除垃圾、杂物</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无灰尘、无垃圾、光亮</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每日及时清除，每星期清洁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指示牌和按钮</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无灰尘、无手印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每日清抹一次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灯片和风口</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每日清抹一次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自动扶梯</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清除垃圾、杂物</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无积灰、无污渍无垃圾</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restart"/>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洗</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手</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间</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尿斗、坐厕、面盆</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除污垢（用中性药剂）除锈斑、消毒</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无污垢、无积垢、清洁</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随时保持畅通，无漏水，无异味、无污垢，垃圾袋定时更换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隔断</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除尘、除污垢</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无灰尘、无涂画、无污垢</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循环保洁，每天清洁一次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水龙头</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抹净</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无水锈、无污渍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循环保洁，每天清洁一次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镜面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抹净</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无水迹、无污渍、明亮</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循环保洁，每天清洁一次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地面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清洗、消毒</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无垃圾、无水迹、无污渍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循环保洁，每天清洁一次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墙面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循环保洁，每星期清洗一次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灯片、天花及风口</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每月清除一次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门和门框</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循环保洁，每天清洁一次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restart"/>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洗</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手</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间</w:t>
            </w:r>
          </w:p>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台面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抹净</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无水迹、无污渍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循环保洁，每日清洗一次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废物箱</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清除垃圾、外表清洁</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无垃圾满溢、无污渍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每日及时清洗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玻璃窗</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清洗、除尘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w:t>
            </w:r>
            <w:r>
              <w:rPr>
                <w:rFonts w:hint="eastAsia"/>
                <w:color w:val="auto"/>
                <w:kern w:val="2"/>
                <w:sz w:val="21"/>
                <w:lang w:eastAsia="zh-CN"/>
              </w:rPr>
              <w:t>水渍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循环保洁，每星期保洁一次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洗手液、卫生卷纸</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洗手液、卫生卷纸</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无短缺</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中标方提供，按需添加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restart"/>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r>
              <w:rPr>
                <w:rFonts w:hint="eastAsia"/>
                <w:color w:val="auto"/>
                <w:kern w:val="2"/>
                <w:sz w:val="21"/>
              </w:rPr>
              <w:t>楼</w:t>
            </w: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eastAsia"/>
                <w:color w:val="auto"/>
                <w:kern w:val="2"/>
                <w:sz w:val="21"/>
              </w:rPr>
            </w:pPr>
          </w:p>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梯</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楼级和平台</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清扫垃圾、清洗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无垃圾、死角、无积灰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每天清洁一次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墙面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大理石（除尘、抹净）涂料（除尘）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每星期清洁一次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扶手、栏杆</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除尘、抹净</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循环保洁，随时清抹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外露管道</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每星期清洁一次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restart"/>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地面停车位</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地面</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清扫、冲洗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无垃圾、无杂物</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循环保洁，每天清洁一次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标线</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清洁</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标线清晰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按需描线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restart"/>
            <w:tcBorders>
              <w:top w:val="single" w:color="auto" w:sz="4" w:space="0"/>
              <w:left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1"/>
                <w:lang w:val="en-US" w:eastAsia="zh-CN"/>
              </w:rPr>
            </w:pPr>
            <w:r>
              <w:rPr>
                <w:rFonts w:hint="eastAsia"/>
                <w:color w:val="auto"/>
                <w:kern w:val="2"/>
                <w:sz w:val="21"/>
                <w:lang w:val="en-US" w:eastAsia="zh-CN"/>
              </w:rPr>
              <w:t>办</w:t>
            </w:r>
          </w:p>
          <w:p>
            <w:pPr>
              <w:keepNext w:val="0"/>
              <w:keepLines w:val="0"/>
              <w:suppressLineNumbers w:val="0"/>
              <w:spacing w:before="0" w:beforeAutospacing="0" w:after="0" w:afterAutospacing="0" w:line="360" w:lineRule="auto"/>
              <w:ind w:left="0" w:right="0"/>
              <w:jc w:val="center"/>
              <w:rPr>
                <w:rFonts w:hint="eastAsia"/>
                <w:color w:val="auto"/>
                <w:kern w:val="2"/>
                <w:sz w:val="21"/>
                <w:lang w:val="en-US" w:eastAsia="zh-CN"/>
              </w:rPr>
            </w:pPr>
            <w:r>
              <w:rPr>
                <w:rFonts w:hint="eastAsia"/>
                <w:color w:val="auto"/>
                <w:kern w:val="2"/>
                <w:sz w:val="21"/>
                <w:lang w:val="en-US" w:eastAsia="zh-CN"/>
              </w:rPr>
              <w:t>公</w:t>
            </w:r>
          </w:p>
          <w:p>
            <w:pPr>
              <w:keepNext w:val="0"/>
              <w:keepLines w:val="0"/>
              <w:suppressLineNumbers w:val="0"/>
              <w:spacing w:before="0" w:beforeAutospacing="0" w:after="0" w:afterAutospacing="0" w:line="360" w:lineRule="auto"/>
              <w:ind w:left="0" w:right="0"/>
              <w:jc w:val="center"/>
              <w:rPr>
                <w:rFonts w:hint="eastAsia"/>
                <w:color w:val="auto"/>
                <w:kern w:val="2"/>
                <w:sz w:val="21"/>
                <w:lang w:val="en-US" w:eastAsia="zh-CN"/>
              </w:rPr>
            </w:pPr>
            <w:r>
              <w:rPr>
                <w:rFonts w:hint="eastAsia"/>
                <w:color w:val="auto"/>
                <w:kern w:val="2"/>
                <w:sz w:val="21"/>
                <w:lang w:val="en-US" w:eastAsia="zh-CN"/>
              </w:rPr>
              <w:t>及</w:t>
            </w:r>
          </w:p>
          <w:p>
            <w:pPr>
              <w:keepNext w:val="0"/>
              <w:keepLines w:val="0"/>
              <w:suppressLineNumbers w:val="0"/>
              <w:spacing w:before="0" w:beforeAutospacing="0" w:after="0" w:afterAutospacing="0" w:line="360" w:lineRule="auto"/>
              <w:ind w:left="0" w:right="0"/>
              <w:jc w:val="center"/>
              <w:rPr>
                <w:rFonts w:hint="eastAsia"/>
                <w:color w:val="auto"/>
                <w:kern w:val="2"/>
                <w:sz w:val="21"/>
                <w:lang w:val="en-US" w:eastAsia="zh-CN"/>
              </w:rPr>
            </w:pPr>
            <w:r>
              <w:rPr>
                <w:rFonts w:hint="eastAsia"/>
                <w:color w:val="auto"/>
                <w:kern w:val="2"/>
                <w:sz w:val="21"/>
                <w:lang w:val="en-US" w:eastAsia="zh-CN"/>
              </w:rPr>
              <w:t>公</w:t>
            </w:r>
          </w:p>
          <w:p>
            <w:pPr>
              <w:keepNext w:val="0"/>
              <w:keepLines w:val="0"/>
              <w:suppressLineNumbers w:val="0"/>
              <w:spacing w:before="0" w:beforeAutospacing="0" w:after="0" w:afterAutospacing="0" w:line="360" w:lineRule="auto"/>
              <w:ind w:left="0" w:right="0"/>
              <w:jc w:val="center"/>
              <w:rPr>
                <w:rFonts w:hint="eastAsia"/>
                <w:color w:val="auto"/>
                <w:kern w:val="2"/>
                <w:sz w:val="21"/>
                <w:lang w:val="en-US" w:eastAsia="zh-CN"/>
              </w:rPr>
            </w:pPr>
            <w:r>
              <w:rPr>
                <w:rFonts w:hint="eastAsia"/>
                <w:color w:val="auto"/>
                <w:kern w:val="2"/>
                <w:sz w:val="21"/>
                <w:lang w:val="en-US" w:eastAsia="zh-CN"/>
              </w:rPr>
              <w:t>共</w:t>
            </w:r>
          </w:p>
          <w:p>
            <w:pPr>
              <w:keepNext w:val="0"/>
              <w:keepLines w:val="0"/>
              <w:suppressLineNumbers w:val="0"/>
              <w:spacing w:before="0" w:beforeAutospacing="0" w:after="0" w:afterAutospacing="0" w:line="360" w:lineRule="auto"/>
              <w:ind w:left="0" w:right="0"/>
              <w:jc w:val="center"/>
              <w:rPr>
                <w:rFonts w:hint="eastAsia"/>
                <w:color w:val="auto"/>
                <w:kern w:val="2"/>
                <w:sz w:val="21"/>
                <w:lang w:val="en-US" w:eastAsia="zh-CN"/>
              </w:rPr>
            </w:pPr>
            <w:r>
              <w:rPr>
                <w:rFonts w:hint="eastAsia"/>
                <w:color w:val="auto"/>
                <w:kern w:val="2"/>
                <w:sz w:val="21"/>
                <w:lang w:val="en-US" w:eastAsia="zh-CN"/>
              </w:rPr>
              <w:t>区</w:t>
            </w:r>
          </w:p>
          <w:p>
            <w:pPr>
              <w:keepNext w:val="0"/>
              <w:keepLines w:val="0"/>
              <w:suppressLineNumbers w:val="0"/>
              <w:spacing w:before="0" w:beforeAutospacing="0" w:after="0" w:afterAutospacing="0" w:line="360" w:lineRule="auto"/>
              <w:ind w:left="0" w:right="0"/>
              <w:jc w:val="center"/>
              <w:rPr>
                <w:rFonts w:hint="default" w:eastAsia="宋体"/>
                <w:color w:val="auto"/>
                <w:kern w:val="2"/>
                <w:sz w:val="21"/>
                <w:lang w:val="en-US" w:eastAsia="zh-CN"/>
              </w:rPr>
            </w:pPr>
            <w:r>
              <w:rPr>
                <w:rFonts w:hint="eastAsia"/>
                <w:color w:val="auto"/>
                <w:kern w:val="2"/>
                <w:sz w:val="21"/>
                <w:lang w:val="en-US" w:eastAsia="zh-CN"/>
              </w:rPr>
              <w:t>域</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桌椅、沙发外套</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清洗</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无灰尘、无污渍</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每周清洗一次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各类消防设施</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无积灰</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每星期清洁一次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室外绿地</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清扫</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无垃圾、无杂物</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每天清洁一次，随时清扫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家具</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除尘、抹净</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循环保洁，随时清抹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会议、接待室</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除尘、抹净</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循环保洁，随时清抹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活动场地</w:t>
            </w:r>
          </w:p>
        </w:tc>
        <w:tc>
          <w:tcPr>
            <w:tcW w:w="2416"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除尘、抹净</w:t>
            </w:r>
          </w:p>
        </w:tc>
        <w:tc>
          <w:tcPr>
            <w:tcW w:w="1930"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doub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循环保洁，随时清抹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公共区域电脑设备</w:t>
            </w:r>
          </w:p>
        </w:tc>
        <w:tc>
          <w:tcPr>
            <w:tcW w:w="2416"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除尘、抹净</w:t>
            </w:r>
          </w:p>
        </w:tc>
        <w:tc>
          <w:tcPr>
            <w:tcW w:w="1930"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doub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循环保洁，随时清抹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52" w:type="dxa"/>
            <w:vMerge w:val="continue"/>
            <w:tcBorders>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p>
        </w:tc>
        <w:tc>
          <w:tcPr>
            <w:tcW w:w="1979"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lang w:eastAsia="zh-CN"/>
              </w:rPr>
              <w:t>其他</w:t>
            </w:r>
            <w:r>
              <w:rPr>
                <w:rFonts w:hint="eastAsia"/>
                <w:color w:val="auto"/>
                <w:kern w:val="2"/>
                <w:sz w:val="21"/>
              </w:rPr>
              <w:t>公共区域物品</w:t>
            </w:r>
          </w:p>
        </w:tc>
        <w:tc>
          <w:tcPr>
            <w:tcW w:w="2416"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除尘、抹净</w:t>
            </w:r>
          </w:p>
        </w:tc>
        <w:tc>
          <w:tcPr>
            <w:tcW w:w="1930" w:type="dxa"/>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无灰尘</w:t>
            </w:r>
          </w:p>
        </w:tc>
        <w:tc>
          <w:tcPr>
            <w:tcW w:w="2263" w:type="dxa"/>
            <w:tcBorders>
              <w:top w:val="single" w:color="auto" w:sz="4" w:space="0"/>
              <w:left w:val="single" w:color="auto" w:sz="4" w:space="0"/>
              <w:bottom w:val="double" w:color="auto" w:sz="4" w:space="0"/>
              <w:right w:val="doub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2"/>
                <w:sz w:val="21"/>
              </w:rPr>
            </w:pPr>
            <w:r>
              <w:rPr>
                <w:rFonts w:hint="eastAsia"/>
                <w:color w:val="auto"/>
                <w:kern w:val="2"/>
                <w:sz w:val="21"/>
              </w:rPr>
              <w:t>循环保洁，随时清抹</w:t>
            </w:r>
          </w:p>
        </w:tc>
      </w:tr>
    </w:tbl>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保洁工作包括但不限于以上服务内容，未列入的且为正常保洁工作以及突发性事件造成的保洁工作的项目、部位均包括在本次采购范围内，中标人不得因此拒绝提供保洁服务。保洁用品计入服务费用。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建立“四害”消杀工作管理制度，根据实际情况定期开展消杀工作，有效控制鼠、蟑、蝇、蚊等害虫</w:t>
      </w:r>
      <w:r>
        <w:rPr>
          <w:rFonts w:hint="eastAsia" w:ascii="宋体" w:hAnsi="宋体"/>
          <w:color w:val="auto"/>
          <w:sz w:val="24"/>
          <w:highlight w:val="none"/>
          <w:lang w:eastAsia="zh-CN"/>
        </w:rPr>
        <w:t>滋生</w:t>
      </w:r>
      <w:r>
        <w:rPr>
          <w:rFonts w:hint="eastAsia" w:ascii="宋体" w:hAnsi="宋体"/>
          <w:color w:val="auto"/>
          <w:sz w:val="24"/>
          <w:highlight w:val="none"/>
        </w:rPr>
        <w:t>，定期对各类病虫害进行预防控制，适时投放消杀药物和设施；“除四害”实施单位须具有相关单位颁发的资质，不得低于爱卫会“除四害”相关规定及验收标准，并视特殊情况增加次数，相关材料及药品等应计入物业服务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2.1保洁服务工作具体内容及要求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 公共场所</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日常服务内容：水泥、大理石、花岗岩、扶手、门窗玻璃、门及门窗框、玻璃幕墙，附体、沙发、桌子、各类宣传牌、橱窗及有关附体，天花板、栏杆、消防楼梯区域等，及时清除各种垃圾等杂物，无积灰、印迹、污渍。</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2.1.2各门厅、各楼层公共区域、展示厅等特定区域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保洁服务内容及要求：地面、墙面、天花板、门窗玻璃、门及门窗框、墙壁附体，公用设施表面、普通机器设备表面（无特殊要求的）、电梯及卫生间。遇有发生局部损坏时，应及时通知采购方。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2.1.3 顶篷等边缘区域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服务内容及要求：屋顶屋面、沟槽、地面、</w:t>
      </w:r>
      <w:r>
        <w:rPr>
          <w:rFonts w:hint="eastAsia" w:ascii="宋体" w:hAnsi="宋体"/>
          <w:color w:val="auto"/>
          <w:sz w:val="24"/>
          <w:highlight w:val="none"/>
          <w:lang w:eastAsia="zh-CN"/>
        </w:rPr>
        <w:t>雨棚</w:t>
      </w:r>
      <w:r>
        <w:rPr>
          <w:rFonts w:hint="eastAsia" w:ascii="宋体" w:hAnsi="宋体"/>
          <w:color w:val="auto"/>
          <w:sz w:val="24"/>
          <w:highlight w:val="none"/>
        </w:rPr>
        <w:t>及边角区域，各种附体的表面，遇有污染，及时打扫并清洗。</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2.1.4电梯</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服务内容：保持电梯轿厢内外无果壳、纸屑等杂物，无污渍、无灰尘、手印、鞋印，表面光亮可映出人影。每天对轿厢内外用油布擦拭</w:t>
      </w:r>
      <w:r>
        <w:rPr>
          <w:rFonts w:hint="eastAsia" w:ascii="宋体" w:hAnsi="宋体"/>
          <w:color w:val="auto"/>
          <w:sz w:val="24"/>
          <w:highlight w:val="none"/>
          <w:lang w:eastAsia="zh-CN"/>
        </w:rPr>
        <w:t>两次</w:t>
      </w:r>
      <w:r>
        <w:rPr>
          <w:rFonts w:hint="eastAsia" w:ascii="宋体" w:hAnsi="宋体"/>
          <w:color w:val="auto"/>
          <w:sz w:val="24"/>
          <w:highlight w:val="none"/>
        </w:rPr>
        <w:t>，每周用不锈钢油对轿厢内外进行轻抹保养一次。</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2.1.5不锈钢保洁</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服务内容：包括所有不锈钢制品、设施、设备，除有明确规定的保洁要求外，</w:t>
      </w:r>
      <w:r>
        <w:rPr>
          <w:rFonts w:hint="eastAsia" w:ascii="宋体" w:hAnsi="宋体"/>
          <w:color w:val="auto"/>
          <w:sz w:val="24"/>
          <w:highlight w:val="none"/>
          <w:lang w:eastAsia="zh-CN"/>
        </w:rPr>
        <w:t>至少每两个月</w:t>
      </w:r>
      <w:r>
        <w:rPr>
          <w:rFonts w:hint="eastAsia" w:ascii="宋体" w:hAnsi="宋体"/>
          <w:color w:val="auto"/>
          <w:sz w:val="24"/>
          <w:highlight w:val="none"/>
        </w:rPr>
        <w:t>用不锈钢油保养一次。哑光不锈钢表面无污渍、无灰尘；镜面不锈钢表面光亮，能清晰映出人影。</w:t>
      </w:r>
    </w:p>
    <w:p>
      <w:pPr>
        <w:spacing w:line="360" w:lineRule="auto"/>
        <w:ind w:firstLine="361" w:firstLineChars="150"/>
        <w:rPr>
          <w:rFonts w:hint="eastAsia"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w:t>
      </w:r>
      <w:r>
        <w:rPr>
          <w:rFonts w:hint="eastAsia" w:ascii="宋体" w:hAnsi="宋体"/>
          <w:b/>
          <w:color w:val="auto"/>
          <w:sz w:val="24"/>
          <w:highlight w:val="none"/>
        </w:rPr>
        <w:t>二</w:t>
      </w:r>
      <w:r>
        <w:rPr>
          <w:rFonts w:hint="eastAsia" w:ascii="宋体" w:hAnsi="宋体"/>
          <w:b/>
          <w:color w:val="auto"/>
          <w:sz w:val="24"/>
          <w:highlight w:val="none"/>
          <w:lang w:eastAsia="zh-CN"/>
        </w:rPr>
        <w:t>）</w:t>
      </w:r>
      <w:r>
        <w:rPr>
          <w:rFonts w:hint="eastAsia" w:ascii="宋体" w:hAnsi="宋体"/>
          <w:b/>
          <w:color w:val="auto"/>
          <w:sz w:val="24"/>
          <w:highlight w:val="none"/>
        </w:rPr>
        <w:t>传达、保安、秩序管理。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服务内容</w:t>
      </w:r>
      <w:r>
        <w:rPr>
          <w:rFonts w:hint="eastAsia"/>
          <w:color w:val="auto"/>
          <w:sz w:val="24"/>
          <w:highlight w:val="none"/>
          <w:lang w:eastAsia="zh-CN"/>
        </w:rPr>
        <w:t>：</w:t>
      </w:r>
      <w:r>
        <w:rPr>
          <w:rFonts w:hint="eastAsia" w:ascii="宋体" w:hAnsi="宋体"/>
          <w:color w:val="auto"/>
          <w:sz w:val="24"/>
          <w:highlight w:val="none"/>
        </w:rPr>
        <w:t xml:space="preserve"> 熟悉周边的环境，能处理和应对公共秩序维护工作，能正确使用各类消防、物防、技防器械和设备，能够熟悉、掌握各类刑事、治安案件和各类灾害事故的应急预案；来人来访的通报、证件</w:t>
      </w:r>
      <w:r>
        <w:rPr>
          <w:rFonts w:hint="eastAsia" w:ascii="宋体" w:hAnsi="宋体"/>
          <w:color w:val="auto"/>
          <w:sz w:val="24"/>
          <w:highlight w:val="none"/>
          <w:lang w:eastAsia="zh-CN"/>
        </w:rPr>
        <w:t>检验</w:t>
      </w:r>
      <w:r>
        <w:rPr>
          <w:rFonts w:hint="eastAsia" w:ascii="宋体" w:hAnsi="宋体"/>
          <w:color w:val="auto"/>
          <w:sz w:val="24"/>
          <w:highlight w:val="none"/>
        </w:rPr>
        <w:t>、登记、报刊信件收发等;门卫、守护和巡逻，维护公共秩序;处理治安</w:t>
      </w:r>
      <w:r>
        <w:rPr>
          <w:rFonts w:hint="eastAsia" w:ascii="宋体" w:hAnsi="宋体"/>
          <w:color w:val="auto"/>
          <w:sz w:val="24"/>
          <w:highlight w:val="none"/>
          <w:lang w:eastAsia="zh-CN"/>
        </w:rPr>
        <w:t>及其他</w:t>
      </w:r>
      <w:r>
        <w:rPr>
          <w:rFonts w:hint="eastAsia" w:ascii="宋体" w:hAnsi="宋体"/>
          <w:color w:val="auto"/>
          <w:sz w:val="24"/>
          <w:highlight w:val="none"/>
        </w:rPr>
        <w:t>突发事件;负责道路交通管理、机动车和非机动车停放管理。积极主动</w:t>
      </w:r>
      <w:r>
        <w:rPr>
          <w:rFonts w:hint="eastAsia" w:ascii="宋体" w:hAnsi="宋体"/>
          <w:color w:val="auto"/>
          <w:sz w:val="24"/>
          <w:highlight w:val="none"/>
          <w:lang w:eastAsia="zh-CN"/>
        </w:rPr>
        <w:t>地</w:t>
      </w:r>
      <w:r>
        <w:rPr>
          <w:rFonts w:hint="eastAsia" w:ascii="宋体" w:hAnsi="宋体"/>
          <w:color w:val="auto"/>
          <w:sz w:val="24"/>
          <w:highlight w:val="none"/>
        </w:rPr>
        <w:t xml:space="preserve">配合、服从对口管理部门的临时应急调度。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服务质量标准</w:t>
      </w:r>
      <w:r>
        <w:rPr>
          <w:rFonts w:hint="eastAsia"/>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门卫值班。</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上岗时佩戴统一标志，按需求穿戴统一制服（精致），装备佩戴规范，仪容仪表规范整齐，当值时坐姿挺直，形象岗不倚不靠。文明执勤，训练有素，言语规范，认真负责；配备对讲装置和其他必备的安全护卫器械。各出入口安排值勤</w:t>
      </w:r>
      <w:r>
        <w:rPr>
          <w:rFonts w:hint="eastAsia" w:ascii="宋体" w:hAnsi="宋体"/>
          <w:color w:val="auto"/>
          <w:sz w:val="24"/>
          <w:highlight w:val="none"/>
          <w:lang w:eastAsia="zh-CN"/>
        </w:rPr>
        <w:t>，建</w:t>
      </w:r>
      <w:r>
        <w:rPr>
          <w:rFonts w:hint="eastAsia" w:ascii="宋体" w:hAnsi="宋体"/>
          <w:color w:val="auto"/>
          <w:sz w:val="24"/>
          <w:highlight w:val="none"/>
        </w:rPr>
        <w:t>立传达、保安、车辆、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内。所有外来车辆进入必须相应登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巡查。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规划红线范围以内安排24小时巡查。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w:t>
      </w:r>
      <w:r>
        <w:rPr>
          <w:rFonts w:hint="eastAsia" w:ascii="宋体" w:hAnsi="宋体"/>
          <w:color w:val="auto"/>
          <w:sz w:val="24"/>
          <w:highlight w:val="none"/>
          <w:lang w:eastAsia="zh-CN"/>
        </w:rPr>
        <w:t>出现异常</w:t>
      </w:r>
      <w:r>
        <w:rPr>
          <w:rFonts w:hint="eastAsia" w:ascii="宋体" w:hAnsi="宋体"/>
          <w:color w:val="auto"/>
          <w:sz w:val="24"/>
          <w:highlight w:val="none"/>
        </w:rPr>
        <w:t>情况，应立即通知有关部门并在现场采取必要措施，随时准备启动并执行相应的应急预案。收到中央监控室发出的指令后，巡逻人员应及时到达，并采取相应措施；对物业管理区域内设置的消火栓（箱）、窨井盖、安全警示标志等涉及公共安全的设施设备进行巡查，发现缺失，损坏或不能正常使用等情况，应及时报告并记录。道路非停车区域禁止所有车辆停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停车管理。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下停车库，在管辖区域设置行车指示标志，规定车辆行驶路线，指定车辆停放区域，非机动车应实行定点停放。对进出管辖区域的各类车辆进行管理，维护交通秩序，保证车辆有序通行、有序停放。车库应保持良好通风，无易燃、易爆等物品存放，车库内配置道闸和监视系统，地面、墙面按要求设立明显指示牌和地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突发事件处理。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按照要求制订各类突发事件应急预案，并将预案内容在物业办公室、监控室、机房等处张榜悬挂。在各楼层固定位置悬挂疏散示意图及引路标志，每年组织不少于1次的突发事件应急演习。当发生台风、暴雨等灾害性天气及其他危害公共突发事件时，应采取以下应急措施</w:t>
      </w:r>
      <w:r>
        <w:rPr>
          <w:rFonts w:hint="eastAsia"/>
          <w:color w:val="auto"/>
          <w:sz w:val="24"/>
          <w:highlight w:val="none"/>
          <w:lang w:eastAsia="zh-CN"/>
        </w:rPr>
        <w:t>：</w:t>
      </w:r>
      <w:r>
        <w:rPr>
          <w:rFonts w:hint="eastAsia" w:ascii="宋体" w:hAnsi="宋体"/>
          <w:color w:val="auto"/>
          <w:sz w:val="24"/>
          <w:highlight w:val="none"/>
        </w:rPr>
        <w:t>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w:t>
      </w:r>
      <w:r>
        <w:rPr>
          <w:rFonts w:hint="eastAsia" w:ascii="宋体" w:hAnsi="宋体"/>
          <w:b/>
          <w:color w:val="auto"/>
          <w:sz w:val="24"/>
          <w:highlight w:val="none"/>
        </w:rPr>
        <w:t>三</w:t>
      </w:r>
      <w:r>
        <w:rPr>
          <w:rFonts w:hint="eastAsia" w:ascii="宋体" w:hAnsi="宋体"/>
          <w:b/>
          <w:color w:val="auto"/>
          <w:sz w:val="24"/>
          <w:highlight w:val="none"/>
          <w:lang w:eastAsia="zh-CN"/>
        </w:rPr>
        <w:t>）</w:t>
      </w:r>
      <w:r>
        <w:rPr>
          <w:rFonts w:hint="eastAsia" w:ascii="宋体" w:hAnsi="宋体"/>
          <w:b/>
          <w:color w:val="auto"/>
          <w:sz w:val="24"/>
          <w:highlight w:val="none"/>
        </w:rPr>
        <w:t>室外公共区域保洁和其他管理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 xml:space="preserve">服务内容：道路、铺装的日常清扫保洁。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服务质量标准</w:t>
      </w:r>
    </w:p>
    <w:p>
      <w:pPr>
        <w:spacing w:line="360" w:lineRule="auto"/>
        <w:ind w:firstLine="480" w:firstLineChars="200"/>
        <w:rPr>
          <w:rFonts w:hint="eastAsia" w:ascii="宋体" w:hAnsi="宋体"/>
          <w:bCs/>
          <w:color w:val="auto"/>
          <w:sz w:val="24"/>
          <w:highlight w:val="none"/>
        </w:rPr>
      </w:pPr>
      <w:bookmarkStart w:id="446" w:name="OLE_LINK3"/>
      <w:r>
        <w:rPr>
          <w:rFonts w:hint="eastAsia" w:ascii="宋体" w:hAnsi="宋体"/>
          <w:color w:val="auto"/>
          <w:sz w:val="24"/>
          <w:highlight w:val="none"/>
        </w:rPr>
        <w:t>（1）</w:t>
      </w:r>
      <w:bookmarkEnd w:id="446"/>
      <w:r>
        <w:rPr>
          <w:rFonts w:hint="eastAsia" w:ascii="宋体" w:hAnsi="宋体"/>
          <w:color w:val="auto"/>
          <w:sz w:val="24"/>
          <w:highlight w:val="none"/>
        </w:rPr>
        <w:t>道路、铺装。每日清洗，做到</w:t>
      </w:r>
      <w:r>
        <w:rPr>
          <w:rFonts w:hint="eastAsia" w:ascii="宋体" w:hAnsi="宋体"/>
          <w:bCs/>
          <w:color w:val="auto"/>
          <w:sz w:val="24"/>
          <w:highlight w:val="none"/>
        </w:rPr>
        <w:t>清扫保洁质量达到“七无”</w:t>
      </w:r>
      <w:r>
        <w:rPr>
          <w:rFonts w:hint="eastAsia" w:ascii="宋体" w:hAnsi="宋体"/>
          <w:bCs/>
          <w:color w:val="auto"/>
          <w:sz w:val="24"/>
          <w:highlight w:val="none"/>
          <w:lang w:eastAsia="zh-CN"/>
        </w:rPr>
        <w:t>（</w:t>
      </w:r>
      <w:r>
        <w:rPr>
          <w:rFonts w:hint="eastAsia" w:ascii="宋体" w:hAnsi="宋体"/>
          <w:bCs/>
          <w:color w:val="auto"/>
          <w:sz w:val="24"/>
          <w:highlight w:val="none"/>
        </w:rPr>
        <w:t>即：无堆积物、无积尘、无污泥积水、无果皮纸屑塑膜、无烟蒂、无碎砖瓦砾、无痰迹</w:t>
      </w:r>
      <w:r>
        <w:rPr>
          <w:rFonts w:hint="eastAsia" w:ascii="宋体" w:hAnsi="宋体"/>
          <w:bCs/>
          <w:color w:val="auto"/>
          <w:sz w:val="24"/>
          <w:highlight w:val="none"/>
          <w:lang w:eastAsia="zh-CN"/>
        </w:rPr>
        <w:t>）</w:t>
      </w:r>
      <w:r>
        <w:rPr>
          <w:rFonts w:hint="eastAsia" w:ascii="宋体" w:hAnsi="宋体"/>
          <w:bCs/>
          <w:color w:val="auto"/>
          <w:sz w:val="24"/>
          <w:highlight w:val="none"/>
        </w:rPr>
        <w:t>；清扫工具存放在隐蔽位置，不得影响观瞻。</w:t>
      </w:r>
    </w:p>
    <w:p>
      <w:pPr>
        <w:spacing w:line="360" w:lineRule="auto"/>
        <w:ind w:firstLine="480" w:firstLineChars="200"/>
        <w:rPr>
          <w:rFonts w:hint="eastAsia" w:ascii="宋体" w:hAnsi="宋体"/>
          <w:bCs/>
          <w:color w:val="auto"/>
          <w:sz w:val="24"/>
          <w:highlight w:val="none"/>
        </w:rPr>
      </w:pPr>
      <w:r>
        <w:rPr>
          <w:rFonts w:hint="eastAsia" w:ascii="宋体" w:hAnsi="宋体"/>
          <w:color w:val="auto"/>
          <w:sz w:val="24"/>
          <w:highlight w:val="none"/>
        </w:rPr>
        <w:t>（2）</w:t>
      </w:r>
      <w:r>
        <w:rPr>
          <w:rFonts w:hint="eastAsia" w:ascii="宋体" w:hAnsi="宋体"/>
          <w:bCs/>
          <w:color w:val="auto"/>
          <w:sz w:val="24"/>
          <w:highlight w:val="none"/>
        </w:rPr>
        <w:t>对由第三方原因造成的绿化、设施、设备的损坏，由物业服务方及时处理完毕，不得影响采购方正常使用。</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四</w:t>
      </w:r>
      <w:r>
        <w:rPr>
          <w:rFonts w:hint="eastAsia" w:ascii="宋体" w:hAnsi="宋体"/>
          <w:b/>
          <w:color w:val="auto"/>
          <w:sz w:val="24"/>
          <w:highlight w:val="none"/>
          <w:lang w:eastAsia="zh-CN"/>
        </w:rPr>
        <w:t>）</w:t>
      </w:r>
      <w:r>
        <w:rPr>
          <w:rFonts w:hint="eastAsia" w:ascii="宋体" w:hAnsi="宋体"/>
          <w:b/>
          <w:color w:val="auto"/>
          <w:sz w:val="24"/>
          <w:highlight w:val="none"/>
        </w:rPr>
        <w:t>消防、监控设施管理维护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服务内容</w:t>
      </w:r>
      <w:r>
        <w:rPr>
          <w:rFonts w:hint="eastAsia"/>
          <w:color w:val="auto"/>
          <w:sz w:val="24"/>
          <w:highlight w:val="none"/>
          <w:lang w:eastAsia="zh-CN"/>
        </w:rPr>
        <w:t>：</w:t>
      </w:r>
      <w:r>
        <w:rPr>
          <w:rFonts w:hint="eastAsia" w:ascii="宋体" w:hAnsi="宋体"/>
          <w:color w:val="auto"/>
          <w:sz w:val="24"/>
          <w:highlight w:val="none"/>
        </w:rPr>
        <w:t xml:space="preserve"> 负责防盗、防火报警、监控设备运行管理。积极主动</w:t>
      </w:r>
      <w:r>
        <w:rPr>
          <w:rFonts w:hint="eastAsia" w:ascii="宋体" w:hAnsi="宋体"/>
          <w:color w:val="auto"/>
          <w:sz w:val="24"/>
          <w:highlight w:val="none"/>
          <w:lang w:eastAsia="zh-CN"/>
        </w:rPr>
        <w:t>地</w:t>
      </w:r>
      <w:r>
        <w:rPr>
          <w:rFonts w:hint="eastAsia" w:ascii="宋体" w:hAnsi="宋体"/>
          <w:color w:val="auto"/>
          <w:sz w:val="24"/>
          <w:highlight w:val="none"/>
        </w:rPr>
        <w:t>配合、服从对口管理部门的临时应急调度。建立完善的消防制度、消防工作计划及监控设施维护制度，物管人员应定期接受消防培训并掌握现有消防、监控设施设备的使用方法，并能及时处理各种火灾事故。明确防火责任人，按照突发火灾的应急方案，设立消防疏散示意图，照明设施及引路标志完好，紧急疏散通道畅通。成立义务消防队，按国标GB 25201-2010 《建筑消防设施的维护管理》要求，对园区区域内的消防火灾报警系统、喷淋灭火系统等消防设备按安保条例进行监管和操作使用。每年组织两次消防演习。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服务质量标准</w:t>
      </w:r>
      <w:r>
        <w:rPr>
          <w:rFonts w:hint="eastAsia"/>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消控、监控设施应保持24小时开通，并保持完整的监控记录，保证对各出入口、内部重点区域的安全监控、录像及协助布警。监控室收到火情、险情及其他异常情况报警信号后，应及时报警，并派专人赶到现场进行前期处理。监控资料应至少保持15天，有特殊要求的参照相关规定或行业标准执行。同时，确保治安电话畅通，接听及时。（操作人员须持证上岗）</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五</w:t>
      </w:r>
      <w:r>
        <w:rPr>
          <w:rFonts w:hint="eastAsia" w:ascii="宋体" w:hAnsi="宋体"/>
          <w:b/>
          <w:color w:val="auto"/>
          <w:sz w:val="24"/>
          <w:highlight w:val="none"/>
          <w:lang w:eastAsia="zh-CN"/>
        </w:rPr>
        <w:t>）</w:t>
      </w:r>
      <w:r>
        <w:rPr>
          <w:rFonts w:hint="eastAsia" w:ascii="宋体" w:hAnsi="宋体"/>
          <w:b/>
          <w:color w:val="auto"/>
          <w:sz w:val="24"/>
          <w:highlight w:val="none"/>
        </w:rPr>
        <w:t>弱电系统管理维护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服务内容</w:t>
      </w:r>
      <w:r>
        <w:rPr>
          <w:rFonts w:hint="eastAsia"/>
          <w:color w:val="auto"/>
          <w:sz w:val="24"/>
          <w:highlight w:val="none"/>
          <w:lang w:eastAsia="zh-CN"/>
        </w:rPr>
        <w:t>：</w:t>
      </w:r>
      <w:r>
        <w:rPr>
          <w:rFonts w:hint="eastAsia" w:ascii="宋体" w:hAnsi="宋体"/>
          <w:color w:val="auto"/>
          <w:sz w:val="24"/>
          <w:highlight w:val="none"/>
        </w:rPr>
        <w:t>对综合布线、楼宇设备自控系统、安全防范系统、多功能会议系统、多媒体显示及触摸屏查询系统、卫星及有线电视系统、一卡通系统、人员流量统计系统、自动摆闸门、弱电机房、音乐视听设备等进行日常管理和保养，保持正常运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服务质量标准：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有完善的弱电系统的管理制度和规范操作流程。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有健全的弱电各系统维修保养规章制度并严格落实执行，使设备完好率100%。</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每天对弱电各系统进行巡视检查，巡视检查要有记录并统一归档管理,资料完整；每季度对门禁、广播与消防报警系统联动检测一次并做好检测记录。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保证弱电各系统工作正常。设备出现故障后, 应采取相关防护措施并及时通知采购方。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严格执行用电安全规范，确保弱电系统设备的用电安全。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保证避雷设备完好、有效、安全。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做好各弱电机房、操作机房和各弱电机柜的清洁工作，机房地面卫生一次/周、机柜清洁一次/月并</w:t>
      </w:r>
      <w:r>
        <w:rPr>
          <w:rFonts w:hint="eastAsia" w:ascii="宋体" w:hAnsi="宋体"/>
          <w:color w:val="auto"/>
          <w:sz w:val="24"/>
          <w:highlight w:val="none"/>
          <w:lang w:eastAsia="zh-CN"/>
        </w:rPr>
        <w:t>做好</w:t>
      </w:r>
      <w:r>
        <w:rPr>
          <w:rFonts w:hint="eastAsia" w:ascii="宋体" w:hAnsi="宋体"/>
          <w:color w:val="auto"/>
          <w:sz w:val="24"/>
          <w:highlight w:val="none"/>
        </w:rPr>
        <w:t>相应的记录工作、监控摄像头清洁一次/季度。</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（六</w:t>
      </w:r>
      <w:r>
        <w:rPr>
          <w:rFonts w:hint="eastAsia" w:ascii="宋体" w:hAnsi="宋体"/>
          <w:b/>
          <w:color w:val="auto"/>
          <w:sz w:val="24"/>
          <w:highlight w:val="none"/>
          <w:lang w:eastAsia="zh-CN"/>
        </w:rPr>
        <w:t>）</w:t>
      </w:r>
      <w:r>
        <w:rPr>
          <w:rFonts w:hint="eastAsia" w:ascii="宋体" w:hAnsi="宋体"/>
          <w:b/>
          <w:color w:val="auto"/>
          <w:sz w:val="24"/>
          <w:highlight w:val="none"/>
        </w:rPr>
        <w:t>供电设备管理维护</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有完善的供配电系统的管理制度和规范操作流程。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有健全的供配电系统维修保养规章制度并严格落实执行，使设备完好率达到99%。</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有变电所、楼层配电室</w:t>
      </w:r>
      <w:r>
        <w:rPr>
          <w:rFonts w:hint="eastAsia" w:ascii="宋体" w:hAnsi="宋体"/>
          <w:color w:val="auto"/>
          <w:sz w:val="24"/>
          <w:highlight w:val="none"/>
          <w:lang w:eastAsia="zh-CN"/>
        </w:rPr>
        <w:t>岗位责任制</w:t>
      </w:r>
      <w:r>
        <w:rPr>
          <w:rFonts w:hint="eastAsia" w:ascii="宋体" w:hAnsi="宋体"/>
          <w:color w:val="auto"/>
          <w:sz w:val="24"/>
          <w:highlight w:val="none"/>
        </w:rPr>
        <w:t>；变电所有交接班制度、倒闸操作制度、工作票制度等；变电所和楼层配电室有操作规程；变电所有</w:t>
      </w:r>
      <w:r>
        <w:rPr>
          <w:rFonts w:hint="eastAsia" w:ascii="宋体" w:hAnsi="宋体"/>
          <w:color w:val="auto"/>
          <w:sz w:val="24"/>
          <w:highlight w:val="none"/>
          <w:lang w:eastAsia="zh-CN"/>
        </w:rPr>
        <w:t>值班</w:t>
      </w:r>
      <w:r>
        <w:rPr>
          <w:rFonts w:hint="eastAsia" w:ascii="宋体" w:hAnsi="宋体"/>
          <w:color w:val="auto"/>
          <w:sz w:val="24"/>
          <w:highlight w:val="none"/>
        </w:rPr>
        <w:t>记录、保养记录、故障处理记录。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（4）高配变电所保证全年365天、每天24小时有人值班，保证整个大楼的供电安全。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按照规定周期对变配电设施设备进行检查、维护、清洁，并做好记录，确保高</w:t>
      </w:r>
      <w:r>
        <w:rPr>
          <w:rFonts w:hint="eastAsia" w:ascii="宋体" w:hAnsi="宋体"/>
          <w:color w:val="auto"/>
          <w:sz w:val="24"/>
          <w:highlight w:val="none"/>
          <w:lang w:eastAsia="zh-CN"/>
        </w:rPr>
        <w:t>（</w:t>
      </w:r>
      <w:r>
        <w:rPr>
          <w:rFonts w:hint="eastAsia" w:ascii="宋体" w:hAnsi="宋体"/>
          <w:color w:val="auto"/>
          <w:sz w:val="24"/>
          <w:highlight w:val="none"/>
        </w:rPr>
        <w:t>低</w:t>
      </w:r>
      <w:r>
        <w:rPr>
          <w:rFonts w:hint="eastAsia" w:ascii="宋体" w:hAnsi="宋体"/>
          <w:color w:val="auto"/>
          <w:sz w:val="24"/>
          <w:highlight w:val="none"/>
          <w:lang w:eastAsia="zh-CN"/>
        </w:rPr>
        <w:t>）</w:t>
      </w:r>
      <w:r>
        <w:rPr>
          <w:rFonts w:hint="eastAsia" w:ascii="宋体" w:hAnsi="宋体"/>
          <w:color w:val="auto"/>
          <w:sz w:val="24"/>
          <w:highlight w:val="none"/>
        </w:rPr>
        <w:t>压变</w:t>
      </w:r>
      <w:r>
        <w:rPr>
          <w:rFonts w:hint="eastAsia" w:ascii="宋体" w:hAnsi="宋体"/>
          <w:color w:val="auto"/>
          <w:sz w:val="24"/>
          <w:highlight w:val="none"/>
          <w:lang w:eastAsia="zh-CN"/>
        </w:rPr>
        <w:t>（</w:t>
      </w:r>
      <w:r>
        <w:rPr>
          <w:rFonts w:hint="eastAsia" w:ascii="宋体" w:hAnsi="宋体"/>
          <w:color w:val="auto"/>
          <w:sz w:val="24"/>
          <w:highlight w:val="none"/>
        </w:rPr>
        <w:t>配</w:t>
      </w:r>
      <w:r>
        <w:rPr>
          <w:rFonts w:hint="eastAsia" w:ascii="宋体" w:hAnsi="宋体"/>
          <w:color w:val="auto"/>
          <w:sz w:val="24"/>
          <w:highlight w:val="none"/>
          <w:lang w:eastAsia="zh-CN"/>
        </w:rPr>
        <w:t>）</w:t>
      </w:r>
      <w:r>
        <w:rPr>
          <w:rFonts w:hint="eastAsia" w:ascii="宋体" w:hAnsi="宋体"/>
          <w:color w:val="auto"/>
          <w:sz w:val="24"/>
          <w:highlight w:val="none"/>
        </w:rPr>
        <w:t>电柜操作运行正常，各计量检测表计显示正常。</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 xml:space="preserve"> 每天</w:t>
      </w:r>
      <w:r>
        <w:rPr>
          <w:rFonts w:hint="eastAsia" w:ascii="宋体" w:hAnsi="宋体"/>
          <w:color w:val="auto"/>
          <w:sz w:val="24"/>
          <w:highlight w:val="none"/>
          <w:lang w:eastAsia="zh-CN"/>
        </w:rPr>
        <w:t>不少于两次</w:t>
      </w:r>
      <w:r>
        <w:rPr>
          <w:rFonts w:hint="eastAsia" w:ascii="宋体" w:hAnsi="宋体"/>
          <w:color w:val="auto"/>
          <w:sz w:val="24"/>
          <w:highlight w:val="none"/>
        </w:rPr>
        <w:t>对楼层配电室进行巡视检查并要有相应的巡查记录表。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保证变</w:t>
      </w:r>
      <w:r>
        <w:rPr>
          <w:rFonts w:hint="eastAsia" w:ascii="宋体" w:hAnsi="宋体"/>
          <w:color w:val="auto"/>
          <w:sz w:val="24"/>
          <w:highlight w:val="none"/>
          <w:lang w:eastAsia="zh-CN"/>
        </w:rPr>
        <w:t>（</w:t>
      </w:r>
      <w:r>
        <w:rPr>
          <w:rFonts w:hint="eastAsia" w:ascii="宋体" w:hAnsi="宋体"/>
          <w:color w:val="auto"/>
          <w:sz w:val="24"/>
          <w:highlight w:val="none"/>
        </w:rPr>
        <w:t>配</w:t>
      </w:r>
      <w:r>
        <w:rPr>
          <w:rFonts w:hint="eastAsia" w:ascii="宋体" w:hAnsi="宋体"/>
          <w:color w:val="auto"/>
          <w:sz w:val="24"/>
          <w:highlight w:val="none"/>
          <w:lang w:eastAsia="zh-CN"/>
        </w:rPr>
        <w:t>）</w:t>
      </w:r>
      <w:r>
        <w:rPr>
          <w:rFonts w:hint="eastAsia" w:ascii="宋体" w:hAnsi="宋体"/>
          <w:color w:val="auto"/>
          <w:sz w:val="24"/>
          <w:highlight w:val="none"/>
        </w:rPr>
        <w:t>电柜、低压配电柜全年24小时运行正常，设备完好率99%以上，满足现场工作要求，各类表计显示正常。</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8</w:t>
      </w:r>
      <w:r>
        <w:rPr>
          <w:rFonts w:hint="eastAsia" w:ascii="宋体" w:hAnsi="宋体"/>
          <w:color w:val="auto"/>
          <w:sz w:val="24"/>
          <w:highlight w:val="none"/>
          <w:lang w:eastAsia="zh-CN"/>
        </w:rPr>
        <w:t>）</w:t>
      </w:r>
      <w:r>
        <w:rPr>
          <w:rFonts w:hint="eastAsia" w:ascii="宋体" w:hAnsi="宋体"/>
          <w:color w:val="auto"/>
          <w:sz w:val="24"/>
          <w:highlight w:val="none"/>
        </w:rPr>
        <w:t>功率因素自动补偿电容器</w:t>
      </w:r>
      <w:r>
        <w:rPr>
          <w:rFonts w:hint="eastAsia" w:ascii="宋体" w:hAnsi="宋体"/>
          <w:color w:val="auto"/>
          <w:sz w:val="24"/>
          <w:highlight w:val="none"/>
          <w:lang w:eastAsia="zh-CN"/>
        </w:rPr>
        <w:t>（</w:t>
      </w:r>
      <w:r>
        <w:rPr>
          <w:rFonts w:hint="eastAsia" w:ascii="宋体" w:hAnsi="宋体"/>
          <w:color w:val="auto"/>
          <w:sz w:val="24"/>
          <w:highlight w:val="none"/>
        </w:rPr>
        <w:t>组</w:t>
      </w:r>
      <w:r>
        <w:rPr>
          <w:rFonts w:hint="eastAsia" w:ascii="宋体" w:hAnsi="宋体"/>
          <w:color w:val="auto"/>
          <w:sz w:val="24"/>
          <w:highlight w:val="none"/>
          <w:lang w:eastAsia="zh-CN"/>
        </w:rPr>
        <w:t>）</w:t>
      </w:r>
      <w:r>
        <w:rPr>
          <w:rFonts w:hint="eastAsia" w:ascii="宋体" w:hAnsi="宋体"/>
          <w:color w:val="auto"/>
          <w:sz w:val="24"/>
          <w:highlight w:val="none"/>
        </w:rPr>
        <w:t>运行正常，自动切换准确可靠。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9</w:t>
      </w:r>
      <w:r>
        <w:rPr>
          <w:rFonts w:hint="eastAsia" w:ascii="宋体" w:hAnsi="宋体"/>
          <w:color w:val="auto"/>
          <w:sz w:val="24"/>
          <w:highlight w:val="none"/>
          <w:lang w:eastAsia="zh-CN"/>
        </w:rPr>
        <w:t>）</w:t>
      </w:r>
      <w:r>
        <w:rPr>
          <w:rFonts w:hint="eastAsia" w:ascii="宋体" w:hAnsi="宋体"/>
          <w:color w:val="auto"/>
          <w:sz w:val="24"/>
          <w:highlight w:val="none"/>
        </w:rPr>
        <w:t>变</w:t>
      </w:r>
      <w:r>
        <w:rPr>
          <w:rFonts w:hint="eastAsia" w:ascii="宋体" w:hAnsi="宋体"/>
          <w:color w:val="auto"/>
          <w:sz w:val="24"/>
          <w:highlight w:val="none"/>
          <w:lang w:eastAsia="zh-CN"/>
        </w:rPr>
        <w:t>（</w:t>
      </w:r>
      <w:r>
        <w:rPr>
          <w:rFonts w:hint="eastAsia" w:ascii="宋体" w:hAnsi="宋体"/>
          <w:color w:val="auto"/>
          <w:sz w:val="24"/>
          <w:highlight w:val="none"/>
        </w:rPr>
        <w:t>配</w:t>
      </w:r>
      <w:r>
        <w:rPr>
          <w:rFonts w:hint="eastAsia" w:ascii="宋体" w:hAnsi="宋体"/>
          <w:color w:val="auto"/>
          <w:sz w:val="24"/>
          <w:highlight w:val="none"/>
          <w:lang w:eastAsia="zh-CN"/>
        </w:rPr>
        <w:t>）</w:t>
      </w:r>
      <w:r>
        <w:rPr>
          <w:rFonts w:hint="eastAsia" w:ascii="宋体" w:hAnsi="宋体"/>
          <w:color w:val="auto"/>
          <w:sz w:val="24"/>
          <w:highlight w:val="none"/>
        </w:rPr>
        <w:t>电系统联络切换正常。</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10</w:t>
      </w:r>
      <w:r>
        <w:rPr>
          <w:rFonts w:hint="eastAsia" w:ascii="宋体" w:hAnsi="宋体"/>
          <w:color w:val="auto"/>
          <w:sz w:val="24"/>
          <w:highlight w:val="none"/>
          <w:lang w:eastAsia="zh-CN"/>
        </w:rPr>
        <w:t>）</w:t>
      </w:r>
      <w:r>
        <w:rPr>
          <w:rFonts w:hint="eastAsia" w:ascii="宋体" w:hAnsi="宋体"/>
          <w:color w:val="auto"/>
          <w:sz w:val="24"/>
          <w:highlight w:val="none"/>
        </w:rPr>
        <w:t>负责各类照明灯具、泛光照明系统、供用电设备设施（包括配电箱柜、桥架、井道、分电箱、开关、插座等）的日常管理和维护，亮灯率和插座完好率达到99.9%，楼宇泛光照明亮灯时间不少于2.5个小时，楼宇外围照明亮灯时间不少于4个小时，具体以采购单位要求为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11</w:t>
      </w:r>
      <w:r>
        <w:rPr>
          <w:rFonts w:hint="eastAsia" w:ascii="宋体" w:hAnsi="宋体"/>
          <w:color w:val="auto"/>
          <w:sz w:val="24"/>
          <w:highlight w:val="none"/>
          <w:lang w:eastAsia="zh-CN"/>
        </w:rPr>
        <w:t>）</w:t>
      </w:r>
      <w:r>
        <w:rPr>
          <w:rFonts w:hint="eastAsia" w:ascii="宋体" w:hAnsi="宋体"/>
          <w:color w:val="auto"/>
          <w:sz w:val="24"/>
          <w:highlight w:val="none"/>
        </w:rPr>
        <w:t>应急供电系统运行正常；EPS应急照明柜每季度放电保养一次，每次不少于30分钟。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12</w:t>
      </w:r>
      <w:r>
        <w:rPr>
          <w:rFonts w:hint="eastAsia" w:ascii="宋体" w:hAnsi="宋体"/>
          <w:color w:val="auto"/>
          <w:sz w:val="24"/>
          <w:highlight w:val="none"/>
          <w:lang w:eastAsia="zh-CN"/>
        </w:rPr>
        <w:t>）</w:t>
      </w:r>
      <w:r>
        <w:rPr>
          <w:rFonts w:hint="eastAsia" w:ascii="宋体" w:hAnsi="宋体"/>
          <w:color w:val="auto"/>
          <w:sz w:val="24"/>
          <w:highlight w:val="none"/>
        </w:rPr>
        <w:t>变电所等特殊机房保证24小时有值班人员，遇到节假日，双休日现场维护人员数量不能低于日常配置人员。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13</w:t>
      </w:r>
      <w:r>
        <w:rPr>
          <w:rFonts w:hint="eastAsia" w:ascii="宋体" w:hAnsi="宋体"/>
          <w:color w:val="auto"/>
          <w:sz w:val="24"/>
          <w:highlight w:val="none"/>
          <w:lang w:eastAsia="zh-CN"/>
        </w:rPr>
        <w:t>）</w:t>
      </w:r>
      <w:r>
        <w:rPr>
          <w:rFonts w:hint="eastAsia" w:ascii="宋体" w:hAnsi="宋体"/>
          <w:color w:val="auto"/>
          <w:sz w:val="24"/>
          <w:highlight w:val="none"/>
        </w:rPr>
        <w:t>设备出现故障后,应采取相关防护措施并及时通知招标方。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14</w:t>
      </w:r>
      <w:r>
        <w:rPr>
          <w:rFonts w:hint="eastAsia" w:ascii="宋体" w:hAnsi="宋体"/>
          <w:color w:val="auto"/>
          <w:sz w:val="24"/>
          <w:highlight w:val="none"/>
          <w:lang w:eastAsia="zh-CN"/>
        </w:rPr>
        <w:t>）</w:t>
      </w:r>
      <w:r>
        <w:rPr>
          <w:rFonts w:hint="eastAsia" w:ascii="宋体" w:hAnsi="宋体"/>
          <w:color w:val="auto"/>
          <w:sz w:val="24"/>
          <w:highlight w:val="none"/>
        </w:rPr>
        <w:t>通过有效的管理措施及技术措施，积极开展节能管理工作。</w:t>
      </w: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b/>
          <w:color w:val="auto"/>
          <w:sz w:val="24"/>
          <w:highlight w:val="none"/>
        </w:rPr>
        <w:t>七</w:t>
      </w:r>
      <w:r>
        <w:rPr>
          <w:rFonts w:hint="eastAsia" w:ascii="宋体" w:hAnsi="宋体"/>
          <w:b/>
          <w:color w:val="auto"/>
          <w:sz w:val="24"/>
          <w:highlight w:val="none"/>
          <w:lang w:eastAsia="zh-CN"/>
        </w:rPr>
        <w:t>）</w:t>
      </w:r>
      <w:r>
        <w:rPr>
          <w:rFonts w:hint="eastAsia" w:ascii="宋体" w:hAnsi="宋体"/>
          <w:b/>
          <w:color w:val="auto"/>
          <w:sz w:val="24"/>
          <w:highlight w:val="none"/>
        </w:rPr>
        <w:t>给排水设备运行维护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1、服务内容</w:t>
      </w:r>
      <w:r>
        <w:rPr>
          <w:rFonts w:hint="eastAsia"/>
          <w:color w:val="auto"/>
          <w:sz w:val="24"/>
          <w:highlight w:val="none"/>
          <w:lang w:eastAsia="zh-CN"/>
        </w:rPr>
        <w:t>：</w:t>
      </w:r>
      <w:r>
        <w:rPr>
          <w:rFonts w:hint="eastAsia" w:ascii="宋体" w:hAnsi="宋体"/>
          <w:color w:val="auto"/>
          <w:sz w:val="24"/>
          <w:highlight w:val="none"/>
        </w:rPr>
        <w:t>对办公楼</w:t>
      </w:r>
      <w:r>
        <w:rPr>
          <w:rFonts w:hint="eastAsia" w:ascii="宋体" w:hAnsi="宋体"/>
          <w:color w:val="auto"/>
          <w:sz w:val="24"/>
          <w:highlight w:val="none"/>
          <w:lang w:eastAsia="zh-CN"/>
        </w:rPr>
        <w:t>（</w:t>
      </w:r>
      <w:r>
        <w:rPr>
          <w:rFonts w:hint="eastAsia" w:ascii="宋体" w:hAnsi="宋体"/>
          <w:color w:val="auto"/>
          <w:sz w:val="24"/>
          <w:highlight w:val="none"/>
        </w:rPr>
        <w:t>区</w:t>
      </w:r>
      <w:r>
        <w:rPr>
          <w:rFonts w:hint="eastAsia" w:ascii="宋体" w:hAnsi="宋体"/>
          <w:color w:val="auto"/>
          <w:sz w:val="24"/>
          <w:highlight w:val="none"/>
          <w:lang w:eastAsia="zh-CN"/>
        </w:rPr>
        <w:t>）</w:t>
      </w:r>
      <w:r>
        <w:rPr>
          <w:rFonts w:hint="eastAsia" w:ascii="宋体" w:hAnsi="宋体"/>
          <w:color w:val="auto"/>
          <w:sz w:val="24"/>
          <w:highlight w:val="none"/>
        </w:rPr>
        <w:t>室内外给排水系统的设备、设施，如水泵、水箱、气压给水装置、水处理设备、消火栓、管道、管件、阀门、水嘴、</w:t>
      </w:r>
      <w:r>
        <w:rPr>
          <w:rFonts w:hint="eastAsia" w:ascii="宋体" w:hAnsi="宋体"/>
          <w:color w:val="auto"/>
          <w:sz w:val="24"/>
          <w:highlight w:val="none"/>
          <w:lang w:eastAsia="zh-CN"/>
        </w:rPr>
        <w:t>洁具</w:t>
      </w:r>
      <w:r>
        <w:rPr>
          <w:rFonts w:hint="eastAsia" w:ascii="宋体" w:hAnsi="宋体"/>
          <w:color w:val="auto"/>
          <w:sz w:val="24"/>
          <w:highlight w:val="none"/>
        </w:rPr>
        <w:t xml:space="preserve">、排水管、透气管、水封设备、室外排水管及附属构筑物等进行日常养护，保持正常运行。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2、服务质量标准</w:t>
      </w:r>
      <w:r>
        <w:rPr>
          <w:rFonts w:hint="eastAsia"/>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每半年对给排水系统进行维护、润滑。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每周检查一次污水泵、提升泵、排水泵、阀门等，确保曝气风机、排水系统通畅，各种管道阀门完好，仪表显示正常，无跑、冒、滴、漏现象。由具备相应执业资格的作业人员定期对污水处理系统进行全面维护保养，确保污水处理系统无明显异味和噪声，污水排放达到GB8978一1996《污水综合排放标准》的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用户末端的水压及流量满足使用要求。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每季对楼宇排水总管进行检查，每半年对水泵、管道进行防锈处理。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确保水质无污染并符合规定的要求，生活饮用水水质符合GB5749一2006《生活饮用水卫生标准》的要求。生活饮用水设施的日常使用管理、清洗消毒、作业人员健康检查以及水质检测参照建设部《城市供水水质管理规定》执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每年对污水池清理一次。</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八</w:t>
      </w:r>
      <w:r>
        <w:rPr>
          <w:rFonts w:hint="eastAsia" w:ascii="宋体" w:hAnsi="宋体"/>
          <w:b/>
          <w:color w:val="auto"/>
          <w:sz w:val="24"/>
          <w:highlight w:val="none"/>
          <w:lang w:eastAsia="zh-CN"/>
        </w:rPr>
        <w:t>）</w:t>
      </w:r>
      <w:r>
        <w:rPr>
          <w:rFonts w:hint="eastAsia" w:ascii="宋体" w:hAnsi="宋体"/>
          <w:b/>
          <w:color w:val="auto"/>
          <w:sz w:val="24"/>
          <w:highlight w:val="none"/>
        </w:rPr>
        <w:t>空调系统运行维护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1、服务内容</w:t>
      </w:r>
      <w:r>
        <w:rPr>
          <w:rFonts w:hint="eastAsia"/>
          <w:color w:val="auto"/>
          <w:sz w:val="24"/>
          <w:highlight w:val="none"/>
          <w:lang w:eastAsia="zh-CN"/>
        </w:rPr>
        <w:t>：</w:t>
      </w:r>
      <w:r>
        <w:rPr>
          <w:rFonts w:hint="eastAsia" w:ascii="宋体" w:hAnsi="宋体"/>
          <w:color w:val="auto"/>
          <w:sz w:val="24"/>
          <w:highlight w:val="none"/>
        </w:rPr>
        <w:t xml:space="preserve"> 中央空调系统、变冷媒空调系统、精密空调、普通空调的运行管理和维护。具体内容有空调箱、空调柜、精密空调机组、变冷媒空调机组、送排风机组、新风机组、风机盘管、热交换器、管道系统、各种阀类、采气装置、各类风口内外置滤网、自动控制系统等设备的日常养护和清洁卫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2、服务质量标准</w:t>
      </w:r>
      <w:r>
        <w:rPr>
          <w:rFonts w:hint="eastAsia"/>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有完善的各空调系统的管理制度和规范操作流程。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有健全的各空调系统维修保养规章制度并严格落实执行，使空调系统安全、正常运行。设备及环境整洁,无异常噪声及滴漏水现象，空调风管符合卫生部颁发《公共场所集中空调通风系统卫生规范》的要求。设备完好率100%。</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在空调工作周期，每天对机组进行巡视检查，检查机组工作及功能是否正常，检查要有记录；空调停止运行周期，定期对系统进行维护保养。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定期对空调系统主机、水泵、电机、管道检查保养,完成对空调风管清洗一次。</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每月定期做好各空调机房和空调机组的清洁工作。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保证各空调系统工作正常。设备出现故障后, 应采取相关防护措施并及时通知招标方。</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九</w:t>
      </w:r>
      <w:r>
        <w:rPr>
          <w:rFonts w:hint="eastAsia" w:ascii="宋体" w:hAnsi="宋体"/>
          <w:b/>
          <w:color w:val="auto"/>
          <w:sz w:val="24"/>
          <w:highlight w:val="none"/>
          <w:lang w:eastAsia="zh-CN"/>
        </w:rPr>
        <w:t>）</w:t>
      </w:r>
      <w:r>
        <w:rPr>
          <w:rFonts w:hint="eastAsia" w:ascii="宋体" w:hAnsi="宋体"/>
          <w:b/>
          <w:color w:val="auto"/>
          <w:sz w:val="24"/>
          <w:highlight w:val="none"/>
        </w:rPr>
        <w:t>电梯管理维护</w:t>
      </w:r>
    </w:p>
    <w:p>
      <w:pPr>
        <w:spacing w:line="360" w:lineRule="auto"/>
        <w:ind w:firstLine="480" w:firstLineChars="200"/>
        <w:rPr>
          <w:rFonts w:hint="eastAsia" w:ascii="宋体" w:hAnsi="宋体"/>
          <w:color w:val="auto"/>
          <w:sz w:val="24"/>
          <w:highlight w:val="none"/>
        </w:rPr>
      </w:pPr>
      <w:bookmarkStart w:id="447" w:name="OLE_LINK4"/>
      <w:r>
        <w:rPr>
          <w:rFonts w:hint="eastAsia" w:ascii="宋体" w:hAnsi="宋体"/>
          <w:color w:val="auto"/>
          <w:sz w:val="24"/>
          <w:highlight w:val="none"/>
        </w:rPr>
        <w:t>1、服务内容</w:t>
      </w:r>
      <w:r>
        <w:rPr>
          <w:rFonts w:hint="eastAsia"/>
          <w:color w:val="auto"/>
          <w:sz w:val="24"/>
          <w:highlight w:val="none"/>
          <w:lang w:eastAsia="zh-CN"/>
        </w:rPr>
        <w:t>：</w:t>
      </w:r>
      <w:r>
        <w:rPr>
          <w:rFonts w:hint="eastAsia" w:ascii="宋体" w:hAnsi="宋体"/>
          <w:color w:val="auto"/>
          <w:sz w:val="24"/>
          <w:highlight w:val="none"/>
        </w:rPr>
        <w:t xml:space="preserve"> </w:t>
      </w:r>
      <w:bookmarkEnd w:id="447"/>
      <w:r>
        <w:rPr>
          <w:rFonts w:hint="eastAsia" w:ascii="宋体" w:hAnsi="宋体"/>
          <w:color w:val="auto"/>
          <w:sz w:val="24"/>
          <w:highlight w:val="none"/>
        </w:rPr>
        <w:t>按DB33《浙江省电梯维修保养安全管理规范》的要求，做好电梯等设备管理及维护。</w:t>
      </w:r>
    </w:p>
    <w:p>
      <w:pPr>
        <w:spacing w:line="360" w:lineRule="auto"/>
        <w:ind w:firstLine="480" w:firstLineChars="200"/>
        <w:rPr>
          <w:rFonts w:hint="eastAsia" w:ascii="宋体" w:hAnsi="宋体"/>
          <w:color w:val="auto"/>
          <w:sz w:val="24"/>
          <w:highlight w:val="none"/>
        </w:rPr>
      </w:pPr>
      <w:bookmarkStart w:id="448" w:name="OLE_LINK5"/>
      <w:r>
        <w:rPr>
          <w:rFonts w:hint="eastAsia" w:ascii="宋体" w:hAnsi="宋体"/>
          <w:color w:val="auto"/>
          <w:sz w:val="24"/>
          <w:highlight w:val="none"/>
        </w:rPr>
        <w:t>2、服务质量标准</w:t>
      </w:r>
      <w:r>
        <w:rPr>
          <w:rFonts w:hint="eastAsia"/>
          <w:color w:val="auto"/>
          <w:sz w:val="24"/>
          <w:highlight w:val="none"/>
          <w:lang w:eastAsia="zh-CN"/>
        </w:rPr>
        <w:t>：</w:t>
      </w:r>
    </w:p>
    <w:bookmarkEnd w:id="448"/>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有完善的电梯管理制度和规范操作流程。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建立运行安全管理制度，引导乘客安全用梯，确保电梯按规定时间运行。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rPr>
        <w:t>管辖区域内所有电梯在办公时段有效运行，电梯按时开启和关闭。轿厢内、外按钮及灯具等配件保持完好，维持轿厢整洁。保证立体机械停车设备安全稳定运行，设备整洁干净并做好每天的巡查及保养记录工作。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rPr>
        <w:t>对电梯维保单位的保养工作进行监督检查，并对电梯运行进行管理。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rPr>
        <w:t>电梯发生一般故障时，应立即通知专业维保单位。发生电梯困人或其他重大事件时，应立即通知专业维保单位并在5分钟内赶到现场，协助专业维保单位做好现场的应急处理工作。</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bCs/>
          <w:color w:val="auto"/>
          <w:sz w:val="24"/>
          <w:highlight w:val="none"/>
        </w:rPr>
        <w:t>物业费及水电费抄录和收取</w:t>
      </w:r>
    </w:p>
    <w:p>
      <w:pPr>
        <w:spacing w:line="360" w:lineRule="auto"/>
        <w:ind w:firstLine="640"/>
        <w:rPr>
          <w:rFonts w:hint="eastAsia" w:ascii="宋体" w:hAnsi="宋体"/>
          <w:color w:val="auto"/>
          <w:sz w:val="24"/>
          <w:highlight w:val="none"/>
        </w:rPr>
      </w:pPr>
      <w:r>
        <w:rPr>
          <w:rFonts w:hint="eastAsia" w:ascii="宋体" w:hAnsi="宋体"/>
          <w:color w:val="auto"/>
          <w:sz w:val="24"/>
          <w:highlight w:val="none"/>
        </w:rPr>
        <w:t>1、物业费收取：企业物业费由中标人统一进行收缴，收缴率直接与采购方支付中标人物业服务费相挂钩，如中标人物业费收缴率未达到100%，不足部分从中标人的当期物业费中扣除。</w:t>
      </w:r>
    </w:p>
    <w:p>
      <w:pPr>
        <w:spacing w:line="360" w:lineRule="auto"/>
        <w:ind w:firstLine="640"/>
        <w:rPr>
          <w:rFonts w:hint="eastAsia" w:ascii="宋体" w:hAnsi="宋体"/>
          <w:color w:val="auto"/>
          <w:sz w:val="24"/>
          <w:highlight w:val="none"/>
        </w:rPr>
      </w:pPr>
      <w:r>
        <w:rPr>
          <w:rFonts w:hint="eastAsia" w:ascii="宋体" w:hAnsi="宋体"/>
          <w:color w:val="auto"/>
          <w:sz w:val="24"/>
          <w:highlight w:val="none"/>
        </w:rPr>
        <w:t>2、水电费抄录和收取：每月或每季（按采购方需求）由物业服务方对各楼层水、电用量进行抄录，按国家收费标准进行收取。</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（十一）其他</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1、建立物业经理巡查制度，要求物业值班经理每天不少于四小时对广场各个区域的巡查，尤其是公共开放区域的巡查，并做好记录以备查。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2、设施设备运行及维护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（1）大楼设施设备做到安全运行和节能操作，发现故障立即通知及时排除。水、电、卫浴设备、门锁维修等零星故障</w:t>
      </w:r>
      <w:r>
        <w:rPr>
          <w:rFonts w:hint="eastAsia" w:ascii="宋体" w:hAnsi="宋体"/>
          <w:color w:val="auto"/>
          <w:sz w:val="24"/>
          <w:highlight w:val="none"/>
          <w:lang w:eastAsia="zh-CN"/>
        </w:rPr>
        <w:t>应</w:t>
      </w:r>
      <w:r>
        <w:rPr>
          <w:rFonts w:hint="eastAsia" w:ascii="宋体" w:hAnsi="宋体"/>
          <w:color w:val="auto"/>
          <w:sz w:val="24"/>
          <w:highlight w:val="none"/>
        </w:rPr>
        <w:t>立即进行维修，确保设备的正常运行。排水管、排污管要保持畅通，如有堵塞应立即疏通，厕所堵塞应当天疏通（需换厕盆的除外）。公共照明、水电设施每天检查一遍。楼宇内门窗、卫浴设施、内墙面、所有照明设施的检查每半年3次。</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（2）配合专业单位进行保养及维修工作。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（3）所有空调过滤网清洗频率：开放区每季度1次、办公区半年1次；空调内置滤网每半年一次。</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（4）室外公共设施如建筑小品，应半年进行除锈、刷漆、加固等。特殊情况通知招标方后再行处理。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3、综合巡查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（1）每天定人现场巡视检查，内容包括配电设施、照明、插座、空调设施、恒温机组、通风设施、给排水设施、电梯等其他公用设施，巡视检查要有记录并统一归档管理,资料完整。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（2）每天对所有区域和楼层</w:t>
      </w:r>
      <w:r>
        <w:rPr>
          <w:rFonts w:hint="eastAsia" w:ascii="宋体" w:hAnsi="宋体"/>
          <w:color w:val="auto"/>
          <w:sz w:val="24"/>
          <w:highlight w:val="none"/>
          <w:lang w:eastAsia="zh-CN"/>
        </w:rPr>
        <w:t>巡查</w:t>
      </w:r>
      <w:r>
        <w:rPr>
          <w:rFonts w:hint="eastAsia" w:ascii="宋体" w:hAnsi="宋体"/>
          <w:color w:val="auto"/>
          <w:sz w:val="24"/>
          <w:highlight w:val="none"/>
        </w:rPr>
        <w:t>一次，并随时记录和处理。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4、环境卫生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（1）实行“零打扰</w:t>
      </w:r>
      <w:r>
        <w:rPr>
          <w:rFonts w:hint="eastAsia" w:ascii="宋体" w:hAnsi="宋体"/>
          <w:color w:val="auto"/>
          <w:sz w:val="24"/>
          <w:highlight w:val="none"/>
          <w:lang w:eastAsia="zh-CN"/>
        </w:rPr>
        <w:t>”“</w:t>
      </w:r>
      <w:r>
        <w:rPr>
          <w:rFonts w:hint="eastAsia" w:ascii="宋体" w:hAnsi="宋体"/>
          <w:color w:val="auto"/>
          <w:sz w:val="24"/>
          <w:highlight w:val="none"/>
        </w:rPr>
        <w:t>无滞留</w:t>
      </w:r>
      <w:r>
        <w:rPr>
          <w:rFonts w:hint="eastAsia" w:ascii="宋体" w:hAnsi="宋体"/>
          <w:color w:val="auto"/>
          <w:sz w:val="24"/>
          <w:highlight w:val="none"/>
          <w:lang w:eastAsia="zh-CN"/>
        </w:rPr>
        <w:t>”“</w:t>
      </w:r>
      <w:r>
        <w:rPr>
          <w:rFonts w:hint="eastAsia" w:ascii="宋体" w:hAnsi="宋体"/>
          <w:color w:val="auto"/>
          <w:sz w:val="24"/>
          <w:highlight w:val="none"/>
        </w:rPr>
        <w:t>不损伤”服务。即第一次保洁须在使用前清洁完毕，并且做到随脏随清不影响使用；出入口和主要通道及场所丢弃废物滞留时间不超过30分钟；保洁用清洗剂及工具不损伤清洁物表面和牢固度。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（2）外墙无乱贴、涂、划之物。做好符合辖区要求的门前“三包”。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5、工作时间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保洁、工程综合维护巡查人员、项目经理、客服作息时间随业主作息时间变动而同步跟进，每天上班时间为业主上班前一小时，下班时间为业主下班后半小时；遇重大活动时与业主协商后相应</w:t>
      </w:r>
      <w:r>
        <w:rPr>
          <w:rFonts w:hint="eastAsia" w:ascii="宋体" w:hAnsi="宋体"/>
          <w:color w:val="auto"/>
          <w:sz w:val="24"/>
          <w:highlight w:val="none"/>
          <w:lang w:eastAsia="zh-CN"/>
        </w:rPr>
        <w:t>地</w:t>
      </w:r>
      <w:r>
        <w:rPr>
          <w:rFonts w:hint="eastAsia" w:ascii="宋体" w:hAnsi="宋体"/>
          <w:color w:val="auto"/>
          <w:sz w:val="24"/>
          <w:highlight w:val="none"/>
        </w:rPr>
        <w:t>增加工作人员；遇自然灾害、恶劣天气等特殊时期，24小时到场服务。</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五、其他要求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 xml:space="preserve"> 投标人应制订具体的质量保证措施及质量保证及相关服务的承诺。如因服务质量未达到目标，需承担责任和经济赔偿。在维保范围项目，供应商无任何理由拒绝或拖延保养维修。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（2）中标人须在合同签订前须提供项目经理、保安等重要岗位人员的相关有效证件和信息，如果中标人不能提供，则采购单位有权终止合同签订。其他人员聘用须将人员信息向采购方备案。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（3）按要求和事项发生量及时配备</w:t>
      </w:r>
      <w:r>
        <w:rPr>
          <w:rFonts w:hint="eastAsia" w:ascii="宋体" w:hAnsi="宋体"/>
          <w:color w:val="auto"/>
          <w:sz w:val="24"/>
          <w:highlight w:val="none"/>
          <w:lang w:eastAsia="zh-CN"/>
        </w:rPr>
        <w:t>足够</w:t>
      </w:r>
      <w:r>
        <w:rPr>
          <w:rFonts w:hint="eastAsia" w:ascii="宋体" w:hAnsi="宋体"/>
          <w:color w:val="auto"/>
          <w:sz w:val="24"/>
          <w:highlight w:val="none"/>
        </w:rPr>
        <w:t>胜任的相关管理和服务人员，并保持人员的稳定。遇调动或辞职时，项目经理提前一个月、保安提前10天、保洁提前7天告知采购方并得到同意后才能更换，按要求及时补充相应人员，提前做好交接班。对采购方认为无能力、工作失职或不合适人员，应立即更换。岗位人数不足时，按相应岗位成本扣除服务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（4）对采购方向中标人提出的服务要求或整改要求，中标人需组织人员落实完成并将结果及时书面反馈采购方。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（5）按国家和当地政府有关劳动法规、条例，向管理服务人员提供相应工种的劳动工资、加班工资、劳动保护等待遇。为保证服务人员的技能素质、队伍的相对稳定，应保障关键技术岗位的工资待遇。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（6）管理服务人员上岗时须统一着装，服装样式体现岗位特色和方便不同岗位操作，并经采购方认可。</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（7）为提高物业管理服务水平，所有管理服务人员在服务期间按岗位要求进行定期短期培训。培训课程与资料向采购方备案。设备维护人员进出调动须事前征求采购方单位意见，得到同意后才能放行。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（8）中标人需建立上岗前培训制度，并通过考试方式，合格后进行上岗。</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（9）中标人在合同期内，为承包区域内提供物业安保、保洁、水电与设备维护及其他相关服务，并承担由此带来的一切风险。</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投标人应制订具体的质量保证措施及质量保证和相关服务承诺。中标人所有的工作除应按中标人的内部流程实施外还应接受采购单位或第三方的检查。中标人达不到采购单位要求及各项服务承诺，采购单位有权要求其整改，直至扣款或终止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（11）如今后物业服务范围增加，采购单位将按成交单价根据有关规定另行签订补充协议。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（12）中标人有义务帮助采购单位完成除维修维护外零星的电器安装、线路铺设、改动等工作，服务费用包含在本次应标价中，不再另行计费。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（13）中标人须按地方及其他国家有关标准和规范完成采购文件要求的物业管理工作。</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六、管理服务应达到的各项指标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1、杜绝火灾责任事故，杜绝刑事案件；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2、环境卫生、清洁率达99%；</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3、维护、报修及时率100%；</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4、服务有效投诉少于1%，处理率100%；</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5、满意率95%以上。</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七、服务期限</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本次采购服务期限为惠普</w:t>
      </w:r>
      <w:r>
        <w:rPr>
          <w:rFonts w:hint="eastAsia" w:ascii="宋体" w:hAnsi="宋体"/>
          <w:color w:val="auto"/>
          <w:sz w:val="24"/>
          <w:highlight w:val="none"/>
          <w:lang w:val="en-US" w:eastAsia="zh-CN"/>
        </w:rPr>
        <w:t>广场</w:t>
      </w:r>
      <w:r>
        <w:rPr>
          <w:rFonts w:hint="eastAsia" w:ascii="宋体" w:hAnsi="宋体"/>
          <w:color w:val="auto"/>
          <w:sz w:val="24"/>
          <w:highlight w:val="none"/>
        </w:rPr>
        <w:t>2025年1月1日到2026年12月31日</w:t>
      </w:r>
      <w:r>
        <w:rPr>
          <w:rFonts w:hint="eastAsia" w:ascii="宋体" w:hAnsi="宋体"/>
          <w:color w:val="auto"/>
          <w:sz w:val="24"/>
          <w:highlight w:val="none"/>
          <w:lang w:eastAsia="zh-CN"/>
        </w:rPr>
        <w:t>（</w:t>
      </w:r>
      <w:r>
        <w:rPr>
          <w:rFonts w:hint="eastAsia" w:ascii="宋体" w:hAnsi="宋体" w:cs="宋体"/>
          <w:color w:val="auto"/>
          <w:sz w:val="24"/>
          <w:highlight w:val="none"/>
        </w:rPr>
        <w:t>具体时间根据签订的合同为准</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八、相关场地提供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采购单位免费提供物业管理的办公场地，但办公用品（指办公桌、电脑、打印机、对讲机、文件柜等自身使用的办公用品）由投标人自行解决。</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九、检查与考核</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应制订具体的质量保证措施及质量保证和相关服务承诺。中标人所有的工作除应按中标人的内部流程实施外，还应接受采购单位或第三方的随时检查。如因质量未达到目标，采购单位有权要求其整改，同时中标人应承担责任和经济赔偿（扣款或终止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采购单位定期和不定期地对中标人管理服务进行检查和抽查，检查记录和整改时限反馈中标人。并每月或每季（按采购人需求）对“传达、保安和秩序管理”，“环境卫生”，“综合维护”及其他相应内容进行检查并考核。</w:t>
      </w:r>
    </w:p>
    <w:p>
      <w:pPr>
        <w:pStyle w:val="2"/>
        <w:spacing w:line="360" w:lineRule="auto"/>
        <w:ind w:firstLine="480" w:firstLineChars="200"/>
        <w:jc w:val="both"/>
        <w:rPr>
          <w:color w:val="auto"/>
          <w:highlight w:val="none"/>
        </w:rPr>
      </w:pPr>
      <w:bookmarkStart w:id="449" w:name="_Toc20145"/>
      <w:bookmarkStart w:id="450" w:name="_Toc23048"/>
      <w:r>
        <w:rPr>
          <w:rFonts w:hint="eastAsia"/>
          <w:b w:val="0"/>
          <w:color w:val="auto"/>
          <w:sz w:val="24"/>
          <w:szCs w:val="24"/>
          <w:highlight w:val="none"/>
        </w:rPr>
        <w:t>3、</w:t>
      </w:r>
      <w:r>
        <w:rPr>
          <w:rFonts w:hint="eastAsia" w:cs="宋体"/>
          <w:b w:val="0"/>
          <w:color w:val="auto"/>
          <w:sz w:val="24"/>
          <w:szCs w:val="24"/>
          <w:highlight w:val="none"/>
        </w:rPr>
        <w:t>本项目分三块物业管理服务和考核，分别为数创广场ABC楼区域（85297.71平）由绍兴市上虞区特色小镇投资建设有限公司负责考核（占总考核的</w:t>
      </w:r>
      <w:r>
        <w:rPr>
          <w:rFonts w:hint="eastAsia" w:cs="宋体"/>
          <w:b w:val="0"/>
          <w:color w:val="auto"/>
          <w:sz w:val="24"/>
          <w:szCs w:val="24"/>
          <w:highlight w:val="none"/>
          <w:lang w:val="en-US" w:eastAsia="zh-CN"/>
        </w:rPr>
        <w:t>72</w:t>
      </w:r>
      <w:r>
        <w:rPr>
          <w:rFonts w:hint="eastAsia" w:cs="宋体"/>
          <w:b w:val="0"/>
          <w:color w:val="auto"/>
          <w:sz w:val="24"/>
          <w:szCs w:val="24"/>
          <w:highlight w:val="none"/>
        </w:rPr>
        <w:t>%）、数创广场D楼（生态环境分局、第二稽查局）区域（15504.62平）由绍兴市生态环境局上虞分局和绍兴市税务局第二稽查局负责考核（占总考核的</w:t>
      </w:r>
      <w:r>
        <w:rPr>
          <w:rFonts w:hint="eastAsia" w:cs="宋体"/>
          <w:b w:val="0"/>
          <w:color w:val="auto"/>
          <w:sz w:val="24"/>
          <w:szCs w:val="24"/>
          <w:highlight w:val="none"/>
          <w:lang w:val="en-US" w:eastAsia="zh-CN"/>
        </w:rPr>
        <w:t>13</w:t>
      </w:r>
      <w:r>
        <w:rPr>
          <w:rFonts w:hint="eastAsia" w:cs="宋体"/>
          <w:b w:val="0"/>
          <w:color w:val="auto"/>
          <w:sz w:val="24"/>
          <w:szCs w:val="24"/>
          <w:highlight w:val="none"/>
        </w:rPr>
        <w:t>%）、数创大通e享城商贸区域（18137.06平）由</w:t>
      </w:r>
      <w:r>
        <w:rPr>
          <w:rFonts w:hint="eastAsia" w:cs="宋体"/>
          <w:b w:val="0"/>
          <w:color w:val="auto"/>
          <w:sz w:val="24"/>
          <w:szCs w:val="24"/>
          <w:highlight w:val="none"/>
          <w:lang w:eastAsia="zh-CN"/>
        </w:rPr>
        <w:t>绍兴市上虞大通易享城商业管理有限公司</w:t>
      </w:r>
      <w:r>
        <w:rPr>
          <w:rFonts w:hint="eastAsia" w:cs="宋体"/>
          <w:b w:val="0"/>
          <w:color w:val="auto"/>
          <w:sz w:val="24"/>
          <w:szCs w:val="24"/>
          <w:highlight w:val="none"/>
        </w:rPr>
        <w:t>负责考核（占总考核的</w:t>
      </w:r>
      <w:r>
        <w:rPr>
          <w:rFonts w:hint="eastAsia" w:cs="宋体"/>
          <w:b w:val="0"/>
          <w:color w:val="auto"/>
          <w:sz w:val="24"/>
          <w:szCs w:val="24"/>
          <w:highlight w:val="none"/>
          <w:lang w:val="en-US" w:eastAsia="zh-CN"/>
        </w:rPr>
        <w:t>15</w:t>
      </w:r>
      <w:r>
        <w:rPr>
          <w:rFonts w:hint="eastAsia" w:cs="宋体"/>
          <w:b w:val="0"/>
          <w:color w:val="auto"/>
          <w:sz w:val="24"/>
          <w:szCs w:val="24"/>
          <w:highlight w:val="none"/>
        </w:rPr>
        <w:t>%）。由各个负责主体对各自负责区域对物业进行考核，结果</w:t>
      </w:r>
      <w:r>
        <w:rPr>
          <w:rFonts w:hint="eastAsia" w:cs="宋体"/>
          <w:b w:val="0"/>
          <w:color w:val="auto"/>
          <w:sz w:val="24"/>
          <w:szCs w:val="24"/>
          <w:highlight w:val="none"/>
          <w:lang w:eastAsia="zh-CN"/>
        </w:rPr>
        <w:t>由</w:t>
      </w:r>
      <w:r>
        <w:rPr>
          <w:rFonts w:hint="eastAsia" w:cs="宋体"/>
          <w:b w:val="0"/>
          <w:color w:val="auto"/>
          <w:sz w:val="24"/>
          <w:szCs w:val="24"/>
          <w:highlight w:val="none"/>
        </w:rPr>
        <w:t>绍兴市上虞区特色小镇投资建设有限公司汇总。</w:t>
      </w:r>
      <w:bookmarkEnd w:id="449"/>
      <w:bookmarkEnd w:id="450"/>
    </w:p>
    <w:p>
      <w:pPr>
        <w:pStyle w:val="2"/>
        <w:spacing w:line="360" w:lineRule="auto"/>
        <w:ind w:firstLine="480" w:firstLineChars="200"/>
        <w:jc w:val="left"/>
        <w:rPr>
          <w:rFonts w:hint="eastAsia"/>
          <w:b w:val="0"/>
          <w:color w:val="auto"/>
          <w:sz w:val="24"/>
          <w:szCs w:val="24"/>
          <w:highlight w:val="none"/>
        </w:rPr>
      </w:pPr>
    </w:p>
    <w:p>
      <w:pPr>
        <w:widowControl/>
        <w:snapToGrid w:val="0"/>
        <w:spacing w:line="360" w:lineRule="auto"/>
        <w:ind w:firstLine="480" w:firstLineChars="200"/>
        <w:jc w:val="left"/>
        <w:rPr>
          <w:rFonts w:hint="eastAsia" w:ascii="宋体" w:hAnsi="宋体" w:cs="宋体"/>
          <w:color w:val="auto"/>
          <w:sz w:val="24"/>
          <w:highlight w:val="none"/>
        </w:rPr>
      </w:pPr>
    </w:p>
    <w:p>
      <w:pPr>
        <w:pStyle w:val="2"/>
        <w:spacing w:line="360" w:lineRule="auto"/>
        <w:rPr>
          <w:rFonts w:hint="eastAsia" w:ascii="宋体" w:hAnsi="宋体" w:eastAsia="宋体" w:cs="宋体"/>
          <w:b/>
          <w:color w:val="auto"/>
          <w:sz w:val="32"/>
          <w:szCs w:val="20"/>
          <w:highlight w:val="none"/>
          <w:lang w:val="en-US" w:eastAsia="zh-CN" w:bidi="ar-SA"/>
        </w:rPr>
      </w:pPr>
      <w:bookmarkStart w:id="451" w:name="_Toc2707_WPSOffice_Level2"/>
      <w:bookmarkStart w:id="452" w:name="_Toc284"/>
      <w:bookmarkStart w:id="453" w:name="_Toc15205"/>
      <w:bookmarkStart w:id="454" w:name="_Toc1476778"/>
      <w:r>
        <w:rPr>
          <w:rFonts w:hint="eastAsia" w:ascii="宋体" w:hAnsi="宋体" w:eastAsia="宋体" w:cs="宋体"/>
          <w:b/>
          <w:color w:val="auto"/>
          <w:sz w:val="32"/>
          <w:szCs w:val="20"/>
          <w:highlight w:val="none"/>
          <w:lang w:val="en-US" w:eastAsia="zh-CN" w:bidi="ar-SA"/>
        </w:rPr>
        <w:t>第二章  付款方式及其他要求</w:t>
      </w:r>
      <w:bookmarkEnd w:id="451"/>
      <w:bookmarkEnd w:id="452"/>
      <w:bookmarkEnd w:id="453"/>
      <w:bookmarkEnd w:id="454"/>
    </w:p>
    <w:p>
      <w:pPr>
        <w:pStyle w:val="7"/>
        <w:spacing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1、物业管理费收费：</w:t>
      </w:r>
    </w:p>
    <w:p>
      <w:pPr>
        <w:pStyle w:val="7"/>
        <w:spacing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1）除本合同明确约定可以另行收取的费用外，所有物业管理及服务费用均包括在内，乙方不得另行向甲方或使用人收取任何费用。</w:t>
      </w:r>
    </w:p>
    <w:p>
      <w:pPr>
        <w:pStyle w:val="7"/>
        <w:spacing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2）楼宇外墙清洗费用根据需要另行协商。</w:t>
      </w:r>
    </w:p>
    <w:p>
      <w:pPr>
        <w:pStyle w:val="7"/>
        <w:spacing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3）桶装垃圾清运</w:t>
      </w:r>
      <w:r>
        <w:rPr>
          <w:rFonts w:hint="eastAsia"/>
          <w:color w:val="auto"/>
          <w:sz w:val="24"/>
          <w:szCs w:val="24"/>
          <w:highlight w:val="none"/>
          <w:lang w:val="en-US" w:eastAsia="zh-CN"/>
        </w:rPr>
        <w:t>和垃圾桶采购</w:t>
      </w:r>
      <w:r>
        <w:rPr>
          <w:rFonts w:hint="eastAsia" w:ascii="宋体" w:hAnsi="宋体"/>
          <w:color w:val="auto"/>
          <w:sz w:val="24"/>
          <w:szCs w:val="24"/>
          <w:highlight w:val="none"/>
        </w:rPr>
        <w:t>由</w:t>
      </w:r>
      <w:r>
        <w:rPr>
          <w:rFonts w:hint="eastAsia"/>
          <w:color w:val="auto"/>
          <w:sz w:val="24"/>
          <w:szCs w:val="24"/>
          <w:highlight w:val="none"/>
          <w:lang w:val="en-US" w:eastAsia="zh-CN"/>
        </w:rPr>
        <w:t>中标</w:t>
      </w:r>
      <w:r>
        <w:rPr>
          <w:rFonts w:hint="eastAsia" w:ascii="宋体" w:hAnsi="宋体"/>
          <w:color w:val="auto"/>
          <w:sz w:val="24"/>
          <w:szCs w:val="24"/>
          <w:highlight w:val="none"/>
        </w:rPr>
        <w:t>方负责。</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2、支付方式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从2025年1</w:t>
      </w:r>
      <w:r>
        <w:rPr>
          <w:rFonts w:hint="eastAsia" w:ascii="宋体" w:hAnsi="宋体"/>
          <w:color w:val="auto"/>
          <w:sz w:val="24"/>
          <w:highlight w:val="none"/>
          <w:lang w:val="en-US" w:eastAsia="zh-CN"/>
        </w:rPr>
        <w:t>月</w:t>
      </w:r>
      <w:r>
        <w:rPr>
          <w:rFonts w:hint="eastAsia" w:ascii="宋体" w:hAnsi="宋体"/>
          <w:color w:val="auto"/>
          <w:sz w:val="24"/>
          <w:highlight w:val="none"/>
          <w:lang w:eastAsia="zh-CN"/>
        </w:rPr>
        <w:t>1</w:t>
      </w:r>
      <w:r>
        <w:rPr>
          <w:rFonts w:hint="eastAsia" w:ascii="宋体" w:hAnsi="宋体"/>
          <w:color w:val="auto"/>
          <w:sz w:val="24"/>
          <w:highlight w:val="none"/>
          <w:lang w:val="en-US" w:eastAsia="zh-CN"/>
        </w:rPr>
        <w:t>日</w:t>
      </w:r>
      <w:r>
        <w:rPr>
          <w:rFonts w:hint="eastAsia" w:ascii="宋体" w:hAnsi="宋体"/>
          <w:color w:val="auto"/>
          <w:sz w:val="24"/>
          <w:highlight w:val="none"/>
          <w:lang w:eastAsia="zh-CN"/>
        </w:rPr>
        <w:t>起物业管理费按合同约定的价款，按季度结算，季末支付。</w:t>
      </w:r>
      <w:r>
        <w:rPr>
          <w:rFonts w:hint="eastAsia" w:ascii="宋体" w:hAnsi="宋体"/>
          <w:color w:val="auto"/>
          <w:sz w:val="24"/>
          <w:highlight w:val="none"/>
          <w:lang w:val="en-US" w:eastAsia="zh-CN"/>
        </w:rPr>
        <w:t>采购人</w:t>
      </w:r>
      <w:r>
        <w:rPr>
          <w:rFonts w:hint="eastAsia" w:ascii="宋体" w:hAnsi="宋体"/>
          <w:color w:val="auto"/>
          <w:sz w:val="24"/>
          <w:highlight w:val="none"/>
          <w:lang w:eastAsia="zh-CN"/>
        </w:rPr>
        <w:t>凭</w:t>
      </w:r>
      <w:r>
        <w:rPr>
          <w:rFonts w:hint="eastAsia" w:ascii="宋体" w:hAnsi="宋体"/>
          <w:color w:val="auto"/>
          <w:sz w:val="24"/>
          <w:highlight w:val="none"/>
          <w:lang w:val="en-US" w:eastAsia="zh-CN"/>
        </w:rPr>
        <w:t>中标方</w:t>
      </w:r>
      <w:r>
        <w:rPr>
          <w:rFonts w:hint="eastAsia" w:ascii="宋体" w:hAnsi="宋体"/>
          <w:color w:val="auto"/>
          <w:sz w:val="24"/>
          <w:highlight w:val="none"/>
          <w:lang w:eastAsia="zh-CN"/>
        </w:rPr>
        <w:t>开具的正规发票，每季支付一次，同时预留10%部分费用作为考核奖励经费，在年度考核结束后发放。</w:t>
      </w:r>
    </w:p>
    <w:p>
      <w:pPr>
        <w:autoSpaceDE w:val="0"/>
        <w:autoSpaceDN w:val="0"/>
        <w:adjustRightInd w:val="0"/>
        <w:spacing w:line="360" w:lineRule="auto"/>
        <w:ind w:firstLine="470" w:firstLineChars="196"/>
        <w:jc w:val="left"/>
        <w:rPr>
          <w:rFonts w:hint="eastAsia" w:ascii="宋体" w:hAnsi="宋体"/>
          <w:bCs/>
          <w:color w:val="auto"/>
          <w:sz w:val="24"/>
          <w:highlight w:val="none"/>
        </w:rPr>
      </w:pPr>
    </w:p>
    <w:p>
      <w:pPr>
        <w:pStyle w:val="3"/>
        <w:spacing w:line="360" w:lineRule="auto"/>
        <w:jc w:val="center"/>
        <w:rPr>
          <w:rFonts w:hint="eastAsia"/>
          <w:color w:val="auto"/>
          <w:szCs w:val="28"/>
          <w:highlight w:val="none"/>
        </w:rPr>
      </w:pPr>
      <w:bookmarkStart w:id="455" w:name="_Toc530399416"/>
      <w:bookmarkStart w:id="456" w:name="_Toc146170944"/>
      <w:bookmarkStart w:id="457" w:name="_Toc1476779"/>
      <w:bookmarkStart w:id="458" w:name="_Toc14516"/>
      <w:bookmarkStart w:id="459" w:name="_Toc14160_WPSOffice_Level2"/>
      <w:bookmarkStart w:id="460" w:name="_Toc19459"/>
      <w:r>
        <w:rPr>
          <w:rFonts w:hint="eastAsia"/>
          <w:color w:val="auto"/>
          <w:highlight w:val="none"/>
        </w:rPr>
        <w:t>第三章  管理考核办法</w:t>
      </w:r>
      <w:bookmarkEnd w:id="455"/>
      <w:bookmarkEnd w:id="456"/>
      <w:bookmarkEnd w:id="457"/>
      <w:bookmarkEnd w:id="458"/>
      <w:bookmarkEnd w:id="459"/>
      <w:bookmarkEnd w:id="460"/>
    </w:p>
    <w:p>
      <w:pPr>
        <w:spacing w:line="360" w:lineRule="auto"/>
        <w:ind w:firstLine="480" w:firstLineChars="200"/>
        <w:rPr>
          <w:rFonts w:hint="eastAsia" w:ascii="宋体" w:hAnsi="宋体"/>
          <w:color w:val="auto"/>
          <w:kern w:val="0"/>
          <w:sz w:val="24"/>
          <w:highlight w:val="none"/>
        </w:rPr>
      </w:pPr>
      <w:bookmarkStart w:id="461" w:name="_Toc146170943"/>
      <w:r>
        <w:rPr>
          <w:rFonts w:hint="eastAsia" w:ascii="宋体" w:hAnsi="宋体"/>
          <w:color w:val="auto"/>
          <w:kern w:val="0"/>
          <w:sz w:val="24"/>
          <w:highlight w:val="none"/>
        </w:rPr>
        <w:t>1、物业及运行维护考核由甲方实施。</w:t>
      </w:r>
    </w:p>
    <w:p>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2、需方对供方的保洁、安全消防管理及日常维修工作每月实施不定期不定次数的抽查，季度考核得分由抽查结果综合累计</w:t>
      </w:r>
      <w:r>
        <w:rPr>
          <w:rFonts w:hint="eastAsia" w:ascii="宋体" w:hAnsi="宋体"/>
          <w:color w:val="auto"/>
          <w:kern w:val="0"/>
          <w:sz w:val="24"/>
          <w:highlight w:val="none"/>
          <w:lang w:eastAsia="zh-CN"/>
        </w:rPr>
        <w:t>及其他相关</w:t>
      </w:r>
      <w:r>
        <w:rPr>
          <w:rFonts w:hint="eastAsia" w:ascii="宋体" w:hAnsi="宋体"/>
          <w:color w:val="auto"/>
          <w:kern w:val="0"/>
          <w:sz w:val="24"/>
          <w:highlight w:val="none"/>
        </w:rPr>
        <w:t>记录得出。考核按招标文件确定的《考核办法</w:t>
      </w:r>
      <w:r>
        <w:rPr>
          <w:rFonts w:hint="eastAsia" w:ascii="宋体" w:hAnsi="宋体"/>
          <w:color w:val="auto"/>
          <w:kern w:val="0"/>
          <w:sz w:val="24"/>
          <w:highlight w:val="none"/>
          <w:lang w:eastAsia="zh-CN"/>
        </w:rPr>
        <w:t>》《</w:t>
      </w:r>
      <w:r>
        <w:rPr>
          <w:rFonts w:hint="eastAsia" w:ascii="宋体" w:hAnsi="宋体"/>
          <w:color w:val="auto"/>
          <w:kern w:val="0"/>
          <w:sz w:val="24"/>
          <w:highlight w:val="none"/>
        </w:rPr>
        <w:t>考核标准》执行，总分为100分。</w:t>
      </w:r>
    </w:p>
    <w:p>
      <w:pPr>
        <w:spacing w:line="360" w:lineRule="auto"/>
        <w:ind w:firstLine="540" w:firstLineChars="225"/>
        <w:rPr>
          <w:rFonts w:hint="eastAsia" w:ascii="宋体" w:hAnsi="宋体"/>
          <w:color w:val="auto"/>
          <w:kern w:val="0"/>
          <w:sz w:val="24"/>
          <w:highlight w:val="none"/>
        </w:rPr>
      </w:pPr>
      <w:r>
        <w:rPr>
          <w:rFonts w:hint="eastAsia" w:ascii="宋体" w:hAnsi="宋体"/>
          <w:color w:val="auto"/>
          <w:kern w:val="0"/>
          <w:sz w:val="24"/>
          <w:highlight w:val="none"/>
        </w:rPr>
        <w:t>3、奖罚的依据是季度考核结果。</w:t>
      </w:r>
    </w:p>
    <w:p>
      <w:pPr>
        <w:spacing w:line="360" w:lineRule="auto"/>
        <w:ind w:firstLine="540" w:firstLineChars="225"/>
        <w:rPr>
          <w:rFonts w:hint="eastAsia" w:ascii="宋体" w:hAnsi="宋体"/>
          <w:color w:val="auto"/>
          <w:kern w:val="0"/>
          <w:sz w:val="24"/>
          <w:highlight w:val="none"/>
        </w:rPr>
      </w:pPr>
      <w:r>
        <w:rPr>
          <w:rFonts w:hint="eastAsia" w:ascii="宋体" w:hAnsi="宋体"/>
          <w:color w:val="auto"/>
          <w:kern w:val="0"/>
          <w:sz w:val="24"/>
          <w:highlight w:val="none"/>
        </w:rPr>
        <w:t>4、根据考核得分，对供方做出如下处罚：</w:t>
      </w:r>
    </w:p>
    <w:p>
      <w:pPr>
        <w:spacing w:line="360" w:lineRule="auto"/>
        <w:ind w:firstLine="540" w:firstLineChars="225"/>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1</w:t>
      </w:r>
      <w:r>
        <w:rPr>
          <w:rFonts w:hint="eastAsia" w:ascii="宋体" w:hAnsi="宋体"/>
          <w:color w:val="auto"/>
          <w:kern w:val="0"/>
          <w:sz w:val="24"/>
          <w:highlight w:val="none"/>
          <w:lang w:eastAsia="zh-CN"/>
        </w:rPr>
        <w:t>）</w:t>
      </w:r>
      <w:r>
        <w:rPr>
          <w:rFonts w:hint="eastAsia" w:ascii="宋体" w:hAnsi="宋体"/>
          <w:color w:val="auto"/>
          <w:kern w:val="0"/>
          <w:sz w:val="24"/>
          <w:highlight w:val="none"/>
        </w:rPr>
        <w:t>考核得90—100分（含90分），该一季度的承包经费可得100%。</w:t>
      </w:r>
    </w:p>
    <w:p>
      <w:pPr>
        <w:spacing w:line="360" w:lineRule="auto"/>
        <w:ind w:firstLine="540" w:firstLineChars="225"/>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ascii="宋体" w:hAnsi="宋体"/>
          <w:color w:val="auto"/>
          <w:kern w:val="0"/>
          <w:sz w:val="24"/>
          <w:highlight w:val="none"/>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考核得85—90分（含85分），按考核分90分以下每下降1分，该一季度的承包经费下降1</w:t>
      </w:r>
      <w:r>
        <w:rPr>
          <w:rFonts w:ascii="宋体" w:hAnsi="宋体"/>
          <w:color w:val="auto"/>
          <w:kern w:val="0"/>
          <w:sz w:val="24"/>
          <w:highlight w:val="none"/>
        </w:rPr>
        <w:t>%</w:t>
      </w:r>
      <w:r>
        <w:rPr>
          <w:rFonts w:hint="eastAsia" w:ascii="宋体" w:hAnsi="宋体"/>
          <w:color w:val="auto"/>
          <w:kern w:val="0"/>
          <w:sz w:val="24"/>
          <w:highlight w:val="none"/>
        </w:rPr>
        <w:t>。</w:t>
      </w:r>
    </w:p>
    <w:p>
      <w:pPr>
        <w:spacing w:line="360" w:lineRule="auto"/>
        <w:ind w:firstLine="540" w:firstLineChars="225"/>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ascii="宋体" w:hAnsi="宋体"/>
          <w:color w:val="auto"/>
          <w:kern w:val="0"/>
          <w:sz w:val="24"/>
          <w:highlight w:val="none"/>
        </w:rPr>
        <w:t>3</w:t>
      </w:r>
      <w:r>
        <w:rPr>
          <w:rFonts w:hint="eastAsia" w:ascii="宋体" w:hAnsi="宋体"/>
          <w:color w:val="auto"/>
          <w:kern w:val="0"/>
          <w:sz w:val="24"/>
          <w:highlight w:val="none"/>
          <w:lang w:eastAsia="zh-CN"/>
        </w:rPr>
        <w:t>）</w:t>
      </w:r>
      <w:r>
        <w:rPr>
          <w:rFonts w:hint="eastAsia" w:ascii="宋体" w:hAnsi="宋体"/>
          <w:color w:val="auto"/>
          <w:kern w:val="0"/>
          <w:sz w:val="24"/>
          <w:highlight w:val="none"/>
        </w:rPr>
        <w:t>考核得75—85分（含75分），按考核分85分以下每下降1分，该一季度的承包经费下降2</w:t>
      </w:r>
      <w:r>
        <w:rPr>
          <w:rFonts w:ascii="宋体" w:hAnsi="宋体"/>
          <w:color w:val="auto"/>
          <w:kern w:val="0"/>
          <w:sz w:val="24"/>
          <w:highlight w:val="none"/>
        </w:rPr>
        <w:t>%</w:t>
      </w:r>
      <w:r>
        <w:rPr>
          <w:rFonts w:hint="eastAsia" w:ascii="宋体" w:hAnsi="宋体"/>
          <w:color w:val="auto"/>
          <w:kern w:val="0"/>
          <w:sz w:val="24"/>
          <w:highlight w:val="none"/>
        </w:rPr>
        <w:t>。</w:t>
      </w:r>
    </w:p>
    <w:p>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lang w:eastAsia="zh-CN"/>
        </w:rPr>
        <w:t>（</w:t>
      </w:r>
      <w:r>
        <w:rPr>
          <w:rFonts w:ascii="宋体" w:hAnsi="宋体"/>
          <w:color w:val="auto"/>
          <w:kern w:val="0"/>
          <w:sz w:val="24"/>
          <w:highlight w:val="none"/>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季度考核分低于75分的，向承包人提出严重警告，并按每下降1分，扣除3%该一季度的承包经费，如得分为60分的，累计将扣除45%该一季度的承包款。</w:t>
      </w:r>
    </w:p>
    <w:p>
      <w:pPr>
        <w:spacing w:line="360" w:lineRule="auto"/>
        <w:ind w:firstLine="540" w:firstLineChars="225"/>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ascii="宋体" w:hAnsi="宋体"/>
          <w:color w:val="auto"/>
          <w:kern w:val="0"/>
          <w:sz w:val="24"/>
          <w:highlight w:val="none"/>
        </w:rPr>
        <w:t>5</w:t>
      </w:r>
      <w:r>
        <w:rPr>
          <w:rFonts w:hint="eastAsia" w:ascii="宋体" w:hAnsi="宋体"/>
          <w:color w:val="auto"/>
          <w:kern w:val="0"/>
          <w:sz w:val="24"/>
          <w:highlight w:val="none"/>
          <w:lang w:eastAsia="zh-CN"/>
        </w:rPr>
        <w:t>）</w:t>
      </w:r>
      <w:r>
        <w:rPr>
          <w:rFonts w:hint="eastAsia" w:ascii="宋体" w:hAnsi="宋体"/>
          <w:color w:val="auto"/>
          <w:kern w:val="0"/>
          <w:sz w:val="24"/>
          <w:highlight w:val="none"/>
        </w:rPr>
        <w:t>考核得分低于60分或在上级检查中失分</w:t>
      </w:r>
      <w:r>
        <w:rPr>
          <w:rFonts w:hint="eastAsia" w:ascii="宋体" w:hAnsi="宋体"/>
          <w:color w:val="auto"/>
          <w:kern w:val="0"/>
          <w:sz w:val="24"/>
          <w:highlight w:val="none"/>
          <w:lang w:eastAsia="zh-CN"/>
        </w:rPr>
        <w:t>（甲方考核与此条冲突时，以此条为准）</w:t>
      </w:r>
      <w:r>
        <w:rPr>
          <w:rFonts w:hint="eastAsia" w:ascii="宋体" w:hAnsi="宋体"/>
          <w:color w:val="auto"/>
          <w:kern w:val="0"/>
          <w:sz w:val="24"/>
          <w:highlight w:val="none"/>
        </w:rPr>
        <w:t>的将扣除承包款，并清退承包商。</w:t>
      </w:r>
    </w:p>
    <w:p>
      <w:pPr>
        <w:spacing w:line="360" w:lineRule="auto"/>
        <w:ind w:firstLine="540" w:firstLineChars="225"/>
        <w:rPr>
          <w:rFonts w:hint="eastAsia" w:ascii="宋体" w:hAnsi="宋体"/>
          <w:color w:val="auto"/>
          <w:kern w:val="0"/>
          <w:sz w:val="24"/>
          <w:highlight w:val="none"/>
        </w:rPr>
      </w:pPr>
      <w:r>
        <w:rPr>
          <w:rFonts w:hint="eastAsia" w:ascii="宋体" w:hAnsi="宋体"/>
          <w:color w:val="auto"/>
          <w:kern w:val="0"/>
          <w:sz w:val="24"/>
          <w:highlight w:val="none"/>
        </w:rPr>
        <w:t>（6）需方在考核后对承包人提出整改，整改期限结束后未能达到需方提出的整改结果的，需方</w:t>
      </w:r>
      <w:r>
        <w:rPr>
          <w:rFonts w:hint="eastAsia" w:ascii="宋体"/>
          <w:color w:val="auto"/>
          <w:kern w:val="0"/>
          <w:sz w:val="24"/>
          <w:highlight w:val="none"/>
        </w:rPr>
        <w:t>可以单方面解除合同</w:t>
      </w:r>
      <w:r>
        <w:rPr>
          <w:rFonts w:hint="eastAsia" w:ascii="宋体" w:hAnsi="宋体"/>
          <w:color w:val="auto"/>
          <w:kern w:val="0"/>
          <w:sz w:val="24"/>
          <w:highlight w:val="none"/>
        </w:rPr>
        <w:t>。</w:t>
      </w:r>
    </w:p>
    <w:p>
      <w:pPr>
        <w:spacing w:line="360" w:lineRule="auto"/>
        <w:ind w:firstLine="540" w:firstLineChars="225"/>
        <w:rPr>
          <w:rFonts w:hint="eastAsia" w:ascii="宋体" w:hAnsi="Times New Roman" w:eastAsia="宋体" w:cs="Times New Roman"/>
          <w:b w:val="0"/>
          <w:color w:val="auto"/>
          <w:kern w:val="0"/>
          <w:sz w:val="24"/>
          <w:szCs w:val="24"/>
          <w:highlight w:val="none"/>
          <w:lang w:val="en-US" w:eastAsia="zh-CN" w:bidi="ar-SA"/>
        </w:rPr>
      </w:pPr>
      <w:r>
        <w:rPr>
          <w:rFonts w:hint="eastAsia"/>
          <w:color w:val="auto"/>
          <w:sz w:val="24"/>
          <w:highlight w:val="none"/>
        </w:rPr>
        <w:t>5、</w:t>
      </w:r>
      <w:bookmarkStart w:id="462" w:name="_Toc530399417"/>
      <w:bookmarkStart w:id="463" w:name="_Toc1476780"/>
      <w:bookmarkStart w:id="464" w:name="_Toc24443_WPSOffice_Level2"/>
      <w:r>
        <w:rPr>
          <w:rFonts w:hint="eastAsia" w:ascii="宋体" w:hAnsi="Times New Roman" w:eastAsia="宋体" w:cs="Times New Roman"/>
          <w:b w:val="0"/>
          <w:color w:val="auto"/>
          <w:kern w:val="0"/>
          <w:sz w:val="24"/>
          <w:szCs w:val="24"/>
          <w:highlight w:val="none"/>
          <w:lang w:val="en-US" w:eastAsia="zh-CN" w:bidi="ar-SA"/>
        </w:rPr>
        <w:t>考核情况</w:t>
      </w:r>
      <w:r>
        <w:rPr>
          <w:rFonts w:hint="eastAsia" w:hAnsi="Times New Roman" w:cs="Times New Roman"/>
          <w:b w:val="0"/>
          <w:color w:val="auto"/>
          <w:kern w:val="0"/>
          <w:sz w:val="24"/>
          <w:szCs w:val="24"/>
          <w:highlight w:val="none"/>
          <w:lang w:val="en-US" w:eastAsia="zh-CN" w:bidi="ar-SA"/>
        </w:rPr>
        <w:t>：</w:t>
      </w:r>
    </w:p>
    <w:p>
      <w:pPr>
        <w:spacing w:line="360" w:lineRule="auto"/>
        <w:ind w:firstLine="540" w:firstLineChars="225"/>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数创广场 ABC楼区域由绍兴市上虞区特色小镇投资建设有限公司负责考核</w:t>
      </w:r>
      <w:r>
        <w:rPr>
          <w:rFonts w:hint="eastAsia" w:cs="Times New Roman"/>
          <w:color w:val="auto"/>
          <w:kern w:val="0"/>
          <w:sz w:val="24"/>
          <w:highlight w:val="none"/>
          <w:lang w:val="en-US" w:eastAsia="zh-CN"/>
        </w:rPr>
        <w:t>：</w:t>
      </w:r>
      <w:r>
        <w:rPr>
          <w:rFonts w:hint="eastAsia" w:ascii="宋体" w:hAnsi="宋体" w:eastAsia="宋体" w:cs="Times New Roman"/>
          <w:color w:val="auto"/>
          <w:kern w:val="0"/>
          <w:sz w:val="24"/>
          <w:highlight w:val="none"/>
          <w:lang w:val="en-US" w:eastAsia="zh-CN"/>
        </w:rPr>
        <w:t>数创广场D楼区域由绍兴市生态环境局上虞分局和绍兴市税务局第二稽查局负责考核;数创大通e享城商贸区域由</w:t>
      </w:r>
      <w:r>
        <w:rPr>
          <w:rFonts w:hint="eastAsia" w:cs="Times New Roman"/>
          <w:color w:val="auto"/>
          <w:kern w:val="0"/>
          <w:sz w:val="24"/>
          <w:highlight w:val="none"/>
          <w:lang w:val="en-US" w:eastAsia="zh-CN"/>
        </w:rPr>
        <w:t>绍兴市上虞大通易享城商业管理有限公司</w:t>
      </w:r>
      <w:r>
        <w:rPr>
          <w:rFonts w:hint="eastAsia" w:ascii="宋体" w:hAnsi="宋体" w:eastAsia="宋体" w:cs="Times New Roman"/>
          <w:color w:val="auto"/>
          <w:kern w:val="0"/>
          <w:sz w:val="24"/>
          <w:highlight w:val="none"/>
          <w:lang w:val="en-US" w:eastAsia="zh-CN"/>
        </w:rPr>
        <w:t>负责考核。各个负责主体对各自负责区域对物业进行考核，按各自考勤情况支付剩余考核经费,结果由绍兴市上虞区特色小镇投资建设有限公司汇总。</w:t>
      </w:r>
    </w:p>
    <w:p>
      <w:pPr>
        <w:pStyle w:val="3"/>
        <w:spacing w:line="360" w:lineRule="auto"/>
        <w:jc w:val="both"/>
        <w:rPr>
          <w:rFonts w:hint="eastAsia"/>
          <w:color w:val="auto"/>
          <w:highlight w:val="none"/>
        </w:rPr>
      </w:pPr>
    </w:p>
    <w:p>
      <w:pPr>
        <w:pStyle w:val="3"/>
        <w:numPr>
          <w:ilvl w:val="0"/>
          <w:numId w:val="32"/>
        </w:numPr>
        <w:spacing w:line="360" w:lineRule="auto"/>
        <w:jc w:val="center"/>
        <w:rPr>
          <w:rFonts w:hint="eastAsia"/>
          <w:color w:val="auto"/>
          <w:highlight w:val="none"/>
        </w:rPr>
      </w:pPr>
      <w:r>
        <w:rPr>
          <w:rFonts w:hint="eastAsia"/>
          <w:color w:val="auto"/>
          <w:highlight w:val="none"/>
        </w:rPr>
        <w:t xml:space="preserve"> </w:t>
      </w:r>
      <w:bookmarkStart w:id="465" w:name="_Toc17816"/>
      <w:bookmarkStart w:id="466" w:name="_Toc24141"/>
      <w:r>
        <w:rPr>
          <w:rFonts w:hint="eastAsia"/>
          <w:color w:val="auto"/>
          <w:highlight w:val="none"/>
        </w:rPr>
        <w:t>物业管理考核内容和标准</w:t>
      </w:r>
      <w:bookmarkEnd w:id="462"/>
      <w:bookmarkEnd w:id="463"/>
      <w:bookmarkEnd w:id="464"/>
      <w:bookmarkEnd w:id="465"/>
      <w:bookmarkEnd w:id="466"/>
    </w:p>
    <w:p>
      <w:pPr>
        <w:rPr>
          <w:rFonts w:hint="eastAsia"/>
          <w:color w:val="auto"/>
        </w:rPr>
      </w:pPr>
    </w:p>
    <w:p>
      <w:pPr>
        <w:spacing w:line="360" w:lineRule="auto"/>
        <w:jc w:val="center"/>
        <w:rPr>
          <w:rFonts w:hint="eastAsia"/>
          <w:b/>
          <w:bCs/>
          <w:color w:val="auto"/>
          <w:sz w:val="24"/>
          <w:highlight w:val="none"/>
        </w:rPr>
      </w:pPr>
      <w:r>
        <w:rPr>
          <w:rFonts w:hint="eastAsia"/>
          <w:b/>
          <w:bCs/>
          <w:color w:val="auto"/>
          <w:sz w:val="24"/>
          <w:highlight w:val="none"/>
        </w:rPr>
        <w:t>数创广场ABC楼区域由绍兴市上虞区特色小镇投资建设有限公司负责考核</w:t>
      </w:r>
    </w:p>
    <w:tbl>
      <w:tblPr>
        <w:tblStyle w:val="35"/>
        <w:tblpPr w:leftFromText="180" w:rightFromText="180" w:vertAnchor="text" w:horzAnchor="page" w:tblpX="1810" w:tblpY="5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235"/>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r>
              <w:rPr>
                <w:rFonts w:hint="eastAsia"/>
                <w:color w:val="auto"/>
                <w:kern w:val="2"/>
                <w:sz w:val="24"/>
                <w:highlight w:val="none"/>
              </w:rPr>
              <w:t>项 目</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r>
              <w:rPr>
                <w:rFonts w:hint="eastAsia"/>
                <w:color w:val="auto"/>
                <w:kern w:val="2"/>
                <w:sz w:val="24"/>
                <w:highlight w:val="none"/>
              </w:rPr>
              <w:t>考核内容</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r>
              <w:rPr>
                <w:rFonts w:hint="eastAsia"/>
                <w:color w:val="auto"/>
                <w:kern w:val="2"/>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r>
              <w:rPr>
                <w:rFonts w:hint="eastAsia"/>
                <w:color w:val="auto"/>
                <w:kern w:val="2"/>
                <w:sz w:val="24"/>
                <w:highlight w:val="none"/>
              </w:rPr>
              <w:t>卫生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r>
              <w:rPr>
                <w:rFonts w:hint="eastAsia"/>
                <w:color w:val="auto"/>
                <w:kern w:val="2"/>
                <w:sz w:val="24"/>
                <w:highlight w:val="none"/>
              </w:rPr>
              <w:t>保洁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r>
              <w:rPr>
                <w:rFonts w:hint="eastAsia"/>
                <w:color w:val="auto"/>
                <w:kern w:val="2"/>
                <w:sz w:val="24"/>
                <w:highlight w:val="none"/>
              </w:rPr>
              <w:t>35分</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全天候保持清洁</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每发现一处卫生不洁，地下有杂物等扣0.5分，未及时清理会议室等公共部位，发现一次扣0.5分；被投诉一次，经查证属实，扣1分；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 xml:space="preserve">及时完成保洁 </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电梯脚垫、大门口脚垫、会议室、地下车库等未能按规定完成保洁工作的，每次扣0.5分。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保持各类设施、各类标识牌整洁</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每发现一处不洁，扣0.5分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及时清理垃圾箱</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未及时保洁，造成周围环境污染的，每次扣0.5分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卫生间清洁干燥，及卫生用品的补充</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未及时保洁，水渍成片或未及时补充洗手液、草纸、芳香球等卫生用具的，每次扣0.5分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r>
              <w:rPr>
                <w:rFonts w:hint="eastAsia"/>
                <w:color w:val="auto"/>
                <w:kern w:val="2"/>
                <w:sz w:val="24"/>
                <w:highlight w:val="none"/>
              </w:rPr>
              <w:t>保安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r>
              <w:rPr>
                <w:rFonts w:hint="eastAsia"/>
                <w:color w:val="auto"/>
                <w:kern w:val="2"/>
                <w:sz w:val="24"/>
                <w:highlight w:val="none"/>
              </w:rPr>
              <w:t>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r>
              <w:rPr>
                <w:rFonts w:hint="eastAsia"/>
                <w:color w:val="auto"/>
                <w:kern w:val="2"/>
                <w:sz w:val="24"/>
                <w:highlight w:val="none"/>
              </w:rPr>
              <w:t>35分</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ascii="宋体" w:hAnsi="宋体"/>
                <w:color w:val="auto"/>
                <w:kern w:val="2"/>
                <w:sz w:val="24"/>
                <w:highlight w:val="none"/>
              </w:rPr>
            </w:pPr>
            <w:r>
              <w:rPr>
                <w:rFonts w:hint="eastAsia" w:ascii="宋体" w:hAnsi="宋体"/>
                <w:color w:val="auto"/>
                <w:kern w:val="2"/>
                <w:sz w:val="24"/>
                <w:highlight w:val="none"/>
              </w:rPr>
              <w:t>严密监视消防、治安和其他突发事件，发现情况及时报告相关部门，无漏岗、脱岗现象。</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ascii="宋体" w:hAnsi="宋体"/>
                <w:color w:val="auto"/>
                <w:kern w:val="2"/>
                <w:sz w:val="24"/>
                <w:highlight w:val="none"/>
              </w:rPr>
            </w:pPr>
            <w:r>
              <w:rPr>
                <w:rFonts w:hint="eastAsia" w:ascii="宋体" w:hAnsi="宋体"/>
                <w:color w:val="auto"/>
                <w:kern w:val="2"/>
                <w:sz w:val="24"/>
                <w:highlight w:val="none"/>
              </w:rPr>
              <w:t>1、值班期间漏岗、脱岗，或工作责任心不强，马虎大意，因此未及时发现事故、突发事件，致发生严重后果的，扣10分；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ascii="宋体" w:hAnsi="宋体"/>
                <w:color w:val="auto"/>
                <w:kern w:val="2"/>
                <w:sz w:val="24"/>
                <w:highlight w:val="none"/>
              </w:rPr>
            </w:pPr>
            <w:r>
              <w:rPr>
                <w:rFonts w:hint="eastAsia" w:ascii="宋体" w:hAnsi="宋体"/>
                <w:color w:val="auto"/>
                <w:kern w:val="2"/>
                <w:sz w:val="24"/>
                <w:highlight w:val="none"/>
              </w:rPr>
              <w:t>2、工作责任心不强，发现事故、突发事件发生，未及时上报相关职能部门，或及时处置的，每发生一起扣2分；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ascii="宋体" w:hAnsi="宋体"/>
                <w:color w:val="auto"/>
                <w:kern w:val="2"/>
                <w:sz w:val="24"/>
                <w:highlight w:val="none"/>
              </w:rPr>
            </w:pPr>
            <w:r>
              <w:rPr>
                <w:rFonts w:hint="eastAsia" w:ascii="宋体" w:hAnsi="宋体"/>
                <w:color w:val="auto"/>
                <w:kern w:val="2"/>
                <w:sz w:val="24"/>
                <w:highlight w:val="none"/>
              </w:rPr>
              <w:t>3、值班期间漏岗、脱岗，每发生一起扣1分。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工作人员要按规定时间地点要求巡查，确保设施、设备和其他财产安全。</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1、未按要求巡查和值班的，每起扣0.5—2分；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2、对不文明行为未及时阻止的，每起扣</w:t>
            </w:r>
            <w:r>
              <w:rPr>
                <w:rFonts w:hint="eastAsia"/>
                <w:color w:val="auto"/>
                <w:spacing w:val="-2"/>
                <w:kern w:val="2"/>
                <w:sz w:val="24"/>
                <w:highlight w:val="none"/>
              </w:rPr>
              <w:t>0.5</w:t>
            </w:r>
            <w:r>
              <w:rPr>
                <w:rFonts w:hint="eastAsia"/>
                <w:color w:val="auto"/>
                <w:kern w:val="2"/>
                <w:sz w:val="24"/>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3、由于管理不善造成设施、设备被盗、被毁的，每起扣1—3分；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4、出现安全、消防等事故隐患未及时处置的，或隐瞒不报的，每起扣3分；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spacing w:val="-6"/>
                <w:kern w:val="2"/>
                <w:sz w:val="24"/>
                <w:highlight w:val="none"/>
              </w:rPr>
              <w:t>5、发生治安事件未及时报警、报告相关职能科室或处置不力的，每起扣1—5分。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做好人员、车辆的进出管理，各类文件、物品的登记、收发工作，维护好秩序。</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1、登记收发出现差错后果；由于管理疏忽未登记询问和联系相关人员，擅自放入其他人员和车辆进入办公区域；未对进入区域内的人员、车辆进行登记身份证、工作证等证件的；非工作时间非工作人员、车辆未经许可放入的；每起扣0.5</w:t>
            </w:r>
            <w:r>
              <w:rPr>
                <w:rFonts w:hint="eastAsia"/>
                <w:color w:val="auto"/>
                <w:kern w:val="2"/>
                <w:sz w:val="24"/>
                <w:highlight w:val="none"/>
                <w:lang w:eastAsia="zh-CN"/>
              </w:rPr>
              <w:t>—</w:t>
            </w:r>
            <w:r>
              <w:rPr>
                <w:rFonts w:hint="eastAsia"/>
                <w:color w:val="auto"/>
                <w:kern w:val="2"/>
                <w:sz w:val="24"/>
                <w:highlight w:val="none"/>
              </w:rPr>
              <w:t>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 xml:space="preserve"> 2、由于管理疏忽未能及时发现可疑的人或物品进入的，每次扣1</w:t>
            </w:r>
            <w:r>
              <w:rPr>
                <w:rFonts w:hint="eastAsia"/>
                <w:color w:val="auto"/>
                <w:kern w:val="2"/>
                <w:sz w:val="24"/>
                <w:highlight w:val="none"/>
                <w:lang w:eastAsia="zh-CN"/>
              </w:rPr>
              <w:t>—</w:t>
            </w:r>
            <w:r>
              <w:rPr>
                <w:rFonts w:hint="eastAsia"/>
                <w:color w:val="auto"/>
                <w:kern w:val="2"/>
                <w:sz w:val="24"/>
                <w:highlight w:val="none"/>
              </w:rPr>
              <w:t>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3、未能及时进行指挥，发生车辆随意停放的，每次扣0.5</w:t>
            </w:r>
            <w:r>
              <w:rPr>
                <w:rFonts w:hint="eastAsia"/>
                <w:color w:val="auto"/>
                <w:kern w:val="2"/>
                <w:sz w:val="24"/>
                <w:highlight w:val="none"/>
                <w:lang w:eastAsia="zh-CN"/>
              </w:rPr>
              <w:t>—</w:t>
            </w:r>
            <w:r>
              <w:rPr>
                <w:rFonts w:hint="eastAsia"/>
                <w:color w:val="auto"/>
                <w:kern w:val="2"/>
                <w:sz w:val="24"/>
                <w:highlight w:val="none"/>
              </w:rPr>
              <w:t>1分，发生乱停乱放，造成交通堵塞的，每次扣2分；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4、 由于管理疏忽随意让其他人员进入办公区域造成影响正常办公或产生安全隐患的每起扣5分。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color w:val="auto"/>
                <w:kern w:val="2"/>
                <w:sz w:val="24"/>
                <w:highlight w:val="none"/>
              </w:rPr>
            </w:pPr>
            <w:r>
              <w:rPr>
                <w:rFonts w:hint="eastAsia"/>
                <w:color w:val="auto"/>
                <w:kern w:val="2"/>
                <w:sz w:val="24"/>
                <w:highlight w:val="none"/>
              </w:rPr>
              <w:t>人员设备30分</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投入本项目服务人员设备要求符合投标文件中的承诺</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每发现少一人扣1分，投入设备少一件扣1分，持证人员少1人扣2分。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收缴费用（X）</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物业需要负责对该区域所在的企业房租租赁费用收缴（有特殊情况的企业除外）</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color w:val="auto"/>
                <w:kern w:val="2"/>
                <w:sz w:val="24"/>
                <w:highlight w:val="none"/>
              </w:rPr>
            </w:pPr>
            <w:r>
              <w:rPr>
                <w:rFonts w:hint="eastAsia"/>
                <w:color w:val="auto"/>
                <w:kern w:val="2"/>
                <w:sz w:val="24"/>
                <w:highlight w:val="none"/>
              </w:rPr>
              <w:t>如出现少收费用X元，则暂压X/2的物业费，直至收缴完成再支付。</w:t>
            </w:r>
          </w:p>
        </w:tc>
      </w:tr>
    </w:tbl>
    <w:p>
      <w:pPr>
        <w:pStyle w:val="34"/>
        <w:spacing w:line="360" w:lineRule="auto"/>
        <w:rPr>
          <w:rFonts w:hint="eastAsia"/>
          <w:color w:val="auto"/>
          <w:highlight w:val="none"/>
        </w:rPr>
      </w:pPr>
    </w:p>
    <w:bookmarkEnd w:id="461"/>
    <w:p>
      <w:pPr>
        <w:spacing w:line="360" w:lineRule="auto"/>
        <w:rPr>
          <w:rFonts w:hint="eastAsia"/>
          <w:color w:val="auto"/>
          <w:sz w:val="24"/>
          <w:highlight w:val="none"/>
        </w:rPr>
      </w:pPr>
    </w:p>
    <w:p>
      <w:pPr>
        <w:spacing w:line="360" w:lineRule="auto"/>
        <w:jc w:val="center"/>
        <w:rPr>
          <w:rFonts w:hint="eastAsia"/>
          <w:b/>
          <w:bCs/>
          <w:color w:val="auto"/>
          <w:sz w:val="24"/>
          <w:highlight w:val="none"/>
        </w:rPr>
      </w:pPr>
      <w:r>
        <w:rPr>
          <w:rFonts w:hint="eastAsia"/>
          <w:b/>
          <w:bCs/>
          <w:color w:val="auto"/>
          <w:sz w:val="24"/>
          <w:highlight w:val="none"/>
        </w:rPr>
        <w:t>数创广场D楼（生态环境分局、第二稽查局）区域由绍兴市生态环境局上虞分局和绍兴市税务第二稽查局负责考核</w:t>
      </w:r>
    </w:p>
    <w:p>
      <w:pPr>
        <w:pStyle w:val="34"/>
        <w:spacing w:line="360" w:lineRule="auto"/>
        <w:rPr>
          <w:rFonts w:hint="eastAsia"/>
          <w:color w:val="auto"/>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310"/>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项 目</w:t>
            </w:r>
          </w:p>
        </w:tc>
        <w:tc>
          <w:tcPr>
            <w:tcW w:w="0" w:type="auto"/>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考核内容</w:t>
            </w:r>
          </w:p>
        </w:tc>
        <w:tc>
          <w:tcPr>
            <w:tcW w:w="0" w:type="auto"/>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卫生</w:t>
            </w:r>
          </w:p>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保洁</w:t>
            </w:r>
          </w:p>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35分</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全天候保持清洁</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每发现一处卫生不洁，地下有杂物等扣0.5分，未及时清理会议室等公共部位，发现一次扣0.5分；被投诉一次，经查证属实，扣1分；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 xml:space="preserve">及时完成保洁 </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电梯脚垫、大门口脚垫、会议室、地下车库等未能按规定完成保洁工作的，每次扣0.5分。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保持各类设施、各类标识牌整洁</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每发现一处不洁，扣0.5分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及时清理垃圾箱</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未及时保洁，造成周围环境污染的，每次扣0.5分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卫生间清洁干燥，及卫生用品的补充</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未及时保洁，水渍成片或未及时补充洗手液、草纸、芳香球等卫生用具的，每次扣0.5分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保安</w:t>
            </w:r>
          </w:p>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管理</w:t>
            </w:r>
          </w:p>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35分</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ascii="宋体" w:hAnsi="宋体"/>
                <w:color w:val="auto"/>
                <w:kern w:val="2"/>
                <w:sz w:val="24"/>
                <w:highlight w:val="none"/>
              </w:rPr>
            </w:pPr>
            <w:r>
              <w:rPr>
                <w:rFonts w:hint="eastAsia" w:ascii="宋体" w:hAnsi="宋体"/>
                <w:color w:val="auto"/>
                <w:kern w:val="2"/>
                <w:sz w:val="24"/>
                <w:highlight w:val="none"/>
              </w:rPr>
              <w:t>严密监视消防、治安和其他突发事件，发现情况及时报告相关部门，无漏岗、脱岗现象。</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ascii="宋体" w:hAnsi="宋体"/>
                <w:color w:val="auto"/>
                <w:kern w:val="2"/>
                <w:sz w:val="24"/>
                <w:highlight w:val="none"/>
              </w:rPr>
            </w:pPr>
            <w:r>
              <w:rPr>
                <w:rFonts w:hint="eastAsia" w:ascii="宋体" w:hAnsi="宋体"/>
                <w:color w:val="auto"/>
                <w:kern w:val="2"/>
                <w:sz w:val="24"/>
                <w:highlight w:val="none"/>
              </w:rPr>
              <w:t>1、值班期间漏岗、脱岗，或工作责任心不强，马虎大意，因此未及时发现事故、突发事件，致发生严重后果的，扣10分；</w:t>
            </w:r>
          </w:p>
          <w:p>
            <w:pPr>
              <w:keepNext w:val="0"/>
              <w:keepLines w:val="0"/>
              <w:suppressLineNumbers w:val="0"/>
              <w:spacing w:before="0" w:beforeAutospacing="0" w:after="0" w:afterAutospacing="0" w:line="360" w:lineRule="auto"/>
              <w:ind w:left="0" w:right="0"/>
              <w:rPr>
                <w:rFonts w:hint="eastAsia" w:ascii="宋体" w:hAnsi="宋体"/>
                <w:color w:val="auto"/>
                <w:kern w:val="2"/>
                <w:sz w:val="24"/>
                <w:highlight w:val="none"/>
              </w:rPr>
            </w:pPr>
            <w:r>
              <w:rPr>
                <w:rFonts w:hint="eastAsia" w:ascii="宋体" w:hAnsi="宋体"/>
                <w:color w:val="auto"/>
                <w:kern w:val="2"/>
                <w:sz w:val="24"/>
                <w:highlight w:val="none"/>
              </w:rPr>
              <w:t>2、工作责任心不强，发现事故、突发事件发生，未及时上报相关职能部门，或及时处置的，每发生一起扣2分；</w:t>
            </w:r>
          </w:p>
          <w:p>
            <w:pPr>
              <w:keepNext w:val="0"/>
              <w:keepLines w:val="0"/>
              <w:suppressLineNumbers w:val="0"/>
              <w:spacing w:before="0" w:beforeAutospacing="0" w:after="0" w:afterAutospacing="0" w:line="360" w:lineRule="auto"/>
              <w:ind w:left="0" w:right="0"/>
              <w:rPr>
                <w:rFonts w:hint="eastAsia" w:ascii="宋体" w:hAnsi="宋体"/>
                <w:color w:val="auto"/>
                <w:kern w:val="2"/>
                <w:sz w:val="24"/>
                <w:highlight w:val="none"/>
              </w:rPr>
            </w:pPr>
            <w:r>
              <w:rPr>
                <w:rFonts w:hint="eastAsia" w:ascii="宋体" w:hAnsi="宋体"/>
                <w:color w:val="auto"/>
                <w:kern w:val="2"/>
                <w:sz w:val="24"/>
                <w:highlight w:val="none"/>
              </w:rPr>
              <w:t>3、值班期间漏岗、脱岗，每发生一起扣1分。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工作人员要按规定时间地点要求巡查，确保设施、设备和其他财产安全。</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1、未按要求巡查和值班的，每起扣0.5—2分；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2、对不文明行为未及时阻止的，每起扣</w:t>
            </w:r>
            <w:r>
              <w:rPr>
                <w:rFonts w:hint="eastAsia"/>
                <w:color w:val="auto"/>
                <w:spacing w:val="-2"/>
                <w:kern w:val="2"/>
                <w:sz w:val="24"/>
                <w:highlight w:val="none"/>
              </w:rPr>
              <w:t>0.5</w:t>
            </w:r>
            <w:r>
              <w:rPr>
                <w:rFonts w:hint="eastAsia"/>
                <w:color w:val="auto"/>
                <w:kern w:val="2"/>
                <w:sz w:val="24"/>
                <w:highlight w:val="none"/>
              </w:rPr>
              <w:t>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3、由于管理不善造成设施、设备被盗、被毁的，每起扣1—3分；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4、出现安全、消防等事故隐患未及时处置的，或隐瞒不报的，每起扣3分；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spacing w:val="-6"/>
                <w:kern w:val="2"/>
                <w:sz w:val="24"/>
                <w:highlight w:val="none"/>
              </w:rPr>
              <w:t>5、发生治安事件未及时报警、报告相关职能科室或处置不力的，每起扣1—5分。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做好人员、车辆的进出管理，各类文件、物品的登记、收发工作，维护好秩序。</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1、登记收发出现差错后果；由于管理疏忽未登记询问和联系相关人员，擅自放入其他人员和车辆进入办公区域；未对进入区域内的人员、车辆进行登记身份证、工作证等证件的；非工作时间非工作人员、车辆未经许可放入的；每起扣0.5</w:t>
            </w:r>
            <w:r>
              <w:rPr>
                <w:rFonts w:hint="eastAsia"/>
                <w:color w:val="auto"/>
                <w:kern w:val="2"/>
                <w:sz w:val="24"/>
                <w:highlight w:val="none"/>
                <w:lang w:eastAsia="zh-CN"/>
              </w:rPr>
              <w:t>—</w:t>
            </w:r>
            <w:r>
              <w:rPr>
                <w:rFonts w:hint="eastAsia"/>
                <w:color w:val="auto"/>
                <w:kern w:val="2"/>
                <w:sz w:val="24"/>
                <w:highlight w:val="none"/>
              </w:rPr>
              <w:t>2分；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2、由于管理疏忽未能及时发现可疑的人或物品进入的，每次扣1</w:t>
            </w:r>
            <w:r>
              <w:rPr>
                <w:rFonts w:hint="eastAsia"/>
                <w:color w:val="auto"/>
                <w:kern w:val="2"/>
                <w:sz w:val="24"/>
                <w:highlight w:val="none"/>
                <w:lang w:eastAsia="zh-CN"/>
              </w:rPr>
              <w:t>—</w:t>
            </w:r>
            <w:r>
              <w:rPr>
                <w:rFonts w:hint="eastAsia"/>
                <w:color w:val="auto"/>
                <w:kern w:val="2"/>
                <w:sz w:val="24"/>
                <w:highlight w:val="none"/>
              </w:rPr>
              <w:t>2分；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3、未能及时进行指挥，发生车辆随意停放的，每次扣0.5</w:t>
            </w:r>
            <w:r>
              <w:rPr>
                <w:rFonts w:hint="eastAsia"/>
                <w:color w:val="auto"/>
                <w:kern w:val="2"/>
                <w:sz w:val="24"/>
                <w:highlight w:val="none"/>
                <w:lang w:eastAsia="zh-CN"/>
              </w:rPr>
              <w:t>—</w:t>
            </w:r>
            <w:r>
              <w:rPr>
                <w:rFonts w:hint="eastAsia"/>
                <w:color w:val="auto"/>
                <w:kern w:val="2"/>
                <w:sz w:val="24"/>
                <w:highlight w:val="none"/>
              </w:rPr>
              <w:t>1分，发生乱停乱放，造成交通堵塞的，每次扣2分；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4、由于管理疏忽随意让其他人员进入办公区域造成影响正常办公或产生安全隐患的每起扣5分。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前台管理</w:t>
            </w:r>
          </w:p>
          <w:p>
            <w:pPr>
              <w:keepNext w:val="0"/>
              <w:keepLines w:val="0"/>
              <w:suppressLineNumbers w:val="0"/>
              <w:spacing w:before="0" w:beforeAutospacing="0" w:after="0" w:afterAutospacing="0" w:line="360" w:lineRule="auto"/>
              <w:ind w:left="0" w:right="0"/>
              <w:jc w:val="center"/>
              <w:rPr>
                <w:rFonts w:hint="eastAsia"/>
                <w:color w:val="auto"/>
                <w:kern w:val="2"/>
                <w:sz w:val="21"/>
                <w:highlight w:val="none"/>
              </w:rPr>
            </w:pPr>
            <w:r>
              <w:rPr>
                <w:rFonts w:hint="eastAsia"/>
                <w:color w:val="auto"/>
                <w:kern w:val="2"/>
                <w:sz w:val="24"/>
                <w:highlight w:val="none"/>
              </w:rPr>
              <w:t>25分</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做好人员的进出管理，各类文件、物品的登记、收发工作，做好门禁、停车券等的管理。</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1、登记收发出现差错后果；由于管理疏忽未登记询问和联系相关人员，擅自放入其他人员进入办公区域；未对进入区域内的人员进行登记身份证、工作证等证件的；每起扣0.5</w:t>
            </w:r>
            <w:r>
              <w:rPr>
                <w:rFonts w:hint="eastAsia"/>
                <w:color w:val="auto"/>
                <w:kern w:val="2"/>
                <w:sz w:val="24"/>
                <w:highlight w:val="none"/>
                <w:lang w:eastAsia="zh-CN"/>
              </w:rPr>
              <w:t>—</w:t>
            </w:r>
            <w:r>
              <w:rPr>
                <w:rFonts w:hint="eastAsia"/>
                <w:color w:val="auto"/>
                <w:kern w:val="2"/>
                <w:sz w:val="24"/>
                <w:highlight w:val="none"/>
              </w:rPr>
              <w:t>2分；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2、未按要求及时登记、收发各类文件、物品的，每起扣0.5</w:t>
            </w:r>
            <w:r>
              <w:rPr>
                <w:rFonts w:hint="eastAsia"/>
                <w:color w:val="auto"/>
                <w:kern w:val="2"/>
                <w:sz w:val="24"/>
                <w:highlight w:val="none"/>
                <w:lang w:eastAsia="zh-CN"/>
              </w:rPr>
              <w:t>—</w:t>
            </w:r>
            <w:r>
              <w:rPr>
                <w:rFonts w:hint="eastAsia"/>
                <w:color w:val="auto"/>
                <w:kern w:val="2"/>
                <w:sz w:val="24"/>
                <w:highlight w:val="none"/>
              </w:rPr>
              <w:t>1分；</w:t>
            </w:r>
          </w:p>
          <w:p>
            <w:pPr>
              <w:keepNext w:val="0"/>
              <w:keepLines w:val="0"/>
              <w:suppressLineNumbers w:val="0"/>
              <w:spacing w:before="0" w:beforeAutospacing="0" w:after="0" w:afterAutospacing="0" w:line="360" w:lineRule="auto"/>
              <w:ind w:left="0" w:right="0"/>
              <w:rPr>
                <w:rFonts w:hint="default"/>
                <w:color w:val="auto"/>
                <w:kern w:val="2"/>
                <w:sz w:val="24"/>
                <w:highlight w:val="none"/>
              </w:rPr>
            </w:pPr>
            <w:r>
              <w:rPr>
                <w:rFonts w:hint="eastAsia"/>
                <w:color w:val="auto"/>
                <w:kern w:val="2"/>
                <w:sz w:val="24"/>
                <w:highlight w:val="none"/>
              </w:rPr>
              <w:t>3、未按要求做好门禁、停车券管理的，每起扣0.5分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人员设备30分</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投入本项目服务人员设备要求符合投标文件中的承诺</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每发现少一人扣1分，投入设备少一件扣1分，持证人员少1人扣2分。</w:t>
            </w:r>
          </w:p>
        </w:tc>
      </w:tr>
    </w:tbl>
    <w:p>
      <w:pPr>
        <w:pStyle w:val="34"/>
        <w:spacing w:line="360" w:lineRule="auto"/>
        <w:ind w:left="0" w:leftChars="0" w:firstLine="0" w:firstLineChars="0"/>
        <w:rPr>
          <w:rFonts w:hint="eastAsia"/>
          <w:color w:val="auto"/>
          <w:sz w:val="24"/>
          <w:highlight w:val="none"/>
        </w:rPr>
      </w:pPr>
    </w:p>
    <w:p>
      <w:pPr>
        <w:pStyle w:val="34"/>
        <w:spacing w:line="360" w:lineRule="auto"/>
        <w:ind w:left="0" w:leftChars="0" w:firstLine="0" w:firstLineChars="0"/>
        <w:jc w:val="center"/>
        <w:rPr>
          <w:rFonts w:hint="eastAsia"/>
          <w:b/>
          <w:bCs/>
          <w:color w:val="auto"/>
          <w:sz w:val="24"/>
          <w:highlight w:val="none"/>
        </w:rPr>
      </w:pPr>
      <w:r>
        <w:rPr>
          <w:rFonts w:hint="eastAsia"/>
          <w:b/>
          <w:bCs/>
          <w:color w:val="auto"/>
          <w:sz w:val="24"/>
          <w:highlight w:val="none"/>
        </w:rPr>
        <w:t>数创大通e享城商贸区域（18137.06平）由</w:t>
      </w:r>
      <w:r>
        <w:rPr>
          <w:rFonts w:hint="eastAsia"/>
          <w:b/>
          <w:bCs/>
          <w:color w:val="auto"/>
          <w:sz w:val="24"/>
          <w:highlight w:val="none"/>
          <w:lang w:eastAsia="zh-CN"/>
        </w:rPr>
        <w:t>绍兴市上虞大通易享城商业管理有限公司</w:t>
      </w:r>
      <w:r>
        <w:rPr>
          <w:rFonts w:hint="eastAsia"/>
          <w:b/>
          <w:bCs/>
          <w:color w:val="auto"/>
          <w:sz w:val="24"/>
          <w:highlight w:val="none"/>
        </w:rPr>
        <w:t>负责考核</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235"/>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项 目</w:t>
            </w:r>
          </w:p>
        </w:tc>
        <w:tc>
          <w:tcPr>
            <w:tcW w:w="0" w:type="auto"/>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考核内容</w:t>
            </w:r>
          </w:p>
        </w:tc>
        <w:tc>
          <w:tcPr>
            <w:tcW w:w="0" w:type="auto"/>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卫生</w:t>
            </w:r>
          </w:p>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保洁</w:t>
            </w:r>
          </w:p>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35分</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全天候保持清洁</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每发现一处卫生不洁，地下有杂物等扣0.5分，未及时清理会议室等公共部位，发现一次扣0.5分；被投诉一次，经查证属实，扣1分；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 xml:space="preserve">及时完成保洁 </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电梯脚垫、大门口脚垫、会议室、地下车库等未能按规定完成保洁工作的，每次扣0.5分。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保持各类设施、各类标识牌整洁</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每发现一处不洁，扣0.5分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及时清理垃圾箱</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未及时保洁，造成周围环境污染的，每次扣0.5分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卫生间清洁干燥，及卫生用品的补充</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未及时保洁，水渍成片或未及时补充洗手液、草纸、芳香球等卫生用具的，每次扣0.5分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保安</w:t>
            </w:r>
          </w:p>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管理</w:t>
            </w:r>
          </w:p>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35分</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ascii="宋体" w:hAnsi="宋体"/>
                <w:color w:val="auto"/>
                <w:kern w:val="2"/>
                <w:sz w:val="24"/>
                <w:highlight w:val="none"/>
              </w:rPr>
            </w:pPr>
            <w:r>
              <w:rPr>
                <w:rFonts w:hint="eastAsia" w:ascii="宋体" w:hAnsi="宋体"/>
                <w:color w:val="auto"/>
                <w:kern w:val="2"/>
                <w:sz w:val="24"/>
                <w:highlight w:val="none"/>
              </w:rPr>
              <w:t>严密监视消防、治安和其他突发事件，发现情况及时报告相关部门，无漏岗、脱岗现象。</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ascii="宋体" w:hAnsi="宋体"/>
                <w:color w:val="auto"/>
                <w:kern w:val="2"/>
                <w:sz w:val="24"/>
                <w:highlight w:val="none"/>
              </w:rPr>
            </w:pPr>
            <w:r>
              <w:rPr>
                <w:rFonts w:hint="eastAsia" w:ascii="宋体" w:hAnsi="宋体"/>
                <w:color w:val="auto"/>
                <w:kern w:val="2"/>
                <w:sz w:val="24"/>
                <w:highlight w:val="none"/>
              </w:rPr>
              <w:t>1、值班期间漏岗、脱岗，或工作责任心不强，马虎大意，因此未及时发现事故、突发事件，致发生严重后果的，扣10分；</w:t>
            </w:r>
          </w:p>
          <w:p>
            <w:pPr>
              <w:keepNext w:val="0"/>
              <w:keepLines w:val="0"/>
              <w:suppressLineNumbers w:val="0"/>
              <w:spacing w:before="0" w:beforeAutospacing="0" w:after="0" w:afterAutospacing="0" w:line="360" w:lineRule="auto"/>
              <w:ind w:left="0" w:right="0"/>
              <w:rPr>
                <w:rFonts w:hint="eastAsia" w:ascii="宋体" w:hAnsi="宋体"/>
                <w:color w:val="auto"/>
                <w:kern w:val="2"/>
                <w:sz w:val="24"/>
                <w:highlight w:val="none"/>
              </w:rPr>
            </w:pPr>
            <w:r>
              <w:rPr>
                <w:rFonts w:hint="eastAsia" w:ascii="宋体" w:hAnsi="宋体"/>
                <w:color w:val="auto"/>
                <w:kern w:val="2"/>
                <w:sz w:val="24"/>
                <w:highlight w:val="none"/>
              </w:rPr>
              <w:t>2、工作责任心不强，发现事故、突发事件发生，未及时上报相关职能部门，或及时处置的，每发生一起扣2分；</w:t>
            </w:r>
          </w:p>
          <w:p>
            <w:pPr>
              <w:keepNext w:val="0"/>
              <w:keepLines w:val="0"/>
              <w:suppressLineNumbers w:val="0"/>
              <w:spacing w:before="0" w:beforeAutospacing="0" w:after="0" w:afterAutospacing="0" w:line="360" w:lineRule="auto"/>
              <w:ind w:left="0" w:right="0"/>
              <w:rPr>
                <w:rFonts w:hint="eastAsia" w:ascii="宋体" w:hAnsi="宋体"/>
                <w:color w:val="auto"/>
                <w:kern w:val="2"/>
                <w:sz w:val="24"/>
                <w:highlight w:val="none"/>
              </w:rPr>
            </w:pPr>
            <w:r>
              <w:rPr>
                <w:rFonts w:hint="eastAsia" w:ascii="宋体" w:hAnsi="宋体"/>
                <w:color w:val="auto"/>
                <w:kern w:val="2"/>
                <w:sz w:val="24"/>
                <w:highlight w:val="none"/>
              </w:rPr>
              <w:t>3、值班期间漏岗、脱岗，每发生一起扣1分。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工作人员要按规定时间地点要求巡查，确保设施、设备和其他财产安全。</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1、未按要求巡查和值班的，每起扣0.5—2分；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2、对不文明行为未及时阻止的，每起扣</w:t>
            </w:r>
            <w:r>
              <w:rPr>
                <w:rFonts w:hint="eastAsia"/>
                <w:color w:val="auto"/>
                <w:spacing w:val="-2"/>
                <w:kern w:val="2"/>
                <w:sz w:val="24"/>
                <w:highlight w:val="none"/>
              </w:rPr>
              <w:t>0.5</w:t>
            </w:r>
            <w:r>
              <w:rPr>
                <w:rFonts w:hint="eastAsia"/>
                <w:color w:val="auto"/>
                <w:kern w:val="2"/>
                <w:sz w:val="24"/>
                <w:highlight w:val="none"/>
              </w:rPr>
              <w:t>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3、由于管理不善造成设施、设备被盗、被毁的，每起扣1—3分；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4、出现安全、消防等事故隐患未及时处置的，或隐瞒不报的，每起扣3分；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spacing w:val="-6"/>
                <w:kern w:val="2"/>
                <w:sz w:val="24"/>
                <w:highlight w:val="none"/>
              </w:rPr>
              <w:t>5、发生治安事件未及时报警、报告相关职能科室或处置不力的，每起扣1—5分。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做好人员、车辆的进出管理，各类文件、物品的登记、收发工作，维护好秩序。</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1、登记收发出现差错后果；由于管理疏忽未登记询问和联系相关人员，擅自放入其他人员和车辆进入办公区域；未对进入区域内的人员、车辆进行登记身份证、工作证等证件的；非工作时间非工作人员、车辆未经许可放入的；每起扣0.5</w:t>
            </w:r>
            <w:r>
              <w:rPr>
                <w:rFonts w:hint="eastAsia"/>
                <w:color w:val="auto"/>
                <w:kern w:val="2"/>
                <w:sz w:val="24"/>
                <w:highlight w:val="none"/>
                <w:lang w:eastAsia="zh-CN"/>
              </w:rPr>
              <w:t>—</w:t>
            </w:r>
            <w:r>
              <w:rPr>
                <w:rFonts w:hint="eastAsia"/>
                <w:color w:val="auto"/>
                <w:kern w:val="2"/>
                <w:sz w:val="24"/>
                <w:highlight w:val="none"/>
              </w:rPr>
              <w:t>2分；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 xml:space="preserve"> 2、由于管理疏忽未能及时发现可疑的人或物品进入的，每次扣1</w:t>
            </w:r>
            <w:r>
              <w:rPr>
                <w:rFonts w:hint="eastAsia"/>
                <w:color w:val="auto"/>
                <w:kern w:val="2"/>
                <w:sz w:val="24"/>
                <w:highlight w:val="none"/>
                <w:lang w:eastAsia="zh-CN"/>
              </w:rPr>
              <w:t>—</w:t>
            </w:r>
            <w:r>
              <w:rPr>
                <w:rFonts w:hint="eastAsia"/>
                <w:color w:val="auto"/>
                <w:kern w:val="2"/>
                <w:sz w:val="24"/>
                <w:highlight w:val="none"/>
              </w:rPr>
              <w:t>2分；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3、未能及时进行指挥，发生车辆随意停放的，每次扣0.5</w:t>
            </w:r>
            <w:r>
              <w:rPr>
                <w:rFonts w:hint="eastAsia"/>
                <w:color w:val="auto"/>
                <w:kern w:val="2"/>
                <w:sz w:val="24"/>
                <w:highlight w:val="none"/>
                <w:lang w:eastAsia="zh-CN"/>
              </w:rPr>
              <w:t>—</w:t>
            </w:r>
            <w:r>
              <w:rPr>
                <w:rFonts w:hint="eastAsia"/>
                <w:color w:val="auto"/>
                <w:kern w:val="2"/>
                <w:sz w:val="24"/>
                <w:highlight w:val="none"/>
              </w:rPr>
              <w:t>1分，发生乱停乱放，造成交通堵塞的，每次扣2分；</w:t>
            </w:r>
          </w:p>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4、 由于管理疏忽随意让其他人员进入办公区域造成影响正常办公或产生安全隐患的每起扣5分。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人员设备30分</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投入本项目服务人员设备要求符合投标文件中的承诺</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color w:val="auto"/>
                <w:kern w:val="2"/>
                <w:sz w:val="24"/>
                <w:highlight w:val="none"/>
              </w:rPr>
            </w:pPr>
            <w:r>
              <w:rPr>
                <w:rFonts w:hint="eastAsia"/>
                <w:color w:val="auto"/>
                <w:kern w:val="2"/>
                <w:sz w:val="24"/>
                <w:highlight w:val="none"/>
              </w:rPr>
              <w:t>每发现少一人扣1分，投入设备少一件扣1分，持证人员少1人扣2分。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kern w:val="2"/>
                <w:sz w:val="24"/>
                <w:szCs w:val="21"/>
                <w:highlight w:val="none"/>
                <w:lang w:val="en-US" w:eastAsia="zh-CN" w:bidi="ar-SA"/>
              </w:rPr>
            </w:pPr>
            <w:r>
              <w:rPr>
                <w:rFonts w:hint="eastAsia"/>
                <w:color w:val="auto"/>
                <w:kern w:val="2"/>
                <w:sz w:val="24"/>
                <w:highlight w:val="none"/>
              </w:rPr>
              <w:t>收缴费用（X）</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kern w:val="2"/>
                <w:sz w:val="24"/>
                <w:szCs w:val="21"/>
                <w:highlight w:val="none"/>
                <w:lang w:val="en-US" w:eastAsia="zh-CN" w:bidi="ar-SA"/>
              </w:rPr>
            </w:pPr>
            <w:r>
              <w:rPr>
                <w:rFonts w:hint="eastAsia"/>
                <w:color w:val="auto"/>
                <w:kern w:val="2"/>
                <w:sz w:val="24"/>
                <w:highlight w:val="none"/>
              </w:rPr>
              <w:t>物业需要负责对该区域所在的企业房租租赁费用收缴（有特殊情况的企业除外）</w:t>
            </w:r>
          </w:p>
        </w:tc>
        <w:tc>
          <w:tcPr>
            <w:tcW w:w="0" w:type="auto"/>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kern w:val="2"/>
                <w:sz w:val="24"/>
                <w:szCs w:val="21"/>
                <w:highlight w:val="none"/>
                <w:lang w:val="en-US" w:eastAsia="zh-CN" w:bidi="ar-SA"/>
              </w:rPr>
            </w:pPr>
            <w:r>
              <w:rPr>
                <w:rFonts w:hint="eastAsia"/>
                <w:color w:val="auto"/>
                <w:kern w:val="2"/>
                <w:sz w:val="24"/>
                <w:highlight w:val="none"/>
              </w:rPr>
              <w:t>如出现少收费用X元，则暂压X/2的物业费，直至收缴完成再支付。</w:t>
            </w:r>
          </w:p>
        </w:tc>
      </w:tr>
    </w:tbl>
    <w:p>
      <w:pPr>
        <w:pStyle w:val="34"/>
        <w:spacing w:line="360" w:lineRule="auto"/>
        <w:ind w:left="0" w:leftChars="0" w:firstLine="0" w:firstLineChars="0"/>
        <w:rPr>
          <w:color w:val="auto"/>
          <w:highlight w:val="none"/>
        </w:rPr>
      </w:pPr>
    </w:p>
    <w:p>
      <w:pPr>
        <w:pStyle w:val="2"/>
        <w:spacing w:line="360" w:lineRule="auto"/>
        <w:rPr>
          <w:rFonts w:hint="eastAsia"/>
          <w:color w:val="auto"/>
          <w:highlight w:val="none"/>
        </w:rPr>
      </w:pPr>
      <w:r>
        <w:rPr>
          <w:rFonts w:hint="eastAsia"/>
          <w:color w:val="auto"/>
          <w:highlight w:val="none"/>
        </w:rPr>
        <w:t>第五部分</w:t>
      </w:r>
      <w:bookmarkEnd w:id="426"/>
      <w:r>
        <w:rPr>
          <w:rFonts w:hint="eastAsia"/>
          <w:color w:val="auto"/>
          <w:highlight w:val="none"/>
        </w:rPr>
        <w:t xml:space="preserve">  </w:t>
      </w:r>
      <w:bookmarkEnd w:id="440"/>
      <w:bookmarkStart w:id="467" w:name="_Toc32579"/>
      <w:bookmarkStart w:id="468" w:name="_Toc1997"/>
      <w:bookmarkStart w:id="469" w:name="_Toc1523"/>
      <w:bookmarkStart w:id="470" w:name="_Toc16854"/>
      <w:bookmarkStart w:id="471" w:name="第五部分"/>
      <w:bookmarkStart w:id="472" w:name="_Toc86217003"/>
      <w:r>
        <w:rPr>
          <w:rFonts w:hint="eastAsia"/>
          <w:color w:val="auto"/>
          <w:highlight w:val="none"/>
        </w:rPr>
        <w:t>采购合同主要条款</w:t>
      </w:r>
      <w:bookmarkEnd w:id="441"/>
      <w:bookmarkEnd w:id="467"/>
    </w:p>
    <w:p>
      <w:pPr>
        <w:pStyle w:val="70"/>
        <w:spacing w:beforeAutospacing="0" w:afterAutospacing="0" w:line="360" w:lineRule="auto"/>
        <w:ind w:firstLine="480" w:firstLineChars="200"/>
        <w:outlineLvl w:val="0"/>
        <w:rPr>
          <w:rFonts w:hint="eastAsia" w:ascii="宋体" w:hAnsi="宋体" w:eastAsia="宋体"/>
          <w:color w:val="auto"/>
          <w:highlight w:val="none"/>
        </w:rPr>
      </w:pPr>
      <w:r>
        <w:rPr>
          <w:rFonts w:hint="eastAsia" w:ascii="宋体" w:hAnsi="宋体" w:eastAsia="宋体"/>
          <w:color w:val="auto"/>
          <w:highlight w:val="none"/>
        </w:rPr>
        <w:t>合同编号：（   ）第</w:t>
      </w:r>
      <w:r>
        <w:rPr>
          <w:rFonts w:hint="eastAsia" w:ascii="宋体" w:hAnsi="宋体" w:eastAsia="宋体"/>
          <w:color w:val="auto"/>
          <w:highlight w:val="none"/>
          <w:u w:val="single"/>
        </w:rPr>
        <w:t xml:space="preserve">　　 </w:t>
      </w:r>
      <w:r>
        <w:rPr>
          <w:rFonts w:hint="eastAsia" w:ascii="宋体" w:hAnsi="宋体" w:eastAsia="宋体"/>
          <w:color w:val="auto"/>
          <w:highlight w:val="none"/>
        </w:rPr>
        <w:t>号</w:t>
      </w:r>
    </w:p>
    <w:p>
      <w:pPr>
        <w:pStyle w:val="70"/>
        <w:spacing w:beforeAutospacing="0" w:afterAutospacing="0" w:line="360" w:lineRule="auto"/>
        <w:ind w:firstLine="480" w:firstLineChars="200"/>
        <w:outlineLvl w:val="0"/>
        <w:rPr>
          <w:rFonts w:hint="eastAsia" w:ascii="宋体" w:hAnsi="宋体" w:eastAsia="宋体"/>
          <w:color w:val="auto"/>
          <w:highlight w:val="none"/>
        </w:rPr>
      </w:pPr>
      <w:r>
        <w:rPr>
          <w:rFonts w:hint="eastAsia" w:ascii="宋体" w:hAnsi="宋体" w:eastAsia="宋体"/>
          <w:color w:val="auto"/>
          <w:highlight w:val="none"/>
        </w:rPr>
        <w:t>签订日期：</w:t>
      </w: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70"/>
        <w:spacing w:beforeAutospacing="0" w:afterAutospacing="0" w:line="360" w:lineRule="auto"/>
        <w:ind w:firstLine="480" w:firstLineChars="200"/>
        <w:outlineLvl w:val="0"/>
        <w:rPr>
          <w:rFonts w:hint="eastAsia" w:ascii="宋体" w:hAnsi="宋体" w:eastAsia="宋体"/>
          <w:color w:val="auto"/>
          <w:highlight w:val="none"/>
        </w:rPr>
      </w:pPr>
      <w:r>
        <w:rPr>
          <w:rFonts w:hint="eastAsia" w:ascii="宋体" w:hAnsi="宋体" w:eastAsia="宋体"/>
          <w:color w:val="auto"/>
          <w:highlight w:val="none"/>
          <w:lang w:eastAsia="zh-CN"/>
        </w:rPr>
        <w:t>甲方</w:t>
      </w:r>
      <w:r>
        <w:rPr>
          <w:rFonts w:hint="eastAsia" w:ascii="宋体" w:hAnsi="宋体" w:eastAsia="宋体"/>
          <w:color w:val="auto"/>
          <w:highlight w:val="none"/>
        </w:rPr>
        <w:t>：</w:t>
      </w:r>
      <w:r>
        <w:rPr>
          <w:rFonts w:hint="eastAsia" w:ascii="宋体" w:hAnsi="宋体" w:eastAsia="宋体"/>
          <w:color w:val="auto"/>
          <w:highlight w:val="none"/>
          <w:u w:val="single"/>
        </w:rPr>
        <w:t>　绍兴市上虞区特色小镇投资建设有限公司　　　</w:t>
      </w:r>
      <w:r>
        <w:rPr>
          <w:rFonts w:hint="eastAsia" w:ascii="宋体" w:hAnsi="宋体" w:eastAsia="宋体"/>
          <w:color w:val="auto"/>
          <w:highlight w:val="none"/>
        </w:rPr>
        <w:t>（甲方）</w:t>
      </w:r>
    </w:p>
    <w:p>
      <w:pPr>
        <w:pStyle w:val="70"/>
        <w:spacing w:beforeAutospacing="0" w:afterAutospacing="0" w:line="360" w:lineRule="auto"/>
        <w:ind w:firstLine="480" w:firstLineChars="200"/>
        <w:outlineLvl w:val="0"/>
        <w:rPr>
          <w:rFonts w:hint="eastAsia" w:ascii="宋体" w:hAnsi="宋体" w:eastAsia="宋体"/>
          <w:color w:val="auto"/>
          <w:highlight w:val="none"/>
        </w:rPr>
      </w:pPr>
      <w:r>
        <w:rPr>
          <w:rFonts w:hint="eastAsia" w:ascii="宋体" w:hAnsi="宋体" w:eastAsia="宋体"/>
          <w:color w:val="auto"/>
          <w:highlight w:val="none"/>
          <w:lang w:eastAsia="zh-CN"/>
        </w:rPr>
        <w:t>乙方</w:t>
      </w:r>
      <w:r>
        <w:rPr>
          <w:rFonts w:hint="eastAsia" w:ascii="宋体" w:hAnsi="宋体" w:eastAsia="宋体"/>
          <w:color w:val="auto"/>
          <w:highlight w:val="none"/>
        </w:rPr>
        <w:t>：</w:t>
      </w:r>
      <w:r>
        <w:rPr>
          <w:rFonts w:hint="eastAsia" w:ascii="宋体" w:hAnsi="宋体" w:eastAsia="宋体"/>
          <w:color w:val="auto"/>
          <w:highlight w:val="none"/>
          <w:u w:val="single"/>
        </w:rPr>
        <w:t>　　　　　　　　　　　　　　　  　　　</w:t>
      </w:r>
      <w:r>
        <w:rPr>
          <w:rFonts w:hint="eastAsia" w:ascii="宋体" w:hAnsi="宋体" w:eastAsia="宋体"/>
          <w:color w:val="auto"/>
          <w:highlight w:val="none"/>
        </w:rPr>
        <w:t>（乙方）</w:t>
      </w:r>
    </w:p>
    <w:p>
      <w:pPr>
        <w:spacing w:line="360" w:lineRule="auto"/>
        <w:ind w:firstLine="720" w:firstLineChars="300"/>
        <w:jc w:val="left"/>
        <w:rPr>
          <w:rFonts w:hint="eastAsia"/>
          <w:b/>
          <w:bCs/>
          <w:color w:val="auto"/>
          <w:sz w:val="24"/>
          <w:szCs w:val="24"/>
          <w:highlight w:val="none"/>
        </w:rPr>
      </w:pPr>
      <w:r>
        <w:rPr>
          <w:rFonts w:hint="eastAsia"/>
          <w:color w:val="auto"/>
          <w:sz w:val="24"/>
          <w:szCs w:val="24"/>
          <w:highlight w:val="none"/>
        </w:rPr>
        <w:t>根据《中华人民共和国民法典》、 采购编号为</w:t>
      </w:r>
      <w:r>
        <w:rPr>
          <w:rFonts w:hint="eastAsia"/>
          <w:color w:val="auto"/>
          <w:sz w:val="24"/>
          <w:szCs w:val="24"/>
          <w:highlight w:val="none"/>
          <w:lang w:eastAsia="zh-CN"/>
        </w:rPr>
        <w:t>TP20241203</w:t>
      </w:r>
      <w:r>
        <w:rPr>
          <w:rFonts w:hint="eastAsia"/>
          <w:color w:val="auto"/>
          <w:sz w:val="24"/>
          <w:szCs w:val="24"/>
          <w:highlight w:val="none"/>
        </w:rPr>
        <w:t>招标文件、中标人投标文件的规定，经公开招标，签订本合同。</w:t>
      </w:r>
    </w:p>
    <w:p>
      <w:pPr>
        <w:spacing w:line="360" w:lineRule="auto"/>
        <w:ind w:firstLine="482" w:firstLineChars="200"/>
        <w:outlineLvl w:val="1"/>
        <w:rPr>
          <w:rFonts w:hint="eastAsia"/>
          <w:b/>
          <w:color w:val="auto"/>
          <w:sz w:val="24"/>
          <w:szCs w:val="24"/>
          <w:highlight w:val="none"/>
        </w:rPr>
      </w:pPr>
      <w:bookmarkStart w:id="473" w:name="_Toc5130"/>
      <w:r>
        <w:rPr>
          <w:rFonts w:hint="eastAsia"/>
          <w:b/>
          <w:color w:val="auto"/>
          <w:sz w:val="24"/>
          <w:szCs w:val="24"/>
          <w:highlight w:val="none"/>
        </w:rPr>
        <w:t>第一条  定义</w:t>
      </w:r>
      <w:bookmarkEnd w:id="473"/>
    </w:p>
    <w:p>
      <w:pPr>
        <w:spacing w:line="360" w:lineRule="auto"/>
        <w:ind w:firstLine="480" w:firstLineChars="200"/>
        <w:rPr>
          <w:rFonts w:hint="eastAsia"/>
          <w:color w:val="auto"/>
          <w:sz w:val="24"/>
          <w:szCs w:val="24"/>
          <w:highlight w:val="none"/>
        </w:rPr>
      </w:pPr>
      <w:r>
        <w:rPr>
          <w:rFonts w:hint="eastAsia"/>
          <w:color w:val="auto"/>
          <w:sz w:val="24"/>
          <w:szCs w:val="24"/>
          <w:highlight w:val="none"/>
        </w:rPr>
        <w:t>1、“合同”即由甲乙方双方签订的合同格式中的文件，包括所有的附件、附录和组成合同部分的所有其他文件。</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合同将由甲方与乙方结合本项目具体情况协商后签订。以下为甲方提出涉及乙方的主要条款，投标人在投标文件中应对其进行确认或拒绝。如投标人在其投标文件中未作拒绝或提出修改要求的，甲乙将视作认同。</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2、“合同价格”系指根据合同规定，在乙方全面正确地履行合同义务时，甲方应支付给乙方的款项。</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3、“管理服务”系指乙方按投标文件规定，结合本项目的设施配置及本物业使用性质特点，提出物业管理服务定位、目标，为甲方提供优质的物业服务。</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4、“甲方”系指通过采购接受合同及服务的采购单位。</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5、“乙方”系指经评审最终确定的中标单位。</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6、“现场”系指将要提供物业管理与服务的地点。</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7、“验收”系指甲方依据国家有关规定接受合同所依据的程序和条件。</w:t>
      </w:r>
    </w:p>
    <w:p>
      <w:pPr>
        <w:pStyle w:val="7"/>
        <w:spacing w:line="360" w:lineRule="auto"/>
        <w:ind w:firstLine="472" w:firstLineChars="196"/>
        <w:outlineLvl w:val="1"/>
        <w:rPr>
          <w:rFonts w:hint="eastAsia"/>
          <w:b/>
          <w:color w:val="auto"/>
          <w:sz w:val="24"/>
          <w:szCs w:val="24"/>
          <w:highlight w:val="none"/>
        </w:rPr>
      </w:pPr>
      <w:bookmarkStart w:id="474" w:name="_Toc8821"/>
      <w:r>
        <w:rPr>
          <w:rFonts w:hint="eastAsia"/>
          <w:b/>
          <w:color w:val="auto"/>
          <w:sz w:val="24"/>
          <w:szCs w:val="24"/>
          <w:highlight w:val="none"/>
        </w:rPr>
        <w:t>第二条：物业基本情况</w:t>
      </w:r>
      <w:bookmarkEnd w:id="474"/>
    </w:p>
    <w:p>
      <w:pPr>
        <w:tabs>
          <w:tab w:val="left" w:pos="772"/>
        </w:tabs>
        <w:spacing w:line="360" w:lineRule="auto"/>
        <w:ind w:firstLine="482" w:firstLineChars="200"/>
        <w:outlineLvl w:val="1"/>
        <w:rPr>
          <w:rFonts w:hint="eastAsia"/>
          <w:color w:val="auto"/>
          <w:sz w:val="24"/>
          <w:szCs w:val="24"/>
          <w:highlight w:val="none"/>
        </w:rPr>
      </w:pPr>
      <w:bookmarkStart w:id="475" w:name="_Toc31534"/>
      <w:r>
        <w:rPr>
          <w:rFonts w:hint="eastAsia"/>
          <w:b/>
          <w:bCs/>
          <w:color w:val="auto"/>
          <w:sz w:val="24"/>
          <w:szCs w:val="24"/>
          <w:highlight w:val="none"/>
        </w:rPr>
        <w:t>根据“第四部分 招标采购内容与服务要求”填写</w:t>
      </w:r>
      <w:r>
        <w:rPr>
          <w:rFonts w:hint="eastAsia"/>
          <w:color w:val="auto"/>
          <w:sz w:val="24"/>
          <w:szCs w:val="24"/>
          <w:highlight w:val="none"/>
        </w:rPr>
        <w:t>。</w:t>
      </w:r>
      <w:bookmarkEnd w:id="475"/>
    </w:p>
    <w:p>
      <w:pPr>
        <w:tabs>
          <w:tab w:val="left" w:pos="314"/>
          <w:tab w:val="left" w:pos="772"/>
        </w:tabs>
        <w:spacing w:line="360" w:lineRule="auto"/>
        <w:ind w:firstLine="482" w:firstLineChars="200"/>
        <w:outlineLvl w:val="1"/>
        <w:rPr>
          <w:rFonts w:hint="eastAsia"/>
          <w:b/>
          <w:color w:val="auto"/>
          <w:sz w:val="24"/>
          <w:szCs w:val="24"/>
          <w:highlight w:val="none"/>
        </w:rPr>
      </w:pPr>
      <w:bookmarkStart w:id="476" w:name="_Toc21062"/>
      <w:r>
        <w:rPr>
          <w:rFonts w:hint="eastAsia"/>
          <w:b/>
          <w:color w:val="auto"/>
          <w:sz w:val="24"/>
          <w:szCs w:val="24"/>
          <w:highlight w:val="none"/>
        </w:rPr>
        <w:t>第三条：服务期限</w:t>
      </w:r>
      <w:bookmarkEnd w:id="476"/>
    </w:p>
    <w:p>
      <w:pPr>
        <w:spacing w:line="360" w:lineRule="auto"/>
        <w:ind w:firstLine="482" w:firstLineChars="200"/>
        <w:rPr>
          <w:rFonts w:hint="eastAsia"/>
          <w:bCs/>
          <w:color w:val="auto"/>
          <w:sz w:val="24"/>
          <w:szCs w:val="24"/>
          <w:highlight w:val="none"/>
        </w:rPr>
      </w:pPr>
      <w:r>
        <w:rPr>
          <w:rFonts w:hint="eastAsia"/>
          <w:b/>
          <w:bCs/>
          <w:color w:val="auto"/>
          <w:sz w:val="24"/>
          <w:szCs w:val="24"/>
          <w:highlight w:val="none"/>
        </w:rPr>
        <w:t>根据“第四部分 招标采购内容与服务要求”填写</w:t>
      </w:r>
      <w:r>
        <w:rPr>
          <w:rFonts w:hint="eastAsia"/>
          <w:bCs/>
          <w:color w:val="auto"/>
          <w:sz w:val="24"/>
          <w:szCs w:val="24"/>
          <w:highlight w:val="none"/>
        </w:rPr>
        <w:t>。</w:t>
      </w:r>
    </w:p>
    <w:p>
      <w:pPr>
        <w:spacing w:line="360" w:lineRule="auto"/>
        <w:ind w:firstLine="482" w:firstLineChars="200"/>
        <w:outlineLvl w:val="1"/>
        <w:rPr>
          <w:rFonts w:hint="eastAsia"/>
          <w:b/>
          <w:color w:val="auto"/>
          <w:sz w:val="24"/>
          <w:szCs w:val="24"/>
          <w:highlight w:val="none"/>
        </w:rPr>
      </w:pPr>
      <w:bookmarkStart w:id="477" w:name="_Toc8614"/>
      <w:r>
        <w:rPr>
          <w:rFonts w:hint="eastAsia"/>
          <w:b/>
          <w:color w:val="auto"/>
          <w:sz w:val="24"/>
          <w:szCs w:val="24"/>
          <w:highlight w:val="none"/>
        </w:rPr>
        <w:t>第四条  物业装备、耗材的使用</w:t>
      </w:r>
      <w:bookmarkEnd w:id="477"/>
    </w:p>
    <w:p>
      <w:pPr>
        <w:spacing w:line="360" w:lineRule="auto"/>
        <w:ind w:firstLine="480" w:firstLineChars="200"/>
        <w:rPr>
          <w:rFonts w:hint="eastAsia"/>
          <w:color w:val="auto"/>
          <w:sz w:val="24"/>
          <w:szCs w:val="24"/>
          <w:highlight w:val="none"/>
        </w:rPr>
      </w:pPr>
      <w:r>
        <w:rPr>
          <w:rFonts w:hint="eastAsia"/>
          <w:color w:val="auto"/>
          <w:sz w:val="24"/>
          <w:szCs w:val="24"/>
          <w:highlight w:val="none"/>
        </w:rPr>
        <w:t>1、甲方免费提供物业管理的办公场地。</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2、办公用品、保洁耗材、工程用品及工具由乙方自行解决（办公用品、保洁耗材、工程用品及工具使用费用已包含在中标价中，合同期满后归乙方所有）。</w:t>
      </w:r>
    </w:p>
    <w:p>
      <w:pPr>
        <w:adjustRightInd w:val="0"/>
        <w:snapToGrid w:val="0"/>
        <w:spacing w:line="360" w:lineRule="auto"/>
        <w:ind w:firstLine="482" w:firstLineChars="200"/>
        <w:outlineLvl w:val="1"/>
        <w:rPr>
          <w:rFonts w:hint="eastAsia"/>
          <w:b/>
          <w:color w:val="auto"/>
          <w:sz w:val="24"/>
          <w:szCs w:val="24"/>
          <w:highlight w:val="none"/>
        </w:rPr>
      </w:pPr>
      <w:bookmarkStart w:id="478" w:name="_Toc3139"/>
      <w:bookmarkStart w:id="479" w:name="_Toc277772230"/>
      <w:bookmarkStart w:id="480" w:name="_Toc277772394"/>
      <w:r>
        <w:rPr>
          <w:rFonts w:hint="eastAsia"/>
          <w:b/>
          <w:color w:val="auto"/>
          <w:sz w:val="24"/>
          <w:szCs w:val="24"/>
          <w:highlight w:val="none"/>
        </w:rPr>
        <w:t>第五条：委托管理内容及标准</w:t>
      </w:r>
      <w:bookmarkEnd w:id="478"/>
    </w:p>
    <w:p>
      <w:pPr>
        <w:adjustRightInd w:val="0"/>
        <w:snapToGrid w:val="0"/>
        <w:spacing w:line="360" w:lineRule="auto"/>
        <w:ind w:firstLine="480" w:firstLineChars="200"/>
        <w:outlineLvl w:val="2"/>
        <w:rPr>
          <w:rFonts w:hint="eastAsia"/>
          <w:color w:val="auto"/>
          <w:sz w:val="24"/>
          <w:szCs w:val="24"/>
          <w:highlight w:val="none"/>
        </w:rPr>
      </w:pPr>
      <w:bookmarkStart w:id="481" w:name="_Toc32288"/>
      <w:r>
        <w:rPr>
          <w:rFonts w:hint="eastAsia"/>
          <w:color w:val="auto"/>
          <w:sz w:val="24"/>
          <w:szCs w:val="24"/>
          <w:highlight w:val="none"/>
        </w:rPr>
        <w:t>1、委托管理内容：保安服务、保洁服务及绿化养护等。</w:t>
      </w:r>
      <w:bookmarkEnd w:id="481"/>
    </w:p>
    <w:p>
      <w:pPr>
        <w:spacing w:line="360" w:lineRule="auto"/>
        <w:ind w:firstLine="480" w:firstLineChars="200"/>
        <w:outlineLvl w:val="1"/>
        <w:rPr>
          <w:rFonts w:hint="eastAsia"/>
          <w:color w:val="auto"/>
          <w:sz w:val="24"/>
          <w:szCs w:val="24"/>
          <w:highlight w:val="none"/>
        </w:rPr>
      </w:pPr>
      <w:bookmarkStart w:id="482" w:name="_Toc8089"/>
      <w:r>
        <w:rPr>
          <w:rFonts w:hint="eastAsia"/>
          <w:color w:val="auto"/>
          <w:sz w:val="24"/>
          <w:szCs w:val="24"/>
          <w:highlight w:val="none"/>
        </w:rPr>
        <w:t>2、按招标文件中的《物业管理考核评分细则》的要求进行服务及考核。</w:t>
      </w:r>
      <w:bookmarkEnd w:id="482"/>
    </w:p>
    <w:p>
      <w:pPr>
        <w:spacing w:line="360" w:lineRule="auto"/>
        <w:ind w:firstLine="482" w:firstLineChars="200"/>
        <w:outlineLvl w:val="1"/>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3、</w:t>
      </w:r>
      <w:r>
        <w:rPr>
          <w:rFonts w:hint="eastAsia" w:cs="宋体"/>
          <w:b/>
          <w:bCs/>
          <w:color w:val="auto"/>
          <w:sz w:val="24"/>
          <w:szCs w:val="24"/>
          <w:highlight w:val="none"/>
          <w:lang w:val="en-US" w:eastAsia="zh-CN" w:bidi="ar-SA"/>
        </w:rPr>
        <w:t>乙</w:t>
      </w:r>
      <w:r>
        <w:rPr>
          <w:rFonts w:hint="eastAsia" w:ascii="宋体" w:hAnsi="宋体" w:eastAsia="宋体" w:cs="宋体"/>
          <w:b/>
          <w:bCs/>
          <w:color w:val="auto"/>
          <w:sz w:val="24"/>
          <w:szCs w:val="24"/>
          <w:highlight w:val="none"/>
          <w:lang w:val="en-US" w:eastAsia="zh-CN" w:bidi="ar-SA"/>
        </w:rPr>
        <w:t>方负责经营除D幢地下室以外的停车场，经营年限2年，其中地下停车位204个，地面停车位126个。按每个车位200元/月计，</w:t>
      </w:r>
      <w:r>
        <w:rPr>
          <w:rFonts w:hint="eastAsia" w:cs="宋体"/>
          <w:b/>
          <w:bCs/>
          <w:color w:val="auto"/>
          <w:sz w:val="24"/>
          <w:szCs w:val="24"/>
          <w:highlight w:val="none"/>
          <w:lang w:val="en-US" w:eastAsia="zh-CN" w:bidi="ar-SA"/>
        </w:rPr>
        <w:t>乙</w:t>
      </w:r>
      <w:r>
        <w:rPr>
          <w:rFonts w:hint="eastAsia" w:ascii="宋体" w:hAnsi="宋体" w:eastAsia="宋体" w:cs="宋体"/>
          <w:b/>
          <w:bCs/>
          <w:color w:val="auto"/>
          <w:sz w:val="24"/>
          <w:szCs w:val="24"/>
          <w:highlight w:val="none"/>
          <w:lang w:val="en-US" w:eastAsia="zh-CN" w:bidi="ar-SA"/>
        </w:rPr>
        <w:t>方需每年支付给</w:t>
      </w:r>
      <w:r>
        <w:rPr>
          <w:rFonts w:hint="eastAsia" w:cs="宋体"/>
          <w:b/>
          <w:bCs/>
          <w:color w:val="auto"/>
          <w:sz w:val="24"/>
          <w:szCs w:val="24"/>
          <w:highlight w:val="none"/>
          <w:lang w:val="en-US" w:eastAsia="zh-CN" w:bidi="ar-SA"/>
        </w:rPr>
        <w:t>甲方</w:t>
      </w:r>
      <w:r>
        <w:rPr>
          <w:rFonts w:hint="eastAsia" w:ascii="宋体" w:hAnsi="宋体" w:eastAsia="宋体" w:cs="宋体"/>
          <w:b/>
          <w:bCs/>
          <w:color w:val="auto"/>
          <w:sz w:val="24"/>
          <w:szCs w:val="24"/>
          <w:highlight w:val="none"/>
          <w:lang w:val="en-US" w:eastAsia="zh-CN" w:bidi="ar-SA"/>
        </w:rPr>
        <w:t>79.2万元的经营费用，支付方式按季度支付，即每3个月支付19.8万元，支付时间与支付物业费时间一致，计时收费：每小时不高于5元，24小时内最高收费30元。</w:t>
      </w:r>
      <w:bookmarkEnd w:id="479"/>
      <w:bookmarkEnd w:id="480"/>
    </w:p>
    <w:p>
      <w:pPr>
        <w:pStyle w:val="7"/>
        <w:spacing w:line="360" w:lineRule="auto"/>
        <w:ind w:left="420" w:firstLine="0"/>
        <w:outlineLvl w:val="1"/>
        <w:rPr>
          <w:rFonts w:hint="eastAsia"/>
          <w:b/>
          <w:color w:val="auto"/>
          <w:sz w:val="24"/>
          <w:szCs w:val="24"/>
          <w:highlight w:val="none"/>
        </w:rPr>
      </w:pPr>
      <w:bookmarkStart w:id="483" w:name="_Toc29037"/>
      <w:r>
        <w:rPr>
          <w:rFonts w:hint="eastAsia"/>
          <w:b/>
          <w:color w:val="auto"/>
          <w:sz w:val="24"/>
          <w:szCs w:val="24"/>
          <w:highlight w:val="none"/>
        </w:rPr>
        <w:t>第六条：服务费用及付款方式</w:t>
      </w:r>
      <w:bookmarkEnd w:id="483"/>
    </w:p>
    <w:p>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1、费用标准：</w:t>
      </w:r>
    </w:p>
    <w:p>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本项目总物业服务费用为</w:t>
      </w:r>
      <w:r>
        <w:rPr>
          <w:rFonts w:hint="eastAsia"/>
          <w:color w:val="auto"/>
          <w:sz w:val="24"/>
          <w:szCs w:val="24"/>
          <w:highlight w:val="none"/>
          <w:u w:val="single"/>
        </w:rPr>
        <w:t xml:space="preserve">     </w:t>
      </w:r>
      <w:r>
        <w:rPr>
          <w:rFonts w:hint="eastAsia"/>
          <w:color w:val="auto"/>
          <w:sz w:val="24"/>
          <w:szCs w:val="24"/>
          <w:highlight w:val="none"/>
        </w:rPr>
        <w:t>元。每年服务费用为</w:t>
      </w:r>
      <w:r>
        <w:rPr>
          <w:rFonts w:hint="eastAsia"/>
          <w:color w:val="auto"/>
          <w:sz w:val="24"/>
          <w:szCs w:val="24"/>
          <w:highlight w:val="none"/>
          <w:u w:val="single"/>
        </w:rPr>
        <w:t xml:space="preserve">     </w:t>
      </w:r>
      <w:r>
        <w:rPr>
          <w:rFonts w:hint="eastAsia"/>
          <w:color w:val="auto"/>
          <w:sz w:val="24"/>
          <w:szCs w:val="24"/>
          <w:highlight w:val="none"/>
        </w:rPr>
        <w:t>元。</w:t>
      </w:r>
    </w:p>
    <w:p>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本项目总服务期为：</w:t>
      </w:r>
    </w:p>
    <w:p>
      <w:pPr>
        <w:pStyle w:val="10"/>
        <w:spacing w:line="360" w:lineRule="auto"/>
        <w:ind w:firstLine="240"/>
        <w:rPr>
          <w:rFonts w:hint="default"/>
          <w:color w:val="auto"/>
          <w:highlight w:val="none"/>
          <w:u w:val="single"/>
        </w:rPr>
      </w:pPr>
      <w:r>
        <w:rPr>
          <w:rFonts w:hAnsi="宋体" w:cs="宋体"/>
          <w:color w:val="auto"/>
          <w:highlight w:val="none"/>
        </w:rPr>
        <w:t xml:space="preserve">  </w:t>
      </w:r>
      <w:r>
        <w:rPr>
          <w:rFonts w:hAnsi="宋体" w:cs="宋体"/>
          <w:b/>
          <w:bCs/>
          <w:color w:val="auto"/>
          <w:highlight w:val="none"/>
        </w:rPr>
        <w:t>本合同服务期为：</w:t>
      </w:r>
      <w:r>
        <w:rPr>
          <w:rFonts w:hAnsi="宋体" w:cs="宋体"/>
          <w:b/>
          <w:bCs/>
          <w:color w:val="auto"/>
          <w:highlight w:val="none"/>
          <w:u w:val="single"/>
        </w:rPr>
        <w:t xml:space="preserve">       </w:t>
      </w:r>
    </w:p>
    <w:p>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2、本项目合同期满后，若甲方要求乙方延续提供服务的，乙方应无条件配合，乙方应根据甲方的要求延续提供服务，费用标准按原合同规定执行。</w:t>
      </w:r>
    </w:p>
    <w:p>
      <w:pPr>
        <w:pStyle w:val="12"/>
        <w:spacing w:line="360" w:lineRule="auto"/>
        <w:ind w:left="0" w:leftChars="0" w:firstLine="480" w:firstLineChars="200"/>
        <w:rPr>
          <w:rFonts w:hint="eastAsia"/>
          <w:color w:val="auto"/>
          <w:sz w:val="24"/>
          <w:szCs w:val="24"/>
          <w:highlight w:val="none"/>
        </w:rPr>
      </w:pPr>
      <w:r>
        <w:rPr>
          <w:rFonts w:hint="eastAsia"/>
          <w:color w:val="auto"/>
          <w:sz w:val="24"/>
          <w:szCs w:val="24"/>
          <w:highlight w:val="none"/>
        </w:rPr>
        <w:t>3、费用包含：</w:t>
      </w:r>
    </w:p>
    <w:p>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投标报价中标明的价格为履行合同2个年度的物业管理费价格，包括但不限于人员费用、按规定缴纳的各类保险、交通费、加班费、消防系统保养维护费、交接费、福利费、管理费用、税费、办公用品、维修工具、服装费、安保器材、垃圾分类、保洁耗材（公共卫生间洗手液、擦手纸、卫生纸、灭“四害”药物、蚊香、垃圾袋等）、日常耗材（灯泡，灯具，电线，门锁，把手，锁芯，水龙头，生料带，胶布，玻璃胶，插座，三角阀，软管，开关，安全出口指示牌等）等所有材料及易耗品费用，日常耗材由物业公司承担，安装部分由物业公司自行负责。其他合同中明示或暗示的所有一般风险、责任和义务等整个项目的总报价，如有漏项，视同已包含在本报价中。</w:t>
      </w:r>
    </w:p>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服务费支付方式：</w:t>
      </w:r>
    </w:p>
    <w:p>
      <w:pPr>
        <w:spacing w:line="360" w:lineRule="auto"/>
        <w:ind w:firstLine="240" w:firstLineChars="100"/>
        <w:rPr>
          <w:rFonts w:hint="eastAsia"/>
          <w:color w:val="auto"/>
          <w:highlight w:val="none"/>
        </w:rPr>
      </w:pPr>
      <w:bookmarkStart w:id="484" w:name="_Toc18147"/>
      <w:r>
        <w:rPr>
          <w:color w:val="auto"/>
          <w:sz w:val="24"/>
          <w:highlight w:val="none"/>
        </w:rPr>
        <w:t>付款方式：</w:t>
      </w:r>
      <w:r>
        <w:rPr>
          <w:rFonts w:hint="eastAsia"/>
          <w:color w:val="auto"/>
          <w:sz w:val="24"/>
          <w:highlight w:val="none"/>
          <w:lang w:eastAsia="zh-CN"/>
        </w:rPr>
        <w:t>从</w:t>
      </w:r>
      <w:r>
        <w:rPr>
          <w:rFonts w:hint="eastAsia"/>
          <w:color w:val="auto"/>
          <w:sz w:val="24"/>
          <w:highlight w:val="none"/>
          <w:lang w:val="en-US" w:eastAsia="zh-CN"/>
        </w:rPr>
        <w:t>2025年1月1日起</w:t>
      </w:r>
      <w:r>
        <w:rPr>
          <w:rFonts w:hint="eastAsia"/>
          <w:color w:val="auto"/>
          <w:sz w:val="24"/>
          <w:highlight w:val="none"/>
        </w:rPr>
        <w:t>物业管理费按合同约定的价款，按季度结算，季末支付。甲方凭乙方开具的正规发票，每季支付一次，同时预留10%部分费用作为考核奖励经费，在年度考核结束后发放。</w:t>
      </w:r>
    </w:p>
    <w:p>
      <w:pPr>
        <w:spacing w:line="360" w:lineRule="auto"/>
        <w:ind w:firstLine="482" w:firstLineChars="200"/>
        <w:outlineLvl w:val="1"/>
        <w:rPr>
          <w:rFonts w:hint="eastAsia"/>
          <w:b/>
          <w:color w:val="auto"/>
          <w:sz w:val="24"/>
          <w:szCs w:val="24"/>
          <w:highlight w:val="none"/>
        </w:rPr>
      </w:pPr>
      <w:r>
        <w:rPr>
          <w:rFonts w:hint="eastAsia"/>
          <w:b/>
          <w:color w:val="auto"/>
          <w:sz w:val="24"/>
          <w:szCs w:val="24"/>
          <w:highlight w:val="none"/>
        </w:rPr>
        <w:t>第七条  经营制约</w:t>
      </w:r>
      <w:bookmarkEnd w:id="484"/>
    </w:p>
    <w:p>
      <w:pPr>
        <w:spacing w:line="360" w:lineRule="auto"/>
        <w:ind w:firstLine="480" w:firstLineChars="200"/>
        <w:rPr>
          <w:rFonts w:hint="eastAsia"/>
          <w:color w:val="auto"/>
          <w:sz w:val="24"/>
          <w:szCs w:val="24"/>
          <w:highlight w:val="none"/>
        </w:rPr>
      </w:pPr>
      <w:r>
        <w:rPr>
          <w:rFonts w:hint="eastAsia"/>
          <w:color w:val="auto"/>
          <w:sz w:val="24"/>
          <w:szCs w:val="24"/>
          <w:highlight w:val="none"/>
        </w:rPr>
        <w:t>1、未经甲方同意，乙方无权在承包区域中从事任何广告活动或类似宣传，甲方有权依照广告法和甲方相关的规定责令乙方限期改正，并接受处罚；</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w:t>
      </w:r>
      <w:r>
        <w:rPr>
          <w:rFonts w:hint="eastAsia"/>
          <w:color w:val="auto"/>
          <w:spacing w:val="-2"/>
          <w:sz w:val="24"/>
          <w:szCs w:val="24"/>
          <w:highlight w:val="none"/>
        </w:rPr>
        <w:t>乙方不得以甲方的名义从事任何经济活动，且由此发生的一切债权、债务与甲方无</w:t>
      </w:r>
      <w:r>
        <w:rPr>
          <w:rFonts w:hint="eastAsia"/>
          <w:color w:val="auto"/>
          <w:sz w:val="24"/>
          <w:szCs w:val="24"/>
          <w:highlight w:val="none"/>
        </w:rPr>
        <w:t>关。</w:t>
      </w:r>
    </w:p>
    <w:p>
      <w:pPr>
        <w:spacing w:line="360" w:lineRule="auto"/>
        <w:ind w:firstLine="482" w:firstLineChars="200"/>
        <w:outlineLvl w:val="1"/>
        <w:rPr>
          <w:rFonts w:hint="eastAsia"/>
          <w:b/>
          <w:color w:val="auto"/>
          <w:sz w:val="24"/>
          <w:szCs w:val="24"/>
          <w:highlight w:val="none"/>
        </w:rPr>
      </w:pPr>
      <w:bookmarkStart w:id="485" w:name="_Toc23710"/>
      <w:r>
        <w:rPr>
          <w:rFonts w:hint="eastAsia"/>
          <w:b/>
          <w:color w:val="auto"/>
          <w:sz w:val="24"/>
          <w:szCs w:val="24"/>
          <w:highlight w:val="none"/>
        </w:rPr>
        <w:t>第八条  乙方对甲方作出如下承诺：</w:t>
      </w:r>
      <w:bookmarkEnd w:id="485"/>
    </w:p>
    <w:p>
      <w:pPr>
        <w:spacing w:line="360" w:lineRule="auto"/>
        <w:ind w:firstLine="480" w:firstLineChars="200"/>
        <w:rPr>
          <w:rFonts w:hint="eastAsia"/>
          <w:color w:val="auto"/>
          <w:sz w:val="24"/>
          <w:szCs w:val="24"/>
          <w:highlight w:val="none"/>
        </w:rPr>
      </w:pPr>
      <w:r>
        <w:rPr>
          <w:rFonts w:hint="eastAsia"/>
          <w:color w:val="auto"/>
          <w:sz w:val="24"/>
          <w:szCs w:val="24"/>
          <w:highlight w:val="none"/>
        </w:rPr>
        <w:t>1、在承包区域只从事甲方认可的服务工作。在承包期间，乙方的任何股份配置变动应通知甲方。未经甲方书面批准，任何占有支配地位的股份转让都将视为乙方出租、转让的行为。</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2、在承包区域的各项服务，其工作时间必须满足甲方的工作要求，包括星期天及公众假期。如遇特殊情况，甲方可要求乙方调整工作时间直至全天二十四小时工作。</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3、乙方必须聘请（或指定）一位经理（负责人），全权代表乙方与甲方保持密切联系并保证承包区域服务工作。根据综合考评或工作情况，甲方有权要求乙方在一个星期内更换经理（负责人）及相关人员，更换后人员的资质不得低于原人员资质。乙方一个星期内未更换的，应支付违约金1500 元且甲方有权解除合同并没收乙方的履约保证金，造成甲方损失的，另行赔偿。</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4、为承包区域的服务工作配备承诺的人员及人员数量，甲方不定期抽查乙方投入的人员数量，如果抽查时发现乙方安排在岗的人员数量少于合同约定的数量，甲方可以按缺少人数每人三个月的岗位工资累计扣除合同款。乙方聘用的工作人员必须符合劳动部门有关用工规定，并经乙方相关专业考核合格后持证上岗，甲方有权进行审核，该类费用开支由乙方负担。</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5、在承包期间，乙方所有人员仅与乙方建立劳动合同关系，且所有人员使用须符合《中华人民共和国民法典》的有关规定。乙方人员发生任何事故或与乙方发生劳动争议均由乙方自行全权负责，相关费用乙方自行承担，以保证甲方在乙方人员索赔时不受任何责任的约束。</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6、乙方工作人员上岗穿着由甲方确认的制服及甲方许可的装饰物品，费用和制作均由乙方负担。</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7、乙方必须确保为甲方提供优质、高效的专业服务，并根据甲方要求改变不满意的服务状况。接受有关部门监督与检查。同时，乙方自觉参加甲方认为有助于提高甲方形象的宣传活动。</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8、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附加费全部由乙方承担。</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9、禁止事项</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9.1  乙方不得以任何理由向甲方工作人员支付费用或赠送实物，违者将终止合同。乙方人员也不得以任何形式向甲方相关人员索取小费或钱物等。</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9.2  不得在承包区域住宿或从事非法活动，也不得从事有损甲方利益的活动，同时不允许在承包区域对甲方经营活动进行滋扰性的行为。</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9.3  除经甲方批准进行必要的维修工程外，乙方不得损毁承包区域原有的设施和装潢，不得更改已铺设的电缆、电线等电力装置。同时，也不得安装任何可能造成电缆负载过大的电气设备，以免无线电受干扰。</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9.4  未获甲方书面同意，乙方任何时候都不能在承包区域存放易燃物品、挥发性大或气味浓烈的液体等。</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10、保险</w:t>
      </w:r>
    </w:p>
    <w:p>
      <w:pPr>
        <w:spacing w:line="360" w:lineRule="auto"/>
        <w:ind w:firstLine="480" w:firstLineChars="200"/>
        <w:outlineLvl w:val="2"/>
        <w:rPr>
          <w:rFonts w:hint="eastAsia"/>
          <w:color w:val="auto"/>
          <w:sz w:val="24"/>
          <w:szCs w:val="24"/>
          <w:highlight w:val="none"/>
        </w:rPr>
      </w:pPr>
      <w:bookmarkStart w:id="486" w:name="_Toc13381"/>
      <w:r>
        <w:rPr>
          <w:rFonts w:hint="eastAsia"/>
          <w:color w:val="auto"/>
          <w:sz w:val="24"/>
          <w:szCs w:val="24"/>
          <w:highlight w:val="none"/>
        </w:rPr>
        <w:t>10.1  第三者责任保险</w:t>
      </w:r>
      <w:bookmarkEnd w:id="486"/>
    </w:p>
    <w:p>
      <w:pPr>
        <w:spacing w:line="360" w:lineRule="auto"/>
        <w:ind w:firstLine="480" w:firstLineChars="200"/>
        <w:rPr>
          <w:rFonts w:hint="eastAsia"/>
          <w:color w:val="auto"/>
          <w:sz w:val="24"/>
          <w:szCs w:val="24"/>
          <w:highlight w:val="none"/>
        </w:rPr>
      </w:pPr>
      <w:r>
        <w:rPr>
          <w:rFonts w:hint="eastAsia"/>
          <w:color w:val="auto"/>
          <w:sz w:val="24"/>
          <w:szCs w:val="24"/>
          <w:highlight w:val="none"/>
        </w:rPr>
        <w:t>乙方应对乙方人员以及第三方全权负责（如乙方应投保第三责任险），在乙方的责任区内由于乙方原因导致自己员工或第三方的事故由乙方负责，甲方不承担任何责任。</w:t>
      </w:r>
    </w:p>
    <w:p>
      <w:pPr>
        <w:spacing w:line="360" w:lineRule="auto"/>
        <w:ind w:firstLine="480" w:firstLineChars="200"/>
        <w:outlineLvl w:val="2"/>
        <w:rPr>
          <w:rFonts w:hint="eastAsia"/>
          <w:color w:val="auto"/>
          <w:sz w:val="24"/>
          <w:szCs w:val="24"/>
          <w:highlight w:val="none"/>
        </w:rPr>
      </w:pPr>
      <w:bookmarkStart w:id="487" w:name="_Toc4406"/>
      <w:r>
        <w:rPr>
          <w:rFonts w:hint="eastAsia"/>
          <w:color w:val="auto"/>
          <w:sz w:val="24"/>
          <w:szCs w:val="24"/>
          <w:highlight w:val="none"/>
        </w:rPr>
        <w:t>10.2  员工人身意外</w:t>
      </w:r>
      <w:bookmarkEnd w:id="487"/>
    </w:p>
    <w:p>
      <w:pPr>
        <w:spacing w:line="360" w:lineRule="auto"/>
        <w:ind w:firstLine="480" w:firstLineChars="200"/>
        <w:rPr>
          <w:rFonts w:hint="eastAsia"/>
          <w:color w:val="auto"/>
          <w:sz w:val="24"/>
          <w:szCs w:val="24"/>
          <w:highlight w:val="none"/>
        </w:rPr>
      </w:pPr>
      <w:r>
        <w:rPr>
          <w:rFonts w:hint="eastAsia"/>
          <w:color w:val="auto"/>
          <w:sz w:val="24"/>
          <w:szCs w:val="24"/>
          <w:highlight w:val="none"/>
        </w:rPr>
        <w:t>在承包期内，乙方所有人员的事故由乙方自行全权负责（如乙方应对其员工投保人身意外险），以保证甲方在乙方工作人员索赔时不受任何责任的约束。</w:t>
      </w:r>
    </w:p>
    <w:p>
      <w:pPr>
        <w:spacing w:line="360" w:lineRule="auto"/>
        <w:ind w:firstLine="480" w:firstLineChars="200"/>
        <w:outlineLvl w:val="2"/>
        <w:rPr>
          <w:rFonts w:hint="eastAsia"/>
          <w:color w:val="auto"/>
          <w:sz w:val="24"/>
          <w:szCs w:val="24"/>
          <w:highlight w:val="none"/>
        </w:rPr>
      </w:pPr>
      <w:bookmarkStart w:id="488" w:name="_Toc868"/>
      <w:r>
        <w:rPr>
          <w:rFonts w:hint="eastAsia"/>
          <w:color w:val="auto"/>
          <w:sz w:val="24"/>
          <w:szCs w:val="24"/>
          <w:highlight w:val="none"/>
        </w:rPr>
        <w:t>10.3  其他保险及费用</w:t>
      </w:r>
      <w:bookmarkEnd w:id="488"/>
    </w:p>
    <w:p>
      <w:pPr>
        <w:pStyle w:val="2"/>
        <w:ind w:firstLine="480" w:firstLineChars="200"/>
        <w:jc w:val="both"/>
        <w:rPr>
          <w:rFonts w:hint="eastAsia" w:ascii="宋体" w:hAnsi="宋体" w:eastAsia="宋体" w:cs="宋体"/>
          <w:b w:val="0"/>
          <w:color w:val="auto"/>
          <w:sz w:val="24"/>
          <w:szCs w:val="24"/>
          <w:highlight w:val="none"/>
          <w:lang w:val="en-US" w:eastAsia="zh-CN" w:bidi="ar-SA"/>
        </w:rPr>
      </w:pPr>
      <w:r>
        <w:rPr>
          <w:rFonts w:hint="eastAsia" w:ascii="宋体" w:hAnsi="宋体" w:eastAsia="宋体" w:cs="宋体"/>
          <w:b w:val="0"/>
          <w:color w:val="auto"/>
          <w:sz w:val="24"/>
          <w:szCs w:val="24"/>
          <w:highlight w:val="none"/>
          <w:lang w:val="en-US" w:eastAsia="zh-CN" w:bidi="ar-SA"/>
        </w:rPr>
        <w:t>在承包期内，乙方需要投保公众责任险不低于2万元。</w:t>
      </w:r>
    </w:p>
    <w:p>
      <w:pPr>
        <w:spacing w:line="360" w:lineRule="auto"/>
        <w:ind w:firstLine="480" w:firstLineChars="200"/>
        <w:rPr>
          <w:rFonts w:hint="eastAsia" w:eastAsia="宋体"/>
          <w:color w:val="auto"/>
          <w:lang w:val="en-US" w:eastAsia="zh-CN"/>
        </w:rPr>
      </w:pPr>
      <w:r>
        <w:rPr>
          <w:rFonts w:hint="eastAsia"/>
          <w:color w:val="auto"/>
          <w:sz w:val="24"/>
          <w:szCs w:val="24"/>
          <w:highlight w:val="none"/>
        </w:rPr>
        <w:t>乙方须按《中华人民共和国民法典》和政府有关部门规定为全体服务人员缴纳所有相关的社会保险及其他相关费用。乙方对此全权负责。</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11、乙方及其员工遵守服务范围内的一切行政管理、消防安全等规定和制度，保证承包区域的消防设施能正常使用，消防通道畅通，同时承担违规责任。</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12、遇突发事件或安全检查时，乙方必须配合有关部门执行任务，并指定专职人员协助工作，直至完成。</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13、乙方须积极配合甲方对其进行的物业服务综合考评。</w:t>
      </w:r>
    </w:p>
    <w:p>
      <w:pPr>
        <w:spacing w:line="360" w:lineRule="auto"/>
        <w:ind w:firstLine="482" w:firstLineChars="200"/>
        <w:outlineLvl w:val="1"/>
        <w:rPr>
          <w:rFonts w:hint="eastAsia"/>
          <w:b/>
          <w:color w:val="auto"/>
          <w:sz w:val="24"/>
          <w:szCs w:val="24"/>
          <w:highlight w:val="none"/>
        </w:rPr>
      </w:pPr>
      <w:bookmarkStart w:id="489" w:name="_Toc13257"/>
      <w:r>
        <w:rPr>
          <w:rFonts w:hint="eastAsia"/>
          <w:b/>
          <w:color w:val="auto"/>
          <w:sz w:val="24"/>
          <w:szCs w:val="24"/>
          <w:highlight w:val="none"/>
        </w:rPr>
        <w:t>第九条  甲方对乙方作出如下承诺：</w:t>
      </w:r>
      <w:bookmarkEnd w:id="489"/>
    </w:p>
    <w:p>
      <w:pPr>
        <w:spacing w:line="360" w:lineRule="auto"/>
        <w:ind w:firstLine="480" w:firstLineChars="200"/>
        <w:rPr>
          <w:rFonts w:hint="eastAsia"/>
          <w:color w:val="auto"/>
          <w:sz w:val="24"/>
          <w:szCs w:val="24"/>
          <w:highlight w:val="none"/>
        </w:rPr>
      </w:pPr>
      <w:r>
        <w:rPr>
          <w:rFonts w:hint="eastAsia"/>
          <w:color w:val="auto"/>
          <w:sz w:val="24"/>
          <w:szCs w:val="24"/>
          <w:highlight w:val="none"/>
        </w:rPr>
        <w:t>1、甲方在职权范围内保证乙方的正常经营不受干扰。</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2、保证乙方的员工按规定正常进入承包区域开展服务工作。</w:t>
      </w:r>
    </w:p>
    <w:p>
      <w:pPr>
        <w:spacing w:line="360" w:lineRule="auto"/>
        <w:ind w:firstLine="482" w:firstLineChars="200"/>
        <w:outlineLvl w:val="1"/>
        <w:rPr>
          <w:rFonts w:hint="eastAsia"/>
          <w:b/>
          <w:color w:val="auto"/>
          <w:sz w:val="24"/>
          <w:szCs w:val="24"/>
          <w:highlight w:val="none"/>
        </w:rPr>
      </w:pPr>
      <w:bookmarkStart w:id="490" w:name="_Toc26616"/>
      <w:r>
        <w:rPr>
          <w:rFonts w:hint="eastAsia"/>
          <w:b/>
          <w:color w:val="auto"/>
          <w:sz w:val="24"/>
          <w:szCs w:val="24"/>
          <w:highlight w:val="none"/>
        </w:rPr>
        <w:t>第十条  合同生效和终止：</w:t>
      </w:r>
      <w:bookmarkEnd w:id="490"/>
    </w:p>
    <w:p>
      <w:pPr>
        <w:spacing w:line="360" w:lineRule="auto"/>
        <w:ind w:firstLine="480" w:firstLineChars="200"/>
        <w:rPr>
          <w:rFonts w:hint="eastAsia"/>
          <w:color w:val="auto"/>
          <w:sz w:val="24"/>
          <w:szCs w:val="24"/>
          <w:highlight w:val="none"/>
        </w:rPr>
      </w:pPr>
      <w:r>
        <w:rPr>
          <w:rFonts w:hint="eastAsia"/>
          <w:color w:val="auto"/>
          <w:sz w:val="24"/>
          <w:szCs w:val="24"/>
          <w:highlight w:val="none"/>
        </w:rPr>
        <w:t>1、本合同经甲乙双方法定代表人或其委托人签字盖章。</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2、终止</w:t>
      </w:r>
    </w:p>
    <w:p>
      <w:pPr>
        <w:spacing w:line="360" w:lineRule="auto"/>
        <w:ind w:firstLine="480" w:firstLineChars="200"/>
        <w:outlineLvl w:val="2"/>
        <w:rPr>
          <w:rFonts w:hint="eastAsia"/>
          <w:color w:val="auto"/>
          <w:sz w:val="24"/>
          <w:szCs w:val="24"/>
          <w:highlight w:val="none"/>
        </w:rPr>
      </w:pPr>
      <w:bookmarkStart w:id="491" w:name="_Toc11460"/>
      <w:r>
        <w:rPr>
          <w:rFonts w:hint="eastAsia"/>
          <w:color w:val="auto"/>
          <w:sz w:val="24"/>
          <w:szCs w:val="24"/>
          <w:highlight w:val="none"/>
        </w:rPr>
        <w:t>2.1  提前终止</w:t>
      </w:r>
      <w:bookmarkEnd w:id="491"/>
    </w:p>
    <w:p>
      <w:pPr>
        <w:spacing w:line="360" w:lineRule="auto"/>
        <w:ind w:firstLine="480" w:firstLineChars="200"/>
        <w:rPr>
          <w:rFonts w:hint="eastAsia"/>
          <w:color w:val="auto"/>
          <w:sz w:val="24"/>
          <w:szCs w:val="24"/>
          <w:highlight w:val="none"/>
        </w:rPr>
      </w:pPr>
      <w:r>
        <w:rPr>
          <w:rFonts w:hint="eastAsia"/>
          <w:color w:val="auto"/>
          <w:sz w:val="24"/>
          <w:szCs w:val="24"/>
          <w:highlight w:val="none"/>
        </w:rPr>
        <w:t>2.1.1 因乙方在服务期内连续两次物业服务综合考评未达标，甲方可以单方面终止承包。</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2.1.2 如果乙方在服务期内无理由终止合同，乙方须提前三个月向甲方发出书面通知终止承包，乙方须支付甲方月度承包服务款二</w:t>
      </w:r>
      <w:r>
        <w:rPr>
          <w:rFonts w:hint="eastAsia"/>
          <w:color w:val="auto"/>
          <w:spacing w:val="2"/>
          <w:sz w:val="24"/>
          <w:szCs w:val="24"/>
          <w:highlight w:val="none"/>
        </w:rPr>
        <w:t>倍金额的赔偿金；如果乙方在服务期内突然无理由终止合同，未提前</w:t>
      </w:r>
      <w:r>
        <w:rPr>
          <w:rFonts w:hint="eastAsia"/>
          <w:color w:val="auto"/>
          <w:sz w:val="24"/>
          <w:szCs w:val="24"/>
          <w:highlight w:val="none"/>
        </w:rPr>
        <w:t>三个月向甲方发出书面通知终止承包，乙方须支付给甲方月度承包服务款三倍金额的赔偿金。</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2.1.3 如果乙方在服务期内由于乙方</w:t>
      </w:r>
      <w:r>
        <w:rPr>
          <w:rFonts w:hint="eastAsia"/>
          <w:color w:val="auto"/>
          <w:spacing w:val="-2"/>
          <w:sz w:val="24"/>
          <w:szCs w:val="24"/>
          <w:highlight w:val="none"/>
        </w:rPr>
        <w:t>原因造成重大责任事故或安全事故，甲方可以单方面终止承</w:t>
      </w:r>
      <w:r>
        <w:rPr>
          <w:rFonts w:hint="eastAsia"/>
          <w:color w:val="auto"/>
          <w:sz w:val="24"/>
          <w:szCs w:val="24"/>
          <w:highlight w:val="none"/>
        </w:rPr>
        <w:t>包，且乙方须赔偿给甲方造成的经济损失，并须支付给甲方月度承包服务款五倍金额的赔偿金。</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2.1.4 乙方未能履行合同和</w:t>
      </w:r>
      <w:r>
        <w:rPr>
          <w:rFonts w:hint="eastAsia"/>
          <w:color w:val="auto"/>
          <w:spacing w:val="2"/>
          <w:sz w:val="24"/>
          <w:szCs w:val="24"/>
          <w:highlight w:val="none"/>
        </w:rPr>
        <w:t>遵守有关规定，在甲方发出书面警告后一周内乙方仍无采取补救措施，</w:t>
      </w:r>
      <w:r>
        <w:rPr>
          <w:rFonts w:hint="eastAsia"/>
          <w:color w:val="auto"/>
          <w:sz w:val="24"/>
          <w:szCs w:val="24"/>
          <w:highlight w:val="none"/>
        </w:rPr>
        <w:t>甲方可立即终止承包。</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2.1.5 乙方破产</w:t>
      </w:r>
      <w:r>
        <w:rPr>
          <w:rFonts w:hint="eastAsia"/>
          <w:color w:val="auto"/>
          <w:sz w:val="24"/>
          <w:szCs w:val="24"/>
          <w:highlight w:val="none"/>
          <w:lang w:eastAsia="zh-CN"/>
        </w:rPr>
        <w:t>清理</w:t>
      </w:r>
      <w:r>
        <w:rPr>
          <w:rFonts w:hint="eastAsia"/>
          <w:color w:val="auto"/>
          <w:sz w:val="24"/>
          <w:szCs w:val="24"/>
          <w:highlight w:val="none"/>
        </w:rPr>
        <w:t>、重组及兼并等事实发生，或被债权人接管经营，甲方不必通知乙方即可终止承包。</w:t>
      </w:r>
    </w:p>
    <w:p>
      <w:pPr>
        <w:spacing w:line="360" w:lineRule="auto"/>
        <w:ind w:firstLine="480" w:firstLineChars="200"/>
        <w:outlineLvl w:val="2"/>
        <w:rPr>
          <w:rFonts w:hint="eastAsia"/>
          <w:color w:val="auto"/>
          <w:sz w:val="24"/>
          <w:szCs w:val="24"/>
          <w:highlight w:val="none"/>
        </w:rPr>
      </w:pPr>
      <w:bookmarkStart w:id="492" w:name="_Toc26121"/>
      <w:r>
        <w:rPr>
          <w:rFonts w:hint="eastAsia"/>
          <w:color w:val="auto"/>
          <w:sz w:val="24"/>
          <w:szCs w:val="24"/>
          <w:highlight w:val="none"/>
        </w:rPr>
        <w:t>2.2  协议终止</w:t>
      </w:r>
      <w:bookmarkEnd w:id="492"/>
    </w:p>
    <w:p>
      <w:pPr>
        <w:spacing w:line="360" w:lineRule="auto"/>
        <w:ind w:firstLine="480" w:firstLineChars="200"/>
        <w:rPr>
          <w:rFonts w:hint="eastAsia"/>
          <w:color w:val="auto"/>
          <w:sz w:val="24"/>
          <w:szCs w:val="24"/>
          <w:highlight w:val="none"/>
        </w:rPr>
      </w:pPr>
      <w:r>
        <w:rPr>
          <w:rFonts w:hint="eastAsia"/>
          <w:color w:val="auto"/>
          <w:sz w:val="24"/>
          <w:szCs w:val="24"/>
          <w:highlight w:val="none"/>
        </w:rPr>
        <w:t>经双方协商同意，可在任何时候终止协议。</w:t>
      </w:r>
    </w:p>
    <w:p>
      <w:pPr>
        <w:spacing w:line="360" w:lineRule="auto"/>
        <w:ind w:firstLine="480" w:firstLineChars="200"/>
        <w:outlineLvl w:val="2"/>
        <w:rPr>
          <w:rFonts w:hint="eastAsia"/>
          <w:color w:val="auto"/>
          <w:sz w:val="24"/>
          <w:szCs w:val="24"/>
          <w:highlight w:val="none"/>
        </w:rPr>
      </w:pPr>
      <w:bookmarkStart w:id="493" w:name="_Toc24619"/>
      <w:r>
        <w:rPr>
          <w:rFonts w:hint="eastAsia"/>
          <w:color w:val="auto"/>
          <w:sz w:val="24"/>
          <w:szCs w:val="24"/>
          <w:highlight w:val="none"/>
        </w:rPr>
        <w:t>2.3  自然终止</w:t>
      </w:r>
      <w:bookmarkEnd w:id="493"/>
    </w:p>
    <w:p>
      <w:pPr>
        <w:spacing w:line="360" w:lineRule="auto"/>
        <w:ind w:firstLine="480" w:firstLineChars="200"/>
        <w:rPr>
          <w:rFonts w:hint="eastAsia"/>
          <w:color w:val="auto"/>
          <w:sz w:val="24"/>
          <w:szCs w:val="24"/>
          <w:highlight w:val="none"/>
        </w:rPr>
      </w:pPr>
      <w:r>
        <w:rPr>
          <w:rFonts w:hint="eastAsia"/>
          <w:color w:val="auto"/>
          <w:sz w:val="24"/>
          <w:szCs w:val="24"/>
          <w:highlight w:val="none"/>
        </w:rPr>
        <w:t>合同规定的承包服务期满，</w:t>
      </w:r>
      <w:r>
        <w:rPr>
          <w:rFonts w:hint="eastAsia"/>
          <w:color w:val="auto"/>
          <w:spacing w:val="2"/>
          <w:sz w:val="24"/>
          <w:szCs w:val="24"/>
          <w:highlight w:val="none"/>
        </w:rPr>
        <w:t>承包自然终止</w:t>
      </w:r>
      <w:r>
        <w:rPr>
          <w:rFonts w:hint="eastAsia"/>
          <w:color w:val="auto"/>
          <w:sz w:val="24"/>
          <w:szCs w:val="24"/>
          <w:highlight w:val="none"/>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3. 承包终止后果</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3.1  终止承包，不影响根据合同规定进行的赔偿、补偿，也不影响履约保证金的效力。</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3.2  上述2.1条款的终止，乙方的履约保证金作为违约金支付给甲方。</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3.3  承包终止时，双方应进行结算，甲方同时进行乙方承包区域设施、设备状况检查并要求乙方三天内将乙方物品撤离承包区域，否则甲方将代理处理，乙方支付甲方代理费及10%的手续费。</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4、不放弃权利</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甲方接受乙方的服务，</w:t>
      </w:r>
      <w:r>
        <w:rPr>
          <w:rFonts w:hint="eastAsia"/>
          <w:color w:val="auto"/>
          <w:spacing w:val="2"/>
          <w:sz w:val="24"/>
          <w:szCs w:val="24"/>
          <w:highlight w:val="none"/>
        </w:rPr>
        <w:t>但不放弃对乙方违约行为进行追究的权利；同时，若甲方对乙方某一违约行</w:t>
      </w:r>
      <w:r>
        <w:rPr>
          <w:rFonts w:hint="eastAsia"/>
          <w:color w:val="auto"/>
          <w:sz w:val="24"/>
          <w:szCs w:val="24"/>
          <w:highlight w:val="none"/>
        </w:rPr>
        <w:t>为放弃进行追究的权利，但不放弃对乙方其他违约行为进行追究的权利。</w:t>
      </w:r>
    </w:p>
    <w:p>
      <w:pPr>
        <w:spacing w:line="360" w:lineRule="auto"/>
        <w:ind w:firstLine="482" w:firstLineChars="200"/>
        <w:outlineLvl w:val="1"/>
        <w:rPr>
          <w:rFonts w:hint="eastAsia"/>
          <w:b/>
          <w:color w:val="auto"/>
          <w:sz w:val="24"/>
          <w:szCs w:val="24"/>
          <w:highlight w:val="none"/>
        </w:rPr>
      </w:pPr>
      <w:bookmarkStart w:id="494" w:name="_Toc2339"/>
      <w:r>
        <w:rPr>
          <w:rFonts w:hint="eastAsia"/>
          <w:b/>
          <w:color w:val="auto"/>
          <w:sz w:val="24"/>
          <w:szCs w:val="24"/>
          <w:highlight w:val="none"/>
        </w:rPr>
        <w:t>第十一条  双方权利义务</w:t>
      </w:r>
      <w:bookmarkEnd w:id="494"/>
    </w:p>
    <w:p>
      <w:pPr>
        <w:spacing w:line="360" w:lineRule="auto"/>
        <w:ind w:firstLine="480" w:firstLineChars="200"/>
        <w:outlineLvl w:val="2"/>
        <w:rPr>
          <w:rFonts w:hint="eastAsia"/>
          <w:color w:val="auto"/>
          <w:sz w:val="24"/>
          <w:szCs w:val="24"/>
          <w:highlight w:val="none"/>
        </w:rPr>
      </w:pPr>
      <w:bookmarkStart w:id="495" w:name="_Toc27792"/>
      <w:r>
        <w:rPr>
          <w:rFonts w:hint="eastAsia"/>
          <w:color w:val="auto"/>
          <w:sz w:val="24"/>
          <w:szCs w:val="24"/>
          <w:highlight w:val="none"/>
        </w:rPr>
        <w:t>1、甲方权利义务</w:t>
      </w:r>
      <w:bookmarkEnd w:id="495"/>
    </w:p>
    <w:p>
      <w:pPr>
        <w:spacing w:line="360" w:lineRule="auto"/>
        <w:ind w:firstLine="360" w:firstLineChars="150"/>
        <w:rPr>
          <w:rFonts w:hint="eastAsia"/>
          <w:color w:val="auto"/>
          <w:sz w:val="24"/>
          <w:szCs w:val="24"/>
          <w:highlight w:val="none"/>
        </w:rPr>
      </w:pPr>
      <w:r>
        <w:rPr>
          <w:rFonts w:hint="eastAsia"/>
          <w:color w:val="auto"/>
          <w:sz w:val="24"/>
          <w:szCs w:val="24"/>
          <w:highlight w:val="none"/>
        </w:rPr>
        <w:t>（1）代表和维护产权人、使用人的合法权益；</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（2）审定乙方拟定的物业管理制度；</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（3）检查监督乙方管理工作的实施及制度的执行情况；</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（4）审定乙方提出的物业管理服务年度计划、财务预算及决算；</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（5）负责收集、整理物业管理所需全部图纸、档案、资料，根据管理需要向乙方提供房屋相关资料和设备、设施的安装、使用和维护保养技术资料；</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（6）按期支付物业管理费用；</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（7）在不可预见的情况下，</w:t>
      </w:r>
      <w:r>
        <w:rPr>
          <w:rFonts w:hint="eastAsia"/>
          <w:color w:val="auto"/>
          <w:spacing w:val="2"/>
          <w:sz w:val="24"/>
          <w:szCs w:val="24"/>
          <w:highlight w:val="none"/>
        </w:rPr>
        <w:t>如发生煤气泄漏、漏电、火灾、救助人命、协助公安机关执行任务等突</w:t>
      </w:r>
      <w:r>
        <w:rPr>
          <w:rFonts w:hint="eastAsia"/>
          <w:color w:val="auto"/>
          <w:sz w:val="24"/>
          <w:szCs w:val="24"/>
          <w:highlight w:val="none"/>
        </w:rPr>
        <w:t>发事件的，甲方应积极配合乙方采取必要的紧急避险措施。</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（8）提供乙方所需的办公用房。</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（9）</w:t>
      </w:r>
      <w:r>
        <w:rPr>
          <w:rFonts w:hint="eastAsia"/>
          <w:color w:val="auto"/>
          <w:spacing w:val="2"/>
          <w:sz w:val="24"/>
          <w:szCs w:val="24"/>
          <w:highlight w:val="none"/>
        </w:rPr>
        <w:t>甲方监督乙方依照本合同规定内容所进行的管理和服务活动，</w:t>
      </w:r>
      <w:r>
        <w:rPr>
          <w:rFonts w:hint="eastAsia"/>
          <w:color w:val="auto"/>
          <w:sz w:val="24"/>
          <w:szCs w:val="24"/>
          <w:highlight w:val="none"/>
        </w:rPr>
        <w:t>组织对乙方工作综合考评，如出现乙方管理不善造成甲方重大经济损失的情况，甲方有权终止合同并要求乙方给予赔偿。</w:t>
      </w:r>
    </w:p>
    <w:p>
      <w:pPr>
        <w:spacing w:line="360" w:lineRule="auto"/>
        <w:ind w:firstLine="480" w:firstLineChars="200"/>
        <w:outlineLvl w:val="2"/>
        <w:rPr>
          <w:rFonts w:hint="eastAsia"/>
          <w:color w:val="auto"/>
          <w:sz w:val="24"/>
          <w:szCs w:val="24"/>
          <w:highlight w:val="none"/>
        </w:rPr>
      </w:pPr>
      <w:bookmarkStart w:id="496" w:name="_Toc31225"/>
      <w:r>
        <w:rPr>
          <w:rFonts w:hint="eastAsia"/>
          <w:color w:val="auto"/>
          <w:sz w:val="24"/>
          <w:szCs w:val="24"/>
          <w:highlight w:val="none"/>
        </w:rPr>
        <w:t>2、乙方权利义务</w:t>
      </w:r>
      <w:bookmarkEnd w:id="496"/>
    </w:p>
    <w:p>
      <w:pPr>
        <w:spacing w:line="360" w:lineRule="auto"/>
        <w:ind w:firstLine="360" w:firstLineChars="150"/>
        <w:rPr>
          <w:rFonts w:hint="eastAsia"/>
          <w:color w:val="auto"/>
          <w:sz w:val="24"/>
          <w:szCs w:val="24"/>
          <w:highlight w:val="none"/>
        </w:rPr>
      </w:pPr>
      <w:r>
        <w:rPr>
          <w:rFonts w:hint="eastAsia"/>
          <w:color w:val="auto"/>
          <w:sz w:val="24"/>
          <w:szCs w:val="24"/>
          <w:highlight w:val="none"/>
        </w:rPr>
        <w:t>（1）</w:t>
      </w:r>
      <w:r>
        <w:rPr>
          <w:rFonts w:hint="eastAsia"/>
          <w:color w:val="auto"/>
          <w:spacing w:val="2"/>
          <w:sz w:val="24"/>
          <w:szCs w:val="24"/>
          <w:highlight w:val="none"/>
        </w:rPr>
        <w:t>根据有关法律法规、投标文件及本合同的约定，制订物业</w:t>
      </w:r>
      <w:r>
        <w:rPr>
          <w:rFonts w:hint="eastAsia"/>
          <w:color w:val="auto"/>
          <w:sz w:val="24"/>
          <w:szCs w:val="24"/>
          <w:highlight w:val="none"/>
        </w:rPr>
        <w:t>管理制度、方案，根据甲方核定的物业管理制度、方案自主开展物业日常管理服务活动。</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（2）按甲方要求及时如实向甲方报告物业管理服务实施情况。</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（3）向甲方工作人员和其他使用人告知物业使用的有关规定，并负责监督。</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（4）建立、妥善保管和正确使用本物业相关的管理档案，并负责及时记载有关变更情况；</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（5）对本物业的公用设施不得擅自占用和改变使用功能。</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（6）因乙方在管理中的过错或违反本合同的约定进行管理造成甲方或第三人损失的，乙方应依法承担赔偿责任。</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（7）乙方自行承担办公桌、电脑、打印机、文件柜等自身使用的办公用品及保洁工具、设备、耗材，自行承担所有人员服装费用，但服装样式须经过甲方认可，办公、生活用水、电、通讯费用由乙方自行承担。</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（8）乙方需按时按量催收物业费，未催收成功的物业费从乙方服务费中扣除。</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（9）本合同终止时，乙方必须向甲方移交全部管理用房及物业管理的全部档案资料，确保移交的资料和设备、设施完好无缺。</w:t>
      </w:r>
    </w:p>
    <w:p>
      <w:pPr>
        <w:spacing w:line="360" w:lineRule="auto"/>
        <w:ind w:firstLine="482" w:firstLineChars="200"/>
        <w:outlineLvl w:val="1"/>
        <w:rPr>
          <w:rFonts w:hint="eastAsia"/>
          <w:b/>
          <w:color w:val="auto"/>
          <w:sz w:val="24"/>
          <w:szCs w:val="24"/>
          <w:highlight w:val="none"/>
        </w:rPr>
      </w:pPr>
      <w:bookmarkStart w:id="497" w:name="_Toc29339"/>
      <w:r>
        <w:rPr>
          <w:rFonts w:hint="eastAsia"/>
          <w:b/>
          <w:color w:val="auto"/>
          <w:sz w:val="24"/>
          <w:szCs w:val="24"/>
          <w:highlight w:val="none"/>
        </w:rPr>
        <w:t>第十二条  乙方的人员配置</w:t>
      </w:r>
      <w:bookmarkEnd w:id="497"/>
    </w:p>
    <w:p>
      <w:pPr>
        <w:spacing w:line="360" w:lineRule="auto"/>
        <w:ind w:firstLine="480" w:firstLineChars="200"/>
        <w:rPr>
          <w:rFonts w:hint="eastAsia"/>
          <w:color w:val="auto"/>
          <w:sz w:val="24"/>
          <w:szCs w:val="24"/>
          <w:highlight w:val="none"/>
        </w:rPr>
      </w:pPr>
      <w:r>
        <w:rPr>
          <w:rFonts w:hint="eastAsia"/>
          <w:color w:val="auto"/>
          <w:sz w:val="24"/>
          <w:szCs w:val="24"/>
          <w:highlight w:val="none"/>
        </w:rPr>
        <w:t>1、乙方的人员配置</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1.1  乙方的项目总负责人</w:t>
      </w:r>
      <w:r>
        <w:rPr>
          <w:rFonts w:hint="eastAsia"/>
          <w:color w:val="auto"/>
          <w:sz w:val="24"/>
          <w:szCs w:val="24"/>
          <w:highlight w:val="none"/>
          <w:u w:val="single"/>
        </w:rPr>
        <w:t xml:space="preserve">             </w:t>
      </w:r>
      <w:r>
        <w:rPr>
          <w:rFonts w:hint="eastAsia"/>
          <w:color w:val="auto"/>
          <w:sz w:val="24"/>
          <w:szCs w:val="24"/>
          <w:highlight w:val="none"/>
        </w:rPr>
        <w:t>，身份证号码：</w:t>
      </w:r>
      <w:r>
        <w:rPr>
          <w:rFonts w:hint="eastAsia"/>
          <w:color w:val="auto"/>
          <w:sz w:val="24"/>
          <w:szCs w:val="24"/>
          <w:highlight w:val="none"/>
          <w:u w:val="single"/>
        </w:rPr>
        <w:t xml:space="preserve">                      </w:t>
      </w:r>
      <w:r>
        <w:rPr>
          <w:rFonts w:hint="eastAsia"/>
          <w:color w:val="auto"/>
          <w:sz w:val="24"/>
          <w:szCs w:val="24"/>
          <w:highlight w:val="none"/>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1.2  自合同签订之日起 7 日内，乙方需按中标文件承诺的人员配置提交乙方人员名单及相关身份证、社保证明、资质证明等文件。未在规定时间内提交的，每逾期一日支付违约金500元，超过十日的，甲方有权解除合同并没收乙方的履约保证金。造成甲方损失的，另行赔偿。</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乙方必须采取措施，确保乙方人员稳定，特别是骨干人员。骨干人员变动须经甲方同意，其他人员变动须甲方备案，且更换后人员的资质不得低于原人员资质。未经甲方同意乙方擅自变动骨干人员的，应支付违约金500元/人且甲方有权解除合同并没收乙方的履约保证金，造成甲方损失的，另行赔偿。</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1.3  乙方项目总负责人及各主管须及时与甲方沟通，第一时间报告重大、紧急事件；每月须向甲方汇报上月工作情况，并提供相关报告。</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2、物业人员要求：</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（1）所有相关人员的配备须获得相关主管部门认证的，须配证并持证上岗，且根据不同岗位统一着装。</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（2）所有相关人员要求政治上可靠，身体素质好，无不良行为记录。</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（3）重要岗位人员必须由甲方人事部门考核、政治审查通过方可录用。</w:t>
      </w:r>
    </w:p>
    <w:p>
      <w:pPr>
        <w:spacing w:line="360" w:lineRule="auto"/>
        <w:ind w:firstLine="360" w:firstLineChars="150"/>
        <w:rPr>
          <w:rFonts w:hint="eastAsia"/>
          <w:color w:val="auto"/>
          <w:sz w:val="24"/>
          <w:szCs w:val="24"/>
          <w:highlight w:val="none"/>
        </w:rPr>
      </w:pPr>
      <w:r>
        <w:rPr>
          <w:rFonts w:hint="eastAsia"/>
          <w:color w:val="auto"/>
          <w:sz w:val="24"/>
          <w:szCs w:val="24"/>
          <w:highlight w:val="none"/>
        </w:rPr>
        <w:t>（4）为提高物业管理水平，所有物业人员还需进行相关的培训。除乙方对服务人员的培训外，需接受甲方对服务人员的集中进行培训，培训费用由乙方承担。</w:t>
      </w:r>
    </w:p>
    <w:p>
      <w:pPr>
        <w:spacing w:line="360" w:lineRule="auto"/>
        <w:ind w:firstLine="482" w:firstLineChars="200"/>
        <w:outlineLvl w:val="1"/>
        <w:rPr>
          <w:rFonts w:hint="eastAsia"/>
          <w:b/>
          <w:color w:val="auto"/>
          <w:sz w:val="24"/>
          <w:szCs w:val="24"/>
          <w:highlight w:val="none"/>
        </w:rPr>
      </w:pPr>
      <w:bookmarkStart w:id="498" w:name="_Toc3666"/>
      <w:r>
        <w:rPr>
          <w:rFonts w:hint="eastAsia"/>
          <w:b/>
          <w:color w:val="auto"/>
          <w:sz w:val="24"/>
          <w:szCs w:val="24"/>
          <w:highlight w:val="none"/>
        </w:rPr>
        <w:t>第十三条  诉讼</w:t>
      </w:r>
      <w:bookmarkEnd w:id="498"/>
      <w:r>
        <w:rPr>
          <w:rFonts w:hint="eastAsia"/>
          <w:b/>
          <w:color w:val="auto"/>
          <w:sz w:val="24"/>
          <w:szCs w:val="24"/>
          <w:highlight w:val="none"/>
        </w:rPr>
        <w:t>及其他</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（1）双方在执行合同中所发生的一切争议，应通过协商解决。如协商不成，可向甲方所在地法院起诉。</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（2）若本项目涉及柴油动力移动源的应当符合低排放要求。</w:t>
      </w:r>
    </w:p>
    <w:p>
      <w:pPr>
        <w:spacing w:line="360" w:lineRule="auto"/>
        <w:ind w:firstLine="482" w:firstLineChars="200"/>
        <w:jc w:val="left"/>
        <w:rPr>
          <w:rFonts w:hint="eastAsia"/>
          <w:b/>
          <w:color w:val="auto"/>
          <w:sz w:val="24"/>
          <w:szCs w:val="24"/>
          <w:highlight w:val="none"/>
        </w:rPr>
      </w:pPr>
      <w:r>
        <w:rPr>
          <w:rFonts w:hint="eastAsia"/>
          <w:b/>
          <w:color w:val="auto"/>
          <w:sz w:val="24"/>
          <w:szCs w:val="24"/>
          <w:highlight w:val="none"/>
        </w:rPr>
        <w:t>第十四条  本合同一式</w:t>
      </w:r>
      <w:r>
        <w:rPr>
          <w:rFonts w:hint="eastAsia"/>
          <w:b/>
          <w:color w:val="auto"/>
          <w:sz w:val="24"/>
          <w:szCs w:val="24"/>
          <w:highlight w:val="none"/>
          <w:u w:val="single"/>
        </w:rPr>
        <w:t xml:space="preserve">　　4　 </w:t>
      </w:r>
      <w:r>
        <w:rPr>
          <w:rFonts w:hint="eastAsia"/>
          <w:b/>
          <w:color w:val="auto"/>
          <w:sz w:val="24"/>
          <w:szCs w:val="24"/>
          <w:highlight w:val="none"/>
        </w:rPr>
        <w:t>份，其中正本2份，采购人和中标人各执一份，并由采购人在30日内做好合同创建及备案。</w:t>
      </w:r>
    </w:p>
    <w:tbl>
      <w:tblPr>
        <w:tblStyle w:val="35"/>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4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甲方单位</w:t>
            </w:r>
          </w:p>
        </w:tc>
        <w:tc>
          <w:tcPr>
            <w:tcW w:w="23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（盖章）</w:t>
            </w:r>
          </w:p>
        </w:tc>
        <w:tc>
          <w:tcPr>
            <w:tcW w:w="162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乙方单位</w:t>
            </w:r>
          </w:p>
        </w:tc>
        <w:tc>
          <w:tcPr>
            <w:tcW w:w="27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代表签名</w:t>
            </w:r>
          </w:p>
        </w:tc>
        <w:tc>
          <w:tcPr>
            <w:tcW w:w="23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p>
        </w:tc>
        <w:tc>
          <w:tcPr>
            <w:tcW w:w="162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代表签名</w:t>
            </w:r>
          </w:p>
        </w:tc>
        <w:tc>
          <w:tcPr>
            <w:tcW w:w="27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4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地址</w:t>
            </w:r>
          </w:p>
        </w:tc>
        <w:tc>
          <w:tcPr>
            <w:tcW w:w="23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p>
        </w:tc>
        <w:tc>
          <w:tcPr>
            <w:tcW w:w="162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地址</w:t>
            </w:r>
          </w:p>
        </w:tc>
        <w:tc>
          <w:tcPr>
            <w:tcW w:w="27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电话</w:t>
            </w:r>
          </w:p>
        </w:tc>
        <w:tc>
          <w:tcPr>
            <w:tcW w:w="23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p>
        </w:tc>
        <w:tc>
          <w:tcPr>
            <w:tcW w:w="162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电话</w:t>
            </w:r>
          </w:p>
        </w:tc>
        <w:tc>
          <w:tcPr>
            <w:tcW w:w="27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开户银行</w:t>
            </w:r>
          </w:p>
        </w:tc>
        <w:tc>
          <w:tcPr>
            <w:tcW w:w="23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p>
        </w:tc>
        <w:tc>
          <w:tcPr>
            <w:tcW w:w="162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开户银行</w:t>
            </w:r>
          </w:p>
        </w:tc>
        <w:tc>
          <w:tcPr>
            <w:tcW w:w="27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4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账号</w:t>
            </w:r>
          </w:p>
        </w:tc>
        <w:tc>
          <w:tcPr>
            <w:tcW w:w="234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p>
        </w:tc>
        <w:tc>
          <w:tcPr>
            <w:tcW w:w="162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r>
              <w:rPr>
                <w:rFonts w:hint="eastAsia"/>
                <w:snapToGrid w:val="0"/>
                <w:color w:val="auto"/>
                <w:kern w:val="0"/>
                <w:sz w:val="24"/>
                <w:szCs w:val="24"/>
                <w:highlight w:val="none"/>
              </w:rPr>
              <w:t>账号</w:t>
            </w:r>
          </w:p>
        </w:tc>
        <w:tc>
          <w:tcPr>
            <w:tcW w:w="27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snapToGrid w:val="0"/>
                <w:color w:val="auto"/>
                <w:kern w:val="0"/>
                <w:sz w:val="24"/>
                <w:szCs w:val="24"/>
                <w:highlight w:val="none"/>
              </w:rPr>
            </w:pPr>
          </w:p>
        </w:tc>
      </w:tr>
    </w:tbl>
    <w:p>
      <w:pPr>
        <w:spacing w:line="360" w:lineRule="auto"/>
        <w:jc w:val="center"/>
        <w:outlineLvl w:val="0"/>
        <w:rPr>
          <w:rFonts w:hint="eastAsia"/>
          <w:color w:val="auto"/>
          <w:highlight w:val="none"/>
        </w:rPr>
      </w:pPr>
      <w:r>
        <w:rPr>
          <w:rFonts w:hint="eastAsia"/>
          <w:color w:val="auto"/>
          <w:highlight w:val="none"/>
        </w:rPr>
        <w:br w:type="page"/>
      </w:r>
      <w:bookmarkStart w:id="499" w:name="_Toc30672"/>
    </w:p>
    <w:bookmarkEnd w:id="432"/>
    <w:bookmarkEnd w:id="468"/>
    <w:bookmarkEnd w:id="469"/>
    <w:bookmarkEnd w:id="470"/>
    <w:bookmarkEnd w:id="499"/>
    <w:p>
      <w:pPr>
        <w:spacing w:line="360" w:lineRule="auto"/>
        <w:jc w:val="center"/>
        <w:outlineLvl w:val="0"/>
        <w:rPr>
          <w:rStyle w:val="43"/>
          <w:rFonts w:hint="eastAsia"/>
          <w:color w:val="auto"/>
          <w:highlight w:val="none"/>
        </w:rPr>
      </w:pPr>
      <w:bookmarkStart w:id="500" w:name="_Toc14403"/>
      <w:bookmarkStart w:id="501" w:name="_Toc15982"/>
      <w:r>
        <w:rPr>
          <w:rStyle w:val="43"/>
          <w:rFonts w:hint="eastAsia"/>
          <w:color w:val="auto"/>
          <w:highlight w:val="none"/>
        </w:rPr>
        <w:t>第六部分</w:t>
      </w:r>
      <w:bookmarkEnd w:id="471"/>
      <w:r>
        <w:rPr>
          <w:rStyle w:val="43"/>
          <w:rFonts w:hint="eastAsia"/>
          <w:color w:val="auto"/>
          <w:highlight w:val="none"/>
        </w:rPr>
        <w:t xml:space="preserve"> </w:t>
      </w:r>
      <w:bookmarkEnd w:id="472"/>
      <w:r>
        <w:rPr>
          <w:rStyle w:val="43"/>
          <w:rFonts w:hint="eastAsia"/>
          <w:color w:val="auto"/>
          <w:highlight w:val="none"/>
        </w:rPr>
        <w:t xml:space="preserve"> 应提交的有关格式范例</w:t>
      </w:r>
      <w:bookmarkEnd w:id="500"/>
      <w:bookmarkEnd w:id="501"/>
    </w:p>
    <w:p>
      <w:pPr>
        <w:spacing w:line="360" w:lineRule="auto"/>
        <w:ind w:firstLine="480" w:firstLineChars="200"/>
        <w:rPr>
          <w:rFonts w:hint="eastAsia"/>
          <w:color w:val="auto"/>
          <w:sz w:val="24"/>
          <w:highlight w:val="none"/>
        </w:rPr>
      </w:pPr>
    </w:p>
    <w:p>
      <w:pPr>
        <w:spacing w:line="360" w:lineRule="auto"/>
        <w:ind w:firstLine="480" w:firstLineChars="200"/>
        <w:rPr>
          <w:rFonts w:hint="eastAsia"/>
          <w:color w:val="auto"/>
          <w:sz w:val="24"/>
          <w:highlight w:val="none"/>
        </w:rPr>
      </w:pPr>
      <w:r>
        <w:rPr>
          <w:rFonts w:hint="eastAsia"/>
          <w:color w:val="auto"/>
          <w:sz w:val="24"/>
          <w:highlight w:val="none"/>
        </w:rPr>
        <w:t>投标人按照以下格式编制投标文件，并将资格文件、商务文件、技术文件、报价文件分别上传，并与招标文件的评分要点准确设置关联点。</w:t>
      </w:r>
    </w:p>
    <w:p>
      <w:pPr>
        <w:spacing w:line="360" w:lineRule="auto"/>
        <w:ind w:firstLine="482" w:firstLineChars="200"/>
        <w:rPr>
          <w:rFonts w:hint="eastAsia"/>
          <w:b/>
          <w:color w:val="auto"/>
          <w:sz w:val="24"/>
          <w:highlight w:val="none"/>
        </w:rPr>
      </w:pPr>
      <w:r>
        <w:rPr>
          <w:rFonts w:hint="eastAsia"/>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rPr>
          <w:rFonts w:hint="eastAsia"/>
          <w:b/>
          <w:color w:val="auto"/>
          <w:sz w:val="36"/>
          <w:szCs w:val="36"/>
          <w:highlight w:val="none"/>
        </w:rPr>
      </w:pPr>
      <w:r>
        <w:rPr>
          <w:rFonts w:hint="eastAsia"/>
          <w:b/>
          <w:color w:val="auto"/>
          <w:sz w:val="36"/>
          <w:szCs w:val="36"/>
          <w:highlight w:val="none"/>
        </w:rPr>
        <w:br w:type="page"/>
      </w:r>
      <w:r>
        <w:rPr>
          <w:rFonts w:hint="eastAsia"/>
          <w:b/>
          <w:color w:val="auto"/>
          <w:sz w:val="36"/>
          <w:szCs w:val="36"/>
          <w:highlight w:val="none"/>
        </w:rPr>
        <w:t>资格文件部分</w:t>
      </w:r>
    </w:p>
    <w:p>
      <w:pPr>
        <w:spacing w:line="360" w:lineRule="auto"/>
        <w:jc w:val="center"/>
        <w:rPr>
          <w:rFonts w:hint="eastAsia"/>
          <w:b/>
          <w:color w:val="auto"/>
          <w:sz w:val="36"/>
          <w:szCs w:val="36"/>
          <w:highlight w:val="none"/>
        </w:rPr>
      </w:pPr>
    </w:p>
    <w:p>
      <w:pPr>
        <w:spacing w:line="360" w:lineRule="auto"/>
        <w:jc w:val="center"/>
        <w:rPr>
          <w:rFonts w:hint="eastAsia"/>
          <w:b/>
          <w:color w:val="auto"/>
          <w:sz w:val="36"/>
          <w:szCs w:val="36"/>
          <w:highlight w:val="none"/>
        </w:rPr>
      </w:pPr>
      <w:r>
        <w:rPr>
          <w:rFonts w:hint="eastAsia"/>
          <w:b/>
          <w:color w:val="auto"/>
          <w:sz w:val="36"/>
          <w:szCs w:val="36"/>
          <w:highlight w:val="none"/>
        </w:rPr>
        <w:t>目录</w:t>
      </w:r>
    </w:p>
    <w:p>
      <w:pPr>
        <w:pStyle w:val="60"/>
        <w:numPr>
          <w:ilvl w:val="0"/>
          <w:numId w:val="33"/>
        </w:numPr>
        <w:spacing w:before="0" w:line="360" w:lineRule="auto"/>
        <w:ind w:left="398" w:hanging="398" w:hangingChars="166"/>
        <w:rPr>
          <w:rFonts w:hint="eastAsia"/>
          <w:color w:val="auto"/>
          <w:szCs w:val="24"/>
          <w:highlight w:val="none"/>
        </w:rPr>
      </w:pPr>
      <w:r>
        <w:rPr>
          <w:rFonts w:hint="eastAsia"/>
          <w:color w:val="auto"/>
          <w:szCs w:val="24"/>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pPr>
        <w:pStyle w:val="60"/>
        <w:numPr>
          <w:ilvl w:val="0"/>
          <w:numId w:val="33"/>
        </w:numPr>
        <w:spacing w:before="0" w:line="360" w:lineRule="auto"/>
        <w:ind w:left="398" w:hanging="398" w:hangingChars="166"/>
        <w:rPr>
          <w:rFonts w:hint="eastAsia"/>
          <w:color w:val="auto"/>
          <w:szCs w:val="24"/>
          <w:highlight w:val="none"/>
        </w:rPr>
      </w:pPr>
      <w:r>
        <w:rPr>
          <w:rFonts w:hint="eastAsia"/>
          <w:color w:val="auto"/>
          <w:szCs w:val="24"/>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pPr>
        <w:pStyle w:val="60"/>
        <w:spacing w:before="0" w:line="360" w:lineRule="auto"/>
        <w:ind w:left="478" w:leftChars="239" w:firstLine="84" w:firstLineChars="35"/>
        <w:rPr>
          <w:rFonts w:hint="eastAsia"/>
          <w:color w:val="auto"/>
          <w:szCs w:val="24"/>
          <w:highlight w:val="none"/>
        </w:rPr>
      </w:pPr>
      <w:r>
        <w:rPr>
          <w:rFonts w:hint="eastAsia"/>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pPr>
        <w:pStyle w:val="60"/>
        <w:numPr>
          <w:ilvl w:val="0"/>
          <w:numId w:val="33"/>
        </w:numPr>
        <w:spacing w:before="0" w:line="360" w:lineRule="auto"/>
        <w:ind w:left="398" w:hanging="398" w:hangingChars="166"/>
        <w:rPr>
          <w:rFonts w:hint="eastAsia"/>
          <w:color w:val="auto"/>
          <w:szCs w:val="24"/>
          <w:highlight w:val="none"/>
        </w:rPr>
      </w:pPr>
      <w:r>
        <w:rPr>
          <w:rFonts w:hint="eastAsia"/>
          <w:color w:val="auto"/>
          <w:szCs w:val="24"/>
          <w:highlight w:val="none"/>
        </w:rPr>
        <w:t xml:space="preserve">具有履行合同所必需的产品和专业技术能力的承诺函； </w:t>
      </w:r>
    </w:p>
    <w:p>
      <w:pPr>
        <w:pStyle w:val="60"/>
        <w:numPr>
          <w:ilvl w:val="0"/>
          <w:numId w:val="33"/>
        </w:numPr>
        <w:spacing w:before="0" w:line="360" w:lineRule="auto"/>
        <w:ind w:left="398" w:hanging="398" w:hangingChars="166"/>
        <w:rPr>
          <w:rFonts w:hint="eastAsia"/>
          <w:color w:val="auto"/>
          <w:szCs w:val="24"/>
          <w:highlight w:val="none"/>
        </w:rPr>
      </w:pPr>
      <w:r>
        <w:rPr>
          <w:rFonts w:hint="eastAsia"/>
          <w:color w:val="auto"/>
          <w:szCs w:val="24"/>
          <w:highlight w:val="none"/>
        </w:rPr>
        <w:t xml:space="preserve">投标人承诺函（格式见附件）； </w:t>
      </w:r>
    </w:p>
    <w:p>
      <w:pPr>
        <w:spacing w:line="360" w:lineRule="auto"/>
        <w:ind w:firstLine="480" w:firstLineChars="200"/>
        <w:rPr>
          <w:rFonts w:hint="eastAsia"/>
          <w:color w:val="auto"/>
          <w:sz w:val="24"/>
          <w:highlight w:val="none"/>
        </w:rPr>
      </w:pPr>
    </w:p>
    <w:p>
      <w:pPr>
        <w:pStyle w:val="3"/>
        <w:spacing w:line="360" w:lineRule="auto"/>
        <w:ind w:left="400" w:leftChars="200"/>
        <w:jc w:val="left"/>
        <w:rPr>
          <w:rFonts w:hint="eastAsia"/>
          <w:color w:val="auto"/>
          <w:highlight w:val="none"/>
        </w:rPr>
      </w:pPr>
      <w:bookmarkStart w:id="502" w:name="_Toc24699"/>
      <w:r>
        <w:rPr>
          <w:rFonts w:hint="eastAsia"/>
          <w:color w:val="auto"/>
          <w:highlight w:val="none"/>
        </w:rPr>
        <w:br w:type="page"/>
      </w:r>
      <w:r>
        <w:rPr>
          <w:rFonts w:hint="eastAsia"/>
          <w:bCs/>
          <w:color w:val="auto"/>
          <w:sz w:val="24"/>
          <w:szCs w:val="21"/>
          <w:highlight w:val="none"/>
          <w:lang w:val="zh-CN"/>
        </w:rPr>
        <w:t>附件一：</w:t>
      </w:r>
    </w:p>
    <w:p>
      <w:pPr>
        <w:spacing w:line="360" w:lineRule="auto"/>
        <w:jc w:val="center"/>
        <w:rPr>
          <w:rFonts w:hint="eastAsia"/>
          <w:b/>
          <w:bCs/>
          <w:color w:val="auto"/>
          <w:sz w:val="32"/>
          <w:szCs w:val="32"/>
          <w:highlight w:val="none"/>
        </w:rPr>
      </w:pPr>
      <w:r>
        <w:rPr>
          <w:rFonts w:hint="eastAsia"/>
          <w:b/>
          <w:bCs/>
          <w:color w:val="auto"/>
          <w:sz w:val="32"/>
          <w:szCs w:val="32"/>
          <w:highlight w:val="none"/>
        </w:rPr>
        <w:t>法定代表人授权书</w:t>
      </w:r>
      <w:bookmarkEnd w:id="502"/>
    </w:p>
    <w:p>
      <w:pPr>
        <w:pStyle w:val="7"/>
        <w:spacing w:line="360" w:lineRule="auto"/>
        <w:rPr>
          <w:rFonts w:hint="eastAsia"/>
          <w:color w:val="auto"/>
          <w:highlight w:val="none"/>
        </w:rPr>
      </w:pPr>
    </w:p>
    <w:p>
      <w:pPr>
        <w:spacing w:line="360" w:lineRule="auto"/>
        <w:ind w:firstLine="480" w:firstLineChars="200"/>
        <w:rPr>
          <w:rFonts w:hint="eastAsia"/>
          <w:color w:val="auto"/>
          <w:sz w:val="24"/>
          <w:highlight w:val="none"/>
        </w:rPr>
      </w:pPr>
      <w:r>
        <w:rPr>
          <w:rFonts w:hint="eastAsia"/>
          <w:color w:val="auto"/>
          <w:sz w:val="24"/>
          <w:highlight w:val="none"/>
          <w:lang w:eastAsia="zh-CN"/>
        </w:rPr>
        <w:t>绍兴市上虞区特色小镇投资建设有限公司</w:t>
      </w:r>
      <w:r>
        <w:rPr>
          <w:rFonts w:hint="eastAsia"/>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浙江天平项目咨询有限公司：</w:t>
      </w:r>
    </w:p>
    <w:p>
      <w:pPr>
        <w:spacing w:line="360" w:lineRule="auto"/>
        <w:ind w:firstLine="480" w:firstLineChars="200"/>
        <w:rPr>
          <w:rFonts w:hint="eastAsia"/>
          <w:color w:val="auto"/>
          <w:sz w:val="24"/>
          <w:highlight w:val="none"/>
        </w:rPr>
      </w:pPr>
      <w:r>
        <w:rPr>
          <w:rFonts w:hint="eastAsia"/>
          <w:color w:val="auto"/>
          <w:sz w:val="24"/>
          <w:highlight w:val="none"/>
          <w:u w:val="single"/>
        </w:rPr>
        <w:t xml:space="preserve">  （投标人全称） </w:t>
      </w:r>
      <w:r>
        <w:rPr>
          <w:rFonts w:hint="eastAsia"/>
          <w:color w:val="auto"/>
          <w:sz w:val="24"/>
          <w:highlight w:val="none"/>
        </w:rPr>
        <w:t>法定代表人</w:t>
      </w:r>
      <w:r>
        <w:rPr>
          <w:rFonts w:hint="eastAsia"/>
          <w:color w:val="auto"/>
          <w:sz w:val="24"/>
          <w:highlight w:val="none"/>
          <w:u w:val="single"/>
        </w:rPr>
        <w:t xml:space="preserve">         </w:t>
      </w:r>
      <w:r>
        <w:rPr>
          <w:rFonts w:hint="eastAsia"/>
          <w:color w:val="auto"/>
          <w:sz w:val="24"/>
          <w:highlight w:val="none"/>
        </w:rPr>
        <w:t>授权</w:t>
      </w:r>
      <w:r>
        <w:rPr>
          <w:rFonts w:hint="eastAsia"/>
          <w:color w:val="auto"/>
          <w:sz w:val="24"/>
          <w:highlight w:val="none"/>
          <w:u w:val="single"/>
        </w:rPr>
        <w:t>（授权代表名称）</w:t>
      </w:r>
      <w:r>
        <w:rPr>
          <w:rFonts w:hint="eastAsia"/>
          <w:color w:val="auto"/>
          <w:sz w:val="24"/>
          <w:highlight w:val="none"/>
        </w:rPr>
        <w:t>为授权代表，参加贵处组织的</w:t>
      </w:r>
      <w:r>
        <w:rPr>
          <w:rFonts w:hint="eastAsia"/>
          <w:color w:val="auto"/>
          <w:sz w:val="24"/>
          <w:highlight w:val="none"/>
          <w:u w:val="single"/>
        </w:rPr>
        <w:t xml:space="preserve">         </w:t>
      </w:r>
      <w:r>
        <w:rPr>
          <w:rFonts w:hint="eastAsia"/>
          <w:color w:val="auto"/>
          <w:sz w:val="24"/>
          <w:highlight w:val="none"/>
        </w:rPr>
        <w:t>项目</w:t>
      </w:r>
      <w:r>
        <w:rPr>
          <w:rFonts w:hint="eastAsia"/>
          <w:color w:val="auto"/>
          <w:sz w:val="24"/>
          <w:highlight w:val="none"/>
          <w:u w:val="single"/>
        </w:rPr>
        <w:t>（括号内填写招标编号）</w:t>
      </w:r>
      <w:r>
        <w:rPr>
          <w:rFonts w:hint="eastAsia"/>
          <w:color w:val="auto"/>
          <w:sz w:val="24"/>
          <w:highlight w:val="none"/>
        </w:rPr>
        <w:t>，授权处理招投标活动中的一切事宜。</w:t>
      </w:r>
    </w:p>
    <w:p>
      <w:pPr>
        <w:spacing w:line="360" w:lineRule="auto"/>
        <w:ind w:firstLine="480" w:firstLineChars="200"/>
        <w:rPr>
          <w:rFonts w:hint="eastAsia"/>
          <w:color w:val="auto"/>
          <w:sz w:val="24"/>
          <w:highlight w:val="none"/>
        </w:rPr>
      </w:pPr>
    </w:p>
    <w:p>
      <w:pPr>
        <w:spacing w:line="360" w:lineRule="auto"/>
        <w:ind w:firstLine="480" w:firstLineChars="200"/>
        <w:rPr>
          <w:rFonts w:hint="eastAsia"/>
          <w:color w:val="auto"/>
          <w:sz w:val="24"/>
          <w:highlight w:val="none"/>
        </w:rPr>
      </w:pPr>
      <w:r>
        <w:rPr>
          <w:rFonts w:hint="eastAsia"/>
          <w:color w:val="auto"/>
          <w:sz w:val="24"/>
          <w:highlight w:val="none"/>
        </w:rPr>
        <w:t>法定代表人签字：</w:t>
      </w:r>
    </w:p>
    <w:p>
      <w:pPr>
        <w:spacing w:line="360" w:lineRule="auto"/>
        <w:ind w:firstLine="480" w:firstLineChars="200"/>
        <w:rPr>
          <w:rFonts w:hint="eastAsia"/>
          <w:color w:val="auto"/>
          <w:sz w:val="24"/>
          <w:highlight w:val="none"/>
        </w:rPr>
      </w:pPr>
      <w:r>
        <w:rPr>
          <w:rFonts w:hint="eastAsia"/>
          <w:color w:val="auto"/>
          <w:sz w:val="24"/>
          <w:highlight w:val="none"/>
        </w:rPr>
        <w:t>投标人全称：（盖章）</w:t>
      </w:r>
    </w:p>
    <w:p>
      <w:pPr>
        <w:spacing w:line="360" w:lineRule="auto"/>
        <w:ind w:firstLine="480" w:firstLineChars="200"/>
        <w:rPr>
          <w:rFonts w:hint="eastAsia"/>
          <w:color w:val="auto"/>
          <w:sz w:val="24"/>
          <w:highlight w:val="none"/>
        </w:rPr>
      </w:pPr>
      <w:r>
        <w:rPr>
          <w:rFonts w:hint="eastAsia"/>
          <w:color w:val="auto"/>
          <w:sz w:val="24"/>
          <w:highlight w:val="none"/>
        </w:rPr>
        <w:t>日期：</w:t>
      </w:r>
    </w:p>
    <w:p>
      <w:pPr>
        <w:spacing w:line="360" w:lineRule="auto"/>
        <w:ind w:firstLine="480" w:firstLineChars="200"/>
        <w:rPr>
          <w:rFonts w:hint="eastAsia"/>
          <w:color w:val="auto"/>
          <w:sz w:val="24"/>
          <w:highlight w:val="none"/>
        </w:rPr>
      </w:pPr>
      <w:r>
        <w:rPr>
          <w:rFonts w:hint="eastAsia"/>
          <w:color w:val="auto"/>
          <w:sz w:val="24"/>
          <w:highlight w:val="none"/>
        </w:rPr>
        <w:t>附：</w:t>
      </w:r>
    </w:p>
    <w:p>
      <w:pPr>
        <w:spacing w:line="360" w:lineRule="auto"/>
        <w:ind w:firstLine="480" w:firstLineChars="200"/>
        <w:rPr>
          <w:rFonts w:hint="eastAsia"/>
          <w:color w:val="auto"/>
          <w:sz w:val="24"/>
          <w:highlight w:val="none"/>
        </w:rPr>
      </w:pPr>
      <w:r>
        <w:rPr>
          <w:rFonts w:hint="eastAsia"/>
          <w:color w:val="auto"/>
          <w:sz w:val="24"/>
          <w:highlight w:val="none"/>
        </w:rPr>
        <w:t>授权代表姓名：</w:t>
      </w:r>
    </w:p>
    <w:p>
      <w:pPr>
        <w:spacing w:line="360" w:lineRule="auto"/>
        <w:ind w:firstLine="480" w:firstLineChars="200"/>
        <w:rPr>
          <w:rFonts w:hint="eastAsia"/>
          <w:color w:val="auto"/>
          <w:sz w:val="24"/>
          <w:highlight w:val="none"/>
        </w:rPr>
      </w:pPr>
      <w:r>
        <w:rPr>
          <w:rFonts w:hint="eastAsia"/>
          <w:color w:val="auto"/>
          <w:sz w:val="24"/>
          <w:highlight w:val="none"/>
        </w:rPr>
        <w:t>职务：</w:t>
      </w:r>
    </w:p>
    <w:p>
      <w:pPr>
        <w:spacing w:line="360" w:lineRule="auto"/>
        <w:ind w:firstLine="480" w:firstLineChars="200"/>
        <w:rPr>
          <w:rFonts w:hint="eastAsia"/>
          <w:color w:val="auto"/>
          <w:sz w:val="24"/>
          <w:highlight w:val="none"/>
        </w:rPr>
      </w:pPr>
      <w:r>
        <w:rPr>
          <w:rFonts w:hint="eastAsia"/>
          <w:color w:val="auto"/>
          <w:sz w:val="24"/>
          <w:highlight w:val="none"/>
        </w:rPr>
        <w:t>详细通讯地址：</w:t>
      </w:r>
    </w:p>
    <w:p>
      <w:pPr>
        <w:spacing w:line="360" w:lineRule="auto"/>
        <w:ind w:firstLine="480" w:firstLineChars="200"/>
        <w:rPr>
          <w:rFonts w:hint="eastAsia"/>
          <w:color w:val="auto"/>
          <w:sz w:val="24"/>
          <w:highlight w:val="none"/>
        </w:rPr>
      </w:pPr>
      <w:r>
        <w:rPr>
          <w:rFonts w:hint="eastAsia"/>
          <w:color w:val="auto"/>
          <w:sz w:val="24"/>
          <w:highlight w:val="none"/>
        </w:rPr>
        <w:t>传真：</w:t>
      </w:r>
    </w:p>
    <w:p>
      <w:pPr>
        <w:spacing w:line="360" w:lineRule="auto"/>
        <w:ind w:firstLine="480" w:firstLineChars="200"/>
        <w:rPr>
          <w:rFonts w:hint="eastAsia"/>
          <w:color w:val="auto"/>
          <w:sz w:val="24"/>
          <w:highlight w:val="none"/>
        </w:rPr>
      </w:pPr>
      <w:r>
        <w:rPr>
          <w:rFonts w:hint="eastAsia"/>
          <w:color w:val="auto"/>
          <w:sz w:val="24"/>
          <w:highlight w:val="none"/>
        </w:rPr>
        <w:t>电话：</w:t>
      </w:r>
    </w:p>
    <w:p>
      <w:pPr>
        <w:spacing w:line="360" w:lineRule="auto"/>
        <w:ind w:firstLine="480" w:firstLineChars="200"/>
        <w:rPr>
          <w:rFonts w:hint="eastAsia"/>
          <w:color w:val="auto"/>
          <w:sz w:val="24"/>
          <w:highlight w:val="none"/>
        </w:rPr>
      </w:pPr>
      <w:r>
        <w:rPr>
          <w:rFonts w:hint="eastAsia"/>
          <w:color w:val="auto"/>
          <w:sz w:val="24"/>
          <w:highlight w:val="none"/>
        </w:rPr>
        <w:t>邮政编码：</w:t>
      </w:r>
    </w:p>
    <w:p>
      <w:pPr>
        <w:pStyle w:val="15"/>
        <w:snapToGrid w:val="0"/>
        <w:spacing w:line="360" w:lineRule="auto"/>
        <w:rPr>
          <w:rFonts w:hint="eastAsia" w:hAnsi="宋体" w:cs="宋体"/>
          <w:color w:val="auto"/>
          <w:sz w:val="24"/>
          <w:highlight w:val="none"/>
        </w:rPr>
      </w:pPr>
    </w:p>
    <w:p>
      <w:pPr>
        <w:pStyle w:val="15"/>
        <w:snapToGrid w:val="0"/>
        <w:spacing w:line="360" w:lineRule="auto"/>
        <w:rPr>
          <w:rFonts w:hint="eastAsia" w:hAnsi="宋体" w:cs="宋体"/>
          <w:color w:val="auto"/>
          <w:sz w:val="24"/>
          <w:highlight w:val="none"/>
        </w:rPr>
      </w:pPr>
    </w:p>
    <w:p>
      <w:pPr>
        <w:pStyle w:val="15"/>
        <w:snapToGrid w:val="0"/>
        <w:spacing w:line="360" w:lineRule="auto"/>
        <w:rPr>
          <w:rFonts w:hint="eastAsia" w:hAnsi="宋体" w:cs="宋体"/>
          <w:color w:val="auto"/>
          <w:sz w:val="24"/>
          <w:highlight w:val="none"/>
        </w:rPr>
      </w:pPr>
    </w:p>
    <w:p>
      <w:pPr>
        <w:spacing w:line="360" w:lineRule="auto"/>
        <w:rPr>
          <w:rFonts w:hint="eastAsia"/>
          <w:b/>
          <w:color w:val="auto"/>
          <w:sz w:val="24"/>
          <w:highlight w:val="none"/>
        </w:rPr>
      </w:pPr>
      <w:r>
        <w:rPr>
          <w:rFonts w:hint="eastAsia"/>
          <w:b/>
          <w:color w:val="auto"/>
          <w:sz w:val="24"/>
          <w:highlight w:val="none"/>
        </w:rPr>
        <w:t>附：授权代表身份证复印件（正反面）</w:t>
      </w:r>
    </w:p>
    <w:p>
      <w:pPr>
        <w:spacing w:line="360" w:lineRule="auto"/>
        <w:rPr>
          <w:rFonts w:hint="eastAsia"/>
          <w:b/>
          <w:color w:val="auto"/>
          <w:sz w:val="24"/>
          <w:highlight w:val="none"/>
        </w:rPr>
      </w:pPr>
    </w:p>
    <w:p>
      <w:pPr>
        <w:pStyle w:val="12"/>
        <w:spacing w:line="360" w:lineRule="auto"/>
        <w:ind w:left="400" w:firstLine="486"/>
        <w:rPr>
          <w:rFonts w:hint="eastAsia"/>
          <w:color w:val="auto"/>
          <w:highlight w:val="none"/>
        </w:rPr>
      </w:pPr>
    </w:p>
    <w:p>
      <w:pPr>
        <w:snapToGrid w:val="0"/>
        <w:spacing w:before="50" w:after="156" w:afterLines="50" w:line="360" w:lineRule="auto"/>
        <w:jc w:val="left"/>
        <w:outlineLvl w:val="1"/>
        <w:rPr>
          <w:rFonts w:hint="eastAsia"/>
          <w:b/>
          <w:bCs/>
          <w:color w:val="auto"/>
          <w:sz w:val="24"/>
          <w:highlight w:val="none"/>
          <w:lang w:val="zh-CN"/>
        </w:rPr>
      </w:pPr>
      <w:r>
        <w:rPr>
          <w:rFonts w:hint="eastAsia"/>
          <w:b/>
          <w:bCs/>
          <w:color w:val="auto"/>
          <w:sz w:val="24"/>
          <w:highlight w:val="none"/>
        </w:rPr>
        <w:br w:type="page"/>
      </w:r>
      <w:r>
        <w:rPr>
          <w:rFonts w:hint="eastAsia"/>
          <w:b/>
          <w:bCs/>
          <w:color w:val="auto"/>
          <w:sz w:val="24"/>
          <w:highlight w:val="none"/>
          <w:lang w:val="zh-CN"/>
        </w:rPr>
        <w:t>附件二：</w:t>
      </w:r>
    </w:p>
    <w:p>
      <w:pPr>
        <w:spacing w:line="360" w:lineRule="auto"/>
        <w:jc w:val="center"/>
        <w:rPr>
          <w:b/>
          <w:bCs/>
          <w:color w:val="auto"/>
          <w:sz w:val="32"/>
          <w:szCs w:val="32"/>
          <w:highlight w:val="none"/>
        </w:rPr>
      </w:pPr>
      <w:r>
        <w:rPr>
          <w:rFonts w:hint="eastAsia"/>
          <w:b/>
          <w:bCs/>
          <w:color w:val="auto"/>
          <w:sz w:val="32"/>
          <w:szCs w:val="32"/>
          <w:highlight w:val="none"/>
        </w:rPr>
        <w:t>投</w:t>
      </w:r>
      <w:r>
        <w:rPr>
          <w:b/>
          <w:bCs/>
          <w:color w:val="auto"/>
          <w:sz w:val="32"/>
          <w:szCs w:val="32"/>
          <w:highlight w:val="none"/>
        </w:rPr>
        <w:t xml:space="preserve"> </w:t>
      </w:r>
      <w:r>
        <w:rPr>
          <w:rFonts w:hint="eastAsia"/>
          <w:b/>
          <w:bCs/>
          <w:color w:val="auto"/>
          <w:sz w:val="32"/>
          <w:szCs w:val="32"/>
          <w:highlight w:val="none"/>
        </w:rPr>
        <w:t>标</w:t>
      </w:r>
      <w:r>
        <w:rPr>
          <w:b/>
          <w:bCs/>
          <w:color w:val="auto"/>
          <w:sz w:val="32"/>
          <w:szCs w:val="32"/>
          <w:highlight w:val="none"/>
        </w:rPr>
        <w:t xml:space="preserve"> </w:t>
      </w:r>
      <w:r>
        <w:rPr>
          <w:rFonts w:hint="eastAsia"/>
          <w:b/>
          <w:bCs/>
          <w:color w:val="auto"/>
          <w:sz w:val="32"/>
          <w:szCs w:val="32"/>
          <w:highlight w:val="none"/>
        </w:rPr>
        <w:t>人</w:t>
      </w:r>
      <w:r>
        <w:rPr>
          <w:b/>
          <w:bCs/>
          <w:color w:val="auto"/>
          <w:sz w:val="32"/>
          <w:szCs w:val="32"/>
          <w:highlight w:val="none"/>
        </w:rPr>
        <w:t xml:space="preserve"> </w:t>
      </w:r>
      <w:r>
        <w:rPr>
          <w:rFonts w:hint="eastAsia"/>
          <w:b/>
          <w:bCs/>
          <w:color w:val="auto"/>
          <w:sz w:val="32"/>
          <w:szCs w:val="32"/>
          <w:highlight w:val="none"/>
        </w:rPr>
        <w:t>承</w:t>
      </w:r>
      <w:r>
        <w:rPr>
          <w:b/>
          <w:bCs/>
          <w:color w:val="auto"/>
          <w:sz w:val="32"/>
          <w:szCs w:val="32"/>
          <w:highlight w:val="none"/>
        </w:rPr>
        <w:t xml:space="preserve"> </w:t>
      </w:r>
      <w:r>
        <w:rPr>
          <w:rFonts w:hint="eastAsia"/>
          <w:b/>
          <w:bCs/>
          <w:color w:val="auto"/>
          <w:sz w:val="32"/>
          <w:szCs w:val="32"/>
          <w:highlight w:val="none"/>
        </w:rPr>
        <w:t>诺</w:t>
      </w:r>
      <w:r>
        <w:rPr>
          <w:b/>
          <w:bCs/>
          <w:color w:val="auto"/>
          <w:sz w:val="32"/>
          <w:szCs w:val="32"/>
          <w:highlight w:val="none"/>
        </w:rPr>
        <w:t xml:space="preserve"> </w:t>
      </w:r>
      <w:r>
        <w:rPr>
          <w:rFonts w:hint="eastAsia"/>
          <w:b/>
          <w:bCs/>
          <w:color w:val="auto"/>
          <w:sz w:val="32"/>
          <w:szCs w:val="32"/>
          <w:highlight w:val="none"/>
        </w:rPr>
        <w:t>函</w:t>
      </w:r>
    </w:p>
    <w:p>
      <w:pPr>
        <w:pStyle w:val="11"/>
        <w:spacing w:line="360" w:lineRule="auto"/>
        <w:ind w:left="2000"/>
        <w:rPr>
          <w:color w:val="auto"/>
          <w:highlight w:val="none"/>
        </w:rPr>
      </w:pPr>
    </w:p>
    <w:p>
      <w:pPr>
        <w:spacing w:line="360" w:lineRule="auto"/>
        <w:rPr>
          <w:color w:val="auto"/>
          <w:highlight w:val="none"/>
        </w:rPr>
      </w:pPr>
    </w:p>
    <w:p>
      <w:pPr>
        <w:spacing w:line="360" w:lineRule="auto"/>
        <w:ind w:firstLine="480" w:firstLineChars="200"/>
        <w:rPr>
          <w:color w:val="auto"/>
          <w:sz w:val="24"/>
          <w:szCs w:val="24"/>
          <w:highlight w:val="none"/>
          <w:u w:val="single"/>
        </w:rPr>
      </w:pPr>
      <w:r>
        <w:rPr>
          <w:rFonts w:hint="eastAsia"/>
          <w:color w:val="auto"/>
          <w:sz w:val="24"/>
          <w:highlight w:val="none"/>
          <w:u w:val="single"/>
          <w:lang w:eastAsia="zh-CN"/>
        </w:rPr>
        <w:t>绍兴市上虞区特色小镇投资建设有限公司</w:t>
      </w:r>
      <w:r>
        <w:rPr>
          <w:rFonts w:hint="eastAsia"/>
          <w:color w:val="auto"/>
          <w:sz w:val="24"/>
          <w:szCs w:val="24"/>
          <w:highlight w:val="none"/>
          <w:u w:val="single"/>
        </w:rPr>
        <w:t>：</w:t>
      </w:r>
    </w:p>
    <w:p>
      <w:pPr>
        <w:spacing w:line="360" w:lineRule="auto"/>
        <w:ind w:firstLine="480" w:firstLineChars="200"/>
        <w:rPr>
          <w:color w:val="auto"/>
          <w:sz w:val="24"/>
          <w:szCs w:val="24"/>
          <w:highlight w:val="none"/>
          <w:u w:val="single"/>
        </w:rPr>
      </w:pPr>
      <w:r>
        <w:rPr>
          <w:rFonts w:hint="eastAsia"/>
          <w:color w:val="auto"/>
          <w:sz w:val="24"/>
          <w:szCs w:val="24"/>
          <w:highlight w:val="none"/>
          <w:u w:val="single"/>
        </w:rPr>
        <w:t>浙江天平项目咨询有限公司：</w:t>
      </w:r>
    </w:p>
    <w:p>
      <w:pPr>
        <w:spacing w:line="360" w:lineRule="auto"/>
        <w:ind w:firstLine="480" w:firstLineChars="200"/>
        <w:rPr>
          <w:color w:val="auto"/>
          <w:sz w:val="24"/>
          <w:highlight w:val="none"/>
        </w:rPr>
      </w:pPr>
      <w:r>
        <w:rPr>
          <w:rFonts w:hint="eastAsia"/>
          <w:color w:val="auto"/>
          <w:sz w:val="24"/>
          <w:highlight w:val="none"/>
          <w:u w:val="single"/>
        </w:rPr>
        <w:t>（投标人名称）</w:t>
      </w:r>
      <w:r>
        <w:rPr>
          <w:rFonts w:hint="eastAsia"/>
          <w:color w:val="auto"/>
          <w:sz w:val="24"/>
          <w:highlight w:val="none"/>
        </w:rPr>
        <w:t>系中华人民共和国合法企业，经营地址。</w:t>
      </w:r>
    </w:p>
    <w:p>
      <w:pPr>
        <w:spacing w:line="360" w:lineRule="auto"/>
        <w:ind w:firstLine="480" w:firstLineChars="200"/>
        <w:rPr>
          <w:color w:val="auto"/>
          <w:sz w:val="24"/>
          <w:highlight w:val="none"/>
        </w:rPr>
      </w:pPr>
      <w:r>
        <w:rPr>
          <w:rFonts w:hint="eastAsia"/>
          <w:color w:val="auto"/>
          <w:sz w:val="24"/>
          <w:highlight w:val="none"/>
        </w:rPr>
        <w:t>我</w:t>
      </w:r>
      <w:r>
        <w:rPr>
          <w:rFonts w:hint="eastAsia"/>
          <w:color w:val="auto"/>
          <w:sz w:val="24"/>
          <w:highlight w:val="none"/>
          <w:u w:val="single"/>
        </w:rPr>
        <w:t>（姓名）</w:t>
      </w:r>
      <w:r>
        <w:rPr>
          <w:rFonts w:hint="eastAsia"/>
          <w:color w:val="auto"/>
          <w:sz w:val="24"/>
          <w:highlight w:val="none"/>
        </w:rPr>
        <w:t>系</w:t>
      </w:r>
      <w:r>
        <w:rPr>
          <w:rFonts w:hint="eastAsia"/>
          <w:color w:val="auto"/>
          <w:sz w:val="24"/>
          <w:highlight w:val="none"/>
          <w:u w:val="single"/>
        </w:rPr>
        <w:t>（投标人名称）</w:t>
      </w:r>
      <w:r>
        <w:rPr>
          <w:rFonts w:hint="eastAsia"/>
          <w:color w:val="auto"/>
          <w:sz w:val="24"/>
          <w:highlight w:val="none"/>
        </w:rPr>
        <w:t>的法定代表人，我方愿意参加贵方组织的</w:t>
      </w:r>
      <w:r>
        <w:rPr>
          <w:rFonts w:hint="eastAsia"/>
          <w:color w:val="auto"/>
          <w:sz w:val="24"/>
          <w:highlight w:val="none"/>
          <w:u w:val="single"/>
        </w:rPr>
        <w:t>（招标项目名称）（编号为）</w:t>
      </w:r>
      <w:r>
        <w:rPr>
          <w:rFonts w:hint="eastAsia"/>
          <w:color w:val="auto"/>
          <w:sz w:val="24"/>
          <w:highlight w:val="none"/>
        </w:rPr>
        <w:t>的投标，为此，我方就本次投标有关事项郑重承诺如下：</w:t>
      </w:r>
    </w:p>
    <w:p>
      <w:pPr>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、我方已详细审查全部招标文件，同意招标文件的各项要求。</w:t>
      </w:r>
    </w:p>
    <w:p>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、我方向贵方提交的所有投标文件、资料都是准确的和真实的。</w:t>
      </w:r>
    </w:p>
    <w:p>
      <w:pPr>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、若中标，我方将按招标文件规定履行合同责任和义务。</w:t>
      </w:r>
    </w:p>
    <w:p>
      <w:pPr>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、我方不是采购人的附属机构；在获知本项目采购信息后，与采购人聘请的为此项目提供咨询服务的公司及其附属机构没有任何联系。</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、投标文件自开标日起有效期为</w:t>
      </w:r>
      <w:r>
        <w:rPr>
          <w:color w:val="auto"/>
          <w:sz w:val="24"/>
          <w:highlight w:val="none"/>
        </w:rPr>
        <w:t>90</w:t>
      </w:r>
      <w:r>
        <w:rPr>
          <w:rFonts w:hint="eastAsia"/>
          <w:color w:val="auto"/>
          <w:sz w:val="24"/>
          <w:highlight w:val="none"/>
        </w:rPr>
        <w:t>天。</w:t>
      </w:r>
    </w:p>
    <w:p>
      <w:pPr>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、我方参与本项目前</w:t>
      </w:r>
      <w:r>
        <w:rPr>
          <w:color w:val="auto"/>
          <w:sz w:val="24"/>
          <w:highlight w:val="none"/>
        </w:rPr>
        <w:t>3</w:t>
      </w:r>
      <w:r>
        <w:rPr>
          <w:rFonts w:hint="eastAsia"/>
          <w:color w:val="auto"/>
          <w:sz w:val="24"/>
          <w:highlight w:val="none"/>
        </w:rPr>
        <w:t>年内的经营活动中没有重大违法记录；</w:t>
      </w:r>
    </w:p>
    <w:p>
      <w:pPr>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、我方通过“信用中国”网站（</w:t>
      </w:r>
      <w:r>
        <w:rPr>
          <w:color w:val="auto"/>
          <w:sz w:val="24"/>
          <w:highlight w:val="none"/>
        </w:rPr>
        <w:t>www.creditchina.gov.cn</w:t>
      </w:r>
      <w:r>
        <w:rPr>
          <w:rFonts w:hint="eastAsia"/>
          <w:color w:val="auto"/>
          <w:sz w:val="24"/>
          <w:highlight w:val="none"/>
        </w:rPr>
        <w:t>）、中国政府采购网（</w:t>
      </w:r>
      <w:r>
        <w:rPr>
          <w:color w:val="auto"/>
          <w:sz w:val="24"/>
          <w:highlight w:val="none"/>
        </w:rPr>
        <w:t>www.ccgp.gov.cn</w:t>
      </w:r>
      <w:r>
        <w:rPr>
          <w:rFonts w:hint="eastAsia"/>
          <w:color w:val="auto"/>
          <w:sz w:val="24"/>
          <w:highlight w:val="none"/>
        </w:rPr>
        <w:t>）查询，未被列入失信被执行人、重大税收违法案件当事人名单、政府采购严重违法失信行为记录名单。</w:t>
      </w:r>
    </w:p>
    <w:p>
      <w:pPr>
        <w:pStyle w:val="60"/>
        <w:spacing w:before="0" w:line="360" w:lineRule="auto"/>
        <w:ind w:firstLine="480"/>
        <w:jc w:val="left"/>
        <w:rPr>
          <w:color w:val="auto"/>
          <w:szCs w:val="24"/>
          <w:highlight w:val="none"/>
        </w:rPr>
      </w:pPr>
      <w:r>
        <w:rPr>
          <w:color w:val="auto"/>
          <w:highlight w:val="none"/>
        </w:rPr>
        <w:t>8</w:t>
      </w:r>
      <w:r>
        <w:rPr>
          <w:rFonts w:hint="eastAsia"/>
          <w:color w:val="auto"/>
          <w:highlight w:val="none"/>
        </w:rPr>
        <w:t>、</w:t>
      </w:r>
      <w:r>
        <w:rPr>
          <w:rFonts w:hint="eastAsia"/>
          <w:color w:val="auto"/>
          <w:szCs w:val="24"/>
          <w:highlight w:val="none"/>
        </w:rPr>
        <w:t>具有良好的商业信誉和健全的财务会计制度；</w:t>
      </w:r>
    </w:p>
    <w:p>
      <w:pPr>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、具有依法缴纳税收和社会保障资金的良好记录；</w:t>
      </w:r>
    </w:p>
    <w:p>
      <w:pPr>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、以上事项如有虚假或隐瞒，我方愿意承担一切后果，并不再寻求任何旨在减轻或免除法律责任的辩解。</w:t>
      </w:r>
    </w:p>
    <w:p>
      <w:pPr>
        <w:pStyle w:val="12"/>
        <w:spacing w:line="360" w:lineRule="auto"/>
        <w:ind w:left="400"/>
        <w:rPr>
          <w:color w:val="auto"/>
          <w:highlight w:val="none"/>
        </w:rPr>
      </w:pPr>
    </w:p>
    <w:p>
      <w:pPr>
        <w:spacing w:line="360" w:lineRule="auto"/>
        <w:ind w:left="3600" w:leftChars="1800" w:firstLine="480" w:firstLineChars="200"/>
        <w:rPr>
          <w:color w:val="auto"/>
          <w:sz w:val="24"/>
          <w:highlight w:val="none"/>
        </w:rPr>
      </w:pPr>
      <w:r>
        <w:rPr>
          <w:rFonts w:hint="eastAsia"/>
          <w:color w:val="auto"/>
          <w:sz w:val="24"/>
          <w:highlight w:val="none"/>
        </w:rPr>
        <w:t>法定代表人签名（或签名章）：</w:t>
      </w:r>
      <w:r>
        <w:rPr>
          <w:color w:val="auto"/>
          <w:sz w:val="24"/>
          <w:highlight w:val="none"/>
        </w:rPr>
        <w:t xml:space="preserve">                       </w:t>
      </w:r>
    </w:p>
    <w:p>
      <w:pPr>
        <w:spacing w:line="360" w:lineRule="auto"/>
        <w:ind w:left="3600" w:leftChars="1800" w:firstLine="480" w:firstLineChars="200"/>
        <w:rPr>
          <w:color w:val="auto"/>
          <w:sz w:val="24"/>
          <w:highlight w:val="none"/>
        </w:rPr>
      </w:pPr>
      <w:r>
        <w:rPr>
          <w:rFonts w:hint="eastAsia"/>
          <w:color w:val="auto"/>
          <w:sz w:val="24"/>
          <w:highlight w:val="none"/>
        </w:rPr>
        <w:t>日</w:t>
      </w:r>
      <w:r>
        <w:rPr>
          <w:color w:val="auto"/>
          <w:sz w:val="24"/>
          <w:highlight w:val="none"/>
        </w:rPr>
        <w:t xml:space="preserve"> </w:t>
      </w:r>
      <w:r>
        <w:rPr>
          <w:rFonts w:hint="eastAsia"/>
          <w:color w:val="auto"/>
          <w:sz w:val="24"/>
          <w:highlight w:val="none"/>
        </w:rPr>
        <w:t>期：</w:t>
      </w:r>
    </w:p>
    <w:p>
      <w:pPr>
        <w:spacing w:line="360" w:lineRule="auto"/>
        <w:ind w:left="3600" w:leftChars="1800" w:firstLine="480" w:firstLineChars="200"/>
        <w:rPr>
          <w:color w:val="auto"/>
          <w:sz w:val="24"/>
          <w:highlight w:val="none"/>
        </w:rPr>
      </w:pPr>
      <w:r>
        <w:rPr>
          <w:rFonts w:hint="eastAsia"/>
          <w:color w:val="auto"/>
          <w:sz w:val="24"/>
          <w:highlight w:val="none"/>
        </w:rPr>
        <w:t>投标人全称（公章）：</w:t>
      </w:r>
    </w:p>
    <w:p>
      <w:pPr>
        <w:pStyle w:val="12"/>
        <w:spacing w:line="360" w:lineRule="auto"/>
        <w:ind w:left="0" w:leftChars="0"/>
        <w:rPr>
          <w:rFonts w:hint="eastAsia"/>
          <w:color w:val="auto"/>
          <w:sz w:val="28"/>
          <w:szCs w:val="28"/>
          <w:highlight w:val="none"/>
        </w:rPr>
      </w:pPr>
    </w:p>
    <w:p>
      <w:pPr>
        <w:spacing w:line="360" w:lineRule="auto"/>
        <w:rPr>
          <w:rFonts w:hint="eastAsia"/>
          <w:b/>
          <w:color w:val="auto"/>
          <w:sz w:val="24"/>
          <w:szCs w:val="24"/>
          <w:highlight w:val="none"/>
        </w:rPr>
      </w:pPr>
    </w:p>
    <w:p>
      <w:pPr>
        <w:spacing w:line="360" w:lineRule="auto"/>
        <w:jc w:val="center"/>
        <w:rPr>
          <w:rFonts w:hint="eastAsia"/>
          <w:b/>
          <w:color w:val="auto"/>
          <w:sz w:val="36"/>
          <w:szCs w:val="36"/>
          <w:highlight w:val="none"/>
        </w:rPr>
      </w:pPr>
      <w:r>
        <w:rPr>
          <w:rFonts w:hint="eastAsia"/>
          <w:b/>
          <w:color w:val="auto"/>
          <w:sz w:val="36"/>
          <w:szCs w:val="36"/>
          <w:highlight w:val="none"/>
        </w:rPr>
        <w:t>技术文件</w:t>
      </w:r>
    </w:p>
    <w:p>
      <w:pPr>
        <w:spacing w:line="360" w:lineRule="auto"/>
        <w:jc w:val="center"/>
        <w:rPr>
          <w:rFonts w:hint="eastAsia"/>
          <w:b/>
          <w:color w:val="auto"/>
          <w:sz w:val="36"/>
          <w:szCs w:val="36"/>
          <w:highlight w:val="none"/>
        </w:rPr>
      </w:pPr>
    </w:p>
    <w:p>
      <w:pPr>
        <w:spacing w:line="360" w:lineRule="auto"/>
        <w:jc w:val="center"/>
        <w:rPr>
          <w:rFonts w:hint="eastAsia"/>
          <w:b/>
          <w:color w:val="auto"/>
          <w:sz w:val="36"/>
          <w:szCs w:val="36"/>
          <w:highlight w:val="none"/>
        </w:rPr>
      </w:pPr>
      <w:r>
        <w:rPr>
          <w:rFonts w:hint="eastAsia"/>
          <w:b/>
          <w:color w:val="auto"/>
          <w:sz w:val="36"/>
          <w:szCs w:val="36"/>
          <w:highlight w:val="none"/>
        </w:rPr>
        <w:t>目  录</w:t>
      </w:r>
    </w:p>
    <w:p>
      <w:pPr>
        <w:pStyle w:val="12"/>
        <w:spacing w:line="360" w:lineRule="auto"/>
        <w:ind w:left="400" w:firstLine="486"/>
        <w:rPr>
          <w:rFonts w:hint="eastAsia"/>
          <w:color w:val="auto"/>
          <w:sz w:val="24"/>
          <w:szCs w:val="24"/>
          <w:highlight w:val="none"/>
        </w:rPr>
      </w:pP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评分对应表（格式见附件，主要用于评委对应评分内容）；</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投标项目明细清单（含货物、服务等）（格式见附件）；</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技术响应及建议表（格式见附件）；</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项目组人员清单（格式见附件）；</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物业管理组织架构及管理制度；</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物业保洁、保安、接待、服务方案（包括垃圾分类）与经验；</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机构节能工作方案及经验；</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安全服务工作方案及经验；</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物业突发事件的应急措施；</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项目实施的人员安排情况；</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耗材质量；</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设施设备投入方案；</w:t>
      </w:r>
    </w:p>
    <w:p>
      <w:pPr>
        <w:pStyle w:val="60"/>
        <w:numPr>
          <w:ilvl w:val="0"/>
          <w:numId w:val="34"/>
        </w:numPr>
        <w:tabs>
          <w:tab w:val="left" w:pos="0"/>
        </w:tabs>
        <w:spacing w:before="0" w:line="360" w:lineRule="auto"/>
        <w:ind w:left="0" w:leftChars="0" w:firstLine="480" w:firstLineChars="200"/>
        <w:rPr>
          <w:rFonts w:hint="eastAsia"/>
          <w:color w:val="auto"/>
          <w:sz w:val="24"/>
          <w:szCs w:val="24"/>
          <w:highlight w:val="none"/>
          <w:lang w:bidi="ar"/>
        </w:rPr>
      </w:pPr>
      <w:r>
        <w:rPr>
          <w:rFonts w:hint="eastAsia"/>
          <w:color w:val="auto"/>
          <w:sz w:val="24"/>
          <w:szCs w:val="24"/>
          <w:highlight w:val="none"/>
          <w:lang w:bidi="ar"/>
        </w:rPr>
        <w:t>培训能力、经验及机制</w:t>
      </w:r>
      <w:r>
        <w:rPr>
          <w:rFonts w:hint="eastAsia"/>
          <w:color w:val="auto"/>
          <w:sz w:val="24"/>
          <w:szCs w:val="24"/>
          <w:highlight w:val="none"/>
          <w:lang w:eastAsia="zh-CN" w:bidi="ar"/>
        </w:rPr>
        <w:t>。</w:t>
      </w:r>
    </w:p>
    <w:p>
      <w:pPr>
        <w:pStyle w:val="12"/>
        <w:spacing w:line="360" w:lineRule="auto"/>
        <w:ind w:left="400" w:firstLine="566"/>
        <w:rPr>
          <w:rFonts w:hint="eastAsia"/>
          <w:color w:val="auto"/>
          <w:sz w:val="28"/>
          <w:szCs w:val="28"/>
          <w:highlight w:val="none"/>
        </w:rPr>
      </w:pPr>
    </w:p>
    <w:p>
      <w:pPr>
        <w:pStyle w:val="12"/>
        <w:spacing w:line="360" w:lineRule="auto"/>
        <w:ind w:left="0" w:leftChars="0"/>
        <w:jc w:val="left"/>
        <w:rPr>
          <w:rFonts w:hint="eastAsia"/>
          <w:b/>
          <w:bCs/>
          <w:color w:val="auto"/>
          <w:sz w:val="24"/>
          <w:highlight w:val="none"/>
          <w:lang w:val="zh-CN"/>
        </w:rPr>
      </w:pPr>
      <w:r>
        <w:rPr>
          <w:rFonts w:hint="eastAsia"/>
          <w:color w:val="auto"/>
          <w:sz w:val="28"/>
          <w:szCs w:val="28"/>
          <w:highlight w:val="none"/>
        </w:rPr>
        <w:br w:type="page"/>
      </w:r>
      <w:bookmarkStart w:id="503" w:name="_Toc10131"/>
      <w:r>
        <w:rPr>
          <w:rFonts w:hint="eastAsia"/>
          <w:b/>
          <w:bCs/>
          <w:color w:val="auto"/>
          <w:sz w:val="24"/>
          <w:highlight w:val="none"/>
          <w:lang w:val="zh-CN"/>
        </w:rPr>
        <w:t>附件三：</w:t>
      </w:r>
    </w:p>
    <w:p>
      <w:pPr>
        <w:pStyle w:val="12"/>
        <w:spacing w:line="360" w:lineRule="auto"/>
        <w:ind w:left="0" w:leftChars="0" w:firstLine="3534" w:firstLineChars="1100"/>
        <w:jc w:val="left"/>
        <w:rPr>
          <w:rFonts w:hint="eastAsia"/>
          <w:b/>
          <w:bCs/>
          <w:color w:val="auto"/>
          <w:sz w:val="32"/>
          <w:szCs w:val="32"/>
          <w:highlight w:val="none"/>
        </w:rPr>
      </w:pPr>
      <w:r>
        <w:rPr>
          <w:rFonts w:hint="eastAsia"/>
          <w:b/>
          <w:bCs/>
          <w:color w:val="auto"/>
          <w:sz w:val="32"/>
          <w:szCs w:val="32"/>
          <w:highlight w:val="none"/>
        </w:rPr>
        <w:t>评分对应表</w:t>
      </w:r>
    </w:p>
    <w:p>
      <w:pPr>
        <w:snapToGrid w:val="0"/>
        <w:spacing w:before="50" w:line="360" w:lineRule="auto"/>
        <w:jc w:val="center"/>
        <w:rPr>
          <w:rFonts w:hint="eastAsia"/>
          <w:b/>
          <w:color w:val="auto"/>
          <w:sz w:val="32"/>
          <w:szCs w:val="32"/>
          <w:highlight w:val="none"/>
        </w:rPr>
      </w:pPr>
    </w:p>
    <w:p>
      <w:pPr>
        <w:spacing w:line="360" w:lineRule="auto"/>
        <w:ind w:firstLine="480" w:firstLineChars="200"/>
        <w:rPr>
          <w:rFonts w:hint="eastAsia"/>
          <w:color w:val="auto"/>
          <w:sz w:val="24"/>
          <w:highlight w:val="none"/>
        </w:rPr>
      </w:pPr>
      <w:r>
        <w:rPr>
          <w:rFonts w:hint="eastAsia"/>
          <w:color w:val="auto"/>
          <w:sz w:val="24"/>
          <w:highlight w:val="none"/>
        </w:rPr>
        <w:t>项目名称：</w:t>
      </w:r>
    </w:p>
    <w:p>
      <w:pPr>
        <w:spacing w:line="360" w:lineRule="auto"/>
        <w:ind w:firstLine="480" w:firstLineChars="200"/>
        <w:rPr>
          <w:rFonts w:hint="eastAsia"/>
          <w:color w:val="auto"/>
          <w:sz w:val="24"/>
          <w:highlight w:val="none"/>
        </w:rPr>
      </w:pPr>
      <w:r>
        <w:rPr>
          <w:rFonts w:hint="eastAsia"/>
          <w:color w:val="auto"/>
          <w:sz w:val="24"/>
          <w:highlight w:val="none"/>
        </w:rPr>
        <w:t>采购编号：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对应评分办法及评分标准</w:t>
            </w:r>
          </w:p>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80" w:firstLineChars="200"/>
              <w:jc w:val="center"/>
              <w:rPr>
                <w:rFonts w:hint="eastAsia"/>
                <w:color w:val="auto"/>
                <w:kern w:val="2"/>
                <w:sz w:val="24"/>
                <w:highlight w:val="none"/>
              </w:rPr>
            </w:pPr>
          </w:p>
        </w:tc>
      </w:tr>
    </w:tbl>
    <w:p>
      <w:pPr>
        <w:spacing w:line="360" w:lineRule="auto"/>
        <w:ind w:firstLine="480" w:firstLineChars="200"/>
        <w:rPr>
          <w:rFonts w:hint="eastAsia"/>
          <w:color w:val="auto"/>
          <w:sz w:val="24"/>
          <w:highlight w:val="none"/>
        </w:rPr>
      </w:pPr>
    </w:p>
    <w:p>
      <w:pPr>
        <w:spacing w:line="360" w:lineRule="auto"/>
        <w:ind w:left="3600" w:leftChars="1800" w:firstLine="480" w:firstLineChars="200"/>
        <w:rPr>
          <w:rFonts w:hint="eastAsia"/>
          <w:color w:val="auto"/>
          <w:sz w:val="24"/>
          <w:highlight w:val="none"/>
        </w:rPr>
      </w:pPr>
    </w:p>
    <w:p>
      <w:pPr>
        <w:spacing w:line="360" w:lineRule="auto"/>
        <w:ind w:left="3600" w:leftChars="1800" w:firstLine="480" w:firstLineChars="200"/>
        <w:rPr>
          <w:rFonts w:hint="eastAsia"/>
          <w:color w:val="auto"/>
          <w:sz w:val="24"/>
          <w:highlight w:val="none"/>
        </w:rPr>
      </w:pPr>
      <w:r>
        <w:rPr>
          <w:rFonts w:hint="eastAsia"/>
          <w:color w:val="auto"/>
          <w:sz w:val="24"/>
          <w:highlight w:val="none"/>
        </w:rPr>
        <w:t xml:space="preserve">法定代表人签名（或签名章）：                       </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日 期：</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投标人全称（公章）：</w:t>
      </w:r>
    </w:p>
    <w:p>
      <w:pPr>
        <w:pStyle w:val="3"/>
        <w:spacing w:line="360" w:lineRule="auto"/>
        <w:jc w:val="left"/>
        <w:rPr>
          <w:rFonts w:hint="eastAsia"/>
          <w:color w:val="auto"/>
          <w:highlight w:val="none"/>
        </w:rPr>
      </w:pPr>
      <w:r>
        <w:rPr>
          <w:rFonts w:hint="eastAsia"/>
          <w:color w:val="auto"/>
          <w:highlight w:val="none"/>
        </w:rPr>
        <w:br w:type="page"/>
      </w:r>
      <w:r>
        <w:rPr>
          <w:rFonts w:hint="eastAsia"/>
          <w:bCs/>
          <w:color w:val="auto"/>
          <w:sz w:val="24"/>
          <w:szCs w:val="21"/>
          <w:highlight w:val="none"/>
          <w:lang w:val="zh-CN"/>
        </w:rPr>
        <w:t>附件四：</w:t>
      </w:r>
    </w:p>
    <w:bookmarkEnd w:id="503"/>
    <w:p>
      <w:pPr>
        <w:spacing w:line="360" w:lineRule="auto"/>
        <w:jc w:val="center"/>
        <w:rPr>
          <w:rFonts w:hint="eastAsia"/>
          <w:b/>
          <w:bCs/>
          <w:color w:val="auto"/>
          <w:sz w:val="32"/>
          <w:szCs w:val="32"/>
          <w:highlight w:val="none"/>
        </w:rPr>
      </w:pPr>
      <w:r>
        <w:rPr>
          <w:rFonts w:hint="eastAsia"/>
          <w:b/>
          <w:bCs/>
          <w:color w:val="auto"/>
          <w:sz w:val="32"/>
          <w:szCs w:val="32"/>
          <w:highlight w:val="none"/>
        </w:rPr>
        <w:t>投标项目明细清单</w:t>
      </w:r>
    </w:p>
    <w:p>
      <w:pPr>
        <w:spacing w:line="360" w:lineRule="auto"/>
        <w:ind w:firstLine="480" w:firstLineChars="200"/>
        <w:rPr>
          <w:rFonts w:hint="eastAsia"/>
          <w:color w:val="auto"/>
          <w:sz w:val="24"/>
          <w:highlight w:val="none"/>
        </w:rPr>
      </w:pPr>
    </w:p>
    <w:p>
      <w:pPr>
        <w:spacing w:line="360" w:lineRule="auto"/>
        <w:ind w:firstLine="480" w:firstLineChars="200"/>
        <w:rPr>
          <w:rFonts w:hint="eastAsia"/>
          <w:color w:val="auto"/>
          <w:sz w:val="24"/>
          <w:highlight w:val="none"/>
        </w:rPr>
      </w:pPr>
      <w:r>
        <w:rPr>
          <w:rFonts w:hint="eastAsia"/>
          <w:color w:val="auto"/>
          <w:sz w:val="24"/>
          <w:highlight w:val="none"/>
        </w:rPr>
        <w:t>项目名称：</w:t>
      </w:r>
    </w:p>
    <w:p>
      <w:pPr>
        <w:spacing w:line="360" w:lineRule="auto"/>
        <w:ind w:firstLine="480" w:firstLineChars="200"/>
        <w:rPr>
          <w:rFonts w:hint="eastAsia"/>
          <w:color w:val="auto"/>
          <w:sz w:val="24"/>
          <w:highlight w:val="none"/>
        </w:rPr>
      </w:pPr>
      <w:r>
        <w:rPr>
          <w:rFonts w:hint="eastAsia"/>
          <w:color w:val="auto"/>
          <w:sz w:val="24"/>
          <w:highlight w:val="none"/>
        </w:rPr>
        <w:t>采购编号：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480" w:right="0" w:hanging="480"/>
              <w:jc w:val="center"/>
              <w:rPr>
                <w:rFonts w:hint="eastAsia"/>
                <w:color w:val="auto"/>
                <w:kern w:val="2"/>
                <w:sz w:val="24"/>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480" w:right="0" w:hanging="480"/>
              <w:jc w:val="center"/>
              <w:rPr>
                <w:rFonts w:hint="eastAsia"/>
                <w:color w:val="auto"/>
                <w:kern w:val="2"/>
                <w:sz w:val="24"/>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bl>
    <w:p>
      <w:pPr>
        <w:snapToGrid w:val="0"/>
        <w:spacing w:before="156" w:beforeLines="50" w:line="360" w:lineRule="auto"/>
        <w:ind w:firstLine="480" w:firstLineChars="200"/>
        <w:rPr>
          <w:rFonts w:hint="eastAsia"/>
          <w:color w:val="auto"/>
          <w:sz w:val="24"/>
          <w:highlight w:val="none"/>
        </w:rPr>
      </w:pPr>
      <w:r>
        <w:rPr>
          <w:rFonts w:hint="eastAsia"/>
          <w:color w:val="auto"/>
          <w:sz w:val="24"/>
          <w:highlight w:val="none"/>
        </w:rPr>
        <w:t>注：在填写时，如上表不适合本项目的实际情况，可在确保投标明细内容完整的情况下，根据上表格式自行划表填写。</w:t>
      </w:r>
    </w:p>
    <w:p>
      <w:pPr>
        <w:pStyle w:val="12"/>
        <w:spacing w:line="360" w:lineRule="auto"/>
        <w:ind w:left="400"/>
        <w:rPr>
          <w:rFonts w:hint="eastAsia"/>
          <w:color w:val="auto"/>
          <w:sz w:val="24"/>
          <w:highlight w:val="none"/>
        </w:rPr>
      </w:pPr>
    </w:p>
    <w:p>
      <w:pPr>
        <w:pStyle w:val="12"/>
        <w:spacing w:line="360" w:lineRule="auto"/>
        <w:ind w:left="400"/>
        <w:rPr>
          <w:rFonts w:hint="eastAsia"/>
          <w:color w:val="auto"/>
          <w:sz w:val="24"/>
          <w:highlight w:val="none"/>
        </w:rPr>
      </w:pPr>
    </w:p>
    <w:p>
      <w:pPr>
        <w:pStyle w:val="12"/>
        <w:spacing w:line="360" w:lineRule="auto"/>
        <w:ind w:left="400"/>
        <w:rPr>
          <w:rFonts w:hint="eastAsia"/>
          <w:color w:val="auto"/>
          <w:sz w:val="24"/>
          <w:highlight w:val="none"/>
        </w:rPr>
      </w:pPr>
    </w:p>
    <w:p>
      <w:pPr>
        <w:snapToGrid w:val="0"/>
        <w:spacing w:before="156" w:beforeLines="50" w:line="360" w:lineRule="auto"/>
        <w:rPr>
          <w:rFonts w:hint="eastAsia"/>
          <w:color w:val="auto"/>
          <w:sz w:val="24"/>
          <w:highlight w:val="none"/>
        </w:rPr>
      </w:pPr>
    </w:p>
    <w:p>
      <w:pPr>
        <w:spacing w:line="360" w:lineRule="auto"/>
        <w:ind w:left="3600" w:leftChars="1800" w:firstLine="480" w:firstLineChars="200"/>
        <w:rPr>
          <w:rFonts w:hint="eastAsia"/>
          <w:color w:val="auto"/>
          <w:sz w:val="24"/>
          <w:highlight w:val="none"/>
        </w:rPr>
      </w:pPr>
      <w:r>
        <w:rPr>
          <w:rFonts w:hint="eastAsia"/>
          <w:color w:val="auto"/>
          <w:sz w:val="24"/>
          <w:highlight w:val="none"/>
        </w:rPr>
        <w:t xml:space="preserve">法定代表人签名（或签名章）：                       </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日 期：</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投标人全称（公章）：</w:t>
      </w:r>
    </w:p>
    <w:p>
      <w:pPr>
        <w:snapToGrid w:val="0"/>
        <w:spacing w:before="50" w:after="50" w:line="360" w:lineRule="auto"/>
        <w:rPr>
          <w:rFonts w:hint="eastAsia"/>
          <w:color w:val="auto"/>
          <w:spacing w:val="20"/>
          <w:sz w:val="24"/>
          <w:highlight w:val="none"/>
        </w:rPr>
      </w:pPr>
    </w:p>
    <w:p>
      <w:pPr>
        <w:snapToGrid w:val="0"/>
        <w:spacing w:before="50" w:after="50" w:line="360" w:lineRule="auto"/>
        <w:rPr>
          <w:rFonts w:hint="eastAsia"/>
          <w:color w:val="auto"/>
          <w:spacing w:val="20"/>
          <w:sz w:val="30"/>
          <w:szCs w:val="30"/>
          <w:highlight w:val="none"/>
        </w:rPr>
      </w:pPr>
    </w:p>
    <w:p>
      <w:pPr>
        <w:pStyle w:val="12"/>
        <w:spacing w:line="360" w:lineRule="auto"/>
        <w:ind w:left="400" w:firstLine="686"/>
        <w:rPr>
          <w:rFonts w:hint="eastAsia"/>
          <w:color w:val="auto"/>
          <w:spacing w:val="20"/>
          <w:sz w:val="30"/>
          <w:szCs w:val="30"/>
          <w:highlight w:val="none"/>
        </w:rPr>
      </w:pPr>
    </w:p>
    <w:p>
      <w:pPr>
        <w:pStyle w:val="12"/>
        <w:spacing w:line="360" w:lineRule="auto"/>
        <w:ind w:left="400" w:firstLine="686"/>
        <w:rPr>
          <w:rFonts w:hint="eastAsia"/>
          <w:color w:val="auto"/>
          <w:spacing w:val="20"/>
          <w:sz w:val="30"/>
          <w:szCs w:val="30"/>
          <w:highlight w:val="none"/>
        </w:rPr>
      </w:pPr>
    </w:p>
    <w:p>
      <w:pPr>
        <w:pStyle w:val="12"/>
        <w:spacing w:line="360" w:lineRule="auto"/>
        <w:ind w:left="400" w:firstLine="686"/>
        <w:rPr>
          <w:rFonts w:hint="eastAsia"/>
          <w:color w:val="auto"/>
          <w:spacing w:val="20"/>
          <w:sz w:val="30"/>
          <w:szCs w:val="30"/>
          <w:highlight w:val="none"/>
        </w:rPr>
      </w:pPr>
    </w:p>
    <w:p>
      <w:pPr>
        <w:pStyle w:val="3"/>
        <w:spacing w:line="360" w:lineRule="auto"/>
        <w:jc w:val="left"/>
        <w:rPr>
          <w:rFonts w:hint="eastAsia"/>
          <w:color w:val="auto"/>
          <w:highlight w:val="none"/>
        </w:rPr>
      </w:pPr>
      <w:bookmarkStart w:id="504" w:name="_Toc2823"/>
      <w:r>
        <w:rPr>
          <w:rFonts w:hint="eastAsia"/>
          <w:color w:val="auto"/>
          <w:highlight w:val="none"/>
        </w:rPr>
        <w:br w:type="page"/>
      </w:r>
      <w:r>
        <w:rPr>
          <w:rFonts w:hint="eastAsia"/>
          <w:bCs/>
          <w:color w:val="auto"/>
          <w:sz w:val="24"/>
          <w:szCs w:val="21"/>
          <w:highlight w:val="none"/>
          <w:lang w:val="zh-CN"/>
        </w:rPr>
        <w:t>附件五：</w:t>
      </w:r>
    </w:p>
    <w:p>
      <w:pPr>
        <w:spacing w:line="360" w:lineRule="auto"/>
        <w:jc w:val="center"/>
        <w:rPr>
          <w:rFonts w:hint="eastAsia"/>
          <w:b/>
          <w:bCs/>
          <w:color w:val="auto"/>
          <w:sz w:val="32"/>
          <w:szCs w:val="32"/>
          <w:highlight w:val="none"/>
        </w:rPr>
      </w:pPr>
      <w:r>
        <w:rPr>
          <w:rFonts w:hint="eastAsia"/>
          <w:b/>
          <w:bCs/>
          <w:color w:val="auto"/>
          <w:sz w:val="32"/>
          <w:szCs w:val="32"/>
          <w:highlight w:val="none"/>
        </w:rPr>
        <w:t>技术响应及建议表</w:t>
      </w:r>
      <w:bookmarkEnd w:id="504"/>
    </w:p>
    <w:p>
      <w:pPr>
        <w:spacing w:line="360" w:lineRule="auto"/>
        <w:ind w:firstLine="480" w:firstLineChars="200"/>
        <w:rPr>
          <w:rFonts w:hint="eastAsia"/>
          <w:color w:val="auto"/>
          <w:sz w:val="24"/>
          <w:highlight w:val="none"/>
        </w:rPr>
      </w:pPr>
      <w:r>
        <w:rPr>
          <w:rFonts w:hint="eastAsia"/>
          <w:color w:val="auto"/>
          <w:sz w:val="24"/>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项目名称：</w:t>
      </w:r>
    </w:p>
    <w:p>
      <w:pPr>
        <w:spacing w:line="360" w:lineRule="auto"/>
        <w:ind w:firstLine="480" w:firstLineChars="200"/>
        <w:rPr>
          <w:rFonts w:hint="eastAsia"/>
          <w:color w:val="auto"/>
          <w:sz w:val="24"/>
          <w:highlight w:val="none"/>
        </w:rPr>
      </w:pPr>
      <w:r>
        <w:rPr>
          <w:rFonts w:hint="eastAsia"/>
          <w:color w:val="auto"/>
          <w:sz w:val="24"/>
          <w:highlight w:val="none"/>
        </w:rPr>
        <w:t>采购编号：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序号</w:t>
            </w:r>
          </w:p>
        </w:tc>
        <w:tc>
          <w:tcPr>
            <w:tcW w:w="144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名称</w:t>
            </w:r>
          </w:p>
        </w:tc>
        <w:tc>
          <w:tcPr>
            <w:tcW w:w="198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招标文件要求</w:t>
            </w:r>
          </w:p>
        </w:tc>
        <w:tc>
          <w:tcPr>
            <w:tcW w:w="25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标准文件响应</w:t>
            </w:r>
          </w:p>
        </w:tc>
        <w:tc>
          <w:tcPr>
            <w:tcW w:w="1953"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44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98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25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953"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44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98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25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953"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44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98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25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953"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44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98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25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953"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44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98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2520"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953" w:type="dxa"/>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投标建议</w:t>
            </w:r>
          </w:p>
        </w:tc>
        <w:tc>
          <w:tcPr>
            <w:tcW w:w="645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bl>
    <w:p>
      <w:pPr>
        <w:snapToGrid w:val="0"/>
        <w:spacing w:line="360" w:lineRule="auto"/>
        <w:rPr>
          <w:rFonts w:hint="eastAsia"/>
          <w:color w:val="auto"/>
          <w:sz w:val="24"/>
          <w:highlight w:val="none"/>
        </w:rPr>
      </w:pPr>
    </w:p>
    <w:p>
      <w:pPr>
        <w:pStyle w:val="15"/>
        <w:spacing w:line="360" w:lineRule="auto"/>
        <w:rPr>
          <w:rFonts w:hint="eastAsia" w:hAnsi="宋体" w:cs="宋体"/>
          <w:color w:val="auto"/>
          <w:sz w:val="24"/>
          <w:highlight w:val="none"/>
        </w:rPr>
      </w:pPr>
      <w:r>
        <w:rPr>
          <w:rFonts w:hint="eastAsia" w:hAnsi="宋体" w:cs="宋体"/>
          <w:color w:val="auto"/>
          <w:sz w:val="24"/>
          <w:highlight w:val="none"/>
        </w:rPr>
        <w:t>注：名称可基于采购需求根据投标人实际情况调整。</w:t>
      </w:r>
    </w:p>
    <w:p>
      <w:pPr>
        <w:spacing w:line="360" w:lineRule="auto"/>
        <w:rPr>
          <w:rFonts w:hint="eastAsia"/>
          <w:color w:val="auto"/>
          <w:sz w:val="24"/>
          <w:highlight w:val="none"/>
        </w:rPr>
      </w:pPr>
    </w:p>
    <w:p>
      <w:pPr>
        <w:pStyle w:val="12"/>
        <w:spacing w:line="360" w:lineRule="auto"/>
        <w:ind w:left="400"/>
        <w:rPr>
          <w:rFonts w:hint="eastAsia"/>
          <w:color w:val="auto"/>
          <w:highlight w:val="none"/>
        </w:rPr>
      </w:pPr>
    </w:p>
    <w:p>
      <w:pPr>
        <w:snapToGrid w:val="0"/>
        <w:spacing w:line="360" w:lineRule="auto"/>
        <w:rPr>
          <w:rFonts w:hint="eastAsia"/>
          <w:color w:val="auto"/>
          <w:sz w:val="24"/>
          <w:highlight w:val="none"/>
        </w:rPr>
      </w:pPr>
    </w:p>
    <w:p>
      <w:pPr>
        <w:spacing w:line="360" w:lineRule="auto"/>
        <w:ind w:left="3600" w:leftChars="1800" w:firstLine="480" w:firstLineChars="200"/>
        <w:rPr>
          <w:rFonts w:hint="eastAsia"/>
          <w:color w:val="auto"/>
          <w:sz w:val="24"/>
          <w:highlight w:val="none"/>
        </w:rPr>
      </w:pPr>
      <w:r>
        <w:rPr>
          <w:rFonts w:hint="eastAsia"/>
          <w:color w:val="auto"/>
          <w:sz w:val="24"/>
          <w:highlight w:val="none"/>
        </w:rPr>
        <w:t xml:space="preserve">法定代表人签名（或签名章）：                       </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日 期：</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投标人全称（公章）：</w:t>
      </w:r>
    </w:p>
    <w:p>
      <w:pPr>
        <w:snapToGrid w:val="0"/>
        <w:spacing w:before="50" w:after="50" w:line="360" w:lineRule="auto"/>
        <w:outlineLvl w:val="1"/>
        <w:rPr>
          <w:rFonts w:hint="eastAsia"/>
          <w:b/>
          <w:bCs/>
          <w:color w:val="auto"/>
          <w:sz w:val="24"/>
          <w:highlight w:val="none"/>
          <w:lang w:val="zh-CN"/>
        </w:rPr>
      </w:pPr>
      <w:r>
        <w:rPr>
          <w:rFonts w:hint="eastAsia"/>
          <w:color w:val="auto"/>
          <w:highlight w:val="none"/>
        </w:rPr>
        <w:br w:type="page"/>
      </w:r>
      <w:r>
        <w:rPr>
          <w:rFonts w:hint="eastAsia"/>
          <w:b/>
          <w:bCs/>
          <w:color w:val="auto"/>
          <w:sz w:val="24"/>
          <w:highlight w:val="none"/>
          <w:lang w:val="zh-CN"/>
        </w:rPr>
        <w:t>附件六：</w:t>
      </w:r>
    </w:p>
    <w:p>
      <w:pPr>
        <w:spacing w:line="360" w:lineRule="auto"/>
        <w:jc w:val="center"/>
        <w:rPr>
          <w:rFonts w:hint="eastAsia"/>
          <w:b/>
          <w:color w:val="auto"/>
          <w:sz w:val="30"/>
          <w:szCs w:val="30"/>
          <w:highlight w:val="none"/>
        </w:rPr>
      </w:pPr>
      <w:r>
        <w:rPr>
          <w:rFonts w:hint="eastAsia"/>
          <w:b/>
          <w:bCs/>
          <w:color w:val="auto"/>
          <w:sz w:val="32"/>
          <w:szCs w:val="32"/>
          <w:highlight w:val="none"/>
        </w:rPr>
        <w:t>项目组人员清单</w:t>
      </w:r>
    </w:p>
    <w:p>
      <w:pPr>
        <w:spacing w:line="360" w:lineRule="auto"/>
        <w:ind w:firstLine="480" w:firstLineChars="200"/>
        <w:rPr>
          <w:rFonts w:hint="eastAsia"/>
          <w:color w:val="auto"/>
          <w:sz w:val="24"/>
          <w:highlight w:val="none"/>
        </w:rPr>
      </w:pPr>
      <w:r>
        <w:rPr>
          <w:rFonts w:hint="eastAsia"/>
          <w:color w:val="auto"/>
          <w:sz w:val="24"/>
          <w:highlight w:val="none"/>
        </w:rPr>
        <w:t>项目名称：</w:t>
      </w:r>
    </w:p>
    <w:p>
      <w:pPr>
        <w:spacing w:line="360" w:lineRule="auto"/>
        <w:ind w:firstLine="480" w:firstLineChars="200"/>
        <w:rPr>
          <w:rFonts w:hint="eastAsia"/>
          <w:color w:val="auto"/>
          <w:sz w:val="24"/>
          <w:highlight w:val="none"/>
        </w:rPr>
      </w:pPr>
      <w:r>
        <w:rPr>
          <w:rFonts w:hint="eastAsia"/>
          <w:color w:val="auto"/>
          <w:sz w:val="24"/>
          <w:highlight w:val="none"/>
        </w:rPr>
        <w:t>采购编号：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7"/>
              <w:keepNext w:val="0"/>
              <w:keepLines w:val="0"/>
              <w:suppressLineNumbers w:val="0"/>
              <w:snapToGrid w:val="0"/>
              <w:spacing w:before="156" w:beforeLines="50" w:beforeAutospacing="0" w:after="50" w:afterAutospacing="0" w:line="360" w:lineRule="auto"/>
              <w:ind w:left="5000" w:right="0"/>
              <w:rPr>
                <w:rFonts w:hint="eastAsia"/>
                <w:color w:val="auto"/>
                <w:kern w:val="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50" w:afterAutospacing="0" w:line="360" w:lineRule="auto"/>
              <w:ind w:left="0" w:right="0"/>
              <w:rPr>
                <w:rFonts w:hint="eastAsia"/>
                <w:color w:val="auto"/>
                <w:kern w:val="2"/>
                <w:sz w:val="24"/>
                <w:highlight w:val="none"/>
              </w:rPr>
            </w:pPr>
          </w:p>
        </w:tc>
      </w:tr>
    </w:tbl>
    <w:p>
      <w:pPr>
        <w:adjustRightInd w:val="0"/>
        <w:snapToGrid w:val="0"/>
        <w:spacing w:line="360" w:lineRule="auto"/>
        <w:jc w:val="left"/>
        <w:rPr>
          <w:rFonts w:hint="eastAsia"/>
          <w:color w:val="auto"/>
          <w:sz w:val="24"/>
          <w:highlight w:val="none"/>
        </w:rPr>
      </w:pPr>
    </w:p>
    <w:p>
      <w:pPr>
        <w:adjustRightInd w:val="0"/>
        <w:snapToGrid w:val="0"/>
        <w:spacing w:line="360" w:lineRule="auto"/>
        <w:ind w:firstLine="480" w:firstLineChars="200"/>
        <w:jc w:val="left"/>
        <w:rPr>
          <w:rFonts w:hint="eastAsia"/>
          <w:color w:val="auto"/>
          <w:sz w:val="24"/>
          <w:highlight w:val="none"/>
        </w:rPr>
      </w:pPr>
      <w:r>
        <w:rPr>
          <w:rFonts w:hint="eastAsia"/>
          <w:color w:val="auto"/>
          <w:sz w:val="24"/>
          <w:highlight w:val="none"/>
        </w:rPr>
        <w:t xml:space="preserve">注：在填写时，如本表格不适合投标单位的实际情况，可根据本表格式自行划表填写。 </w:t>
      </w:r>
    </w:p>
    <w:p>
      <w:pPr>
        <w:snapToGrid w:val="0"/>
        <w:spacing w:before="50" w:after="156" w:afterLines="50" w:line="360" w:lineRule="auto"/>
        <w:jc w:val="left"/>
        <w:rPr>
          <w:rFonts w:hint="eastAsia"/>
          <w:color w:val="auto"/>
          <w:sz w:val="24"/>
          <w:highlight w:val="none"/>
        </w:rPr>
      </w:pPr>
    </w:p>
    <w:p>
      <w:pPr>
        <w:pStyle w:val="12"/>
        <w:spacing w:line="360" w:lineRule="auto"/>
        <w:ind w:left="400"/>
        <w:rPr>
          <w:rFonts w:hint="eastAsia"/>
          <w:color w:val="auto"/>
          <w:highlight w:val="none"/>
        </w:rPr>
      </w:pPr>
    </w:p>
    <w:p>
      <w:pPr>
        <w:spacing w:line="360" w:lineRule="auto"/>
        <w:ind w:left="3600" w:leftChars="1800" w:firstLine="480" w:firstLineChars="200"/>
        <w:rPr>
          <w:rFonts w:hint="eastAsia"/>
          <w:color w:val="auto"/>
          <w:sz w:val="24"/>
          <w:highlight w:val="none"/>
        </w:rPr>
      </w:pPr>
      <w:r>
        <w:rPr>
          <w:rFonts w:hint="eastAsia"/>
          <w:color w:val="auto"/>
          <w:sz w:val="24"/>
          <w:highlight w:val="none"/>
        </w:rPr>
        <w:t xml:space="preserve">法定代表人签名（或签名章）：                       </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日 期：</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投标人全称（公章）：</w:t>
      </w:r>
    </w:p>
    <w:p>
      <w:pPr>
        <w:pStyle w:val="2"/>
        <w:spacing w:line="360" w:lineRule="auto"/>
        <w:rPr>
          <w:rFonts w:hint="eastAsia"/>
          <w:color w:val="auto"/>
          <w:sz w:val="24"/>
          <w:highlight w:val="none"/>
        </w:rPr>
      </w:pPr>
    </w:p>
    <w:p>
      <w:pPr>
        <w:spacing w:line="360" w:lineRule="auto"/>
        <w:rPr>
          <w:rFonts w:hint="eastAsia"/>
          <w:color w:val="auto"/>
          <w:sz w:val="24"/>
          <w:highlight w:val="none"/>
        </w:rPr>
      </w:pPr>
    </w:p>
    <w:p>
      <w:pPr>
        <w:pStyle w:val="2"/>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jc w:val="center"/>
        <w:rPr>
          <w:rFonts w:hint="eastAsia"/>
          <w:b/>
          <w:color w:val="auto"/>
          <w:sz w:val="36"/>
          <w:szCs w:val="36"/>
          <w:highlight w:val="none"/>
        </w:rPr>
      </w:pPr>
      <w:r>
        <w:rPr>
          <w:rFonts w:hint="eastAsia"/>
          <w:b/>
          <w:color w:val="auto"/>
          <w:sz w:val="36"/>
          <w:szCs w:val="36"/>
          <w:highlight w:val="none"/>
        </w:rPr>
        <w:t>商务文件</w:t>
      </w:r>
    </w:p>
    <w:p>
      <w:pPr>
        <w:spacing w:line="360" w:lineRule="auto"/>
        <w:jc w:val="center"/>
        <w:rPr>
          <w:rFonts w:hint="eastAsia"/>
          <w:b/>
          <w:color w:val="auto"/>
          <w:sz w:val="36"/>
          <w:szCs w:val="36"/>
          <w:highlight w:val="none"/>
        </w:rPr>
      </w:pPr>
    </w:p>
    <w:p>
      <w:pPr>
        <w:spacing w:line="360" w:lineRule="auto"/>
        <w:jc w:val="center"/>
        <w:rPr>
          <w:rFonts w:hint="eastAsia"/>
          <w:b/>
          <w:color w:val="auto"/>
          <w:sz w:val="36"/>
          <w:szCs w:val="36"/>
          <w:highlight w:val="none"/>
        </w:rPr>
      </w:pPr>
      <w:r>
        <w:rPr>
          <w:rFonts w:hint="eastAsia"/>
          <w:b/>
          <w:color w:val="auto"/>
          <w:sz w:val="36"/>
          <w:szCs w:val="36"/>
          <w:highlight w:val="none"/>
        </w:rPr>
        <w:t>目录</w:t>
      </w:r>
    </w:p>
    <w:p>
      <w:pPr>
        <w:pStyle w:val="60"/>
        <w:numPr>
          <w:ilvl w:val="0"/>
          <w:numId w:val="35"/>
        </w:numPr>
        <w:spacing w:before="0" w:line="360" w:lineRule="auto"/>
        <w:ind w:firstLine="480"/>
        <w:rPr>
          <w:color w:val="auto"/>
          <w:highlight w:val="none"/>
        </w:rPr>
      </w:pPr>
      <w:r>
        <w:rPr>
          <w:rFonts w:hint="eastAsia"/>
          <w:color w:val="auto"/>
          <w:highlight w:val="none"/>
        </w:rPr>
        <w:t>供应商商务文件中商务分自评表（格式见附件）；</w:t>
      </w:r>
    </w:p>
    <w:p>
      <w:pPr>
        <w:pStyle w:val="60"/>
        <w:numPr>
          <w:ilvl w:val="0"/>
          <w:numId w:val="35"/>
        </w:numPr>
        <w:spacing w:before="0" w:line="360" w:lineRule="auto"/>
        <w:ind w:firstLine="480"/>
        <w:rPr>
          <w:color w:val="auto"/>
          <w:highlight w:val="none"/>
        </w:rPr>
      </w:pPr>
      <w:r>
        <w:rPr>
          <w:rFonts w:hint="eastAsia"/>
          <w:color w:val="auto"/>
          <w:highlight w:val="none"/>
        </w:rPr>
        <w:t>商务响应表（格式见附件）；</w:t>
      </w:r>
    </w:p>
    <w:p>
      <w:pPr>
        <w:numPr>
          <w:ilvl w:val="0"/>
          <w:numId w:val="35"/>
        </w:numPr>
        <w:tabs>
          <w:tab w:val="left" w:pos="0"/>
        </w:tabs>
        <w:spacing w:line="360" w:lineRule="auto"/>
        <w:ind w:firstLine="480" w:firstLineChars="200"/>
        <w:rPr>
          <w:color w:val="auto"/>
          <w:sz w:val="24"/>
          <w:szCs w:val="24"/>
          <w:highlight w:val="none"/>
          <w:lang w:bidi="ar"/>
        </w:rPr>
      </w:pPr>
      <w:r>
        <w:rPr>
          <w:rFonts w:hint="eastAsia"/>
          <w:color w:val="auto"/>
          <w:kern w:val="2"/>
          <w:sz w:val="24"/>
          <w:highlight w:val="none"/>
        </w:rPr>
        <w:t>企业业绩；</w:t>
      </w:r>
    </w:p>
    <w:p>
      <w:pPr>
        <w:numPr>
          <w:ilvl w:val="0"/>
          <w:numId w:val="35"/>
        </w:numPr>
        <w:tabs>
          <w:tab w:val="left" w:pos="0"/>
        </w:tabs>
        <w:spacing w:line="360" w:lineRule="auto"/>
        <w:ind w:firstLine="480" w:firstLineChars="200"/>
        <w:rPr>
          <w:color w:val="auto"/>
          <w:sz w:val="24"/>
          <w:szCs w:val="24"/>
          <w:highlight w:val="none"/>
          <w:lang w:bidi="ar"/>
        </w:rPr>
      </w:pPr>
      <w:r>
        <w:rPr>
          <w:color w:val="auto"/>
          <w:kern w:val="2"/>
          <w:sz w:val="24"/>
          <w:highlight w:val="none"/>
        </w:rPr>
        <w:t>认证</w:t>
      </w:r>
      <w:r>
        <w:rPr>
          <w:rFonts w:hint="eastAsia"/>
          <w:color w:val="auto"/>
          <w:kern w:val="2"/>
          <w:sz w:val="24"/>
          <w:highlight w:val="none"/>
        </w:rPr>
        <w:t>证书；</w:t>
      </w:r>
    </w:p>
    <w:p>
      <w:pPr>
        <w:pStyle w:val="60"/>
        <w:numPr>
          <w:ilvl w:val="0"/>
          <w:numId w:val="35"/>
        </w:numPr>
        <w:spacing w:before="0" w:line="360" w:lineRule="auto"/>
        <w:ind w:firstLine="480"/>
        <w:rPr>
          <w:rFonts w:hint="eastAsia"/>
          <w:color w:val="auto"/>
          <w:szCs w:val="24"/>
          <w:highlight w:val="none"/>
        </w:rPr>
      </w:pPr>
      <w:r>
        <w:rPr>
          <w:rFonts w:hint="eastAsia"/>
          <w:color w:val="auto"/>
          <w:highlight w:val="none"/>
        </w:rPr>
        <w:t>供应商认为需要的其他文件资料。</w:t>
      </w:r>
      <w:r>
        <w:rPr>
          <w:color w:val="auto"/>
          <w:highlight w:val="none"/>
        </w:rPr>
        <w:t xml:space="preserve"> </w:t>
      </w: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pStyle w:val="60"/>
        <w:spacing w:before="0" w:line="360" w:lineRule="auto"/>
        <w:ind w:firstLine="0" w:firstLineChars="0"/>
        <w:rPr>
          <w:color w:val="auto"/>
          <w:highlight w:val="none"/>
        </w:rPr>
      </w:pPr>
    </w:p>
    <w:p>
      <w:pPr>
        <w:spacing w:line="360" w:lineRule="auto"/>
        <w:rPr>
          <w:rFonts w:hint="eastAsia"/>
          <w:b/>
          <w:bCs/>
          <w:color w:val="auto"/>
          <w:sz w:val="24"/>
          <w:highlight w:val="none"/>
          <w:lang w:val="zh-CN"/>
        </w:rPr>
      </w:pPr>
      <w:r>
        <w:rPr>
          <w:rFonts w:hint="eastAsia"/>
          <w:b/>
          <w:bCs/>
          <w:color w:val="auto"/>
          <w:sz w:val="24"/>
          <w:highlight w:val="none"/>
          <w:lang w:val="zh-CN"/>
        </w:rPr>
        <w:t>附件七：</w:t>
      </w:r>
    </w:p>
    <w:p>
      <w:pPr>
        <w:spacing w:line="360" w:lineRule="auto"/>
        <w:jc w:val="center"/>
        <w:rPr>
          <w:rFonts w:hint="eastAsia"/>
          <w:b/>
          <w:bCs/>
          <w:color w:val="auto"/>
          <w:sz w:val="32"/>
          <w:szCs w:val="32"/>
          <w:highlight w:val="none"/>
        </w:rPr>
      </w:pPr>
      <w:r>
        <w:rPr>
          <w:rFonts w:hint="eastAsia"/>
          <w:b/>
          <w:bCs/>
          <w:color w:val="auto"/>
          <w:sz w:val="32"/>
          <w:szCs w:val="32"/>
          <w:highlight w:val="none"/>
        </w:rPr>
        <w:t>投标人商务技术文件中资信分自评表</w:t>
      </w:r>
    </w:p>
    <w:p>
      <w:pPr>
        <w:snapToGrid w:val="0"/>
        <w:spacing w:before="50" w:line="360" w:lineRule="auto"/>
        <w:jc w:val="center"/>
        <w:rPr>
          <w:rFonts w:hint="eastAsia"/>
          <w:b/>
          <w:color w:val="auto"/>
          <w:sz w:val="32"/>
          <w:szCs w:val="32"/>
          <w:highlight w:val="none"/>
        </w:rPr>
      </w:pPr>
    </w:p>
    <w:p>
      <w:pPr>
        <w:spacing w:line="360" w:lineRule="auto"/>
        <w:ind w:firstLine="480" w:firstLineChars="200"/>
        <w:rPr>
          <w:rFonts w:hint="eastAsia"/>
          <w:color w:val="auto"/>
          <w:sz w:val="24"/>
          <w:highlight w:val="none"/>
        </w:rPr>
      </w:pPr>
      <w:r>
        <w:rPr>
          <w:rFonts w:hint="eastAsia"/>
          <w:color w:val="auto"/>
          <w:sz w:val="24"/>
          <w:highlight w:val="none"/>
        </w:rPr>
        <w:t>项目名称：</w:t>
      </w:r>
    </w:p>
    <w:p>
      <w:pPr>
        <w:spacing w:line="360" w:lineRule="auto"/>
        <w:ind w:firstLine="480" w:firstLineChars="200"/>
        <w:rPr>
          <w:rFonts w:hint="eastAsia"/>
          <w:color w:val="auto"/>
          <w:sz w:val="24"/>
          <w:highlight w:val="none"/>
        </w:rPr>
      </w:pPr>
      <w:r>
        <w:rPr>
          <w:rFonts w:hint="eastAsia"/>
          <w:color w:val="auto"/>
          <w:sz w:val="24"/>
          <w:highlight w:val="none"/>
        </w:rPr>
        <w:t>采购编号：</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序号</w:t>
            </w:r>
          </w:p>
        </w:tc>
        <w:tc>
          <w:tcPr>
            <w:tcW w:w="2387"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资分内容</w:t>
            </w:r>
          </w:p>
        </w:tc>
        <w:tc>
          <w:tcPr>
            <w:tcW w:w="146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自评得分</w:t>
            </w:r>
          </w:p>
        </w:tc>
        <w:tc>
          <w:tcPr>
            <w:tcW w:w="2415" w:type="dxa"/>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投标文件对应资料</w:t>
            </w:r>
          </w:p>
        </w:tc>
        <w:tc>
          <w:tcPr>
            <w:tcW w:w="1746" w:type="dxa"/>
            <w:tcBorders>
              <w:lef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1</w:t>
            </w:r>
          </w:p>
        </w:tc>
        <w:tc>
          <w:tcPr>
            <w:tcW w:w="2387"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462"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2415" w:type="dxa"/>
            <w:tcBorders>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746" w:type="dxa"/>
            <w:tcBorders>
              <w:lef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2</w:t>
            </w:r>
          </w:p>
        </w:tc>
        <w:tc>
          <w:tcPr>
            <w:tcW w:w="2387"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462"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2415" w:type="dxa"/>
            <w:tcBorders>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746" w:type="dxa"/>
            <w:tcBorders>
              <w:lef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3</w:t>
            </w:r>
          </w:p>
        </w:tc>
        <w:tc>
          <w:tcPr>
            <w:tcW w:w="2387"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462"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2415" w:type="dxa"/>
            <w:tcBorders>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746" w:type="dxa"/>
            <w:tcBorders>
              <w:lef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4</w:t>
            </w:r>
          </w:p>
        </w:tc>
        <w:tc>
          <w:tcPr>
            <w:tcW w:w="2387"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462"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2415" w:type="dxa"/>
            <w:tcBorders>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746" w:type="dxa"/>
            <w:tcBorders>
              <w:lef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jc w:val="center"/>
        </w:trPr>
        <w:tc>
          <w:tcPr>
            <w:tcW w:w="98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5</w:t>
            </w:r>
          </w:p>
        </w:tc>
        <w:tc>
          <w:tcPr>
            <w:tcW w:w="2387"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462"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2415" w:type="dxa"/>
            <w:tcBorders>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746" w:type="dxa"/>
            <w:tcBorders>
              <w:lef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6</w:t>
            </w:r>
          </w:p>
        </w:tc>
        <w:tc>
          <w:tcPr>
            <w:tcW w:w="2387"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462"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2415" w:type="dxa"/>
            <w:tcBorders>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746" w:type="dxa"/>
            <w:tcBorders>
              <w:lef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7</w:t>
            </w:r>
          </w:p>
        </w:tc>
        <w:tc>
          <w:tcPr>
            <w:tcW w:w="2387"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462"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2415" w:type="dxa"/>
            <w:tcBorders>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746" w:type="dxa"/>
            <w:tcBorders>
              <w:lef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8</w:t>
            </w:r>
          </w:p>
        </w:tc>
        <w:tc>
          <w:tcPr>
            <w:tcW w:w="2387"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462"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2415" w:type="dxa"/>
            <w:tcBorders>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746" w:type="dxa"/>
            <w:tcBorders>
              <w:lef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jc w:val="center"/>
        </w:trPr>
        <w:tc>
          <w:tcPr>
            <w:tcW w:w="982" w:type="dxa"/>
            <w:noWrap w:val="0"/>
            <w:vAlign w:val="center"/>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r>
              <w:rPr>
                <w:rFonts w:hint="eastAsia"/>
                <w:color w:val="auto"/>
                <w:kern w:val="2"/>
                <w:sz w:val="24"/>
                <w:highlight w:val="none"/>
              </w:rPr>
              <w:t>合计</w:t>
            </w:r>
          </w:p>
        </w:tc>
        <w:tc>
          <w:tcPr>
            <w:tcW w:w="2387"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462" w:type="dxa"/>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2415" w:type="dxa"/>
            <w:tcBorders>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c>
          <w:tcPr>
            <w:tcW w:w="1746" w:type="dxa"/>
            <w:tcBorders>
              <w:lef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color w:val="auto"/>
                <w:kern w:val="2"/>
                <w:sz w:val="24"/>
                <w:highlight w:val="none"/>
              </w:rPr>
            </w:pPr>
          </w:p>
        </w:tc>
      </w:tr>
    </w:tbl>
    <w:p>
      <w:pPr>
        <w:spacing w:line="360" w:lineRule="auto"/>
        <w:ind w:firstLine="480" w:firstLineChars="200"/>
        <w:rPr>
          <w:rFonts w:hint="eastAsia"/>
          <w:color w:val="auto"/>
          <w:sz w:val="24"/>
          <w:highlight w:val="none"/>
        </w:rPr>
      </w:pPr>
    </w:p>
    <w:p>
      <w:pPr>
        <w:spacing w:line="360" w:lineRule="auto"/>
        <w:ind w:left="3600" w:leftChars="1800" w:firstLine="480" w:firstLineChars="200"/>
        <w:rPr>
          <w:rFonts w:hint="eastAsia"/>
          <w:color w:val="auto"/>
          <w:sz w:val="24"/>
          <w:highlight w:val="none"/>
        </w:rPr>
      </w:pPr>
    </w:p>
    <w:p>
      <w:pPr>
        <w:spacing w:line="360" w:lineRule="auto"/>
        <w:ind w:left="3600" w:leftChars="1800" w:firstLine="480" w:firstLineChars="200"/>
        <w:rPr>
          <w:rFonts w:hint="eastAsia"/>
          <w:color w:val="auto"/>
          <w:sz w:val="24"/>
          <w:highlight w:val="none"/>
        </w:rPr>
      </w:pPr>
      <w:r>
        <w:rPr>
          <w:rFonts w:hint="eastAsia"/>
          <w:color w:val="auto"/>
          <w:sz w:val="24"/>
          <w:highlight w:val="none"/>
        </w:rPr>
        <w:t xml:space="preserve">法定代表人签名（或签名章）：                       </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日 期：</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投标人全称（公章）：</w:t>
      </w:r>
    </w:p>
    <w:p>
      <w:pPr>
        <w:pStyle w:val="3"/>
        <w:spacing w:line="360" w:lineRule="auto"/>
        <w:ind w:left="575" w:hanging="575"/>
        <w:jc w:val="left"/>
        <w:rPr>
          <w:rFonts w:hint="eastAsia"/>
          <w:color w:val="auto"/>
          <w:highlight w:val="none"/>
        </w:rPr>
      </w:pPr>
      <w:r>
        <w:rPr>
          <w:rFonts w:hint="eastAsia"/>
          <w:bCs/>
          <w:color w:val="auto"/>
          <w:sz w:val="24"/>
          <w:szCs w:val="21"/>
          <w:highlight w:val="none"/>
          <w:lang w:val="zh-CN"/>
        </w:rPr>
        <w:t>附件八：</w:t>
      </w:r>
    </w:p>
    <w:p>
      <w:pPr>
        <w:spacing w:line="360" w:lineRule="auto"/>
        <w:jc w:val="center"/>
        <w:rPr>
          <w:rFonts w:hint="eastAsia"/>
          <w:b/>
          <w:bCs/>
          <w:color w:val="auto"/>
          <w:sz w:val="32"/>
          <w:szCs w:val="32"/>
          <w:highlight w:val="none"/>
        </w:rPr>
      </w:pPr>
      <w:r>
        <w:rPr>
          <w:rFonts w:hint="eastAsia"/>
          <w:b/>
          <w:bCs/>
          <w:color w:val="auto"/>
          <w:sz w:val="32"/>
          <w:szCs w:val="32"/>
          <w:highlight w:val="none"/>
        </w:rPr>
        <w:t>商务响应表</w:t>
      </w:r>
    </w:p>
    <w:p>
      <w:pPr>
        <w:spacing w:line="360" w:lineRule="auto"/>
        <w:ind w:firstLine="480" w:firstLineChars="200"/>
        <w:rPr>
          <w:rFonts w:hint="eastAsia"/>
          <w:color w:val="auto"/>
          <w:sz w:val="24"/>
          <w:highlight w:val="none"/>
        </w:rPr>
      </w:pPr>
      <w:r>
        <w:rPr>
          <w:rFonts w:hint="eastAsia"/>
          <w:color w:val="auto"/>
          <w:sz w:val="24"/>
          <w:highlight w:val="none"/>
        </w:rPr>
        <w:t>项目名称：</w:t>
      </w:r>
    </w:p>
    <w:p>
      <w:pPr>
        <w:spacing w:line="360" w:lineRule="auto"/>
        <w:ind w:firstLine="480" w:firstLineChars="200"/>
        <w:rPr>
          <w:rFonts w:hint="eastAsia"/>
          <w:color w:val="auto"/>
          <w:sz w:val="24"/>
          <w:highlight w:val="none"/>
        </w:rPr>
      </w:pPr>
      <w:r>
        <w:rPr>
          <w:rFonts w:hint="eastAsia"/>
          <w:color w:val="auto"/>
          <w:sz w:val="24"/>
          <w:highlight w:val="none"/>
        </w:rPr>
        <w:t>采购编号：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是否</w:t>
            </w:r>
          </w:p>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合同条款</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szCs w:val="21"/>
                <w:highlight w:val="none"/>
              </w:rPr>
            </w:pPr>
            <w:r>
              <w:rPr>
                <w:rFonts w:hint="eastAsia"/>
                <w:color w:val="auto"/>
                <w:kern w:val="2"/>
                <w:sz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szCs w:val="21"/>
                <w:highlight w:val="none"/>
              </w:rPr>
            </w:pPr>
            <w:r>
              <w:rPr>
                <w:rFonts w:hint="eastAsia"/>
                <w:color w:val="auto"/>
                <w:kern w:val="2"/>
                <w:sz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szCs w:val="21"/>
                <w:highlight w:val="none"/>
              </w:rPr>
            </w:pPr>
            <w:r>
              <w:rPr>
                <w:rFonts w:hint="eastAsia"/>
                <w:color w:val="auto"/>
                <w:kern w:val="2"/>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r>
              <w:rPr>
                <w:rFonts w:hint="eastAsia"/>
                <w:color w:val="auto"/>
                <w:kern w:val="2"/>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color w:val="auto"/>
                <w:kern w:val="2"/>
                <w:sz w:val="24"/>
                <w:highlight w:val="none"/>
              </w:rPr>
            </w:pPr>
          </w:p>
        </w:tc>
      </w:tr>
    </w:tbl>
    <w:p>
      <w:pPr>
        <w:spacing w:line="360" w:lineRule="auto"/>
        <w:ind w:left="3600" w:leftChars="1800" w:firstLine="480" w:firstLineChars="200"/>
        <w:rPr>
          <w:rFonts w:hint="eastAsia"/>
          <w:color w:val="auto"/>
          <w:sz w:val="24"/>
          <w:highlight w:val="none"/>
        </w:rPr>
      </w:pPr>
    </w:p>
    <w:p>
      <w:pPr>
        <w:spacing w:line="360" w:lineRule="auto"/>
        <w:ind w:left="3600" w:leftChars="1800" w:firstLine="480" w:firstLineChars="200"/>
        <w:rPr>
          <w:rFonts w:hint="eastAsia"/>
          <w:color w:val="auto"/>
          <w:sz w:val="24"/>
          <w:highlight w:val="none"/>
        </w:rPr>
      </w:pPr>
    </w:p>
    <w:p>
      <w:pPr>
        <w:spacing w:line="360" w:lineRule="auto"/>
        <w:ind w:left="3600" w:leftChars="1800" w:firstLine="480" w:firstLineChars="200"/>
        <w:rPr>
          <w:rFonts w:hint="eastAsia"/>
          <w:color w:val="auto"/>
          <w:sz w:val="24"/>
          <w:highlight w:val="none"/>
        </w:rPr>
      </w:pPr>
    </w:p>
    <w:p>
      <w:pPr>
        <w:spacing w:line="360" w:lineRule="auto"/>
        <w:ind w:left="3600" w:leftChars="1800" w:firstLine="480" w:firstLineChars="200"/>
        <w:rPr>
          <w:rFonts w:hint="eastAsia"/>
          <w:color w:val="auto"/>
          <w:sz w:val="24"/>
          <w:highlight w:val="none"/>
        </w:rPr>
      </w:pPr>
      <w:r>
        <w:rPr>
          <w:rFonts w:hint="eastAsia"/>
          <w:color w:val="auto"/>
          <w:sz w:val="24"/>
          <w:highlight w:val="none"/>
        </w:rPr>
        <w:t xml:space="preserve">法定代表人签名（或签名章）：                       </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日 期：</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投标人全称（公章）：</w:t>
      </w:r>
    </w:p>
    <w:p>
      <w:pPr>
        <w:spacing w:line="360" w:lineRule="auto"/>
        <w:jc w:val="center"/>
        <w:rPr>
          <w:rFonts w:hint="eastAsia"/>
          <w:b/>
          <w:color w:val="auto"/>
          <w:sz w:val="36"/>
          <w:szCs w:val="36"/>
          <w:highlight w:val="none"/>
        </w:rPr>
      </w:pPr>
      <w:r>
        <w:rPr>
          <w:rFonts w:hint="eastAsia"/>
          <w:color w:val="auto"/>
          <w:sz w:val="24"/>
          <w:highlight w:val="none"/>
        </w:rPr>
        <w:br w:type="page"/>
      </w:r>
      <w:r>
        <w:rPr>
          <w:rFonts w:hint="eastAsia"/>
          <w:b/>
          <w:color w:val="auto"/>
          <w:sz w:val="36"/>
          <w:szCs w:val="36"/>
          <w:highlight w:val="none"/>
        </w:rPr>
        <w:t>报价文件</w:t>
      </w:r>
    </w:p>
    <w:p>
      <w:pPr>
        <w:spacing w:line="360" w:lineRule="auto"/>
        <w:jc w:val="center"/>
        <w:rPr>
          <w:rFonts w:hint="eastAsia"/>
          <w:b/>
          <w:color w:val="auto"/>
          <w:sz w:val="36"/>
          <w:szCs w:val="36"/>
          <w:highlight w:val="none"/>
        </w:rPr>
      </w:pPr>
    </w:p>
    <w:p>
      <w:pPr>
        <w:spacing w:line="360" w:lineRule="auto"/>
        <w:jc w:val="center"/>
        <w:rPr>
          <w:rFonts w:hint="eastAsia"/>
          <w:b/>
          <w:color w:val="auto"/>
          <w:sz w:val="36"/>
          <w:szCs w:val="36"/>
          <w:highlight w:val="none"/>
        </w:rPr>
      </w:pPr>
      <w:r>
        <w:rPr>
          <w:rFonts w:hint="eastAsia"/>
          <w:b/>
          <w:color w:val="auto"/>
          <w:sz w:val="36"/>
          <w:szCs w:val="36"/>
          <w:highlight w:val="none"/>
        </w:rPr>
        <w:t>目录</w:t>
      </w:r>
    </w:p>
    <w:p>
      <w:pPr>
        <w:pStyle w:val="12"/>
        <w:spacing w:line="360" w:lineRule="auto"/>
        <w:ind w:left="400" w:firstLine="723"/>
        <w:rPr>
          <w:rFonts w:hint="eastAsia"/>
          <w:b/>
          <w:color w:val="auto"/>
          <w:sz w:val="36"/>
          <w:szCs w:val="36"/>
          <w:highlight w:val="none"/>
        </w:rPr>
      </w:pPr>
    </w:p>
    <w:p>
      <w:pPr>
        <w:tabs>
          <w:tab w:val="left" w:pos="1440"/>
          <w:tab w:val="left" w:pos="1620"/>
          <w:tab w:val="left" w:pos="1800"/>
          <w:tab w:val="left" w:pos="1980"/>
        </w:tabs>
        <w:autoSpaceDE w:val="0"/>
        <w:autoSpaceDN w:val="0"/>
        <w:spacing w:line="360" w:lineRule="auto"/>
        <w:ind w:left="400" w:leftChars="200" w:firstLine="240" w:firstLineChars="100"/>
        <w:textAlignment w:val="bottom"/>
        <w:rPr>
          <w:rFonts w:hint="eastAsia"/>
          <w:color w:val="auto"/>
          <w:sz w:val="24"/>
          <w:highlight w:val="none"/>
        </w:rPr>
      </w:pPr>
      <w:r>
        <w:rPr>
          <w:rFonts w:hint="eastAsia"/>
          <w:color w:val="auto"/>
          <w:sz w:val="24"/>
          <w:highlight w:val="none"/>
        </w:rPr>
        <w:t>（1）投标函（格式见附件）；</w:t>
      </w:r>
    </w:p>
    <w:p>
      <w:pPr>
        <w:tabs>
          <w:tab w:val="left" w:pos="1440"/>
          <w:tab w:val="left" w:pos="1620"/>
          <w:tab w:val="left" w:pos="1800"/>
          <w:tab w:val="left" w:pos="1980"/>
        </w:tabs>
        <w:autoSpaceDE w:val="0"/>
        <w:autoSpaceDN w:val="0"/>
        <w:spacing w:line="360" w:lineRule="auto"/>
        <w:ind w:left="400" w:leftChars="200" w:firstLine="240" w:firstLineChars="100"/>
        <w:textAlignment w:val="bottom"/>
        <w:rPr>
          <w:rFonts w:hint="eastAsia"/>
          <w:color w:val="auto"/>
          <w:sz w:val="24"/>
          <w:highlight w:val="none"/>
        </w:rPr>
      </w:pPr>
      <w:r>
        <w:rPr>
          <w:rFonts w:hint="eastAsia"/>
          <w:color w:val="auto"/>
          <w:sz w:val="24"/>
          <w:highlight w:val="none"/>
        </w:rPr>
        <w:t>（2）开标一览表（格式见附件）；</w:t>
      </w:r>
    </w:p>
    <w:p>
      <w:pPr>
        <w:tabs>
          <w:tab w:val="left" w:pos="1440"/>
          <w:tab w:val="left" w:pos="1620"/>
          <w:tab w:val="left" w:pos="1800"/>
          <w:tab w:val="left" w:pos="1980"/>
        </w:tabs>
        <w:autoSpaceDE w:val="0"/>
        <w:autoSpaceDN w:val="0"/>
        <w:spacing w:line="360" w:lineRule="auto"/>
        <w:ind w:left="400" w:leftChars="200" w:firstLine="240" w:firstLineChars="100"/>
        <w:textAlignment w:val="bottom"/>
        <w:rPr>
          <w:rFonts w:hint="eastAsia"/>
          <w:color w:val="auto"/>
          <w:sz w:val="24"/>
          <w:highlight w:val="none"/>
        </w:rPr>
      </w:pPr>
      <w:r>
        <w:rPr>
          <w:rFonts w:hint="eastAsia"/>
          <w:color w:val="auto"/>
          <w:sz w:val="24"/>
          <w:highlight w:val="none"/>
        </w:rPr>
        <w:t>（3）投标分项报价表（格式见附件）。</w:t>
      </w:r>
    </w:p>
    <w:p>
      <w:pPr>
        <w:pStyle w:val="9"/>
        <w:spacing w:line="360" w:lineRule="auto"/>
        <w:rPr>
          <w:rFonts w:hint="eastAsia"/>
          <w:color w:val="auto"/>
          <w:highlight w:val="none"/>
        </w:rPr>
      </w:pPr>
    </w:p>
    <w:p>
      <w:pPr>
        <w:pStyle w:val="12"/>
        <w:spacing w:line="360" w:lineRule="auto"/>
        <w:ind w:left="400" w:firstLine="560"/>
        <w:rPr>
          <w:rFonts w:hint="eastAsia"/>
          <w:color w:val="auto"/>
          <w:sz w:val="28"/>
          <w:szCs w:val="28"/>
          <w:highlight w:val="none"/>
        </w:rPr>
      </w:pPr>
    </w:p>
    <w:p>
      <w:pPr>
        <w:pStyle w:val="12"/>
        <w:spacing w:line="360" w:lineRule="auto"/>
        <w:ind w:left="400" w:firstLine="560"/>
        <w:rPr>
          <w:rFonts w:hint="eastAsia"/>
          <w:color w:val="auto"/>
          <w:sz w:val="28"/>
          <w:szCs w:val="28"/>
          <w:highlight w:val="none"/>
        </w:rPr>
      </w:pPr>
    </w:p>
    <w:p>
      <w:pPr>
        <w:pStyle w:val="12"/>
        <w:spacing w:line="360" w:lineRule="auto"/>
        <w:ind w:left="400" w:firstLine="560"/>
        <w:rPr>
          <w:rFonts w:hint="eastAsia"/>
          <w:color w:val="auto"/>
          <w:sz w:val="28"/>
          <w:szCs w:val="28"/>
          <w:highlight w:val="none"/>
        </w:rPr>
      </w:pPr>
    </w:p>
    <w:p>
      <w:pPr>
        <w:pStyle w:val="12"/>
        <w:spacing w:line="360" w:lineRule="auto"/>
        <w:ind w:left="400" w:firstLine="560"/>
        <w:rPr>
          <w:rFonts w:hint="eastAsia"/>
          <w:color w:val="auto"/>
          <w:sz w:val="28"/>
          <w:szCs w:val="28"/>
          <w:highlight w:val="none"/>
        </w:rPr>
      </w:pPr>
    </w:p>
    <w:p>
      <w:pPr>
        <w:pStyle w:val="12"/>
        <w:spacing w:line="360" w:lineRule="auto"/>
        <w:ind w:left="400" w:firstLine="560"/>
        <w:rPr>
          <w:rFonts w:hint="eastAsia"/>
          <w:color w:val="auto"/>
          <w:sz w:val="28"/>
          <w:szCs w:val="28"/>
          <w:highlight w:val="none"/>
        </w:rPr>
      </w:pPr>
    </w:p>
    <w:p>
      <w:pPr>
        <w:pStyle w:val="12"/>
        <w:spacing w:line="360" w:lineRule="auto"/>
        <w:ind w:left="400" w:firstLine="560"/>
        <w:rPr>
          <w:rFonts w:hint="eastAsia"/>
          <w:color w:val="auto"/>
          <w:sz w:val="28"/>
          <w:szCs w:val="28"/>
          <w:highlight w:val="none"/>
        </w:rPr>
      </w:pPr>
    </w:p>
    <w:p>
      <w:pPr>
        <w:pStyle w:val="12"/>
        <w:spacing w:line="360" w:lineRule="auto"/>
        <w:ind w:left="400" w:firstLine="560"/>
        <w:rPr>
          <w:rFonts w:hint="eastAsia"/>
          <w:color w:val="auto"/>
          <w:sz w:val="28"/>
          <w:szCs w:val="28"/>
          <w:highlight w:val="none"/>
        </w:rPr>
      </w:pPr>
    </w:p>
    <w:p>
      <w:pPr>
        <w:pStyle w:val="12"/>
        <w:spacing w:line="360" w:lineRule="auto"/>
        <w:ind w:left="400" w:firstLine="560"/>
        <w:rPr>
          <w:rFonts w:hint="eastAsia"/>
          <w:color w:val="auto"/>
          <w:sz w:val="28"/>
          <w:szCs w:val="28"/>
          <w:highlight w:val="none"/>
        </w:rPr>
      </w:pPr>
    </w:p>
    <w:p>
      <w:pPr>
        <w:pStyle w:val="3"/>
        <w:spacing w:line="360" w:lineRule="auto"/>
        <w:ind w:left="575" w:hanging="575"/>
        <w:jc w:val="left"/>
        <w:rPr>
          <w:rFonts w:hint="eastAsia"/>
          <w:color w:val="auto"/>
          <w:highlight w:val="none"/>
          <w:lang w:val="zh-CN"/>
        </w:rPr>
      </w:pPr>
      <w:r>
        <w:rPr>
          <w:rFonts w:hint="eastAsia"/>
          <w:color w:val="auto"/>
          <w:highlight w:val="none"/>
        </w:rPr>
        <w:br w:type="page"/>
      </w:r>
      <w:bookmarkStart w:id="505" w:name="_Toc3094"/>
      <w:r>
        <w:rPr>
          <w:rFonts w:hint="eastAsia"/>
          <w:bCs/>
          <w:color w:val="auto"/>
          <w:sz w:val="24"/>
          <w:szCs w:val="21"/>
          <w:highlight w:val="none"/>
          <w:lang w:val="zh-CN"/>
        </w:rPr>
        <w:t>附件</w:t>
      </w:r>
      <w:bookmarkStart w:id="506" w:name="_Toc130094924"/>
      <w:bookmarkStart w:id="507" w:name="_Toc98731770"/>
      <w:r>
        <w:rPr>
          <w:rFonts w:hint="eastAsia"/>
          <w:bCs/>
          <w:color w:val="auto"/>
          <w:sz w:val="24"/>
          <w:szCs w:val="21"/>
          <w:highlight w:val="none"/>
          <w:lang w:val="zh-CN"/>
        </w:rPr>
        <w:t>九：</w:t>
      </w:r>
    </w:p>
    <w:p>
      <w:pPr>
        <w:spacing w:line="360" w:lineRule="auto"/>
        <w:jc w:val="center"/>
        <w:rPr>
          <w:rFonts w:hint="eastAsia"/>
          <w:b/>
          <w:bCs/>
          <w:color w:val="auto"/>
          <w:sz w:val="32"/>
          <w:szCs w:val="32"/>
          <w:highlight w:val="none"/>
        </w:rPr>
      </w:pPr>
      <w:r>
        <w:rPr>
          <w:rFonts w:hint="eastAsia"/>
          <w:b/>
          <w:bCs/>
          <w:color w:val="auto"/>
          <w:sz w:val="32"/>
          <w:szCs w:val="32"/>
          <w:highlight w:val="none"/>
        </w:rPr>
        <w:t>投 标 函</w:t>
      </w:r>
      <w:bookmarkEnd w:id="505"/>
      <w:bookmarkEnd w:id="506"/>
      <w:bookmarkEnd w:id="507"/>
    </w:p>
    <w:p>
      <w:pPr>
        <w:spacing w:line="360" w:lineRule="auto"/>
        <w:ind w:firstLine="480" w:firstLineChars="200"/>
        <w:rPr>
          <w:rFonts w:hint="eastAsia"/>
          <w:color w:val="auto"/>
          <w:sz w:val="24"/>
          <w:highlight w:val="none"/>
          <w:u w:val="single"/>
        </w:rPr>
      </w:pPr>
    </w:p>
    <w:p>
      <w:pPr>
        <w:spacing w:line="360" w:lineRule="auto"/>
        <w:ind w:firstLine="480" w:firstLineChars="200"/>
        <w:rPr>
          <w:rFonts w:hint="eastAsia"/>
          <w:color w:val="auto"/>
          <w:sz w:val="24"/>
          <w:highlight w:val="none"/>
        </w:rPr>
      </w:pPr>
      <w:r>
        <w:rPr>
          <w:rFonts w:hint="eastAsia"/>
          <w:color w:val="auto"/>
          <w:sz w:val="24"/>
          <w:highlight w:val="none"/>
          <w:lang w:eastAsia="zh-CN"/>
        </w:rPr>
        <w:t>绍兴市上虞区特色小镇投资建设有限公司</w:t>
      </w:r>
      <w:r>
        <w:rPr>
          <w:rFonts w:hint="eastAsia"/>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浙江天平项目咨询有限公司：</w:t>
      </w:r>
    </w:p>
    <w:p>
      <w:pPr>
        <w:spacing w:line="360" w:lineRule="auto"/>
        <w:ind w:firstLine="480"/>
        <w:jc w:val="left"/>
        <w:rPr>
          <w:rFonts w:hint="eastAsia"/>
          <w:color w:val="auto"/>
          <w:sz w:val="24"/>
          <w:highlight w:val="none"/>
        </w:rPr>
      </w:pPr>
      <w:r>
        <w:rPr>
          <w:rFonts w:hint="eastAsia"/>
          <w:color w:val="auto"/>
          <w:sz w:val="24"/>
          <w:highlight w:val="none"/>
        </w:rPr>
        <w:t>我单位认真研究了关于</w:t>
      </w:r>
      <w:r>
        <w:rPr>
          <w:rFonts w:hint="eastAsia"/>
          <w:color w:val="auto"/>
          <w:sz w:val="24"/>
          <w:highlight w:val="none"/>
          <w:u w:val="single"/>
        </w:rPr>
        <w:t xml:space="preserve">                      </w:t>
      </w:r>
      <w:r>
        <w:rPr>
          <w:rFonts w:hint="eastAsia"/>
          <w:color w:val="auto"/>
          <w:sz w:val="24"/>
          <w:highlight w:val="none"/>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576" w:firstLineChars="240"/>
        <w:rPr>
          <w:rFonts w:hint="eastAsia"/>
          <w:color w:val="auto"/>
          <w:sz w:val="24"/>
          <w:highlight w:val="none"/>
          <w:u w:val="single"/>
        </w:rPr>
      </w:pPr>
      <w:r>
        <w:rPr>
          <w:rFonts w:hint="eastAsia"/>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hint="eastAsia"/>
          <w:color w:val="auto"/>
          <w:sz w:val="24"/>
          <w:highlight w:val="none"/>
        </w:rPr>
        <w:t>1、一旦我单位中标，我单位愿意承接开标一览表中所列的技术服务，服务期为：</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2、我单位同意提供按照</w:t>
      </w:r>
      <w:r>
        <w:rPr>
          <w:rFonts w:hint="eastAsia"/>
          <w:bCs/>
          <w:color w:val="auto"/>
          <w:sz w:val="24"/>
          <w:highlight w:val="none"/>
        </w:rPr>
        <w:t>采购人的可能要求与其投标有关的一切数据和资料，完全理解采购人不一定要接受最低价者作为中标人</w:t>
      </w:r>
      <w:r>
        <w:rPr>
          <w:rFonts w:hint="eastAsia"/>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3、一旦我单位中标，我们保证按照招标文件的要求，完成服务。</w:t>
      </w:r>
    </w:p>
    <w:p>
      <w:pPr>
        <w:spacing w:line="360" w:lineRule="auto"/>
        <w:ind w:firstLine="480" w:firstLineChars="200"/>
        <w:rPr>
          <w:rFonts w:hint="eastAsia"/>
          <w:color w:val="auto"/>
          <w:sz w:val="24"/>
          <w:highlight w:val="none"/>
        </w:rPr>
      </w:pPr>
      <w:r>
        <w:rPr>
          <w:rFonts w:hint="eastAsia"/>
          <w:color w:val="auto"/>
          <w:sz w:val="24"/>
          <w:highlight w:val="none"/>
        </w:rPr>
        <w:t>4、如果我单位中标，我方将按照要求提交履约保证金，严格履行合同义务。</w:t>
      </w:r>
    </w:p>
    <w:p>
      <w:pPr>
        <w:spacing w:line="360" w:lineRule="auto"/>
        <w:ind w:firstLine="480" w:firstLineChars="200"/>
        <w:rPr>
          <w:rFonts w:hint="eastAsia"/>
          <w:color w:val="auto"/>
          <w:sz w:val="24"/>
          <w:highlight w:val="none"/>
        </w:rPr>
      </w:pPr>
      <w:r>
        <w:rPr>
          <w:rFonts w:hint="eastAsia"/>
          <w:color w:val="auto"/>
          <w:sz w:val="24"/>
          <w:highlight w:val="none"/>
        </w:rPr>
        <w:t>5、非另行达成协议并生效，你方的中标通知书和本投标函将构成约束你我双方的合同。</w:t>
      </w:r>
    </w:p>
    <w:p>
      <w:pPr>
        <w:spacing w:line="360" w:lineRule="auto"/>
        <w:ind w:firstLine="480" w:firstLineChars="200"/>
        <w:rPr>
          <w:rFonts w:hint="eastAsia"/>
          <w:color w:val="auto"/>
          <w:sz w:val="24"/>
          <w:highlight w:val="none"/>
        </w:rPr>
      </w:pPr>
      <w:r>
        <w:rPr>
          <w:rFonts w:hint="eastAsia"/>
          <w:color w:val="auto"/>
          <w:sz w:val="24"/>
          <w:highlight w:val="none"/>
        </w:rPr>
        <w:t>6、我单位承诺，一旦发生招标文件第二部分第12条规定情形之一的，承担该条款约定的责任。</w:t>
      </w:r>
    </w:p>
    <w:p>
      <w:pPr>
        <w:pStyle w:val="15"/>
        <w:snapToGrid w:val="0"/>
        <w:spacing w:line="360" w:lineRule="auto"/>
        <w:ind w:left="480"/>
        <w:jc w:val="left"/>
        <w:rPr>
          <w:rFonts w:hint="eastAsia" w:hAnsi="宋体" w:cs="宋体"/>
          <w:color w:val="auto"/>
          <w:sz w:val="24"/>
          <w:highlight w:val="none"/>
        </w:rPr>
      </w:pPr>
      <w:r>
        <w:rPr>
          <w:rFonts w:hint="eastAsia" w:hAnsi="宋体" w:cs="宋体"/>
          <w:color w:val="auto"/>
          <w:sz w:val="24"/>
          <w:highlight w:val="none"/>
        </w:rPr>
        <w:t xml:space="preserve"> </w:t>
      </w:r>
    </w:p>
    <w:p>
      <w:pPr>
        <w:spacing w:line="360" w:lineRule="auto"/>
        <w:ind w:firstLine="480" w:firstLineChars="200"/>
        <w:rPr>
          <w:rFonts w:hint="eastAsia"/>
          <w:bCs/>
          <w:color w:val="auto"/>
          <w:sz w:val="24"/>
          <w:highlight w:val="none"/>
        </w:rPr>
      </w:pPr>
      <w:r>
        <w:rPr>
          <w:rFonts w:hint="eastAsia"/>
          <w:bCs/>
          <w:color w:val="auto"/>
          <w:sz w:val="24"/>
          <w:highlight w:val="none"/>
        </w:rPr>
        <w:t>地址：</w:t>
      </w:r>
      <w:r>
        <w:rPr>
          <w:rFonts w:hint="eastAsia"/>
          <w:bCs/>
          <w:color w:val="auto"/>
          <w:sz w:val="24"/>
          <w:highlight w:val="none"/>
          <w:u w:val="single"/>
        </w:rPr>
        <w:t xml:space="preserve">                               </w:t>
      </w:r>
      <w:r>
        <w:rPr>
          <w:rFonts w:hint="eastAsia"/>
          <w:bCs/>
          <w:color w:val="auto"/>
          <w:sz w:val="24"/>
          <w:highlight w:val="none"/>
        </w:rPr>
        <w:t>邮编：</w:t>
      </w:r>
      <w:r>
        <w:rPr>
          <w:rFonts w:hint="eastAsia"/>
          <w:bCs/>
          <w:color w:val="auto"/>
          <w:sz w:val="24"/>
          <w:highlight w:val="none"/>
          <w:u w:val="single"/>
        </w:rPr>
        <w:t xml:space="preserve">                 </w:t>
      </w:r>
    </w:p>
    <w:p>
      <w:pPr>
        <w:spacing w:line="360" w:lineRule="auto"/>
        <w:ind w:firstLine="480" w:firstLineChars="200"/>
        <w:rPr>
          <w:rFonts w:hint="eastAsia"/>
          <w:bCs/>
          <w:color w:val="auto"/>
          <w:sz w:val="24"/>
          <w:highlight w:val="none"/>
          <w:u w:val="single"/>
        </w:rPr>
      </w:pPr>
      <w:r>
        <w:rPr>
          <w:rFonts w:hint="eastAsia"/>
          <w:bCs/>
          <w:color w:val="auto"/>
          <w:sz w:val="24"/>
          <w:highlight w:val="none"/>
        </w:rPr>
        <w:t>电话：</w:t>
      </w:r>
      <w:r>
        <w:rPr>
          <w:rFonts w:hint="eastAsia"/>
          <w:bCs/>
          <w:color w:val="auto"/>
          <w:sz w:val="24"/>
          <w:highlight w:val="none"/>
          <w:u w:val="single"/>
        </w:rPr>
        <w:t xml:space="preserve">                               </w:t>
      </w:r>
      <w:r>
        <w:rPr>
          <w:rFonts w:hint="eastAsia"/>
          <w:bCs/>
          <w:color w:val="auto"/>
          <w:sz w:val="24"/>
          <w:highlight w:val="none"/>
        </w:rPr>
        <w:t>传真：</w:t>
      </w:r>
      <w:r>
        <w:rPr>
          <w:rFonts w:hint="eastAsia"/>
          <w:bCs/>
          <w:color w:val="auto"/>
          <w:sz w:val="24"/>
          <w:highlight w:val="none"/>
          <w:u w:val="single"/>
        </w:rPr>
        <w:t xml:space="preserve">                 </w:t>
      </w:r>
    </w:p>
    <w:p>
      <w:pPr>
        <w:spacing w:line="360" w:lineRule="auto"/>
        <w:ind w:firstLine="480" w:firstLineChars="200"/>
        <w:rPr>
          <w:rFonts w:hint="eastAsia"/>
          <w:bCs/>
          <w:color w:val="auto"/>
          <w:sz w:val="24"/>
          <w:highlight w:val="none"/>
        </w:rPr>
      </w:pPr>
      <w:r>
        <w:rPr>
          <w:rFonts w:hint="eastAsia" w:ascii="Arial" w:hAnsi="Arial" w:cs="Arial"/>
          <w:color w:val="auto"/>
          <w:sz w:val="24"/>
          <w:szCs w:val="24"/>
          <w:highlight w:val="none"/>
        </w:rPr>
        <w:t>投标人</w:t>
      </w:r>
      <w:r>
        <w:rPr>
          <w:rFonts w:hint="eastAsia"/>
          <w:bCs/>
          <w:color w:val="auto"/>
          <w:sz w:val="24"/>
          <w:highlight w:val="none"/>
        </w:rPr>
        <w:t>代表姓名：</w:t>
      </w:r>
      <w:r>
        <w:rPr>
          <w:rFonts w:hint="eastAsia"/>
          <w:bCs/>
          <w:color w:val="auto"/>
          <w:sz w:val="24"/>
          <w:highlight w:val="none"/>
          <w:u w:val="single"/>
        </w:rPr>
        <w:t xml:space="preserve">                     </w:t>
      </w:r>
      <w:r>
        <w:rPr>
          <w:rFonts w:hint="eastAsia"/>
          <w:bCs/>
          <w:color w:val="auto"/>
          <w:sz w:val="24"/>
          <w:highlight w:val="none"/>
        </w:rPr>
        <w:t>职务：</w:t>
      </w:r>
      <w:r>
        <w:rPr>
          <w:rFonts w:hint="eastAsia"/>
          <w:bCs/>
          <w:color w:val="auto"/>
          <w:sz w:val="24"/>
          <w:highlight w:val="none"/>
          <w:u w:val="single"/>
        </w:rPr>
        <w:t xml:space="preserve">                 </w:t>
      </w:r>
    </w:p>
    <w:p>
      <w:pPr>
        <w:spacing w:line="360" w:lineRule="auto"/>
        <w:ind w:firstLine="480" w:firstLineChars="200"/>
        <w:rPr>
          <w:rFonts w:hint="eastAsia"/>
          <w:bCs/>
          <w:color w:val="auto"/>
          <w:sz w:val="24"/>
          <w:highlight w:val="none"/>
        </w:rPr>
      </w:pPr>
      <w:r>
        <w:rPr>
          <w:rFonts w:hint="eastAsia" w:ascii="Arial" w:hAnsi="Arial" w:cs="Arial"/>
          <w:color w:val="auto"/>
          <w:sz w:val="24"/>
          <w:szCs w:val="24"/>
          <w:highlight w:val="none"/>
        </w:rPr>
        <w:t>投标人</w:t>
      </w:r>
      <w:r>
        <w:rPr>
          <w:rFonts w:hint="eastAsia"/>
          <w:bCs/>
          <w:color w:val="auto"/>
          <w:sz w:val="24"/>
          <w:highlight w:val="none"/>
        </w:rPr>
        <w:t>名称</w:t>
      </w:r>
      <w:r>
        <w:rPr>
          <w:rFonts w:hint="eastAsia"/>
          <w:bCs/>
          <w:color w:val="auto"/>
          <w:sz w:val="24"/>
          <w:highlight w:val="none"/>
          <w:u w:val="single"/>
        </w:rPr>
        <w:t>：                   　　　</w:t>
      </w:r>
    </w:p>
    <w:p>
      <w:pPr>
        <w:spacing w:line="360" w:lineRule="auto"/>
        <w:ind w:firstLine="480" w:firstLineChars="200"/>
        <w:rPr>
          <w:rFonts w:hint="eastAsia"/>
          <w:bCs/>
          <w:color w:val="auto"/>
          <w:sz w:val="24"/>
          <w:highlight w:val="none"/>
        </w:rPr>
      </w:pPr>
      <w:r>
        <w:rPr>
          <w:rFonts w:hint="eastAsia"/>
          <w:bCs/>
          <w:color w:val="auto"/>
          <w:sz w:val="24"/>
          <w:highlight w:val="none"/>
        </w:rPr>
        <w:t xml:space="preserve">（公章）：                   </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 xml:space="preserve">法定代表人签名（或签名章）：                       </w:t>
      </w:r>
    </w:p>
    <w:p>
      <w:pPr>
        <w:spacing w:line="360" w:lineRule="auto"/>
        <w:ind w:left="3600" w:leftChars="1800" w:firstLine="480" w:firstLineChars="200"/>
        <w:rPr>
          <w:rFonts w:hint="eastAsia"/>
          <w:color w:val="auto"/>
          <w:sz w:val="24"/>
          <w:highlight w:val="none"/>
        </w:rPr>
      </w:pPr>
      <w:r>
        <w:rPr>
          <w:rFonts w:hint="eastAsia"/>
          <w:color w:val="auto"/>
          <w:sz w:val="24"/>
          <w:highlight w:val="none"/>
        </w:rPr>
        <w:t>日 期：</w:t>
      </w:r>
    </w:p>
    <w:p>
      <w:pPr>
        <w:spacing w:line="360" w:lineRule="auto"/>
        <w:ind w:firstLine="5280" w:firstLineChars="2200"/>
        <w:rPr>
          <w:rFonts w:hint="eastAsia"/>
          <w:bCs/>
          <w:color w:val="auto"/>
          <w:sz w:val="24"/>
          <w:highlight w:val="none"/>
        </w:rPr>
      </w:pPr>
    </w:p>
    <w:p>
      <w:pPr>
        <w:pStyle w:val="3"/>
        <w:spacing w:line="360" w:lineRule="auto"/>
        <w:rPr>
          <w:rFonts w:hint="eastAsia"/>
          <w:bCs/>
          <w:color w:val="auto"/>
          <w:sz w:val="24"/>
          <w:szCs w:val="24"/>
          <w:highlight w:val="none"/>
          <w:lang w:val="zh-CN"/>
        </w:rPr>
        <w:sectPr>
          <w:footerReference r:id="rId5" w:type="default"/>
          <w:pgSz w:w="11906" w:h="16838"/>
          <w:pgMar w:top="1440" w:right="1800" w:bottom="1440" w:left="1800" w:header="851" w:footer="992" w:gutter="0"/>
          <w:cols w:space="720" w:num="1"/>
          <w:docGrid w:type="lines" w:linePitch="312" w:charSpace="0"/>
        </w:sectPr>
      </w:pPr>
      <w:bookmarkStart w:id="508" w:name="_Toc12011"/>
    </w:p>
    <w:bookmarkEnd w:id="508"/>
    <w:p>
      <w:pPr>
        <w:pStyle w:val="15"/>
        <w:spacing w:line="360" w:lineRule="auto"/>
        <w:outlineLvl w:val="0"/>
        <w:rPr>
          <w:rFonts w:hint="eastAsia" w:hAnsi="宋体"/>
          <w:b/>
          <w:bCs/>
          <w:color w:val="auto"/>
          <w:sz w:val="24"/>
          <w:highlight w:val="none"/>
        </w:rPr>
      </w:pPr>
      <w:bookmarkStart w:id="509" w:name="_Toc26944"/>
      <w:r>
        <w:rPr>
          <w:rFonts w:hint="eastAsia" w:hAnsi="宋体"/>
          <w:b/>
          <w:bCs/>
          <w:color w:val="auto"/>
          <w:sz w:val="24"/>
          <w:highlight w:val="none"/>
        </w:rPr>
        <w:t>附件十：</w:t>
      </w:r>
      <w:bookmarkEnd w:id="509"/>
    </w:p>
    <w:p>
      <w:pPr>
        <w:spacing w:line="360" w:lineRule="auto"/>
        <w:jc w:val="center"/>
        <w:outlineLvl w:val="0"/>
        <w:rPr>
          <w:rFonts w:hint="eastAsia"/>
          <w:b/>
          <w:bCs/>
          <w:color w:val="auto"/>
          <w:sz w:val="32"/>
          <w:szCs w:val="32"/>
          <w:highlight w:val="none"/>
        </w:rPr>
      </w:pPr>
      <w:bookmarkStart w:id="510" w:name="_Toc76473117"/>
      <w:bookmarkStart w:id="511" w:name="_Toc12332"/>
      <w:r>
        <w:rPr>
          <w:rFonts w:hint="eastAsia"/>
          <w:b/>
          <w:bCs/>
          <w:color w:val="auto"/>
          <w:sz w:val="32"/>
          <w:szCs w:val="32"/>
          <w:highlight w:val="none"/>
        </w:rPr>
        <w:t>开标一览表</w:t>
      </w:r>
      <w:bookmarkEnd w:id="510"/>
      <w:bookmarkEnd w:id="511"/>
    </w:p>
    <w:p>
      <w:pPr>
        <w:spacing w:line="360" w:lineRule="auto"/>
        <w:jc w:val="center"/>
        <w:rPr>
          <w:rFonts w:ascii="Arial" w:hAnsi="Arial" w:cs="Arial"/>
          <w:b/>
          <w:bCs/>
          <w:color w:val="auto"/>
          <w:highlight w:val="none"/>
        </w:rPr>
      </w:pPr>
    </w:p>
    <w:p>
      <w:pPr>
        <w:spacing w:line="360" w:lineRule="auto"/>
        <w:rPr>
          <w:rFonts w:hint="eastAsia"/>
          <w:color w:val="auto"/>
          <w:sz w:val="24"/>
          <w:highlight w:val="none"/>
        </w:rPr>
      </w:pPr>
      <w:r>
        <w:rPr>
          <w:rFonts w:hint="eastAsia"/>
          <w:color w:val="auto"/>
          <w:sz w:val="24"/>
          <w:highlight w:val="none"/>
        </w:rPr>
        <w:t>投标人名称：</w:t>
      </w:r>
      <w:r>
        <w:rPr>
          <w:rFonts w:hint="eastAsia"/>
          <w:color w:val="auto"/>
          <w:sz w:val="24"/>
          <w:highlight w:val="none"/>
          <w:u w:val="single"/>
        </w:rPr>
        <w:t xml:space="preserve">                                 </w:t>
      </w:r>
    </w:p>
    <w:p>
      <w:pPr>
        <w:spacing w:line="360" w:lineRule="auto"/>
        <w:rPr>
          <w:rFonts w:hint="eastAsia"/>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tbl>
      <w:tblPr>
        <w:tblStyle w:val="35"/>
        <w:tblpPr w:leftFromText="180" w:rightFromText="180" w:vertAnchor="text" w:horzAnchor="page" w:tblpX="1656" w:tblpY="489"/>
        <w:tblOverlap w:val="never"/>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2089" w:type="dxa"/>
            <w:noWrap w:val="0"/>
            <w:vAlign w:val="center"/>
          </w:tcPr>
          <w:p>
            <w:pPr>
              <w:pStyle w:val="15"/>
              <w:keepNext w:val="0"/>
              <w:keepLines w:val="0"/>
              <w:suppressLineNumbers w:val="0"/>
              <w:spacing w:before="0" w:beforeAutospacing="0" w:after="0" w:afterAutospacing="0" w:line="360" w:lineRule="auto"/>
              <w:ind w:left="0" w:right="0"/>
              <w:jc w:val="center"/>
              <w:rPr>
                <w:rFonts w:hint="eastAsia" w:hAnsi="宋体" w:cs="宋体"/>
                <w:b/>
                <w:bCs/>
                <w:color w:val="auto"/>
                <w:kern w:val="2"/>
                <w:sz w:val="24"/>
                <w:highlight w:val="none"/>
              </w:rPr>
            </w:pPr>
            <w:r>
              <w:rPr>
                <w:rFonts w:hint="eastAsia" w:hAnsi="宋体" w:cs="宋体"/>
                <w:b/>
                <w:bCs/>
                <w:color w:val="auto"/>
                <w:kern w:val="2"/>
                <w:sz w:val="24"/>
                <w:highlight w:val="none"/>
              </w:rPr>
              <w:t>投标报价</w:t>
            </w:r>
          </w:p>
        </w:tc>
        <w:tc>
          <w:tcPr>
            <w:tcW w:w="7702" w:type="dxa"/>
            <w:noWrap w:val="0"/>
            <w:vAlign w:val="center"/>
          </w:tcPr>
          <w:p>
            <w:pPr>
              <w:pStyle w:val="15"/>
              <w:keepNext w:val="0"/>
              <w:keepLines w:val="0"/>
              <w:suppressLineNumbers w:val="0"/>
              <w:spacing w:before="0" w:beforeAutospacing="0" w:after="0" w:afterAutospacing="0" w:line="360" w:lineRule="auto"/>
              <w:ind w:left="0" w:right="0"/>
              <w:rPr>
                <w:rFonts w:hint="eastAsia" w:hAnsi="宋体" w:cs="宋体"/>
                <w:b/>
                <w:bCs/>
                <w:color w:val="auto"/>
                <w:kern w:val="2"/>
                <w:sz w:val="24"/>
                <w:highlight w:val="none"/>
              </w:rPr>
            </w:pPr>
            <w:r>
              <w:rPr>
                <w:rFonts w:hint="eastAsia" w:hAnsi="宋体" w:cs="宋体"/>
                <w:b/>
                <w:bCs/>
                <w:color w:val="auto"/>
                <w:kern w:val="2"/>
                <w:sz w:val="24"/>
                <w:highlight w:val="none"/>
              </w:rPr>
              <w:t>大写：</w:t>
            </w:r>
            <w:r>
              <w:rPr>
                <w:rFonts w:hint="eastAsia" w:hAnsi="宋体" w:cs="宋体"/>
                <w:b/>
                <w:bCs/>
                <w:color w:val="auto"/>
                <w:kern w:val="2"/>
                <w:sz w:val="24"/>
                <w:highlight w:val="none"/>
                <w:u w:val="single"/>
              </w:rPr>
              <w:t xml:space="preserve">　         　   　　 </w:t>
            </w:r>
            <w:r>
              <w:rPr>
                <w:rFonts w:hint="eastAsia" w:hAnsi="宋体" w:cs="宋体"/>
                <w:b/>
                <w:bCs/>
                <w:color w:val="auto"/>
                <w:kern w:val="2"/>
                <w:sz w:val="24"/>
                <w:highlight w:val="none"/>
              </w:rPr>
              <w:t>元）</w:t>
            </w:r>
          </w:p>
          <w:p>
            <w:pPr>
              <w:pStyle w:val="15"/>
              <w:keepNext w:val="0"/>
              <w:keepLines w:val="0"/>
              <w:suppressLineNumbers w:val="0"/>
              <w:spacing w:before="0" w:beforeAutospacing="0" w:after="0" w:afterAutospacing="0" w:line="360" w:lineRule="auto"/>
              <w:ind w:left="0" w:right="0"/>
              <w:rPr>
                <w:rFonts w:hint="default" w:hAnsi="宋体" w:cs="宋体"/>
                <w:b/>
                <w:bCs/>
                <w:color w:val="auto"/>
                <w:kern w:val="2"/>
                <w:sz w:val="24"/>
                <w:highlight w:val="none"/>
              </w:rPr>
            </w:pPr>
            <w:r>
              <w:rPr>
                <w:rFonts w:hint="eastAsia" w:hAnsi="宋体" w:cs="宋体"/>
                <w:b/>
                <w:bCs/>
                <w:color w:val="auto"/>
                <w:kern w:val="2"/>
                <w:sz w:val="24"/>
                <w:highlight w:val="none"/>
              </w:rPr>
              <w:t>（小写：</w:t>
            </w:r>
            <w:r>
              <w:rPr>
                <w:rFonts w:hint="eastAsia" w:hAnsi="宋体" w:cs="宋体"/>
                <w:b/>
                <w:bCs/>
                <w:color w:val="auto"/>
                <w:kern w:val="2"/>
                <w:sz w:val="24"/>
                <w:highlight w:val="none"/>
                <w:u w:val="single"/>
              </w:rPr>
              <w:t xml:space="preserve">　              　 </w:t>
            </w:r>
            <w:r>
              <w:rPr>
                <w:rFonts w:hint="eastAsia" w:hAnsi="宋体" w:cs="宋体"/>
                <w:b/>
                <w:bCs/>
                <w:color w:val="auto"/>
                <w:kern w:val="2"/>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4" w:hRule="atLeast"/>
        </w:trPr>
        <w:tc>
          <w:tcPr>
            <w:tcW w:w="9791" w:type="dxa"/>
            <w:gridSpan w:val="2"/>
            <w:noWrap w:val="0"/>
            <w:vAlign w:val="center"/>
          </w:tcPr>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auto"/>
                <w:kern w:val="2"/>
                <w:sz w:val="24"/>
                <w:highlight w:val="none"/>
              </w:rPr>
            </w:pPr>
            <w:r>
              <w:rPr>
                <w:rFonts w:hint="eastAsia"/>
                <w:color w:val="auto"/>
                <w:kern w:val="2"/>
                <w:sz w:val="24"/>
                <w:szCs w:val="24"/>
                <w:highlight w:val="none"/>
              </w:rPr>
              <w:t>投标报价中标明的价格为履行合同的物业管理费</w:t>
            </w:r>
            <w:r>
              <w:rPr>
                <w:rFonts w:hint="eastAsia"/>
                <w:color w:val="auto"/>
                <w:kern w:val="2"/>
                <w:sz w:val="24"/>
                <w:szCs w:val="24"/>
                <w:highlight w:val="none"/>
                <w:lang w:val="en-US" w:eastAsia="zh-CN"/>
              </w:rPr>
              <w:t>总报</w:t>
            </w:r>
            <w:r>
              <w:rPr>
                <w:rFonts w:hint="eastAsia"/>
                <w:color w:val="auto"/>
                <w:kern w:val="2"/>
                <w:sz w:val="24"/>
                <w:szCs w:val="24"/>
                <w:highlight w:val="none"/>
              </w:rPr>
              <w:t>价格，包括但不限于人员费用、按规定缴纳的各类保险、交通费、加班费、消防系统保养维护费、交接费、福利费、管理费用、税费、办公用品、维修工具、服装费、安保器材、垃圾分类、保洁耗材（公共卫生间洗手液、擦手纸、卫生纸、灭“四害”药物、蚊香、垃圾袋等）、日常耗材（灯泡，灯具，电线，门锁，把手，锁芯，水龙头，生料带，胶布，玻璃胶，插座，三角阀，软管，开关，安全出口指示牌等）等所有材料及易耗品费用，日常耗材物业公司承担，其他合同中明示或暗示的所有一般风险、责任和义务等整个项目的总报价，如有漏项，视同已包含在本报价中。</w:t>
            </w:r>
          </w:p>
        </w:tc>
      </w:tr>
    </w:tbl>
    <w:p>
      <w:pPr>
        <w:pStyle w:val="34"/>
        <w:spacing w:line="360" w:lineRule="auto"/>
        <w:ind w:left="400" w:firstLine="400"/>
        <w:rPr>
          <w:color w:val="auto"/>
          <w:highlight w:val="none"/>
        </w:rPr>
      </w:pPr>
    </w:p>
    <w:p>
      <w:pPr>
        <w:pStyle w:val="34"/>
        <w:spacing w:line="360" w:lineRule="auto"/>
        <w:ind w:left="400" w:firstLine="400"/>
        <w:rPr>
          <w:color w:val="auto"/>
          <w:highlight w:val="none"/>
        </w:rPr>
      </w:pPr>
    </w:p>
    <w:p>
      <w:pPr>
        <w:spacing w:line="360" w:lineRule="auto"/>
        <w:ind w:right="-668" w:rightChars="-334"/>
        <w:jc w:val="left"/>
        <w:rPr>
          <w:rFonts w:hint="eastAsia"/>
          <w:color w:val="auto"/>
          <w:sz w:val="24"/>
          <w:highlight w:val="none"/>
        </w:rPr>
      </w:pPr>
      <w:r>
        <w:rPr>
          <w:rFonts w:hint="eastAsia"/>
          <w:color w:val="auto"/>
          <w:sz w:val="24"/>
          <w:highlight w:val="none"/>
        </w:rPr>
        <w:t>注： 报价一经涂改，应在涂改处加盖单位公章或者由法定代表人或授权委托人签字或盖章，否则其投标作无效标处理。</w:t>
      </w:r>
    </w:p>
    <w:p>
      <w:pPr>
        <w:spacing w:line="360" w:lineRule="auto"/>
        <w:rPr>
          <w:rFonts w:ascii="Arial" w:hAnsi="Arial" w:cs="Arial"/>
          <w:color w:val="auto"/>
          <w:sz w:val="24"/>
          <w:szCs w:val="24"/>
          <w:highlight w:val="none"/>
        </w:rPr>
      </w:pPr>
      <w:r>
        <w:rPr>
          <w:rFonts w:hint="eastAsia" w:ascii="Arial" w:hAnsi="Arial" w:cs="Arial"/>
          <w:color w:val="auto"/>
          <w:sz w:val="24"/>
          <w:szCs w:val="24"/>
          <w:highlight w:val="none"/>
        </w:rPr>
        <w:t>投标人</w:t>
      </w:r>
      <w:r>
        <w:rPr>
          <w:rFonts w:ascii="Arial" w:hAnsi="Arial" w:cs="Arial"/>
          <w:color w:val="auto"/>
          <w:sz w:val="24"/>
          <w:szCs w:val="24"/>
          <w:highlight w:val="none"/>
        </w:rPr>
        <w:t>全称（盖章）：</w:t>
      </w:r>
    </w:p>
    <w:p>
      <w:pPr>
        <w:spacing w:line="360" w:lineRule="auto"/>
        <w:rPr>
          <w:rFonts w:ascii="Arial" w:hAnsi="Arial" w:cs="Arial"/>
          <w:color w:val="auto"/>
          <w:sz w:val="24"/>
          <w:szCs w:val="24"/>
          <w:highlight w:val="none"/>
        </w:rPr>
      </w:pPr>
      <w:r>
        <w:rPr>
          <w:rFonts w:ascii="Arial" w:hAnsi="Arial" w:cs="Arial"/>
          <w:color w:val="auto"/>
          <w:sz w:val="24"/>
          <w:szCs w:val="24"/>
          <w:highlight w:val="none"/>
        </w:rPr>
        <w:t>法定代表人或授权代表（签字）：</w:t>
      </w:r>
    </w:p>
    <w:p>
      <w:pPr>
        <w:spacing w:line="360" w:lineRule="auto"/>
        <w:rPr>
          <w:rFonts w:ascii="Arial" w:hAnsi="Arial" w:cs="Arial"/>
          <w:b/>
          <w:color w:val="auto"/>
          <w:sz w:val="24"/>
          <w:szCs w:val="24"/>
          <w:highlight w:val="none"/>
          <w:u w:val="single"/>
        </w:rPr>
      </w:pPr>
      <w:r>
        <w:rPr>
          <w:rFonts w:ascii="Arial" w:hAnsi="Arial" w:cs="Arial"/>
          <w:color w:val="auto"/>
          <w:sz w:val="24"/>
          <w:szCs w:val="24"/>
          <w:highlight w:val="none"/>
        </w:rPr>
        <w:t>日 期       年      月      日</w:t>
      </w:r>
    </w:p>
    <w:p>
      <w:pPr>
        <w:spacing w:line="360" w:lineRule="auto"/>
        <w:ind w:right="-868" w:rightChars="-434"/>
        <w:rPr>
          <w:rFonts w:ascii="Arial" w:hAnsi="Arial" w:cs="Arial"/>
          <w:b/>
          <w:color w:val="auto"/>
          <w:sz w:val="22"/>
          <w:szCs w:val="22"/>
          <w:highlight w:val="none"/>
        </w:rPr>
        <w:sectPr>
          <w:pgSz w:w="11906" w:h="16838"/>
          <w:pgMar w:top="1418" w:right="1588" w:bottom="1418" w:left="1588" w:header="851" w:footer="851" w:gutter="0"/>
          <w:cols w:space="720" w:num="1"/>
          <w:docGrid w:linePitch="312" w:charSpace="0"/>
        </w:sectPr>
      </w:pPr>
    </w:p>
    <w:p>
      <w:pPr>
        <w:pStyle w:val="3"/>
        <w:spacing w:line="360" w:lineRule="auto"/>
        <w:ind w:left="575" w:hanging="575"/>
        <w:jc w:val="left"/>
        <w:rPr>
          <w:rFonts w:hint="eastAsia"/>
          <w:bCs/>
          <w:color w:val="auto"/>
          <w:sz w:val="24"/>
          <w:szCs w:val="21"/>
          <w:highlight w:val="none"/>
          <w:lang w:val="zh-CN"/>
        </w:rPr>
      </w:pPr>
      <w:bookmarkStart w:id="512" w:name="_Toc11250"/>
      <w:bookmarkStart w:id="513" w:name="_Toc76473118"/>
      <w:r>
        <w:rPr>
          <w:rFonts w:hint="eastAsia"/>
          <w:bCs/>
          <w:color w:val="auto"/>
          <w:sz w:val="24"/>
          <w:szCs w:val="21"/>
          <w:highlight w:val="none"/>
          <w:lang w:val="zh-CN"/>
        </w:rPr>
        <w:t>附件十</w:t>
      </w:r>
      <w:bookmarkEnd w:id="512"/>
      <w:r>
        <w:rPr>
          <w:rFonts w:hint="eastAsia"/>
          <w:bCs/>
          <w:color w:val="auto"/>
          <w:sz w:val="24"/>
          <w:szCs w:val="21"/>
          <w:highlight w:val="none"/>
          <w:lang w:val="zh-CN"/>
        </w:rPr>
        <w:t>一：</w:t>
      </w:r>
    </w:p>
    <w:bookmarkEnd w:id="513"/>
    <w:p>
      <w:pPr>
        <w:pStyle w:val="3"/>
        <w:spacing w:line="360" w:lineRule="auto"/>
        <w:jc w:val="center"/>
        <w:rPr>
          <w:rFonts w:hint="eastAsia" w:hAnsi="宋体" w:cs="宋体"/>
          <w:bCs/>
          <w:color w:val="auto"/>
          <w:sz w:val="24"/>
          <w:szCs w:val="24"/>
          <w:highlight w:val="none"/>
          <w:lang w:val="zh-CN"/>
        </w:rPr>
      </w:pPr>
      <w:bookmarkStart w:id="514" w:name="_Toc20088"/>
      <w:bookmarkStart w:id="515" w:name="_Toc14995"/>
      <w:r>
        <w:rPr>
          <w:rFonts w:hint="eastAsia" w:hAnsi="宋体" w:cs="宋体"/>
          <w:color w:val="auto"/>
          <w:sz w:val="30"/>
          <w:szCs w:val="30"/>
          <w:highlight w:val="none"/>
          <w:lang w:val="zh-CN"/>
        </w:rPr>
        <w:t>投标报价明细表</w:t>
      </w:r>
      <w:bookmarkEnd w:id="514"/>
      <w:bookmarkEnd w:id="515"/>
      <w:r>
        <w:rPr>
          <w:rFonts w:hint="eastAsia" w:ascii="宋体" w:hAnsi="宋体" w:cs="宋体"/>
          <w:color w:val="auto"/>
          <w:sz w:val="24"/>
          <w:szCs w:val="32"/>
          <w:highlight w:val="none"/>
        </w:rPr>
        <w:t>（格式</w:t>
      </w:r>
      <w:r>
        <w:rPr>
          <w:rFonts w:hint="eastAsia" w:ascii="宋体" w:hAnsi="宋体" w:cs="宋体"/>
          <w:color w:val="auto"/>
          <w:sz w:val="24"/>
          <w:szCs w:val="32"/>
          <w:highlight w:val="none"/>
          <w:lang w:eastAsia="zh-CN"/>
        </w:rPr>
        <w:t>可自拟</w:t>
      </w:r>
      <w:r>
        <w:rPr>
          <w:rFonts w:hint="eastAsia" w:ascii="宋体" w:hAnsi="宋体" w:cs="宋体"/>
          <w:color w:val="auto"/>
          <w:sz w:val="24"/>
          <w:szCs w:val="32"/>
          <w:highlight w:val="none"/>
        </w:rPr>
        <w:t>）</w:t>
      </w:r>
    </w:p>
    <w:p>
      <w:pPr>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一年报价明细表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采购编号：     </w:t>
      </w:r>
    </w:p>
    <w:tbl>
      <w:tblPr>
        <w:tblStyle w:val="35"/>
        <w:tblW w:w="9258" w:type="dxa"/>
        <w:jc w:val="center"/>
        <w:tblLayout w:type="autofit"/>
        <w:tblCellMar>
          <w:top w:w="0" w:type="dxa"/>
          <w:left w:w="0" w:type="dxa"/>
          <w:bottom w:w="0" w:type="dxa"/>
          <w:right w:w="0" w:type="dxa"/>
        </w:tblCellMar>
      </w:tblPr>
      <w:tblGrid>
        <w:gridCol w:w="813"/>
        <w:gridCol w:w="2535"/>
        <w:gridCol w:w="1470"/>
        <w:gridCol w:w="1848"/>
        <w:gridCol w:w="864"/>
        <w:gridCol w:w="1728"/>
      </w:tblGrid>
      <w:tr>
        <w:tblPrEx>
          <w:tblCellMar>
            <w:top w:w="0" w:type="dxa"/>
            <w:left w:w="0" w:type="dxa"/>
            <w:bottom w:w="0" w:type="dxa"/>
            <w:right w:w="0" w:type="dxa"/>
          </w:tblCellMar>
        </w:tblPrEx>
        <w:trPr>
          <w:trHeight w:val="454" w:hRule="atLeast"/>
          <w:jc w:val="center"/>
        </w:trPr>
        <w:tc>
          <w:tcPr>
            <w:tcW w:w="925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惠普广场ABC楼区域物业</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项目</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人员类别</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kern w:val="2"/>
                <w:sz w:val="24"/>
                <w:highlight w:val="none"/>
              </w:rPr>
            </w:pPr>
            <w:r>
              <w:rPr>
                <w:rFonts w:hint="eastAsia" w:ascii="宋体" w:hAnsi="宋体" w:cs="宋体"/>
                <w:b/>
                <w:bCs/>
                <w:color w:val="auto"/>
                <w:kern w:val="0"/>
                <w:sz w:val="24"/>
                <w:highlight w:val="none"/>
                <w:lang w:bidi="ar"/>
              </w:rPr>
              <w:t>数量</w:t>
            </w:r>
            <w:r>
              <w:rPr>
                <w:rFonts w:hint="eastAsia" w:ascii="宋体" w:hAnsi="宋体" w:cs="宋体"/>
                <w:b/>
                <w:bCs/>
                <w:color w:val="auto"/>
                <w:kern w:val="0"/>
                <w:sz w:val="24"/>
                <w:highlight w:val="none"/>
                <w:lang w:eastAsia="zh-CN" w:bidi="ar"/>
              </w:rPr>
              <w:t>（</w:t>
            </w:r>
            <w:r>
              <w:rPr>
                <w:rFonts w:hint="eastAsia" w:ascii="宋体" w:hAnsi="宋体" w:cs="宋体"/>
                <w:b/>
                <w:bCs/>
                <w:color w:val="auto"/>
                <w:kern w:val="0"/>
                <w:sz w:val="24"/>
                <w:highlight w:val="none"/>
                <w:lang w:bidi="ar"/>
              </w:rPr>
              <w:t>人</w:t>
            </w:r>
            <w:r>
              <w:rPr>
                <w:rFonts w:hint="eastAsia" w:ascii="宋体" w:hAnsi="宋体" w:cs="宋体"/>
                <w:b/>
                <w:bCs/>
                <w:color w:val="auto"/>
                <w:kern w:val="0"/>
                <w:sz w:val="24"/>
                <w:highlight w:val="none"/>
                <w:lang w:eastAsia="zh-CN" w:bidi="ar"/>
              </w:rPr>
              <w:t>）</w:t>
            </w: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工资（元/月）</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单位</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工资总额（元）</w:t>
            </w:r>
          </w:p>
        </w:tc>
      </w:tr>
      <w:tr>
        <w:tblPrEx>
          <w:tblCellMar>
            <w:top w:w="0" w:type="dxa"/>
            <w:left w:w="0" w:type="dxa"/>
            <w:bottom w:w="0" w:type="dxa"/>
            <w:right w:w="0" w:type="dxa"/>
          </w:tblCellMar>
        </w:tblPrEx>
        <w:trPr>
          <w:trHeight w:val="374" w:hRule="atLeast"/>
          <w:jc w:val="center"/>
        </w:trPr>
        <w:tc>
          <w:tcPr>
            <w:tcW w:w="813" w:type="dxa"/>
            <w:vMerge w:val="restart"/>
            <w:tcBorders>
              <w:top w:val="nil"/>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薪资</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eastAsia="宋体" w:cs="宋体"/>
                <w:i w:val="0"/>
                <w:iCs w:val="0"/>
                <w:color w:val="auto"/>
                <w:kern w:val="0"/>
                <w:sz w:val="22"/>
                <w:szCs w:val="22"/>
                <w:u w:val="none"/>
                <w:lang w:val="en-US" w:eastAsia="zh-CN" w:bidi="ar"/>
              </w:rPr>
              <w:t>项目经理</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41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eastAsia="宋体" w:cs="宋体"/>
                <w:i w:val="0"/>
                <w:iCs w:val="0"/>
                <w:color w:val="auto"/>
                <w:kern w:val="0"/>
                <w:sz w:val="22"/>
                <w:szCs w:val="22"/>
                <w:u w:val="none"/>
                <w:lang w:val="en-US" w:eastAsia="zh-CN" w:bidi="ar"/>
              </w:rPr>
              <w:t>消控人员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9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监控人员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6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安保、门卫、巡逻白班</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8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安保、门卫、巡逻晚班</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8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安保、监控、消控替班</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6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A楼宇保洁</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7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BC楼宇保洁</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40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外围保洁</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40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垃圾分类</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8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保洁替班加派门户</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8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前台、统计</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8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强弱电维修、日常维修</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89" w:hRule="atLeast"/>
          <w:jc w:val="center"/>
        </w:trPr>
        <w:tc>
          <w:tcPr>
            <w:tcW w:w="813" w:type="dxa"/>
            <w:vMerge w:val="continue"/>
            <w:tcBorders>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default" w:ascii="宋体" w:hAnsi="宋体" w:cs="宋体"/>
                <w:color w:val="auto"/>
                <w:kern w:val="0"/>
                <w:sz w:val="24"/>
                <w:highlight w:val="none"/>
                <w:lang w:bidi="ar"/>
              </w:rPr>
              <w:t>…</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69" w:hRule="atLeast"/>
          <w:jc w:val="center"/>
        </w:trPr>
        <w:tc>
          <w:tcPr>
            <w:tcW w:w="33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0"/>
                <w:sz w:val="24"/>
                <w:highlight w:val="none"/>
                <w:lang w:bidi="ar"/>
              </w:rPr>
              <w:t>小计</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409" w:hRule="atLeast"/>
          <w:jc w:val="center"/>
        </w:trPr>
        <w:tc>
          <w:tcPr>
            <w:tcW w:w="81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名称</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服务内容（或设备）</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金额（元）</w:t>
            </w:r>
          </w:p>
        </w:tc>
      </w:tr>
      <w:tr>
        <w:tblPrEx>
          <w:tblCellMar>
            <w:top w:w="0" w:type="dxa"/>
            <w:left w:w="0" w:type="dxa"/>
            <w:bottom w:w="0" w:type="dxa"/>
            <w:right w:w="0" w:type="dxa"/>
          </w:tblCellMar>
        </w:tblPrEx>
        <w:trPr>
          <w:trHeight w:val="364" w:hRule="atLeast"/>
          <w:jc w:val="center"/>
        </w:trPr>
        <w:tc>
          <w:tcPr>
            <w:tcW w:w="8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2"/>
                <w:sz w:val="24"/>
                <w:highlight w:val="none"/>
              </w:rPr>
              <w:t>其他</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耗材费用</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41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管理费用</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39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其他费用</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税金</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垃圾清运</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kern w:val="2"/>
                <w:sz w:val="22"/>
                <w:szCs w:val="22"/>
                <w:u w:val="none"/>
                <w:lang w:val="en-US" w:eastAsia="zh-CN" w:bidi="ar-SA"/>
              </w:rPr>
            </w:pP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弱电维保</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kern w:val="2"/>
                <w:sz w:val="22"/>
                <w:szCs w:val="22"/>
                <w:u w:val="none"/>
                <w:lang w:val="en-US" w:eastAsia="zh-CN" w:bidi="ar-SA"/>
              </w:rPr>
            </w:pP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rPr>
            </w:pPr>
          </w:p>
        </w:tc>
      </w:tr>
      <w:tr>
        <w:tblPrEx>
          <w:tblCellMar>
            <w:top w:w="0" w:type="dxa"/>
            <w:left w:w="0" w:type="dxa"/>
            <w:bottom w:w="0" w:type="dxa"/>
            <w:right w:w="0" w:type="dxa"/>
          </w:tblCellMar>
        </w:tblPrEx>
        <w:trPr>
          <w:trHeight w:val="364" w:hRule="atLeast"/>
          <w:jc w:val="center"/>
        </w:trPr>
        <w:tc>
          <w:tcPr>
            <w:tcW w:w="3348" w:type="dxa"/>
            <w:gridSpan w:val="2"/>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cs="宋体"/>
                <w:b/>
                <w:color w:val="auto"/>
                <w:kern w:val="0"/>
                <w:sz w:val="24"/>
                <w:highlight w:val="none"/>
                <w:lang w:bidi="ar"/>
              </w:rPr>
              <w:t>小计</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bCs/>
                <w:color w:val="auto"/>
                <w:kern w:val="2"/>
                <w:sz w:val="24"/>
                <w:highlight w:val="none"/>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876" w:hRule="atLeast"/>
          <w:jc w:val="center"/>
        </w:trPr>
        <w:tc>
          <w:tcPr>
            <w:tcW w:w="33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一年总计</w:t>
            </w:r>
          </w:p>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0"/>
                <w:sz w:val="24"/>
                <w:highlight w:val="none"/>
                <w:lang w:bidi="ar"/>
              </w:rPr>
              <w:t>（须为投标报价的二分之一）</w:t>
            </w:r>
          </w:p>
        </w:tc>
        <w:tc>
          <w:tcPr>
            <w:tcW w:w="59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b/>
                <w:color w:val="auto"/>
                <w:kern w:val="2"/>
                <w:sz w:val="24"/>
                <w:highlight w:val="none"/>
              </w:rPr>
              <w:t>人民币</w:t>
            </w:r>
            <w:r>
              <w:rPr>
                <w:rFonts w:hint="eastAsia" w:ascii="宋体" w:hAnsi="宋体" w:cs="宋体"/>
                <w:b/>
                <w:color w:val="auto"/>
                <w:kern w:val="2"/>
                <w:sz w:val="24"/>
                <w:highlight w:val="none"/>
                <w:u w:val="single"/>
              </w:rPr>
              <w:t xml:space="preserve">              </w:t>
            </w:r>
            <w:r>
              <w:rPr>
                <w:rFonts w:hint="eastAsia" w:ascii="宋体" w:hAnsi="宋体" w:cs="宋体"/>
                <w:b/>
                <w:bCs/>
                <w:color w:val="auto"/>
                <w:kern w:val="2"/>
                <w:sz w:val="24"/>
                <w:highlight w:val="none"/>
                <w:u w:val="single"/>
              </w:rPr>
              <w:t xml:space="preserve"> </w:t>
            </w:r>
            <w:r>
              <w:rPr>
                <w:rFonts w:hint="eastAsia" w:ascii="宋体" w:hAnsi="宋体" w:cs="宋体"/>
                <w:b/>
                <w:color w:val="auto"/>
                <w:kern w:val="2"/>
                <w:sz w:val="24"/>
                <w:highlight w:val="none"/>
              </w:rPr>
              <w:t>元</w:t>
            </w:r>
          </w:p>
          <w:p>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color w:val="auto"/>
                <w:kern w:val="2"/>
                <w:sz w:val="24"/>
                <w:highlight w:val="none"/>
              </w:rPr>
              <w:t>（小写</w:t>
            </w:r>
            <w:r>
              <w:rPr>
                <w:rFonts w:hint="eastAsia" w:ascii="宋体" w:hAnsi="宋体" w:cs="宋体"/>
                <w:b/>
                <w:color w:val="auto"/>
                <w:kern w:val="2"/>
                <w:sz w:val="24"/>
                <w:highlight w:val="none"/>
                <w:u w:val="single"/>
              </w:rPr>
              <w:t xml:space="preserve"> </w:t>
            </w:r>
            <w:r>
              <w:rPr>
                <w:rFonts w:hint="eastAsia" w:ascii="宋体" w:hAnsi="宋体"/>
                <w:b/>
                <w:color w:val="auto"/>
                <w:kern w:val="2"/>
                <w:sz w:val="24"/>
                <w:highlight w:val="none"/>
                <w:u w:val="single"/>
              </w:rPr>
              <w:t xml:space="preserve">              </w:t>
            </w:r>
            <w:r>
              <w:rPr>
                <w:rFonts w:hint="eastAsia" w:ascii="宋体" w:hAnsi="宋体" w:cs="宋体"/>
                <w:b/>
                <w:color w:val="auto"/>
                <w:kern w:val="2"/>
                <w:sz w:val="24"/>
                <w:highlight w:val="none"/>
                <w:u w:val="single"/>
              </w:rPr>
              <w:t xml:space="preserve"> </w:t>
            </w:r>
            <w:r>
              <w:rPr>
                <w:rFonts w:hint="eastAsia" w:ascii="宋体" w:hAnsi="宋体" w:cs="宋体"/>
                <w:b/>
                <w:color w:val="auto"/>
                <w:kern w:val="2"/>
                <w:sz w:val="24"/>
                <w:highlight w:val="none"/>
              </w:rPr>
              <w:t>元）</w:t>
            </w:r>
          </w:p>
        </w:tc>
      </w:tr>
    </w:tbl>
    <w:p>
      <w:pPr>
        <w:pStyle w:val="15"/>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注：内容可根据投标人实际情况自行调整。</w:t>
      </w:r>
    </w:p>
    <w:p>
      <w:pPr>
        <w:spacing w:line="360" w:lineRule="auto"/>
        <w:rPr>
          <w:rFonts w:hint="eastAsia" w:ascii="宋体" w:hAnsi="宋体" w:cs="宋体"/>
          <w:color w:val="auto"/>
          <w:highlight w:val="none"/>
        </w:rPr>
      </w:pPr>
    </w:p>
    <w:tbl>
      <w:tblPr>
        <w:tblStyle w:val="35"/>
        <w:tblW w:w="9258" w:type="dxa"/>
        <w:jc w:val="center"/>
        <w:tblLayout w:type="autofit"/>
        <w:tblCellMar>
          <w:top w:w="0" w:type="dxa"/>
          <w:left w:w="0" w:type="dxa"/>
          <w:bottom w:w="0" w:type="dxa"/>
          <w:right w:w="0" w:type="dxa"/>
        </w:tblCellMar>
      </w:tblPr>
      <w:tblGrid>
        <w:gridCol w:w="813"/>
        <w:gridCol w:w="2535"/>
        <w:gridCol w:w="1470"/>
        <w:gridCol w:w="1848"/>
        <w:gridCol w:w="864"/>
        <w:gridCol w:w="1728"/>
      </w:tblGrid>
      <w:tr>
        <w:tblPrEx>
          <w:tblCellMar>
            <w:top w:w="0" w:type="dxa"/>
            <w:left w:w="0" w:type="dxa"/>
            <w:bottom w:w="0" w:type="dxa"/>
            <w:right w:w="0" w:type="dxa"/>
          </w:tblCellMar>
        </w:tblPrEx>
        <w:trPr>
          <w:trHeight w:val="454" w:hRule="atLeast"/>
          <w:jc w:val="center"/>
        </w:trPr>
        <w:tc>
          <w:tcPr>
            <w:tcW w:w="925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惠普广场D楼物业</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项目</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人员类别</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kern w:val="2"/>
                <w:sz w:val="24"/>
                <w:highlight w:val="none"/>
              </w:rPr>
            </w:pPr>
            <w:r>
              <w:rPr>
                <w:rFonts w:hint="eastAsia" w:ascii="宋体" w:hAnsi="宋体" w:cs="宋体"/>
                <w:b/>
                <w:bCs/>
                <w:color w:val="auto"/>
                <w:kern w:val="0"/>
                <w:sz w:val="24"/>
                <w:highlight w:val="none"/>
                <w:lang w:bidi="ar"/>
              </w:rPr>
              <w:t>数量</w:t>
            </w:r>
            <w:r>
              <w:rPr>
                <w:rFonts w:hint="eastAsia" w:ascii="宋体" w:hAnsi="宋体" w:cs="宋体"/>
                <w:b/>
                <w:bCs/>
                <w:color w:val="auto"/>
                <w:kern w:val="0"/>
                <w:sz w:val="24"/>
                <w:highlight w:val="none"/>
                <w:lang w:eastAsia="zh-CN" w:bidi="ar"/>
              </w:rPr>
              <w:t>（</w:t>
            </w:r>
            <w:r>
              <w:rPr>
                <w:rFonts w:hint="eastAsia" w:ascii="宋体" w:hAnsi="宋体" w:cs="宋体"/>
                <w:b/>
                <w:bCs/>
                <w:color w:val="auto"/>
                <w:kern w:val="0"/>
                <w:sz w:val="24"/>
                <w:highlight w:val="none"/>
                <w:lang w:bidi="ar"/>
              </w:rPr>
              <w:t>人</w:t>
            </w:r>
            <w:r>
              <w:rPr>
                <w:rFonts w:hint="eastAsia" w:ascii="宋体" w:hAnsi="宋体" w:cs="宋体"/>
                <w:b/>
                <w:bCs/>
                <w:color w:val="auto"/>
                <w:kern w:val="0"/>
                <w:sz w:val="24"/>
                <w:highlight w:val="none"/>
                <w:lang w:eastAsia="zh-CN" w:bidi="ar"/>
              </w:rPr>
              <w:t>）</w:t>
            </w: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工资（元/月）</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单位</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工资总额（元）</w:t>
            </w:r>
          </w:p>
        </w:tc>
      </w:tr>
      <w:tr>
        <w:tblPrEx>
          <w:tblCellMar>
            <w:top w:w="0" w:type="dxa"/>
            <w:left w:w="0" w:type="dxa"/>
            <w:bottom w:w="0" w:type="dxa"/>
            <w:right w:w="0" w:type="dxa"/>
          </w:tblCellMar>
        </w:tblPrEx>
        <w:trPr>
          <w:trHeight w:val="374" w:hRule="atLeast"/>
          <w:jc w:val="center"/>
        </w:trPr>
        <w:tc>
          <w:tcPr>
            <w:tcW w:w="813" w:type="dxa"/>
            <w:vMerge w:val="restart"/>
            <w:tcBorders>
              <w:top w:val="nil"/>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薪资</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eastAsia="宋体" w:cs="宋体"/>
                <w:i w:val="0"/>
                <w:iCs w:val="0"/>
                <w:color w:val="auto"/>
                <w:kern w:val="0"/>
                <w:sz w:val="22"/>
                <w:szCs w:val="22"/>
                <w:u w:val="none"/>
                <w:lang w:val="en-US" w:eastAsia="zh-CN" w:bidi="ar"/>
              </w:rPr>
              <w:t>安保、门卫、巡逻</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41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eastAsia="宋体" w:cs="宋体"/>
                <w:i w:val="0"/>
                <w:iCs w:val="0"/>
                <w:color w:val="auto"/>
                <w:kern w:val="0"/>
                <w:sz w:val="22"/>
                <w:szCs w:val="22"/>
                <w:u w:val="none"/>
                <w:lang w:val="en-US" w:eastAsia="zh-CN" w:bidi="ar"/>
              </w:rPr>
              <w:t>楼宇、室内保洁</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9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强弱电维修、日常维修</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89" w:hRule="atLeast"/>
          <w:jc w:val="center"/>
        </w:trPr>
        <w:tc>
          <w:tcPr>
            <w:tcW w:w="813" w:type="dxa"/>
            <w:vMerge w:val="continue"/>
            <w:tcBorders>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default" w:ascii="宋体" w:hAnsi="宋体" w:cs="宋体"/>
                <w:color w:val="auto"/>
                <w:kern w:val="0"/>
                <w:sz w:val="24"/>
                <w:highlight w:val="none"/>
                <w:lang w:bidi="ar"/>
              </w:rPr>
              <w:t>…</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69" w:hRule="atLeast"/>
          <w:jc w:val="center"/>
        </w:trPr>
        <w:tc>
          <w:tcPr>
            <w:tcW w:w="33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0"/>
                <w:sz w:val="24"/>
                <w:highlight w:val="none"/>
                <w:lang w:bidi="ar"/>
              </w:rPr>
              <w:t>小计</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409" w:hRule="atLeast"/>
          <w:jc w:val="center"/>
        </w:trPr>
        <w:tc>
          <w:tcPr>
            <w:tcW w:w="81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名称</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服务内容（或设备）</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金额（元）</w:t>
            </w:r>
          </w:p>
        </w:tc>
      </w:tr>
      <w:tr>
        <w:tblPrEx>
          <w:tblCellMar>
            <w:top w:w="0" w:type="dxa"/>
            <w:left w:w="0" w:type="dxa"/>
            <w:bottom w:w="0" w:type="dxa"/>
            <w:right w:w="0" w:type="dxa"/>
          </w:tblCellMar>
        </w:tblPrEx>
        <w:trPr>
          <w:trHeight w:val="364" w:hRule="atLeast"/>
          <w:jc w:val="center"/>
        </w:trPr>
        <w:tc>
          <w:tcPr>
            <w:tcW w:w="8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2"/>
                <w:sz w:val="24"/>
                <w:highlight w:val="none"/>
              </w:rPr>
              <w:t>其他</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耗材费用</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41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管理费用</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39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税金</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生活垃圾清运费、垃圾桶采购</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highlight w:val="none"/>
                <w:lang w:val="en-US" w:eastAsia="zh-CN"/>
              </w:rPr>
            </w:pPr>
            <w:r>
              <w:rPr>
                <w:rFonts w:hint="eastAsia" w:ascii="宋体" w:hAnsi="宋体" w:cs="宋体"/>
                <w:b/>
                <w:color w:val="auto"/>
                <w:kern w:val="2"/>
                <w:sz w:val="24"/>
                <w:highlight w:val="none"/>
                <w:lang w:val="en-US" w:eastAsia="zh-CN"/>
              </w:rPr>
              <w:t xml:space="preserve"> </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2"/>
                <w:sz w:val="24"/>
                <w:highlight w:val="none"/>
                <w:lang w:val="en-US" w:eastAsia="zh-CN"/>
              </w:rPr>
              <w:t xml:space="preserve"> </w:t>
            </w: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绿化维护、保养</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b/>
                <w:color w:val="auto"/>
                <w:kern w:val="2"/>
                <w:sz w:val="24"/>
                <w:highlight w:val="none"/>
                <w:lang w:val="en-US" w:eastAsia="zh-CN"/>
              </w:rPr>
              <w:t xml:space="preserve"> </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2"/>
                <w:sz w:val="24"/>
                <w:highlight w:val="none"/>
                <w:lang w:val="en-US" w:eastAsia="zh-CN"/>
              </w:rPr>
              <w:t xml:space="preserve"> </w:t>
            </w: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空调维修、维护</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b/>
                <w:color w:val="auto"/>
                <w:kern w:val="2"/>
                <w:sz w:val="24"/>
                <w:highlight w:val="none"/>
                <w:lang w:val="en-US" w:eastAsia="zh-CN"/>
              </w:rPr>
              <w:t xml:space="preserve"> </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2"/>
                <w:sz w:val="24"/>
                <w:highlight w:val="none"/>
                <w:lang w:val="en-US" w:eastAsia="zh-CN"/>
              </w:rPr>
              <w:t xml:space="preserve"> </w:t>
            </w: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rPr>
            </w:pPr>
          </w:p>
        </w:tc>
      </w:tr>
      <w:tr>
        <w:tblPrEx>
          <w:tblCellMar>
            <w:top w:w="0" w:type="dxa"/>
            <w:left w:w="0" w:type="dxa"/>
            <w:bottom w:w="0" w:type="dxa"/>
            <w:right w:w="0" w:type="dxa"/>
          </w:tblCellMar>
        </w:tblPrEx>
        <w:trPr>
          <w:trHeight w:val="364" w:hRule="atLeast"/>
          <w:jc w:val="center"/>
        </w:trPr>
        <w:tc>
          <w:tcPr>
            <w:tcW w:w="3348" w:type="dxa"/>
            <w:gridSpan w:val="2"/>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cs="宋体"/>
                <w:b/>
                <w:color w:val="auto"/>
                <w:kern w:val="0"/>
                <w:sz w:val="24"/>
                <w:highlight w:val="none"/>
                <w:lang w:bidi="ar"/>
              </w:rPr>
              <w:t>小计</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bCs/>
                <w:color w:val="auto"/>
                <w:kern w:val="2"/>
                <w:sz w:val="24"/>
                <w:highlight w:val="none"/>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876" w:hRule="atLeast"/>
          <w:jc w:val="center"/>
        </w:trPr>
        <w:tc>
          <w:tcPr>
            <w:tcW w:w="33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一年总计</w:t>
            </w:r>
          </w:p>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0"/>
                <w:sz w:val="24"/>
                <w:highlight w:val="none"/>
                <w:lang w:bidi="ar"/>
              </w:rPr>
              <w:t>（须为投标报价的二分之一）</w:t>
            </w:r>
          </w:p>
        </w:tc>
        <w:tc>
          <w:tcPr>
            <w:tcW w:w="59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b/>
                <w:color w:val="auto"/>
                <w:kern w:val="2"/>
                <w:sz w:val="24"/>
                <w:highlight w:val="none"/>
              </w:rPr>
              <w:t>人民币</w:t>
            </w:r>
            <w:r>
              <w:rPr>
                <w:rFonts w:hint="eastAsia" w:ascii="宋体" w:hAnsi="宋体" w:cs="宋体"/>
                <w:b/>
                <w:color w:val="auto"/>
                <w:kern w:val="2"/>
                <w:sz w:val="24"/>
                <w:highlight w:val="none"/>
                <w:u w:val="single"/>
              </w:rPr>
              <w:t xml:space="preserve">              </w:t>
            </w:r>
            <w:r>
              <w:rPr>
                <w:rFonts w:hint="eastAsia" w:ascii="宋体" w:hAnsi="宋体" w:cs="宋体"/>
                <w:b/>
                <w:bCs/>
                <w:color w:val="auto"/>
                <w:kern w:val="2"/>
                <w:sz w:val="24"/>
                <w:highlight w:val="none"/>
                <w:u w:val="single"/>
              </w:rPr>
              <w:t xml:space="preserve"> </w:t>
            </w:r>
            <w:r>
              <w:rPr>
                <w:rFonts w:hint="eastAsia" w:ascii="宋体" w:hAnsi="宋体" w:cs="宋体"/>
                <w:b/>
                <w:color w:val="auto"/>
                <w:kern w:val="2"/>
                <w:sz w:val="24"/>
                <w:highlight w:val="none"/>
              </w:rPr>
              <w:t>元</w:t>
            </w:r>
          </w:p>
          <w:p>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color w:val="auto"/>
                <w:kern w:val="2"/>
                <w:sz w:val="24"/>
                <w:highlight w:val="none"/>
              </w:rPr>
              <w:t>（小写</w:t>
            </w:r>
            <w:r>
              <w:rPr>
                <w:rFonts w:hint="eastAsia" w:ascii="宋体" w:hAnsi="宋体" w:cs="宋体"/>
                <w:b/>
                <w:color w:val="auto"/>
                <w:kern w:val="2"/>
                <w:sz w:val="24"/>
                <w:highlight w:val="none"/>
                <w:u w:val="single"/>
              </w:rPr>
              <w:t xml:space="preserve"> </w:t>
            </w:r>
            <w:r>
              <w:rPr>
                <w:rFonts w:hint="eastAsia" w:ascii="宋体" w:hAnsi="宋体"/>
                <w:b/>
                <w:color w:val="auto"/>
                <w:kern w:val="2"/>
                <w:sz w:val="24"/>
                <w:highlight w:val="none"/>
                <w:u w:val="single"/>
              </w:rPr>
              <w:t xml:space="preserve">              </w:t>
            </w:r>
            <w:r>
              <w:rPr>
                <w:rFonts w:hint="eastAsia" w:ascii="宋体" w:hAnsi="宋体" w:cs="宋体"/>
                <w:b/>
                <w:color w:val="auto"/>
                <w:kern w:val="2"/>
                <w:sz w:val="24"/>
                <w:highlight w:val="none"/>
                <w:u w:val="single"/>
              </w:rPr>
              <w:t xml:space="preserve"> </w:t>
            </w:r>
            <w:r>
              <w:rPr>
                <w:rFonts w:hint="eastAsia" w:ascii="宋体" w:hAnsi="宋体" w:cs="宋体"/>
                <w:b/>
                <w:color w:val="auto"/>
                <w:kern w:val="2"/>
                <w:sz w:val="24"/>
                <w:highlight w:val="none"/>
              </w:rPr>
              <w:t>元）</w:t>
            </w:r>
          </w:p>
        </w:tc>
      </w:tr>
    </w:tbl>
    <w:p>
      <w:pPr>
        <w:pStyle w:val="15"/>
        <w:spacing w:line="360" w:lineRule="auto"/>
        <w:ind w:firstLine="480" w:firstLineChars="200"/>
        <w:rPr>
          <w:rFonts w:hint="eastAsia"/>
          <w:color w:val="auto"/>
          <w:highlight w:val="none"/>
        </w:rPr>
      </w:pPr>
      <w:r>
        <w:rPr>
          <w:rFonts w:hint="eastAsia" w:hAnsi="宋体" w:cs="宋体"/>
          <w:color w:val="auto"/>
          <w:sz w:val="24"/>
          <w:highlight w:val="none"/>
        </w:rPr>
        <w:t>注：内容可根据投标人实际情况自行调整。</w:t>
      </w:r>
    </w:p>
    <w:p>
      <w:pPr>
        <w:pStyle w:val="34"/>
        <w:spacing w:line="360" w:lineRule="auto"/>
        <w:rPr>
          <w:rFonts w:hint="eastAsia"/>
          <w:color w:val="auto"/>
          <w:highlight w:val="none"/>
        </w:rPr>
      </w:pPr>
    </w:p>
    <w:tbl>
      <w:tblPr>
        <w:tblStyle w:val="35"/>
        <w:tblW w:w="9258" w:type="dxa"/>
        <w:jc w:val="center"/>
        <w:tblLayout w:type="autofit"/>
        <w:tblCellMar>
          <w:top w:w="0" w:type="dxa"/>
          <w:left w:w="0" w:type="dxa"/>
          <w:bottom w:w="0" w:type="dxa"/>
          <w:right w:w="0" w:type="dxa"/>
        </w:tblCellMar>
      </w:tblPr>
      <w:tblGrid>
        <w:gridCol w:w="813"/>
        <w:gridCol w:w="2535"/>
        <w:gridCol w:w="1470"/>
        <w:gridCol w:w="1848"/>
        <w:gridCol w:w="864"/>
        <w:gridCol w:w="1728"/>
      </w:tblGrid>
      <w:tr>
        <w:tblPrEx>
          <w:tblCellMar>
            <w:top w:w="0" w:type="dxa"/>
            <w:left w:w="0" w:type="dxa"/>
            <w:bottom w:w="0" w:type="dxa"/>
            <w:right w:w="0" w:type="dxa"/>
          </w:tblCellMar>
        </w:tblPrEx>
        <w:trPr>
          <w:trHeight w:val="454" w:hRule="atLeast"/>
          <w:jc w:val="center"/>
        </w:trPr>
        <w:tc>
          <w:tcPr>
            <w:tcW w:w="925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惠普大通e享城商贸物业</w:t>
            </w:r>
          </w:p>
        </w:tc>
      </w:tr>
      <w:tr>
        <w:tblPrEx>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项目</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人员类别</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kern w:val="2"/>
                <w:sz w:val="24"/>
                <w:highlight w:val="none"/>
              </w:rPr>
            </w:pPr>
            <w:r>
              <w:rPr>
                <w:rFonts w:hint="eastAsia" w:ascii="宋体" w:hAnsi="宋体" w:cs="宋体"/>
                <w:b/>
                <w:bCs/>
                <w:color w:val="auto"/>
                <w:kern w:val="0"/>
                <w:sz w:val="24"/>
                <w:highlight w:val="none"/>
                <w:lang w:bidi="ar"/>
              </w:rPr>
              <w:t>数量</w:t>
            </w:r>
            <w:r>
              <w:rPr>
                <w:rFonts w:hint="eastAsia" w:ascii="宋体" w:hAnsi="宋体" w:cs="宋体"/>
                <w:b/>
                <w:bCs/>
                <w:color w:val="auto"/>
                <w:kern w:val="0"/>
                <w:sz w:val="24"/>
                <w:highlight w:val="none"/>
                <w:lang w:eastAsia="zh-CN" w:bidi="ar"/>
              </w:rPr>
              <w:t>（</w:t>
            </w:r>
            <w:r>
              <w:rPr>
                <w:rFonts w:hint="eastAsia" w:ascii="宋体" w:hAnsi="宋体" w:cs="宋体"/>
                <w:b/>
                <w:bCs/>
                <w:color w:val="auto"/>
                <w:kern w:val="0"/>
                <w:sz w:val="24"/>
                <w:highlight w:val="none"/>
                <w:lang w:bidi="ar"/>
              </w:rPr>
              <w:t>人</w:t>
            </w:r>
            <w:r>
              <w:rPr>
                <w:rFonts w:hint="eastAsia" w:ascii="宋体" w:hAnsi="宋体" w:cs="宋体"/>
                <w:b/>
                <w:bCs/>
                <w:color w:val="auto"/>
                <w:kern w:val="0"/>
                <w:sz w:val="24"/>
                <w:highlight w:val="none"/>
                <w:lang w:eastAsia="zh-CN" w:bidi="ar"/>
              </w:rPr>
              <w:t>）</w:t>
            </w: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工资（元/月）</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单位</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2"/>
                <w:sz w:val="24"/>
                <w:highlight w:val="none"/>
              </w:rPr>
            </w:pPr>
            <w:r>
              <w:rPr>
                <w:rFonts w:hint="eastAsia" w:ascii="宋体" w:hAnsi="宋体" w:cs="宋体"/>
                <w:b/>
                <w:bCs/>
                <w:color w:val="auto"/>
                <w:kern w:val="0"/>
                <w:sz w:val="24"/>
                <w:highlight w:val="none"/>
                <w:lang w:bidi="ar"/>
              </w:rPr>
              <w:t>工资总额（元）</w:t>
            </w:r>
          </w:p>
        </w:tc>
      </w:tr>
      <w:tr>
        <w:tblPrEx>
          <w:tblCellMar>
            <w:top w:w="0" w:type="dxa"/>
            <w:left w:w="0" w:type="dxa"/>
            <w:bottom w:w="0" w:type="dxa"/>
            <w:right w:w="0" w:type="dxa"/>
          </w:tblCellMar>
        </w:tblPrEx>
        <w:trPr>
          <w:trHeight w:val="374" w:hRule="atLeast"/>
          <w:jc w:val="center"/>
        </w:trPr>
        <w:tc>
          <w:tcPr>
            <w:tcW w:w="813" w:type="dxa"/>
            <w:vMerge w:val="restart"/>
            <w:tcBorders>
              <w:top w:val="nil"/>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薪资</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eastAsia="宋体" w:cs="宋体"/>
                <w:i w:val="0"/>
                <w:iCs w:val="0"/>
                <w:color w:val="auto"/>
                <w:kern w:val="0"/>
                <w:sz w:val="22"/>
                <w:szCs w:val="22"/>
                <w:u w:val="none"/>
                <w:lang w:val="en-US" w:eastAsia="zh-CN" w:bidi="ar"/>
              </w:rPr>
              <w:t>安保、门卫、巡逻</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41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eastAsia="宋体" w:cs="宋体"/>
                <w:i w:val="0"/>
                <w:iCs w:val="0"/>
                <w:color w:val="auto"/>
                <w:kern w:val="0"/>
                <w:sz w:val="22"/>
                <w:szCs w:val="22"/>
                <w:u w:val="none"/>
                <w:lang w:val="en-US" w:eastAsia="zh-CN" w:bidi="ar"/>
              </w:rPr>
              <w:t>楼宇、室内保洁</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9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u w:val="none"/>
                <w:lang w:val="en-US" w:eastAsia="zh-CN" w:bidi="ar"/>
              </w:rPr>
              <w:t>前台客服、维修</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89" w:hRule="atLeast"/>
          <w:jc w:val="center"/>
        </w:trPr>
        <w:tc>
          <w:tcPr>
            <w:tcW w:w="813" w:type="dxa"/>
            <w:vMerge w:val="continue"/>
            <w:tcBorders>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default" w:ascii="宋体" w:hAnsi="宋体" w:cs="宋体"/>
                <w:color w:val="auto"/>
                <w:kern w:val="0"/>
                <w:sz w:val="24"/>
                <w:highlight w:val="none"/>
                <w:lang w:bidi="ar"/>
              </w:rPr>
              <w:t>…</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highlight w:val="none"/>
              </w:rPr>
            </w:pPr>
          </w:p>
        </w:tc>
      </w:tr>
      <w:tr>
        <w:tblPrEx>
          <w:tblCellMar>
            <w:top w:w="0" w:type="dxa"/>
            <w:left w:w="0" w:type="dxa"/>
            <w:bottom w:w="0" w:type="dxa"/>
            <w:right w:w="0" w:type="dxa"/>
          </w:tblCellMar>
        </w:tblPrEx>
        <w:trPr>
          <w:trHeight w:val="369" w:hRule="atLeast"/>
          <w:jc w:val="center"/>
        </w:trPr>
        <w:tc>
          <w:tcPr>
            <w:tcW w:w="33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0"/>
                <w:sz w:val="24"/>
                <w:highlight w:val="none"/>
                <w:lang w:bidi="ar"/>
              </w:rPr>
              <w:t>小计</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color w:val="auto"/>
                <w:kern w:val="0"/>
                <w:sz w:val="24"/>
                <w:highlight w:val="none"/>
                <w:lang w:bidi="ar"/>
              </w:rPr>
              <w:t>月</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409" w:hRule="atLeast"/>
          <w:jc w:val="center"/>
        </w:trPr>
        <w:tc>
          <w:tcPr>
            <w:tcW w:w="81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名称</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服务内容（或设备）</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金额（元）</w:t>
            </w:r>
          </w:p>
        </w:tc>
      </w:tr>
      <w:tr>
        <w:tblPrEx>
          <w:tblCellMar>
            <w:top w:w="0" w:type="dxa"/>
            <w:left w:w="0" w:type="dxa"/>
            <w:bottom w:w="0" w:type="dxa"/>
            <w:right w:w="0" w:type="dxa"/>
          </w:tblCellMar>
        </w:tblPrEx>
        <w:trPr>
          <w:trHeight w:val="364" w:hRule="atLeast"/>
          <w:jc w:val="center"/>
        </w:trPr>
        <w:tc>
          <w:tcPr>
            <w:tcW w:w="8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cs="宋体"/>
                <w:color w:val="auto"/>
                <w:kern w:val="2"/>
                <w:sz w:val="24"/>
                <w:highlight w:val="none"/>
              </w:rPr>
              <w:t>其他</w:t>
            </w: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管理费用</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41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税金</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399"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生活垃圾清运费、垃圾桶采购</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b/>
                <w:color w:val="auto"/>
                <w:kern w:val="2"/>
                <w:sz w:val="24"/>
                <w:highlight w:val="none"/>
                <w:lang w:val="en-US" w:eastAsia="zh-CN"/>
              </w:rPr>
              <w:t xml:space="preserve"> </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2"/>
                <w:sz w:val="24"/>
                <w:highlight w:val="none"/>
                <w:lang w:val="en-US" w:eastAsia="zh-CN"/>
              </w:rPr>
              <w:t xml:space="preserve"> </w:t>
            </w: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r>
              <w:rPr>
                <w:rFonts w:hint="eastAsia" w:ascii="宋体" w:hAnsi="宋体" w:eastAsia="宋体" w:cs="宋体"/>
                <w:i w:val="0"/>
                <w:iCs w:val="0"/>
                <w:color w:val="auto"/>
                <w:kern w:val="0"/>
                <w:sz w:val="22"/>
                <w:szCs w:val="22"/>
                <w:u w:val="none"/>
                <w:lang w:val="en-US" w:eastAsia="zh-CN" w:bidi="ar"/>
              </w:rPr>
              <w:t>弱电维保</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b/>
                <w:color w:val="auto"/>
                <w:kern w:val="2"/>
                <w:sz w:val="24"/>
                <w:highlight w:val="none"/>
                <w:lang w:val="en-US" w:eastAsia="zh-CN"/>
              </w:rPr>
              <w:t xml:space="preserve"> </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2"/>
                <w:sz w:val="24"/>
                <w:highlight w:val="none"/>
                <w:lang w:val="en-US" w:eastAsia="zh-CN"/>
              </w:rPr>
              <w:t xml:space="preserve"> </w:t>
            </w: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2"/>
                <w:szCs w:val="22"/>
                <w:highlight w:val="none"/>
                <w:lang w:bidi="ar"/>
              </w:rPr>
              <w:t>绿化维护、保养、绿植租赁</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rPr>
            </w:pPr>
          </w:p>
        </w:tc>
      </w:tr>
      <w:tr>
        <w:tblPrEx>
          <w:tblCellMar>
            <w:top w:w="0" w:type="dxa"/>
            <w:left w:w="0" w:type="dxa"/>
            <w:bottom w:w="0" w:type="dxa"/>
            <w:right w:w="0" w:type="dxa"/>
          </w:tblCellMar>
        </w:tblPrEx>
        <w:trPr>
          <w:trHeight w:val="364" w:hRule="atLeast"/>
          <w:jc w:val="center"/>
        </w:trPr>
        <w:tc>
          <w:tcPr>
            <w:tcW w:w="8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2"/>
                <w:sz w:val="24"/>
                <w:highlight w:val="none"/>
              </w:rPr>
            </w:pPr>
          </w:p>
        </w:tc>
        <w:tc>
          <w:tcPr>
            <w:tcW w:w="2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val="en-US" w:eastAsia="zh-CN" w:bidi="ar"/>
              </w:rPr>
            </w:pPr>
            <w:r>
              <w:rPr>
                <w:rFonts w:hint="default" w:ascii="宋体" w:hAnsi="宋体" w:cs="宋体"/>
                <w:color w:val="auto"/>
                <w:kern w:val="0"/>
                <w:sz w:val="24"/>
                <w:highlight w:val="none"/>
                <w:lang w:bidi="ar"/>
              </w:rPr>
              <w:t>…</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rPr>
            </w:pPr>
          </w:p>
        </w:tc>
      </w:tr>
      <w:tr>
        <w:tblPrEx>
          <w:tblCellMar>
            <w:top w:w="0" w:type="dxa"/>
            <w:left w:w="0" w:type="dxa"/>
            <w:bottom w:w="0" w:type="dxa"/>
            <w:right w:w="0" w:type="dxa"/>
          </w:tblCellMar>
        </w:tblPrEx>
        <w:trPr>
          <w:trHeight w:val="364" w:hRule="atLeast"/>
          <w:jc w:val="center"/>
        </w:trPr>
        <w:tc>
          <w:tcPr>
            <w:tcW w:w="3348" w:type="dxa"/>
            <w:gridSpan w:val="2"/>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 w:val="24"/>
                <w:highlight w:val="none"/>
                <w:lang w:bidi="ar"/>
              </w:rPr>
            </w:pPr>
            <w:r>
              <w:rPr>
                <w:rFonts w:hint="eastAsia" w:ascii="宋体" w:hAnsi="宋体" w:cs="宋体"/>
                <w:b/>
                <w:color w:val="auto"/>
                <w:kern w:val="0"/>
                <w:sz w:val="24"/>
                <w:highlight w:val="none"/>
                <w:lang w:bidi="ar"/>
              </w:rPr>
              <w:t>小计</w:t>
            </w:r>
          </w:p>
        </w:tc>
        <w:tc>
          <w:tcPr>
            <w:tcW w:w="41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bCs/>
                <w:color w:val="auto"/>
                <w:kern w:val="2"/>
                <w:sz w:val="24"/>
                <w:highlight w:val="none"/>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p>
        </w:tc>
      </w:tr>
      <w:tr>
        <w:tblPrEx>
          <w:tblCellMar>
            <w:top w:w="0" w:type="dxa"/>
            <w:left w:w="0" w:type="dxa"/>
            <w:bottom w:w="0" w:type="dxa"/>
            <w:right w:w="0" w:type="dxa"/>
          </w:tblCellMar>
        </w:tblPrEx>
        <w:trPr>
          <w:trHeight w:val="876" w:hRule="atLeast"/>
          <w:jc w:val="center"/>
        </w:trPr>
        <w:tc>
          <w:tcPr>
            <w:tcW w:w="33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一年总计</w:t>
            </w:r>
          </w:p>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color w:val="auto"/>
                <w:kern w:val="2"/>
                <w:sz w:val="24"/>
                <w:highlight w:val="none"/>
              </w:rPr>
            </w:pPr>
            <w:r>
              <w:rPr>
                <w:rFonts w:hint="eastAsia" w:ascii="宋体" w:hAnsi="宋体" w:cs="宋体"/>
                <w:b/>
                <w:color w:val="auto"/>
                <w:kern w:val="0"/>
                <w:sz w:val="24"/>
                <w:highlight w:val="none"/>
                <w:lang w:bidi="ar"/>
              </w:rPr>
              <w:t>（须为投标报价的二分之一）</w:t>
            </w:r>
          </w:p>
        </w:tc>
        <w:tc>
          <w:tcPr>
            <w:tcW w:w="59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2"/>
                <w:sz w:val="24"/>
                <w:highlight w:val="none"/>
              </w:rPr>
            </w:pPr>
            <w:r>
              <w:rPr>
                <w:rFonts w:hint="eastAsia" w:ascii="宋体" w:hAnsi="宋体" w:cs="宋体"/>
                <w:b/>
                <w:color w:val="auto"/>
                <w:kern w:val="2"/>
                <w:sz w:val="24"/>
                <w:highlight w:val="none"/>
              </w:rPr>
              <w:t>人民币</w:t>
            </w:r>
            <w:r>
              <w:rPr>
                <w:rFonts w:hint="eastAsia" w:ascii="宋体" w:hAnsi="宋体" w:cs="宋体"/>
                <w:b/>
                <w:color w:val="auto"/>
                <w:kern w:val="2"/>
                <w:sz w:val="24"/>
                <w:highlight w:val="none"/>
                <w:u w:val="single"/>
              </w:rPr>
              <w:t xml:space="preserve">              </w:t>
            </w:r>
            <w:r>
              <w:rPr>
                <w:rFonts w:hint="eastAsia" w:ascii="宋体" w:hAnsi="宋体" w:cs="宋体"/>
                <w:b/>
                <w:bCs/>
                <w:color w:val="auto"/>
                <w:kern w:val="2"/>
                <w:sz w:val="24"/>
                <w:highlight w:val="none"/>
                <w:u w:val="single"/>
              </w:rPr>
              <w:t xml:space="preserve"> </w:t>
            </w:r>
            <w:r>
              <w:rPr>
                <w:rFonts w:hint="eastAsia" w:ascii="宋体" w:hAnsi="宋体" w:cs="宋体"/>
                <w:b/>
                <w:color w:val="auto"/>
                <w:kern w:val="2"/>
                <w:sz w:val="24"/>
                <w:highlight w:val="none"/>
              </w:rPr>
              <w:t>元</w:t>
            </w:r>
          </w:p>
          <w:p>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color w:val="auto"/>
                <w:kern w:val="2"/>
                <w:sz w:val="24"/>
                <w:highlight w:val="none"/>
              </w:rPr>
              <w:t>（小写</w:t>
            </w:r>
            <w:r>
              <w:rPr>
                <w:rFonts w:hint="eastAsia" w:ascii="宋体" w:hAnsi="宋体" w:cs="宋体"/>
                <w:b/>
                <w:color w:val="auto"/>
                <w:kern w:val="2"/>
                <w:sz w:val="24"/>
                <w:highlight w:val="none"/>
                <w:u w:val="single"/>
              </w:rPr>
              <w:t xml:space="preserve"> </w:t>
            </w:r>
            <w:r>
              <w:rPr>
                <w:rFonts w:hint="eastAsia" w:ascii="宋体" w:hAnsi="宋体"/>
                <w:b/>
                <w:color w:val="auto"/>
                <w:kern w:val="2"/>
                <w:sz w:val="24"/>
                <w:highlight w:val="none"/>
                <w:u w:val="single"/>
              </w:rPr>
              <w:t xml:space="preserve">              </w:t>
            </w:r>
            <w:r>
              <w:rPr>
                <w:rFonts w:hint="eastAsia" w:ascii="宋体" w:hAnsi="宋体" w:cs="宋体"/>
                <w:b/>
                <w:color w:val="auto"/>
                <w:kern w:val="2"/>
                <w:sz w:val="24"/>
                <w:highlight w:val="none"/>
                <w:u w:val="single"/>
              </w:rPr>
              <w:t xml:space="preserve"> </w:t>
            </w:r>
            <w:r>
              <w:rPr>
                <w:rFonts w:hint="eastAsia" w:ascii="宋体" w:hAnsi="宋体" w:cs="宋体"/>
                <w:b/>
                <w:color w:val="auto"/>
                <w:kern w:val="2"/>
                <w:sz w:val="24"/>
                <w:highlight w:val="none"/>
              </w:rPr>
              <w:t>元）</w:t>
            </w:r>
          </w:p>
        </w:tc>
      </w:tr>
    </w:tbl>
    <w:p>
      <w:pPr>
        <w:pStyle w:val="15"/>
        <w:spacing w:line="360" w:lineRule="auto"/>
        <w:ind w:firstLine="480" w:firstLineChars="200"/>
        <w:rPr>
          <w:rFonts w:hint="eastAsia"/>
          <w:color w:val="auto"/>
          <w:highlight w:val="none"/>
        </w:rPr>
      </w:pPr>
      <w:r>
        <w:rPr>
          <w:rFonts w:hint="eastAsia" w:hAnsi="宋体" w:cs="宋体"/>
          <w:color w:val="auto"/>
          <w:sz w:val="24"/>
          <w:highlight w:val="none"/>
        </w:rPr>
        <w:t>注：内容可根据投标人实际情况自行调整。</w:t>
      </w:r>
    </w:p>
    <w:p>
      <w:pPr>
        <w:spacing w:line="360" w:lineRule="auto"/>
        <w:ind w:left="3600" w:leftChars="18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600" w:leftChars="1800"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w:t>
      </w:r>
    </w:p>
    <w:p>
      <w:pPr>
        <w:spacing w:line="360" w:lineRule="auto"/>
        <w:ind w:left="3600" w:leftChars="1800" w:firstLine="480" w:firstLineChars="200"/>
        <w:jc w:val="left"/>
        <w:rPr>
          <w:rFonts w:hint="eastAsia" w:hAnsi="宋体" w:cs="宋体"/>
          <w:bCs/>
          <w:color w:val="auto"/>
          <w:sz w:val="24"/>
          <w:highlight w:val="none"/>
          <w:lang w:val="zh-CN"/>
        </w:rPr>
      </w:pPr>
      <w:r>
        <w:rPr>
          <w:rFonts w:hint="eastAsia" w:ascii="宋体" w:hAnsi="宋体" w:cs="宋体"/>
          <w:color w:val="auto"/>
          <w:sz w:val="24"/>
          <w:highlight w:val="none"/>
        </w:rPr>
        <w:t>投标人全称（公章）：</w:t>
      </w:r>
    </w:p>
    <w:p>
      <w:pPr>
        <w:spacing w:line="360" w:lineRule="auto"/>
        <w:rPr>
          <w:rFonts w:hint="eastAsia"/>
          <w:color w:val="auto"/>
        </w:rPr>
      </w:pPr>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38"/>
      </w:rPr>
    </w:pPr>
  </w:p>
  <w:p>
    <w:pPr>
      <w:pStyle w:val="20"/>
      <w:rPr>
        <w:rStyle w:val="38"/>
      </w:rPr>
    </w:pPr>
  </w:p>
  <w:p>
    <w:pPr>
      <w:pStyle w:val="20"/>
      <w:ind w:right="360" w:firstLine="3600" w:firstLineChars="2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Times New Roman" w:hAnsi="Times New Roman" w:cs="Times New Roman"/>
        <w:kern w:val="2"/>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eQrjRAQAAogMAAA4AAABkcnMvZTJvRG9jLnhtbK1TzY7TMBC+I/EO&#10;lu802a5Y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1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R3kK40QEAAKIDAAAOAAAAAAAAAAEAIAAAAB8BAABk&#10;cnMvZTJvRG9jLnhtbFBLBQYAAAAABgAGAFkBAABiBQ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Times New Roman" w:hAnsi="Times New Roman" w:cs="Times New Roman"/>
        <w:kern w:val="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Jju78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mu&#10;sj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mO7vyQEAAJo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left="1080" w:hanging="1080" w:hangingChars="600"/>
      <w:jc w:val="both"/>
      <w:rPr>
        <w:rFonts w:hint="eastAsia"/>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FBA46"/>
    <w:multiLevelType w:val="singleLevel"/>
    <w:tmpl w:val="800FBA46"/>
    <w:lvl w:ilvl="0" w:tentative="0">
      <w:start w:val="1"/>
      <w:numFmt w:val="decimal"/>
      <w:suff w:val="nothing"/>
      <w:lvlText w:val="1.%1 "/>
      <w:lvlJc w:val="left"/>
      <w:pPr>
        <w:tabs>
          <w:tab w:val="left" w:pos="0"/>
        </w:tabs>
        <w:ind w:left="0" w:firstLine="40"/>
      </w:pPr>
      <w:rPr>
        <w:rFonts w:hint="default" w:ascii="宋体" w:hAnsi="宋体" w:eastAsia="宋体" w:cs="宋体"/>
      </w:rPr>
    </w:lvl>
  </w:abstractNum>
  <w:abstractNum w:abstractNumId="1">
    <w:nsid w:val="811DF0AA"/>
    <w:multiLevelType w:val="singleLevel"/>
    <w:tmpl w:val="811DF0AA"/>
    <w:lvl w:ilvl="0" w:tentative="0">
      <w:start w:val="1"/>
      <w:numFmt w:val="chineseCounting"/>
      <w:suff w:val="nothing"/>
      <w:lvlText w:val="%1、"/>
      <w:lvlJc w:val="left"/>
      <w:rPr>
        <w:rFonts w:hint="eastAsia"/>
      </w:rPr>
    </w:lvl>
  </w:abstractNum>
  <w:abstractNum w:abstractNumId="2">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3">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4">
    <w:nsid w:val="A2A28064"/>
    <w:multiLevelType w:val="singleLevel"/>
    <w:tmpl w:val="A2A28064"/>
    <w:lvl w:ilvl="0" w:tentative="0">
      <w:start w:val="1"/>
      <w:numFmt w:val="decimal"/>
      <w:lvlText w:val="(%1)"/>
      <w:lvlJc w:val="left"/>
      <w:pPr>
        <w:ind w:left="425" w:hanging="425"/>
      </w:pPr>
      <w:rPr>
        <w:rFonts w:hint="default"/>
      </w:rPr>
    </w:lvl>
  </w:abstractNum>
  <w:abstractNum w:abstractNumId="5">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6">
    <w:nsid w:val="BF6F6CD8"/>
    <w:multiLevelType w:val="singleLevel"/>
    <w:tmpl w:val="BF6F6CD8"/>
    <w:lvl w:ilvl="0" w:tentative="0">
      <w:start w:val="1"/>
      <w:numFmt w:val="decimalEnclosedCircleChinese"/>
      <w:suff w:val="nothing"/>
      <w:lvlText w:val="%1　"/>
      <w:lvlJc w:val="left"/>
      <w:pPr>
        <w:ind w:left="0" w:firstLine="400"/>
      </w:pPr>
      <w:rPr>
        <w:rFonts w:hint="eastAsia"/>
      </w:rPr>
    </w:lvl>
  </w:abstractNum>
  <w:abstractNum w:abstractNumId="7">
    <w:nsid w:val="CCD8B1C6"/>
    <w:multiLevelType w:val="singleLevel"/>
    <w:tmpl w:val="CCD8B1C6"/>
    <w:lvl w:ilvl="0" w:tentative="0">
      <w:start w:val="1"/>
      <w:numFmt w:val="decimalEnclosedCircleChinese"/>
      <w:suff w:val="nothing"/>
      <w:lvlText w:val="%1　"/>
      <w:lvlJc w:val="left"/>
      <w:pPr>
        <w:ind w:left="0" w:firstLine="400"/>
      </w:pPr>
      <w:rPr>
        <w:rFonts w:hint="eastAsia"/>
      </w:rPr>
    </w:lvl>
  </w:abstractNum>
  <w:abstractNum w:abstractNumId="8">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9">
    <w:nsid w:val="E4E48CD6"/>
    <w:multiLevelType w:val="singleLevel"/>
    <w:tmpl w:val="E4E48CD6"/>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10">
    <w:nsid w:val="E5DE679A"/>
    <w:multiLevelType w:val="singleLevel"/>
    <w:tmpl w:val="E5DE679A"/>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11">
    <w:nsid w:val="E98B0F5A"/>
    <w:multiLevelType w:val="singleLevel"/>
    <w:tmpl w:val="E98B0F5A"/>
    <w:lvl w:ilvl="0" w:tentative="0">
      <w:start w:val="1"/>
      <w:numFmt w:val="decimalEnclosedCircleChinese"/>
      <w:suff w:val="nothing"/>
      <w:lvlText w:val="%1　"/>
      <w:lvlJc w:val="left"/>
      <w:pPr>
        <w:ind w:left="0" w:firstLine="400"/>
      </w:pPr>
      <w:rPr>
        <w:rFonts w:hint="eastAsia"/>
      </w:rPr>
    </w:lvl>
  </w:abstractNum>
  <w:abstractNum w:abstractNumId="12">
    <w:nsid w:val="EE10BEDB"/>
    <w:multiLevelType w:val="singleLevel"/>
    <w:tmpl w:val="EE10BEDB"/>
    <w:lvl w:ilvl="0" w:tentative="0">
      <w:start w:val="3"/>
      <w:numFmt w:val="decimal"/>
      <w:suff w:val="nothing"/>
      <w:lvlText w:val="%1、"/>
      <w:lvlJc w:val="left"/>
    </w:lvl>
  </w:abstractNum>
  <w:abstractNum w:abstractNumId="13">
    <w:nsid w:val="FE2F4E7A"/>
    <w:multiLevelType w:val="singleLevel"/>
    <w:tmpl w:val="FE2F4E7A"/>
    <w:lvl w:ilvl="0" w:tentative="0">
      <w:start w:val="1"/>
      <w:numFmt w:val="decimal"/>
      <w:suff w:val="nothing"/>
      <w:lvlText w:val="%1、"/>
      <w:lvlJc w:val="left"/>
    </w:lvl>
  </w:abstractNum>
  <w:abstractNum w:abstractNumId="14">
    <w:nsid w:val="FFFE915A"/>
    <w:multiLevelType w:val="singleLevel"/>
    <w:tmpl w:val="FFFE915A"/>
    <w:lvl w:ilvl="0" w:tentative="0">
      <w:start w:val="1"/>
      <w:numFmt w:val="decimalEnclosedCircleChinese"/>
      <w:suff w:val="nothing"/>
      <w:lvlText w:val="%1　"/>
      <w:lvlJc w:val="left"/>
      <w:pPr>
        <w:ind w:left="0" w:firstLine="400"/>
      </w:pPr>
      <w:rPr>
        <w:rFonts w:hint="eastAsia"/>
      </w:rPr>
    </w:lvl>
  </w:abstractNum>
  <w:abstractNum w:abstractNumId="15">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6">
    <w:nsid w:val="0606C0FE"/>
    <w:multiLevelType w:val="singleLevel"/>
    <w:tmpl w:val="0606C0FE"/>
    <w:lvl w:ilvl="0" w:tentative="0">
      <w:start w:val="1"/>
      <w:numFmt w:val="decimal"/>
      <w:suff w:val="nothing"/>
      <w:lvlText w:val="%1、"/>
      <w:lvlJc w:val="left"/>
    </w:lvl>
  </w:abstractNum>
  <w:abstractNum w:abstractNumId="17">
    <w:nsid w:val="11AB89C2"/>
    <w:multiLevelType w:val="singleLevel"/>
    <w:tmpl w:val="11AB89C2"/>
    <w:lvl w:ilvl="0" w:tentative="0">
      <w:start w:val="1"/>
      <w:numFmt w:val="decimal"/>
      <w:suff w:val="nothing"/>
      <w:lvlText w:val="1.%1 "/>
      <w:lvlJc w:val="left"/>
      <w:pPr>
        <w:tabs>
          <w:tab w:val="left" w:pos="0"/>
        </w:tabs>
        <w:ind w:left="0" w:firstLine="40"/>
      </w:pPr>
      <w:rPr>
        <w:rFonts w:hint="default" w:ascii="宋体" w:hAnsi="宋体" w:eastAsia="宋体" w:cs="宋体"/>
      </w:rPr>
    </w:lvl>
  </w:abstractNum>
  <w:abstractNum w:abstractNumId="18">
    <w:nsid w:val="165CD096"/>
    <w:multiLevelType w:val="singleLevel"/>
    <w:tmpl w:val="165CD096"/>
    <w:lvl w:ilvl="0" w:tentative="0">
      <w:start w:val="1"/>
      <w:numFmt w:val="decimal"/>
      <w:suff w:val="nothing"/>
      <w:lvlText w:val="2.%1 "/>
      <w:lvlJc w:val="left"/>
      <w:pPr>
        <w:tabs>
          <w:tab w:val="left" w:pos="0"/>
        </w:tabs>
        <w:ind w:left="0" w:firstLine="40"/>
      </w:pPr>
      <w:rPr>
        <w:rFonts w:hint="default" w:ascii="宋体" w:hAnsi="宋体" w:eastAsia="宋体" w:cs="宋体"/>
      </w:rPr>
    </w:lvl>
  </w:abstractNum>
  <w:abstractNum w:abstractNumId="19">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0">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1">
    <w:nsid w:val="26427A75"/>
    <w:multiLevelType w:val="multilevel"/>
    <w:tmpl w:val="26427A75"/>
    <w:lvl w:ilvl="0" w:tentative="0">
      <w:start w:val="1"/>
      <w:numFmt w:val="chineseCountingThousand"/>
      <w:pStyle w:val="109"/>
      <w:lvlText w:val="附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6B739BB"/>
    <w:multiLevelType w:val="singleLevel"/>
    <w:tmpl w:val="26B739BB"/>
    <w:lvl w:ilvl="0" w:tentative="0">
      <w:start w:val="1"/>
      <w:numFmt w:val="decimalEnclosedCircleChinese"/>
      <w:suff w:val="nothing"/>
      <w:lvlText w:val="%1　"/>
      <w:lvlJc w:val="left"/>
      <w:pPr>
        <w:ind w:left="0" w:firstLine="400"/>
      </w:pPr>
      <w:rPr>
        <w:rFonts w:hint="eastAsia"/>
      </w:rPr>
    </w:lvl>
  </w:abstractNum>
  <w:abstractNum w:abstractNumId="23">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4">
    <w:nsid w:val="2904DC1C"/>
    <w:multiLevelType w:val="singleLevel"/>
    <w:tmpl w:val="2904DC1C"/>
    <w:lvl w:ilvl="0" w:tentative="0">
      <w:start w:val="1"/>
      <w:numFmt w:val="decimalEnclosedCircleChinese"/>
      <w:suff w:val="nothing"/>
      <w:lvlText w:val="%1　"/>
      <w:lvlJc w:val="left"/>
      <w:pPr>
        <w:ind w:left="0" w:firstLine="400"/>
      </w:pPr>
      <w:rPr>
        <w:rFonts w:hint="eastAsia"/>
      </w:rPr>
    </w:lvl>
  </w:abstractNum>
  <w:abstractNum w:abstractNumId="25">
    <w:nsid w:val="2C60CCB4"/>
    <w:multiLevelType w:val="singleLevel"/>
    <w:tmpl w:val="2C60CCB4"/>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26">
    <w:nsid w:val="31C970FF"/>
    <w:multiLevelType w:val="singleLevel"/>
    <w:tmpl w:val="31C970FF"/>
    <w:lvl w:ilvl="0" w:tentative="0">
      <w:start w:val="4"/>
      <w:numFmt w:val="chineseCounting"/>
      <w:suff w:val="space"/>
      <w:lvlText w:val="第%1章"/>
      <w:lvlJc w:val="left"/>
      <w:rPr>
        <w:rFonts w:hint="eastAsia"/>
      </w:rPr>
    </w:lvl>
  </w:abstractNum>
  <w:abstractNum w:abstractNumId="27">
    <w:nsid w:val="3E5682EC"/>
    <w:multiLevelType w:val="singleLevel"/>
    <w:tmpl w:val="3E5682EC"/>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28">
    <w:nsid w:val="46913FAE"/>
    <w:multiLevelType w:val="singleLevel"/>
    <w:tmpl w:val="46913FAE"/>
    <w:lvl w:ilvl="0" w:tentative="0">
      <w:start w:val="1"/>
      <w:numFmt w:val="decimal"/>
      <w:suff w:val="nothing"/>
      <w:lvlText w:val="7.17.%1 "/>
      <w:lvlJc w:val="left"/>
      <w:pPr>
        <w:tabs>
          <w:tab w:val="left" w:pos="0"/>
        </w:tabs>
        <w:ind w:left="0" w:firstLine="40"/>
      </w:pPr>
      <w:rPr>
        <w:rFonts w:hint="default" w:ascii="宋体" w:hAnsi="宋体" w:eastAsia="宋体" w:cs="宋体"/>
      </w:rPr>
    </w:lvl>
  </w:abstractNum>
  <w:abstractNum w:abstractNumId="29">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0">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1">
    <w:nsid w:val="63557B35"/>
    <w:multiLevelType w:val="singleLevel"/>
    <w:tmpl w:val="63557B35"/>
    <w:lvl w:ilvl="0" w:tentative="0">
      <w:start w:val="1"/>
      <w:numFmt w:val="upperLetter"/>
      <w:pStyle w:val="5"/>
      <w:lvlText w:val="%1、"/>
      <w:lvlJc w:val="left"/>
      <w:pPr>
        <w:tabs>
          <w:tab w:val="left" w:pos="1035"/>
        </w:tabs>
        <w:ind w:left="1035" w:hanging="420"/>
      </w:pPr>
      <w:rPr>
        <w:rFonts w:hint="eastAsia"/>
      </w:rPr>
    </w:lvl>
  </w:abstractNum>
  <w:abstractNum w:abstractNumId="32">
    <w:nsid w:val="72817D3E"/>
    <w:multiLevelType w:val="singleLevel"/>
    <w:tmpl w:val="72817D3E"/>
    <w:lvl w:ilvl="0" w:tentative="0">
      <w:start w:val="1"/>
      <w:numFmt w:val="decimalEnclosedCircleChinese"/>
      <w:suff w:val="nothing"/>
      <w:lvlText w:val="%1　"/>
      <w:lvlJc w:val="left"/>
      <w:pPr>
        <w:ind w:left="0" w:firstLine="397"/>
      </w:pPr>
      <w:rPr>
        <w:rFonts w:hint="eastAsia"/>
      </w:rPr>
    </w:lvl>
  </w:abstractNum>
  <w:abstractNum w:abstractNumId="33">
    <w:nsid w:val="7B2826C6"/>
    <w:multiLevelType w:val="singleLevel"/>
    <w:tmpl w:val="7B2826C6"/>
    <w:lvl w:ilvl="0" w:tentative="0">
      <w:start w:val="1"/>
      <w:numFmt w:val="decimal"/>
      <w:suff w:val="nothing"/>
      <w:lvlText w:val="%1．"/>
      <w:lvlJc w:val="left"/>
      <w:pPr>
        <w:ind w:left="0" w:firstLine="397"/>
      </w:pPr>
      <w:rPr>
        <w:rFonts w:hint="default"/>
      </w:rPr>
    </w:lvl>
  </w:abstractNum>
  <w:abstractNum w:abstractNumId="34">
    <w:nsid w:val="7CFF1E6B"/>
    <w:multiLevelType w:val="multilevel"/>
    <w:tmpl w:val="7CFF1E6B"/>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1"/>
  </w:num>
  <w:num w:numId="2">
    <w:abstractNumId w:val="21"/>
  </w:num>
  <w:num w:numId="3">
    <w:abstractNumId w:val="16"/>
  </w:num>
  <w:num w:numId="4">
    <w:abstractNumId w:val="30"/>
  </w:num>
  <w:num w:numId="5">
    <w:abstractNumId w:val="32"/>
  </w:num>
  <w:num w:numId="6">
    <w:abstractNumId w:val="33"/>
  </w:num>
  <w:num w:numId="7">
    <w:abstractNumId w:val="19"/>
  </w:num>
  <w:num w:numId="8">
    <w:abstractNumId w:val="14"/>
  </w:num>
  <w:num w:numId="9">
    <w:abstractNumId w:val="12"/>
  </w:num>
  <w:num w:numId="10">
    <w:abstractNumId w:val="23"/>
  </w:num>
  <w:num w:numId="11">
    <w:abstractNumId w:val="5"/>
  </w:num>
  <w:num w:numId="12">
    <w:abstractNumId w:val="15"/>
  </w:num>
  <w:num w:numId="13">
    <w:abstractNumId w:val="2"/>
  </w:num>
  <w:num w:numId="14">
    <w:abstractNumId w:val="29"/>
  </w:num>
  <w:num w:numId="15">
    <w:abstractNumId w:val="11"/>
  </w:num>
  <w:num w:numId="16">
    <w:abstractNumId w:val="24"/>
  </w:num>
  <w:num w:numId="17">
    <w:abstractNumId w:val="8"/>
  </w:num>
  <w:num w:numId="18">
    <w:abstractNumId w:val="17"/>
  </w:num>
  <w:num w:numId="19">
    <w:abstractNumId w:val="0"/>
  </w:num>
  <w:num w:numId="20">
    <w:abstractNumId w:val="18"/>
  </w:num>
  <w:num w:numId="21">
    <w:abstractNumId w:val="9"/>
  </w:num>
  <w:num w:numId="22">
    <w:abstractNumId w:val="25"/>
  </w:num>
  <w:num w:numId="23">
    <w:abstractNumId w:val="10"/>
  </w:num>
  <w:num w:numId="24">
    <w:abstractNumId w:val="28"/>
  </w:num>
  <w:num w:numId="25">
    <w:abstractNumId w:val="20"/>
  </w:num>
  <w:num w:numId="26">
    <w:abstractNumId w:val="27"/>
  </w:num>
  <w:num w:numId="27">
    <w:abstractNumId w:val="3"/>
  </w:num>
  <w:num w:numId="28">
    <w:abstractNumId w:val="7"/>
  </w:num>
  <w:num w:numId="2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3"/>
  </w:num>
  <w:num w:numId="32">
    <w:abstractNumId w:val="26"/>
  </w:num>
  <w:num w:numId="33">
    <w:abstractNumId w:val="4"/>
  </w:num>
  <w:num w:numId="34">
    <w:abstractNumId w:val="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12cd474-9cae-4fbd-9971-fca1732f7bdb"/>
  </w:docVars>
  <w:rsids>
    <w:rsidRoot w:val="00172A27"/>
    <w:rsid w:val="00001DA3"/>
    <w:rsid w:val="00006818"/>
    <w:rsid w:val="000075DA"/>
    <w:rsid w:val="000077D0"/>
    <w:rsid w:val="000119E3"/>
    <w:rsid w:val="000148D6"/>
    <w:rsid w:val="00015D59"/>
    <w:rsid w:val="00017390"/>
    <w:rsid w:val="00017802"/>
    <w:rsid w:val="00020033"/>
    <w:rsid w:val="000213B6"/>
    <w:rsid w:val="00024B66"/>
    <w:rsid w:val="00027239"/>
    <w:rsid w:val="000328AC"/>
    <w:rsid w:val="00045CF2"/>
    <w:rsid w:val="000464E5"/>
    <w:rsid w:val="000478D8"/>
    <w:rsid w:val="0004792A"/>
    <w:rsid w:val="0004794A"/>
    <w:rsid w:val="00050858"/>
    <w:rsid w:val="00050CA4"/>
    <w:rsid w:val="000510A3"/>
    <w:rsid w:val="00052D30"/>
    <w:rsid w:val="00053264"/>
    <w:rsid w:val="000536AD"/>
    <w:rsid w:val="00054C47"/>
    <w:rsid w:val="00055F1C"/>
    <w:rsid w:val="00056840"/>
    <w:rsid w:val="000611ED"/>
    <w:rsid w:val="00063E4F"/>
    <w:rsid w:val="00067276"/>
    <w:rsid w:val="00070161"/>
    <w:rsid w:val="000708A0"/>
    <w:rsid w:val="00070FE2"/>
    <w:rsid w:val="00071029"/>
    <w:rsid w:val="00071C5B"/>
    <w:rsid w:val="00074863"/>
    <w:rsid w:val="00076F53"/>
    <w:rsid w:val="00085D90"/>
    <w:rsid w:val="000912C7"/>
    <w:rsid w:val="0009279F"/>
    <w:rsid w:val="0009767A"/>
    <w:rsid w:val="00097953"/>
    <w:rsid w:val="000A241D"/>
    <w:rsid w:val="000A5490"/>
    <w:rsid w:val="000A7479"/>
    <w:rsid w:val="000B0DE4"/>
    <w:rsid w:val="000B1CDD"/>
    <w:rsid w:val="000B3611"/>
    <w:rsid w:val="000B4338"/>
    <w:rsid w:val="000B4627"/>
    <w:rsid w:val="000B5F6E"/>
    <w:rsid w:val="000C0FB1"/>
    <w:rsid w:val="000C0FFF"/>
    <w:rsid w:val="000C2631"/>
    <w:rsid w:val="000C2AC6"/>
    <w:rsid w:val="000C3C4D"/>
    <w:rsid w:val="000C663A"/>
    <w:rsid w:val="000C6E71"/>
    <w:rsid w:val="000D05CC"/>
    <w:rsid w:val="000D263B"/>
    <w:rsid w:val="000D2BAD"/>
    <w:rsid w:val="000D3604"/>
    <w:rsid w:val="000D3E6D"/>
    <w:rsid w:val="000D4E3C"/>
    <w:rsid w:val="000D504A"/>
    <w:rsid w:val="000E136C"/>
    <w:rsid w:val="000E1A92"/>
    <w:rsid w:val="000E1D06"/>
    <w:rsid w:val="000E21F5"/>
    <w:rsid w:val="000E38B1"/>
    <w:rsid w:val="000E4664"/>
    <w:rsid w:val="000E4978"/>
    <w:rsid w:val="000E526A"/>
    <w:rsid w:val="000E5496"/>
    <w:rsid w:val="000E57E4"/>
    <w:rsid w:val="000E6A98"/>
    <w:rsid w:val="000E730F"/>
    <w:rsid w:val="000F02FC"/>
    <w:rsid w:val="000F1FF4"/>
    <w:rsid w:val="000F45D5"/>
    <w:rsid w:val="000F50EA"/>
    <w:rsid w:val="000F5F2A"/>
    <w:rsid w:val="000F7138"/>
    <w:rsid w:val="000F7272"/>
    <w:rsid w:val="000F7D1F"/>
    <w:rsid w:val="00102B8C"/>
    <w:rsid w:val="00103346"/>
    <w:rsid w:val="001049C2"/>
    <w:rsid w:val="0010598A"/>
    <w:rsid w:val="00106DAD"/>
    <w:rsid w:val="00107709"/>
    <w:rsid w:val="00107E74"/>
    <w:rsid w:val="00116DAA"/>
    <w:rsid w:val="001207CD"/>
    <w:rsid w:val="00120FD6"/>
    <w:rsid w:val="0012256C"/>
    <w:rsid w:val="001239D4"/>
    <w:rsid w:val="001306A4"/>
    <w:rsid w:val="00130B31"/>
    <w:rsid w:val="00131F44"/>
    <w:rsid w:val="00132490"/>
    <w:rsid w:val="001330B0"/>
    <w:rsid w:val="001346A9"/>
    <w:rsid w:val="00136306"/>
    <w:rsid w:val="00141DA5"/>
    <w:rsid w:val="00142FE2"/>
    <w:rsid w:val="00145D2A"/>
    <w:rsid w:val="00145DEA"/>
    <w:rsid w:val="001468A0"/>
    <w:rsid w:val="0015095E"/>
    <w:rsid w:val="00151B20"/>
    <w:rsid w:val="00154F16"/>
    <w:rsid w:val="001572D9"/>
    <w:rsid w:val="00157732"/>
    <w:rsid w:val="00157B09"/>
    <w:rsid w:val="00164064"/>
    <w:rsid w:val="00167BCB"/>
    <w:rsid w:val="0017220F"/>
    <w:rsid w:val="0017302D"/>
    <w:rsid w:val="00175A80"/>
    <w:rsid w:val="00177CB4"/>
    <w:rsid w:val="00181AB5"/>
    <w:rsid w:val="001840F0"/>
    <w:rsid w:val="00185469"/>
    <w:rsid w:val="0018546D"/>
    <w:rsid w:val="00185753"/>
    <w:rsid w:val="00186A09"/>
    <w:rsid w:val="00187DD3"/>
    <w:rsid w:val="00191FD8"/>
    <w:rsid w:val="001940F2"/>
    <w:rsid w:val="00194D4C"/>
    <w:rsid w:val="0019559D"/>
    <w:rsid w:val="00196875"/>
    <w:rsid w:val="001A09BA"/>
    <w:rsid w:val="001A1935"/>
    <w:rsid w:val="001A2AC8"/>
    <w:rsid w:val="001A493D"/>
    <w:rsid w:val="001A5F98"/>
    <w:rsid w:val="001B260D"/>
    <w:rsid w:val="001B2755"/>
    <w:rsid w:val="001B4867"/>
    <w:rsid w:val="001B6049"/>
    <w:rsid w:val="001B7169"/>
    <w:rsid w:val="001B71A5"/>
    <w:rsid w:val="001B7285"/>
    <w:rsid w:val="001C048E"/>
    <w:rsid w:val="001C22F6"/>
    <w:rsid w:val="001C26B1"/>
    <w:rsid w:val="001C462F"/>
    <w:rsid w:val="001C48E8"/>
    <w:rsid w:val="001C53F8"/>
    <w:rsid w:val="001C6443"/>
    <w:rsid w:val="001C770C"/>
    <w:rsid w:val="001D0151"/>
    <w:rsid w:val="001D0B98"/>
    <w:rsid w:val="001D3140"/>
    <w:rsid w:val="001D3288"/>
    <w:rsid w:val="001E32A6"/>
    <w:rsid w:val="001E48F2"/>
    <w:rsid w:val="001E65BA"/>
    <w:rsid w:val="001E7840"/>
    <w:rsid w:val="001F0C21"/>
    <w:rsid w:val="001F201E"/>
    <w:rsid w:val="001F4C6E"/>
    <w:rsid w:val="001F596D"/>
    <w:rsid w:val="001F5E72"/>
    <w:rsid w:val="001F63FD"/>
    <w:rsid w:val="001F667C"/>
    <w:rsid w:val="0020141C"/>
    <w:rsid w:val="00201ADE"/>
    <w:rsid w:val="00204834"/>
    <w:rsid w:val="002054EF"/>
    <w:rsid w:val="00207B4A"/>
    <w:rsid w:val="00213C81"/>
    <w:rsid w:val="00215AEA"/>
    <w:rsid w:val="0022084E"/>
    <w:rsid w:val="0022104A"/>
    <w:rsid w:val="00221186"/>
    <w:rsid w:val="00221F74"/>
    <w:rsid w:val="00226C15"/>
    <w:rsid w:val="002338EC"/>
    <w:rsid w:val="00233994"/>
    <w:rsid w:val="002364CF"/>
    <w:rsid w:val="00236ADE"/>
    <w:rsid w:val="00236BA6"/>
    <w:rsid w:val="002375BB"/>
    <w:rsid w:val="0024409C"/>
    <w:rsid w:val="00244106"/>
    <w:rsid w:val="00245C61"/>
    <w:rsid w:val="00247E15"/>
    <w:rsid w:val="00252A03"/>
    <w:rsid w:val="0025329C"/>
    <w:rsid w:val="00254070"/>
    <w:rsid w:val="0025652F"/>
    <w:rsid w:val="002606EC"/>
    <w:rsid w:val="00260EDD"/>
    <w:rsid w:val="00270E2D"/>
    <w:rsid w:val="002737DE"/>
    <w:rsid w:val="00274F9A"/>
    <w:rsid w:val="00275072"/>
    <w:rsid w:val="00275157"/>
    <w:rsid w:val="002751D8"/>
    <w:rsid w:val="00280D86"/>
    <w:rsid w:val="00284635"/>
    <w:rsid w:val="00285F7E"/>
    <w:rsid w:val="0029041C"/>
    <w:rsid w:val="0029087D"/>
    <w:rsid w:val="002916B1"/>
    <w:rsid w:val="00295155"/>
    <w:rsid w:val="00296D5E"/>
    <w:rsid w:val="002972FE"/>
    <w:rsid w:val="002A1B74"/>
    <w:rsid w:val="002A2ACF"/>
    <w:rsid w:val="002A50C8"/>
    <w:rsid w:val="002A64CA"/>
    <w:rsid w:val="002B0813"/>
    <w:rsid w:val="002B17BF"/>
    <w:rsid w:val="002B309A"/>
    <w:rsid w:val="002B3370"/>
    <w:rsid w:val="002B3581"/>
    <w:rsid w:val="002B7653"/>
    <w:rsid w:val="002C5223"/>
    <w:rsid w:val="002C5E58"/>
    <w:rsid w:val="002C7A2D"/>
    <w:rsid w:val="002D11D9"/>
    <w:rsid w:val="002D6B41"/>
    <w:rsid w:val="002E2739"/>
    <w:rsid w:val="002E35E9"/>
    <w:rsid w:val="002F08B1"/>
    <w:rsid w:val="002F097F"/>
    <w:rsid w:val="002F2E8D"/>
    <w:rsid w:val="002F378A"/>
    <w:rsid w:val="002F4F8D"/>
    <w:rsid w:val="002F5D50"/>
    <w:rsid w:val="003072EC"/>
    <w:rsid w:val="0031129B"/>
    <w:rsid w:val="00311554"/>
    <w:rsid w:val="003157A2"/>
    <w:rsid w:val="00317185"/>
    <w:rsid w:val="0032106B"/>
    <w:rsid w:val="0032607A"/>
    <w:rsid w:val="00327130"/>
    <w:rsid w:val="0033593F"/>
    <w:rsid w:val="00335F6A"/>
    <w:rsid w:val="00336801"/>
    <w:rsid w:val="00343AD4"/>
    <w:rsid w:val="0034690F"/>
    <w:rsid w:val="00346F9B"/>
    <w:rsid w:val="003503F3"/>
    <w:rsid w:val="003510DB"/>
    <w:rsid w:val="00351DB5"/>
    <w:rsid w:val="0035370E"/>
    <w:rsid w:val="00354D93"/>
    <w:rsid w:val="00355238"/>
    <w:rsid w:val="00355E84"/>
    <w:rsid w:val="00355E89"/>
    <w:rsid w:val="00361B43"/>
    <w:rsid w:val="00363BE4"/>
    <w:rsid w:val="0036471B"/>
    <w:rsid w:val="00365265"/>
    <w:rsid w:val="00365DEC"/>
    <w:rsid w:val="00366048"/>
    <w:rsid w:val="003666A9"/>
    <w:rsid w:val="00370309"/>
    <w:rsid w:val="00370DE4"/>
    <w:rsid w:val="0037377A"/>
    <w:rsid w:val="00374FA6"/>
    <w:rsid w:val="0038062E"/>
    <w:rsid w:val="00380EBB"/>
    <w:rsid w:val="00381BBB"/>
    <w:rsid w:val="00383AA4"/>
    <w:rsid w:val="00392324"/>
    <w:rsid w:val="00392CCA"/>
    <w:rsid w:val="00395EFF"/>
    <w:rsid w:val="00397208"/>
    <w:rsid w:val="003A10A9"/>
    <w:rsid w:val="003A328A"/>
    <w:rsid w:val="003B254E"/>
    <w:rsid w:val="003B5E1A"/>
    <w:rsid w:val="003C045D"/>
    <w:rsid w:val="003C05AC"/>
    <w:rsid w:val="003C2615"/>
    <w:rsid w:val="003C2BEF"/>
    <w:rsid w:val="003D54F9"/>
    <w:rsid w:val="003E03D0"/>
    <w:rsid w:val="003E0923"/>
    <w:rsid w:val="003E2076"/>
    <w:rsid w:val="003E4A85"/>
    <w:rsid w:val="003E650C"/>
    <w:rsid w:val="003E724B"/>
    <w:rsid w:val="003E75CD"/>
    <w:rsid w:val="003F0E16"/>
    <w:rsid w:val="003F23CE"/>
    <w:rsid w:val="003F6C24"/>
    <w:rsid w:val="003F7BB6"/>
    <w:rsid w:val="00403983"/>
    <w:rsid w:val="00405142"/>
    <w:rsid w:val="00411B98"/>
    <w:rsid w:val="00412A01"/>
    <w:rsid w:val="00412C39"/>
    <w:rsid w:val="0042158E"/>
    <w:rsid w:val="00423F56"/>
    <w:rsid w:val="00427054"/>
    <w:rsid w:val="0043076C"/>
    <w:rsid w:val="00431075"/>
    <w:rsid w:val="0043130F"/>
    <w:rsid w:val="00432945"/>
    <w:rsid w:val="00432A66"/>
    <w:rsid w:val="0043576F"/>
    <w:rsid w:val="0044078E"/>
    <w:rsid w:val="004420EA"/>
    <w:rsid w:val="00442E77"/>
    <w:rsid w:val="00445CAB"/>
    <w:rsid w:val="0044612F"/>
    <w:rsid w:val="004476FD"/>
    <w:rsid w:val="004544B9"/>
    <w:rsid w:val="00455B4C"/>
    <w:rsid w:val="00463657"/>
    <w:rsid w:val="00464C4C"/>
    <w:rsid w:val="00465A05"/>
    <w:rsid w:val="004707ED"/>
    <w:rsid w:val="00470C83"/>
    <w:rsid w:val="00471627"/>
    <w:rsid w:val="00473031"/>
    <w:rsid w:val="004738DF"/>
    <w:rsid w:val="00477C97"/>
    <w:rsid w:val="00480341"/>
    <w:rsid w:val="004811FE"/>
    <w:rsid w:val="00481376"/>
    <w:rsid w:val="00481EE1"/>
    <w:rsid w:val="00482174"/>
    <w:rsid w:val="004821D3"/>
    <w:rsid w:val="00483ECB"/>
    <w:rsid w:val="00484007"/>
    <w:rsid w:val="004840E1"/>
    <w:rsid w:val="004848EA"/>
    <w:rsid w:val="00485252"/>
    <w:rsid w:val="00487344"/>
    <w:rsid w:val="004875E1"/>
    <w:rsid w:val="0049055D"/>
    <w:rsid w:val="00490DDE"/>
    <w:rsid w:val="00490F49"/>
    <w:rsid w:val="0049797C"/>
    <w:rsid w:val="004A4142"/>
    <w:rsid w:val="004A5F86"/>
    <w:rsid w:val="004A6F58"/>
    <w:rsid w:val="004B05F4"/>
    <w:rsid w:val="004B0811"/>
    <w:rsid w:val="004B3910"/>
    <w:rsid w:val="004B46C4"/>
    <w:rsid w:val="004B5330"/>
    <w:rsid w:val="004B6001"/>
    <w:rsid w:val="004B6A5A"/>
    <w:rsid w:val="004B7EA3"/>
    <w:rsid w:val="004C1318"/>
    <w:rsid w:val="004C1BA6"/>
    <w:rsid w:val="004C267F"/>
    <w:rsid w:val="004D35C6"/>
    <w:rsid w:val="004D57AE"/>
    <w:rsid w:val="004E3A69"/>
    <w:rsid w:val="004E3F19"/>
    <w:rsid w:val="004E52B0"/>
    <w:rsid w:val="004E5650"/>
    <w:rsid w:val="004E60DF"/>
    <w:rsid w:val="004F1B98"/>
    <w:rsid w:val="004F1EF6"/>
    <w:rsid w:val="004F4A0C"/>
    <w:rsid w:val="004F5BB3"/>
    <w:rsid w:val="004F675C"/>
    <w:rsid w:val="004F6D1A"/>
    <w:rsid w:val="00500D57"/>
    <w:rsid w:val="00503B44"/>
    <w:rsid w:val="00503EAE"/>
    <w:rsid w:val="00504A5B"/>
    <w:rsid w:val="00511898"/>
    <w:rsid w:val="00511D3E"/>
    <w:rsid w:val="00512F4D"/>
    <w:rsid w:val="00514A7D"/>
    <w:rsid w:val="005169E7"/>
    <w:rsid w:val="00517C29"/>
    <w:rsid w:val="00521532"/>
    <w:rsid w:val="005245BA"/>
    <w:rsid w:val="00525303"/>
    <w:rsid w:val="00525C33"/>
    <w:rsid w:val="0052677F"/>
    <w:rsid w:val="005306F4"/>
    <w:rsid w:val="00530BFB"/>
    <w:rsid w:val="00531CDE"/>
    <w:rsid w:val="00532809"/>
    <w:rsid w:val="00533931"/>
    <w:rsid w:val="00533DC9"/>
    <w:rsid w:val="0053464A"/>
    <w:rsid w:val="00536C08"/>
    <w:rsid w:val="00536CE6"/>
    <w:rsid w:val="00537173"/>
    <w:rsid w:val="005378CB"/>
    <w:rsid w:val="005404A5"/>
    <w:rsid w:val="00540546"/>
    <w:rsid w:val="00540CB5"/>
    <w:rsid w:val="00542885"/>
    <w:rsid w:val="005445DF"/>
    <w:rsid w:val="00546A76"/>
    <w:rsid w:val="005500A4"/>
    <w:rsid w:val="005514E6"/>
    <w:rsid w:val="00554E93"/>
    <w:rsid w:val="00557696"/>
    <w:rsid w:val="00560B4F"/>
    <w:rsid w:val="00560EA2"/>
    <w:rsid w:val="00561E6A"/>
    <w:rsid w:val="00562491"/>
    <w:rsid w:val="005648E0"/>
    <w:rsid w:val="00564E8F"/>
    <w:rsid w:val="00571B49"/>
    <w:rsid w:val="0057210E"/>
    <w:rsid w:val="00573B0E"/>
    <w:rsid w:val="00574608"/>
    <w:rsid w:val="00575F6F"/>
    <w:rsid w:val="00577904"/>
    <w:rsid w:val="0058006C"/>
    <w:rsid w:val="00581BE5"/>
    <w:rsid w:val="00582FCE"/>
    <w:rsid w:val="0058535A"/>
    <w:rsid w:val="005853D2"/>
    <w:rsid w:val="005900B5"/>
    <w:rsid w:val="00590D57"/>
    <w:rsid w:val="00591734"/>
    <w:rsid w:val="00591FA1"/>
    <w:rsid w:val="00592DF2"/>
    <w:rsid w:val="00594041"/>
    <w:rsid w:val="00594F19"/>
    <w:rsid w:val="00594F8E"/>
    <w:rsid w:val="005965F2"/>
    <w:rsid w:val="005A02D2"/>
    <w:rsid w:val="005A1116"/>
    <w:rsid w:val="005A61F4"/>
    <w:rsid w:val="005A6DCA"/>
    <w:rsid w:val="005B3566"/>
    <w:rsid w:val="005B61AE"/>
    <w:rsid w:val="005B7C66"/>
    <w:rsid w:val="005C1EDC"/>
    <w:rsid w:val="005C40A5"/>
    <w:rsid w:val="005C515B"/>
    <w:rsid w:val="005C527B"/>
    <w:rsid w:val="005C5419"/>
    <w:rsid w:val="005C7DA4"/>
    <w:rsid w:val="005D3369"/>
    <w:rsid w:val="005D44DD"/>
    <w:rsid w:val="005D4538"/>
    <w:rsid w:val="005D509B"/>
    <w:rsid w:val="005D59F7"/>
    <w:rsid w:val="005D6FDE"/>
    <w:rsid w:val="005D7D0F"/>
    <w:rsid w:val="005E2379"/>
    <w:rsid w:val="005E2F8E"/>
    <w:rsid w:val="005E435B"/>
    <w:rsid w:val="005E45D4"/>
    <w:rsid w:val="005E5400"/>
    <w:rsid w:val="005E5B93"/>
    <w:rsid w:val="005E781A"/>
    <w:rsid w:val="005F0902"/>
    <w:rsid w:val="005F20C3"/>
    <w:rsid w:val="005F3EA6"/>
    <w:rsid w:val="005F4076"/>
    <w:rsid w:val="005F5C9B"/>
    <w:rsid w:val="005F7D07"/>
    <w:rsid w:val="0060337E"/>
    <w:rsid w:val="006037E7"/>
    <w:rsid w:val="00605B60"/>
    <w:rsid w:val="00605B63"/>
    <w:rsid w:val="00607067"/>
    <w:rsid w:val="00607DF3"/>
    <w:rsid w:val="006108E4"/>
    <w:rsid w:val="00610BEB"/>
    <w:rsid w:val="00612469"/>
    <w:rsid w:val="006213B9"/>
    <w:rsid w:val="00626AD6"/>
    <w:rsid w:val="0062753E"/>
    <w:rsid w:val="00627BE7"/>
    <w:rsid w:val="00627CD0"/>
    <w:rsid w:val="00627E2D"/>
    <w:rsid w:val="0063140B"/>
    <w:rsid w:val="00633569"/>
    <w:rsid w:val="00635132"/>
    <w:rsid w:val="006362BE"/>
    <w:rsid w:val="00642080"/>
    <w:rsid w:val="006435A9"/>
    <w:rsid w:val="00644CB6"/>
    <w:rsid w:val="00645908"/>
    <w:rsid w:val="006503B5"/>
    <w:rsid w:val="0065060D"/>
    <w:rsid w:val="00657F9C"/>
    <w:rsid w:val="00661239"/>
    <w:rsid w:val="006648CC"/>
    <w:rsid w:val="00665413"/>
    <w:rsid w:val="00665CBC"/>
    <w:rsid w:val="006708AA"/>
    <w:rsid w:val="00670DA8"/>
    <w:rsid w:val="006733B7"/>
    <w:rsid w:val="00675ED3"/>
    <w:rsid w:val="00684CC6"/>
    <w:rsid w:val="00684E9E"/>
    <w:rsid w:val="00691327"/>
    <w:rsid w:val="00691830"/>
    <w:rsid w:val="00692449"/>
    <w:rsid w:val="00693E45"/>
    <w:rsid w:val="006951A4"/>
    <w:rsid w:val="00695EAD"/>
    <w:rsid w:val="006974EF"/>
    <w:rsid w:val="006A1152"/>
    <w:rsid w:val="006A545D"/>
    <w:rsid w:val="006A5674"/>
    <w:rsid w:val="006B16D2"/>
    <w:rsid w:val="006B18A5"/>
    <w:rsid w:val="006B339E"/>
    <w:rsid w:val="006B464F"/>
    <w:rsid w:val="006B5750"/>
    <w:rsid w:val="006B6948"/>
    <w:rsid w:val="006B6E7A"/>
    <w:rsid w:val="006C0A94"/>
    <w:rsid w:val="006C0D27"/>
    <w:rsid w:val="006C1C3C"/>
    <w:rsid w:val="006C252F"/>
    <w:rsid w:val="006C7BC3"/>
    <w:rsid w:val="006D0D78"/>
    <w:rsid w:val="006D127E"/>
    <w:rsid w:val="006D31BD"/>
    <w:rsid w:val="006D4248"/>
    <w:rsid w:val="006D6D42"/>
    <w:rsid w:val="006D79C2"/>
    <w:rsid w:val="006E03F0"/>
    <w:rsid w:val="006E0C3B"/>
    <w:rsid w:val="006E132F"/>
    <w:rsid w:val="006E5766"/>
    <w:rsid w:val="006E62AA"/>
    <w:rsid w:val="006F16AA"/>
    <w:rsid w:val="006F2660"/>
    <w:rsid w:val="006F770E"/>
    <w:rsid w:val="00702AEC"/>
    <w:rsid w:val="00703C8C"/>
    <w:rsid w:val="00703F26"/>
    <w:rsid w:val="00704022"/>
    <w:rsid w:val="00705C4B"/>
    <w:rsid w:val="007066A6"/>
    <w:rsid w:val="0071043E"/>
    <w:rsid w:val="007120A5"/>
    <w:rsid w:val="0071212F"/>
    <w:rsid w:val="00720140"/>
    <w:rsid w:val="00720ECC"/>
    <w:rsid w:val="00722047"/>
    <w:rsid w:val="007266DF"/>
    <w:rsid w:val="007317F3"/>
    <w:rsid w:val="007318D9"/>
    <w:rsid w:val="00732283"/>
    <w:rsid w:val="00733A0A"/>
    <w:rsid w:val="0073530B"/>
    <w:rsid w:val="007353C8"/>
    <w:rsid w:val="00735F37"/>
    <w:rsid w:val="007400BE"/>
    <w:rsid w:val="00741801"/>
    <w:rsid w:val="0074230B"/>
    <w:rsid w:val="00743CE7"/>
    <w:rsid w:val="00745BBA"/>
    <w:rsid w:val="00750AE3"/>
    <w:rsid w:val="00751C16"/>
    <w:rsid w:val="00752348"/>
    <w:rsid w:val="00753F62"/>
    <w:rsid w:val="0075462D"/>
    <w:rsid w:val="00757337"/>
    <w:rsid w:val="00757800"/>
    <w:rsid w:val="00757915"/>
    <w:rsid w:val="00762B3D"/>
    <w:rsid w:val="00766094"/>
    <w:rsid w:val="00766552"/>
    <w:rsid w:val="00770F92"/>
    <w:rsid w:val="00771956"/>
    <w:rsid w:val="00771B65"/>
    <w:rsid w:val="007731A3"/>
    <w:rsid w:val="007742D0"/>
    <w:rsid w:val="00776274"/>
    <w:rsid w:val="00776521"/>
    <w:rsid w:val="00776940"/>
    <w:rsid w:val="007800A5"/>
    <w:rsid w:val="00780F42"/>
    <w:rsid w:val="00782103"/>
    <w:rsid w:val="007852D8"/>
    <w:rsid w:val="00785BE9"/>
    <w:rsid w:val="00786247"/>
    <w:rsid w:val="00786F83"/>
    <w:rsid w:val="007877D6"/>
    <w:rsid w:val="00792FAB"/>
    <w:rsid w:val="00796F96"/>
    <w:rsid w:val="00796FA6"/>
    <w:rsid w:val="00797CAE"/>
    <w:rsid w:val="007A5FA8"/>
    <w:rsid w:val="007B2FF7"/>
    <w:rsid w:val="007B33BF"/>
    <w:rsid w:val="007B386B"/>
    <w:rsid w:val="007B70B3"/>
    <w:rsid w:val="007C2B64"/>
    <w:rsid w:val="007C5553"/>
    <w:rsid w:val="007D16EC"/>
    <w:rsid w:val="007D3620"/>
    <w:rsid w:val="007D4799"/>
    <w:rsid w:val="007E3946"/>
    <w:rsid w:val="007E4563"/>
    <w:rsid w:val="007E66C4"/>
    <w:rsid w:val="007F3D48"/>
    <w:rsid w:val="007F455F"/>
    <w:rsid w:val="0080010D"/>
    <w:rsid w:val="0080289B"/>
    <w:rsid w:val="00803302"/>
    <w:rsid w:val="0080361E"/>
    <w:rsid w:val="00805B80"/>
    <w:rsid w:val="008068C4"/>
    <w:rsid w:val="00807608"/>
    <w:rsid w:val="008112C2"/>
    <w:rsid w:val="0081686A"/>
    <w:rsid w:val="00817FD3"/>
    <w:rsid w:val="00824F2B"/>
    <w:rsid w:val="0083040C"/>
    <w:rsid w:val="00833198"/>
    <w:rsid w:val="00833BF9"/>
    <w:rsid w:val="008341CE"/>
    <w:rsid w:val="0083519D"/>
    <w:rsid w:val="00836471"/>
    <w:rsid w:val="00841E38"/>
    <w:rsid w:val="00843413"/>
    <w:rsid w:val="00845E86"/>
    <w:rsid w:val="00846485"/>
    <w:rsid w:val="008509B5"/>
    <w:rsid w:val="008515D8"/>
    <w:rsid w:val="00851F7A"/>
    <w:rsid w:val="00856EF8"/>
    <w:rsid w:val="00856F40"/>
    <w:rsid w:val="00865AF7"/>
    <w:rsid w:val="008660C6"/>
    <w:rsid w:val="008705F0"/>
    <w:rsid w:val="00876D91"/>
    <w:rsid w:val="00881169"/>
    <w:rsid w:val="00881590"/>
    <w:rsid w:val="00882269"/>
    <w:rsid w:val="0088395F"/>
    <w:rsid w:val="00884273"/>
    <w:rsid w:val="00890BC4"/>
    <w:rsid w:val="0089235D"/>
    <w:rsid w:val="00894884"/>
    <w:rsid w:val="008948CC"/>
    <w:rsid w:val="00894E12"/>
    <w:rsid w:val="008963A2"/>
    <w:rsid w:val="008964D5"/>
    <w:rsid w:val="008A02CC"/>
    <w:rsid w:val="008A19FB"/>
    <w:rsid w:val="008A220C"/>
    <w:rsid w:val="008B0880"/>
    <w:rsid w:val="008B0B06"/>
    <w:rsid w:val="008B598D"/>
    <w:rsid w:val="008C0D07"/>
    <w:rsid w:val="008C2010"/>
    <w:rsid w:val="008C429A"/>
    <w:rsid w:val="008C516E"/>
    <w:rsid w:val="008C6CE7"/>
    <w:rsid w:val="008C767C"/>
    <w:rsid w:val="008D071F"/>
    <w:rsid w:val="008D09FD"/>
    <w:rsid w:val="008D11F5"/>
    <w:rsid w:val="008E1011"/>
    <w:rsid w:val="008E1905"/>
    <w:rsid w:val="008E2A88"/>
    <w:rsid w:val="008E57DF"/>
    <w:rsid w:val="008E6CC5"/>
    <w:rsid w:val="008F0B77"/>
    <w:rsid w:val="008F2478"/>
    <w:rsid w:val="008F290B"/>
    <w:rsid w:val="008F62A7"/>
    <w:rsid w:val="00904FB2"/>
    <w:rsid w:val="009072F4"/>
    <w:rsid w:val="00907764"/>
    <w:rsid w:val="00913166"/>
    <w:rsid w:val="009210AE"/>
    <w:rsid w:val="00922517"/>
    <w:rsid w:val="009227B3"/>
    <w:rsid w:val="00922D43"/>
    <w:rsid w:val="00925172"/>
    <w:rsid w:val="0093191A"/>
    <w:rsid w:val="00933187"/>
    <w:rsid w:val="009332A3"/>
    <w:rsid w:val="009373F5"/>
    <w:rsid w:val="00937B5B"/>
    <w:rsid w:val="0094293E"/>
    <w:rsid w:val="00942988"/>
    <w:rsid w:val="00953B72"/>
    <w:rsid w:val="00953BE8"/>
    <w:rsid w:val="00955691"/>
    <w:rsid w:val="009557E9"/>
    <w:rsid w:val="00956B6F"/>
    <w:rsid w:val="00963254"/>
    <w:rsid w:val="009636B7"/>
    <w:rsid w:val="00967340"/>
    <w:rsid w:val="009701C5"/>
    <w:rsid w:val="00970487"/>
    <w:rsid w:val="00970B38"/>
    <w:rsid w:val="0097133A"/>
    <w:rsid w:val="0097423A"/>
    <w:rsid w:val="00975990"/>
    <w:rsid w:val="00977D16"/>
    <w:rsid w:val="0098205C"/>
    <w:rsid w:val="00983B0B"/>
    <w:rsid w:val="00984340"/>
    <w:rsid w:val="00984517"/>
    <w:rsid w:val="00991A1F"/>
    <w:rsid w:val="009921DF"/>
    <w:rsid w:val="009932DC"/>
    <w:rsid w:val="00993C5B"/>
    <w:rsid w:val="00993D04"/>
    <w:rsid w:val="009944AC"/>
    <w:rsid w:val="0099788C"/>
    <w:rsid w:val="009A1276"/>
    <w:rsid w:val="009A194B"/>
    <w:rsid w:val="009A2262"/>
    <w:rsid w:val="009A393C"/>
    <w:rsid w:val="009A5657"/>
    <w:rsid w:val="009A588B"/>
    <w:rsid w:val="009B0797"/>
    <w:rsid w:val="009B19A2"/>
    <w:rsid w:val="009B1A96"/>
    <w:rsid w:val="009C05E8"/>
    <w:rsid w:val="009C4D08"/>
    <w:rsid w:val="009C5701"/>
    <w:rsid w:val="009C663B"/>
    <w:rsid w:val="009C7B33"/>
    <w:rsid w:val="009D0791"/>
    <w:rsid w:val="009D20A7"/>
    <w:rsid w:val="009D219F"/>
    <w:rsid w:val="009D258E"/>
    <w:rsid w:val="009D2882"/>
    <w:rsid w:val="009D2BEA"/>
    <w:rsid w:val="009D2F72"/>
    <w:rsid w:val="009D4EFC"/>
    <w:rsid w:val="009D7989"/>
    <w:rsid w:val="009E227A"/>
    <w:rsid w:val="009E2A53"/>
    <w:rsid w:val="009E34F6"/>
    <w:rsid w:val="009E5D1E"/>
    <w:rsid w:val="009E79A0"/>
    <w:rsid w:val="009F0C7C"/>
    <w:rsid w:val="009F1C9F"/>
    <w:rsid w:val="009F3362"/>
    <w:rsid w:val="009F50B7"/>
    <w:rsid w:val="009F75D9"/>
    <w:rsid w:val="00A031AB"/>
    <w:rsid w:val="00A0323C"/>
    <w:rsid w:val="00A032AD"/>
    <w:rsid w:val="00A03D5D"/>
    <w:rsid w:val="00A04CD8"/>
    <w:rsid w:val="00A0624B"/>
    <w:rsid w:val="00A0765D"/>
    <w:rsid w:val="00A11C4E"/>
    <w:rsid w:val="00A14C4D"/>
    <w:rsid w:val="00A165B8"/>
    <w:rsid w:val="00A16B1D"/>
    <w:rsid w:val="00A17410"/>
    <w:rsid w:val="00A1784F"/>
    <w:rsid w:val="00A20580"/>
    <w:rsid w:val="00A208EB"/>
    <w:rsid w:val="00A20B8C"/>
    <w:rsid w:val="00A242F2"/>
    <w:rsid w:val="00A317D3"/>
    <w:rsid w:val="00A32040"/>
    <w:rsid w:val="00A32A2B"/>
    <w:rsid w:val="00A3757F"/>
    <w:rsid w:val="00A37DB7"/>
    <w:rsid w:val="00A4006F"/>
    <w:rsid w:val="00A4057E"/>
    <w:rsid w:val="00A42993"/>
    <w:rsid w:val="00A44BBB"/>
    <w:rsid w:val="00A44E69"/>
    <w:rsid w:val="00A4589E"/>
    <w:rsid w:val="00A46C58"/>
    <w:rsid w:val="00A477A6"/>
    <w:rsid w:val="00A4785E"/>
    <w:rsid w:val="00A52293"/>
    <w:rsid w:val="00A5304B"/>
    <w:rsid w:val="00A53BE4"/>
    <w:rsid w:val="00A55163"/>
    <w:rsid w:val="00A556D4"/>
    <w:rsid w:val="00A56108"/>
    <w:rsid w:val="00A566D5"/>
    <w:rsid w:val="00A5762D"/>
    <w:rsid w:val="00A6065D"/>
    <w:rsid w:val="00A606DD"/>
    <w:rsid w:val="00A610E5"/>
    <w:rsid w:val="00A61583"/>
    <w:rsid w:val="00A624EC"/>
    <w:rsid w:val="00A62BB5"/>
    <w:rsid w:val="00A653FA"/>
    <w:rsid w:val="00A67145"/>
    <w:rsid w:val="00A70222"/>
    <w:rsid w:val="00A755D2"/>
    <w:rsid w:val="00A82586"/>
    <w:rsid w:val="00A82743"/>
    <w:rsid w:val="00A8307D"/>
    <w:rsid w:val="00A85F63"/>
    <w:rsid w:val="00A87E79"/>
    <w:rsid w:val="00A90C66"/>
    <w:rsid w:val="00A927FA"/>
    <w:rsid w:val="00A95870"/>
    <w:rsid w:val="00A974CC"/>
    <w:rsid w:val="00AA4B4A"/>
    <w:rsid w:val="00AB0897"/>
    <w:rsid w:val="00AB102C"/>
    <w:rsid w:val="00AB2FF7"/>
    <w:rsid w:val="00AB5CA2"/>
    <w:rsid w:val="00AB627B"/>
    <w:rsid w:val="00AB6F1F"/>
    <w:rsid w:val="00AB7453"/>
    <w:rsid w:val="00AC092A"/>
    <w:rsid w:val="00AC6C59"/>
    <w:rsid w:val="00AD26A9"/>
    <w:rsid w:val="00AD43C6"/>
    <w:rsid w:val="00AD4406"/>
    <w:rsid w:val="00AD5D1C"/>
    <w:rsid w:val="00AD7E80"/>
    <w:rsid w:val="00AE324D"/>
    <w:rsid w:val="00AE3C10"/>
    <w:rsid w:val="00AE591B"/>
    <w:rsid w:val="00AE5BC0"/>
    <w:rsid w:val="00AE5DA8"/>
    <w:rsid w:val="00AE73C1"/>
    <w:rsid w:val="00AF1534"/>
    <w:rsid w:val="00AF1A06"/>
    <w:rsid w:val="00AF2F9B"/>
    <w:rsid w:val="00AF3BED"/>
    <w:rsid w:val="00AF4C7A"/>
    <w:rsid w:val="00AF593E"/>
    <w:rsid w:val="00AF62F6"/>
    <w:rsid w:val="00B00DB3"/>
    <w:rsid w:val="00B01503"/>
    <w:rsid w:val="00B0166D"/>
    <w:rsid w:val="00B01E5E"/>
    <w:rsid w:val="00B045E2"/>
    <w:rsid w:val="00B05835"/>
    <w:rsid w:val="00B1007F"/>
    <w:rsid w:val="00B11163"/>
    <w:rsid w:val="00B146C2"/>
    <w:rsid w:val="00B238AF"/>
    <w:rsid w:val="00B33CCF"/>
    <w:rsid w:val="00B33D08"/>
    <w:rsid w:val="00B354EC"/>
    <w:rsid w:val="00B40EB9"/>
    <w:rsid w:val="00B4109D"/>
    <w:rsid w:val="00B42597"/>
    <w:rsid w:val="00B43764"/>
    <w:rsid w:val="00B445CF"/>
    <w:rsid w:val="00B463C0"/>
    <w:rsid w:val="00B4652A"/>
    <w:rsid w:val="00B4657A"/>
    <w:rsid w:val="00B4768A"/>
    <w:rsid w:val="00B5380F"/>
    <w:rsid w:val="00B54777"/>
    <w:rsid w:val="00B54848"/>
    <w:rsid w:val="00B5518D"/>
    <w:rsid w:val="00B565DB"/>
    <w:rsid w:val="00B56E8A"/>
    <w:rsid w:val="00B57128"/>
    <w:rsid w:val="00B5726D"/>
    <w:rsid w:val="00B574CB"/>
    <w:rsid w:val="00B5798E"/>
    <w:rsid w:val="00B60381"/>
    <w:rsid w:val="00B61F4E"/>
    <w:rsid w:val="00B6276A"/>
    <w:rsid w:val="00B62B53"/>
    <w:rsid w:val="00B63F41"/>
    <w:rsid w:val="00B64F6F"/>
    <w:rsid w:val="00B74938"/>
    <w:rsid w:val="00B75C85"/>
    <w:rsid w:val="00B7625E"/>
    <w:rsid w:val="00B774BB"/>
    <w:rsid w:val="00B81257"/>
    <w:rsid w:val="00B81D00"/>
    <w:rsid w:val="00B83083"/>
    <w:rsid w:val="00B836F0"/>
    <w:rsid w:val="00B83F65"/>
    <w:rsid w:val="00B84B09"/>
    <w:rsid w:val="00B86D8A"/>
    <w:rsid w:val="00B87010"/>
    <w:rsid w:val="00B91637"/>
    <w:rsid w:val="00B91765"/>
    <w:rsid w:val="00B91C43"/>
    <w:rsid w:val="00B922A9"/>
    <w:rsid w:val="00B92D96"/>
    <w:rsid w:val="00B9312D"/>
    <w:rsid w:val="00B9367D"/>
    <w:rsid w:val="00B93C16"/>
    <w:rsid w:val="00B95556"/>
    <w:rsid w:val="00B97E0A"/>
    <w:rsid w:val="00BA05F5"/>
    <w:rsid w:val="00BA06A5"/>
    <w:rsid w:val="00BB6002"/>
    <w:rsid w:val="00BC1753"/>
    <w:rsid w:val="00BC1892"/>
    <w:rsid w:val="00BC2423"/>
    <w:rsid w:val="00BC3EB7"/>
    <w:rsid w:val="00BC42E7"/>
    <w:rsid w:val="00BC6A23"/>
    <w:rsid w:val="00BD0B30"/>
    <w:rsid w:val="00BD1053"/>
    <w:rsid w:val="00BD1B50"/>
    <w:rsid w:val="00BD306A"/>
    <w:rsid w:val="00BD37A0"/>
    <w:rsid w:val="00BD4A1A"/>
    <w:rsid w:val="00BD5A7B"/>
    <w:rsid w:val="00BD5A9C"/>
    <w:rsid w:val="00BE0BE0"/>
    <w:rsid w:val="00BE329A"/>
    <w:rsid w:val="00BE470B"/>
    <w:rsid w:val="00BE5318"/>
    <w:rsid w:val="00BE58B5"/>
    <w:rsid w:val="00BE5A1F"/>
    <w:rsid w:val="00BE5F32"/>
    <w:rsid w:val="00BE6365"/>
    <w:rsid w:val="00BE723C"/>
    <w:rsid w:val="00BE7689"/>
    <w:rsid w:val="00BF1D92"/>
    <w:rsid w:val="00BF3D26"/>
    <w:rsid w:val="00BF579F"/>
    <w:rsid w:val="00BF57DA"/>
    <w:rsid w:val="00C03E5B"/>
    <w:rsid w:val="00C04267"/>
    <w:rsid w:val="00C050B7"/>
    <w:rsid w:val="00C0689F"/>
    <w:rsid w:val="00C071CF"/>
    <w:rsid w:val="00C1315D"/>
    <w:rsid w:val="00C15AF4"/>
    <w:rsid w:val="00C17640"/>
    <w:rsid w:val="00C21BD6"/>
    <w:rsid w:val="00C237B0"/>
    <w:rsid w:val="00C23838"/>
    <w:rsid w:val="00C26131"/>
    <w:rsid w:val="00C27086"/>
    <w:rsid w:val="00C3078D"/>
    <w:rsid w:val="00C3475E"/>
    <w:rsid w:val="00C34A70"/>
    <w:rsid w:val="00C35FF3"/>
    <w:rsid w:val="00C3628D"/>
    <w:rsid w:val="00C367BC"/>
    <w:rsid w:val="00C43F77"/>
    <w:rsid w:val="00C50119"/>
    <w:rsid w:val="00C53A8C"/>
    <w:rsid w:val="00C54106"/>
    <w:rsid w:val="00C54622"/>
    <w:rsid w:val="00C55F10"/>
    <w:rsid w:val="00C56885"/>
    <w:rsid w:val="00C6104B"/>
    <w:rsid w:val="00C6418C"/>
    <w:rsid w:val="00C645E3"/>
    <w:rsid w:val="00C8309F"/>
    <w:rsid w:val="00C847E4"/>
    <w:rsid w:val="00C85369"/>
    <w:rsid w:val="00C86D93"/>
    <w:rsid w:val="00C90EE6"/>
    <w:rsid w:val="00C92459"/>
    <w:rsid w:val="00C93AF7"/>
    <w:rsid w:val="00C94501"/>
    <w:rsid w:val="00C95CBB"/>
    <w:rsid w:val="00C95FF4"/>
    <w:rsid w:val="00C965D4"/>
    <w:rsid w:val="00C97959"/>
    <w:rsid w:val="00CA4208"/>
    <w:rsid w:val="00CA599F"/>
    <w:rsid w:val="00CA5DCF"/>
    <w:rsid w:val="00CA6A63"/>
    <w:rsid w:val="00CB0B13"/>
    <w:rsid w:val="00CB5F36"/>
    <w:rsid w:val="00CC276A"/>
    <w:rsid w:val="00CD022A"/>
    <w:rsid w:val="00CD4DC4"/>
    <w:rsid w:val="00CD518F"/>
    <w:rsid w:val="00CD5B6D"/>
    <w:rsid w:val="00CD68FE"/>
    <w:rsid w:val="00CD7C7A"/>
    <w:rsid w:val="00CE1964"/>
    <w:rsid w:val="00CE3ED8"/>
    <w:rsid w:val="00CF0E38"/>
    <w:rsid w:val="00CF0E55"/>
    <w:rsid w:val="00CF2226"/>
    <w:rsid w:val="00CF2712"/>
    <w:rsid w:val="00CF348B"/>
    <w:rsid w:val="00CF7399"/>
    <w:rsid w:val="00D01278"/>
    <w:rsid w:val="00D0165B"/>
    <w:rsid w:val="00D01A14"/>
    <w:rsid w:val="00D036E4"/>
    <w:rsid w:val="00D0576E"/>
    <w:rsid w:val="00D1174A"/>
    <w:rsid w:val="00D123E0"/>
    <w:rsid w:val="00D12A9E"/>
    <w:rsid w:val="00D12C4D"/>
    <w:rsid w:val="00D16DA1"/>
    <w:rsid w:val="00D202D8"/>
    <w:rsid w:val="00D20B2B"/>
    <w:rsid w:val="00D228FE"/>
    <w:rsid w:val="00D229E6"/>
    <w:rsid w:val="00D23330"/>
    <w:rsid w:val="00D23990"/>
    <w:rsid w:val="00D251F6"/>
    <w:rsid w:val="00D25EED"/>
    <w:rsid w:val="00D3456D"/>
    <w:rsid w:val="00D35025"/>
    <w:rsid w:val="00D35822"/>
    <w:rsid w:val="00D3624E"/>
    <w:rsid w:val="00D37FD7"/>
    <w:rsid w:val="00D41189"/>
    <w:rsid w:val="00D41480"/>
    <w:rsid w:val="00D45133"/>
    <w:rsid w:val="00D45255"/>
    <w:rsid w:val="00D4583C"/>
    <w:rsid w:val="00D46EE0"/>
    <w:rsid w:val="00D47747"/>
    <w:rsid w:val="00D478D4"/>
    <w:rsid w:val="00D503DD"/>
    <w:rsid w:val="00D523E4"/>
    <w:rsid w:val="00D53CC4"/>
    <w:rsid w:val="00D56715"/>
    <w:rsid w:val="00D56D0C"/>
    <w:rsid w:val="00D57D37"/>
    <w:rsid w:val="00D57D6E"/>
    <w:rsid w:val="00D641C9"/>
    <w:rsid w:val="00D70B53"/>
    <w:rsid w:val="00D72882"/>
    <w:rsid w:val="00D74409"/>
    <w:rsid w:val="00D75178"/>
    <w:rsid w:val="00D75556"/>
    <w:rsid w:val="00D75729"/>
    <w:rsid w:val="00D76264"/>
    <w:rsid w:val="00D765E6"/>
    <w:rsid w:val="00D8416F"/>
    <w:rsid w:val="00D859BC"/>
    <w:rsid w:val="00D8634B"/>
    <w:rsid w:val="00D87875"/>
    <w:rsid w:val="00D92227"/>
    <w:rsid w:val="00D93B13"/>
    <w:rsid w:val="00D94342"/>
    <w:rsid w:val="00D94783"/>
    <w:rsid w:val="00D9530D"/>
    <w:rsid w:val="00D978B3"/>
    <w:rsid w:val="00DA124D"/>
    <w:rsid w:val="00DA18FA"/>
    <w:rsid w:val="00DA2789"/>
    <w:rsid w:val="00DA32AB"/>
    <w:rsid w:val="00DA54A3"/>
    <w:rsid w:val="00DA720F"/>
    <w:rsid w:val="00DB1105"/>
    <w:rsid w:val="00DB1B29"/>
    <w:rsid w:val="00DB50AC"/>
    <w:rsid w:val="00DB6309"/>
    <w:rsid w:val="00DC0050"/>
    <w:rsid w:val="00DC0FBD"/>
    <w:rsid w:val="00DC2CC3"/>
    <w:rsid w:val="00DC4473"/>
    <w:rsid w:val="00DD3B2B"/>
    <w:rsid w:val="00DD54AD"/>
    <w:rsid w:val="00DD696A"/>
    <w:rsid w:val="00DD7A26"/>
    <w:rsid w:val="00DE0587"/>
    <w:rsid w:val="00DE1AF9"/>
    <w:rsid w:val="00DE230E"/>
    <w:rsid w:val="00DE5804"/>
    <w:rsid w:val="00DE6D72"/>
    <w:rsid w:val="00DF0344"/>
    <w:rsid w:val="00DF0906"/>
    <w:rsid w:val="00DF35CA"/>
    <w:rsid w:val="00DF521F"/>
    <w:rsid w:val="00DF5D57"/>
    <w:rsid w:val="00DF60A0"/>
    <w:rsid w:val="00E020A4"/>
    <w:rsid w:val="00E030DA"/>
    <w:rsid w:val="00E03173"/>
    <w:rsid w:val="00E049D9"/>
    <w:rsid w:val="00E04B46"/>
    <w:rsid w:val="00E109E1"/>
    <w:rsid w:val="00E131FC"/>
    <w:rsid w:val="00E16EDD"/>
    <w:rsid w:val="00E16F3D"/>
    <w:rsid w:val="00E172C2"/>
    <w:rsid w:val="00E219AA"/>
    <w:rsid w:val="00E22793"/>
    <w:rsid w:val="00E25BD8"/>
    <w:rsid w:val="00E25C36"/>
    <w:rsid w:val="00E2645F"/>
    <w:rsid w:val="00E2696D"/>
    <w:rsid w:val="00E30DB3"/>
    <w:rsid w:val="00E328FD"/>
    <w:rsid w:val="00E332DC"/>
    <w:rsid w:val="00E37368"/>
    <w:rsid w:val="00E4084C"/>
    <w:rsid w:val="00E42EC5"/>
    <w:rsid w:val="00E50A7F"/>
    <w:rsid w:val="00E51736"/>
    <w:rsid w:val="00E51FBF"/>
    <w:rsid w:val="00E52540"/>
    <w:rsid w:val="00E53925"/>
    <w:rsid w:val="00E542E0"/>
    <w:rsid w:val="00E55034"/>
    <w:rsid w:val="00E56264"/>
    <w:rsid w:val="00E664F1"/>
    <w:rsid w:val="00E76BC1"/>
    <w:rsid w:val="00E8286F"/>
    <w:rsid w:val="00E84803"/>
    <w:rsid w:val="00E84E25"/>
    <w:rsid w:val="00E851BE"/>
    <w:rsid w:val="00E8674F"/>
    <w:rsid w:val="00E943A5"/>
    <w:rsid w:val="00E960B8"/>
    <w:rsid w:val="00E967F2"/>
    <w:rsid w:val="00E97372"/>
    <w:rsid w:val="00EA1381"/>
    <w:rsid w:val="00EA3785"/>
    <w:rsid w:val="00EA3B09"/>
    <w:rsid w:val="00EA4340"/>
    <w:rsid w:val="00EA7165"/>
    <w:rsid w:val="00EB0543"/>
    <w:rsid w:val="00EB32B5"/>
    <w:rsid w:val="00EC1976"/>
    <w:rsid w:val="00EC2995"/>
    <w:rsid w:val="00EC300C"/>
    <w:rsid w:val="00EC670D"/>
    <w:rsid w:val="00EC6756"/>
    <w:rsid w:val="00ED0948"/>
    <w:rsid w:val="00ED1489"/>
    <w:rsid w:val="00ED1BBB"/>
    <w:rsid w:val="00ED3018"/>
    <w:rsid w:val="00ED5FE2"/>
    <w:rsid w:val="00ED7899"/>
    <w:rsid w:val="00EE0A8D"/>
    <w:rsid w:val="00EE4218"/>
    <w:rsid w:val="00EE447F"/>
    <w:rsid w:val="00EE5736"/>
    <w:rsid w:val="00EE5DCB"/>
    <w:rsid w:val="00EE74D4"/>
    <w:rsid w:val="00EF037F"/>
    <w:rsid w:val="00EF03DF"/>
    <w:rsid w:val="00F015B9"/>
    <w:rsid w:val="00F0176E"/>
    <w:rsid w:val="00F01C18"/>
    <w:rsid w:val="00F032AD"/>
    <w:rsid w:val="00F03993"/>
    <w:rsid w:val="00F0433F"/>
    <w:rsid w:val="00F12CA2"/>
    <w:rsid w:val="00F13964"/>
    <w:rsid w:val="00F14408"/>
    <w:rsid w:val="00F16A4E"/>
    <w:rsid w:val="00F17B15"/>
    <w:rsid w:val="00F2370C"/>
    <w:rsid w:val="00F24468"/>
    <w:rsid w:val="00F2693B"/>
    <w:rsid w:val="00F27222"/>
    <w:rsid w:val="00F319C7"/>
    <w:rsid w:val="00F31F40"/>
    <w:rsid w:val="00F3330E"/>
    <w:rsid w:val="00F35275"/>
    <w:rsid w:val="00F35925"/>
    <w:rsid w:val="00F35926"/>
    <w:rsid w:val="00F3782F"/>
    <w:rsid w:val="00F37C74"/>
    <w:rsid w:val="00F40C38"/>
    <w:rsid w:val="00F42B6B"/>
    <w:rsid w:val="00F42E9E"/>
    <w:rsid w:val="00F4329C"/>
    <w:rsid w:val="00F439FF"/>
    <w:rsid w:val="00F43EC8"/>
    <w:rsid w:val="00F511A3"/>
    <w:rsid w:val="00F54D4C"/>
    <w:rsid w:val="00F5718E"/>
    <w:rsid w:val="00F57A53"/>
    <w:rsid w:val="00F60D25"/>
    <w:rsid w:val="00F621BB"/>
    <w:rsid w:val="00F65EEC"/>
    <w:rsid w:val="00F66168"/>
    <w:rsid w:val="00F6758C"/>
    <w:rsid w:val="00F6784C"/>
    <w:rsid w:val="00F703CA"/>
    <w:rsid w:val="00F705B3"/>
    <w:rsid w:val="00F72E39"/>
    <w:rsid w:val="00F74C4C"/>
    <w:rsid w:val="00F754A9"/>
    <w:rsid w:val="00F76235"/>
    <w:rsid w:val="00F76AE2"/>
    <w:rsid w:val="00F76F09"/>
    <w:rsid w:val="00F76F45"/>
    <w:rsid w:val="00F8178D"/>
    <w:rsid w:val="00F84444"/>
    <w:rsid w:val="00F8526C"/>
    <w:rsid w:val="00F8799E"/>
    <w:rsid w:val="00F87FA1"/>
    <w:rsid w:val="00F91AD6"/>
    <w:rsid w:val="00F93C2E"/>
    <w:rsid w:val="00F93CCD"/>
    <w:rsid w:val="00F947B4"/>
    <w:rsid w:val="00F967F2"/>
    <w:rsid w:val="00FB2B85"/>
    <w:rsid w:val="00FB5FAC"/>
    <w:rsid w:val="00FB61C1"/>
    <w:rsid w:val="00FB68E9"/>
    <w:rsid w:val="00FC2987"/>
    <w:rsid w:val="00FC6A2D"/>
    <w:rsid w:val="00FC76DA"/>
    <w:rsid w:val="00FC7A6E"/>
    <w:rsid w:val="00FD0622"/>
    <w:rsid w:val="00FD1280"/>
    <w:rsid w:val="00FD26FC"/>
    <w:rsid w:val="00FD7A6D"/>
    <w:rsid w:val="00FE0BD4"/>
    <w:rsid w:val="00FE1800"/>
    <w:rsid w:val="00FE1C26"/>
    <w:rsid w:val="00FE2073"/>
    <w:rsid w:val="00FE20F7"/>
    <w:rsid w:val="00FE42AB"/>
    <w:rsid w:val="00FE570E"/>
    <w:rsid w:val="00FE5C9D"/>
    <w:rsid w:val="00FE5DF6"/>
    <w:rsid w:val="00FE71A9"/>
    <w:rsid w:val="00FF1482"/>
    <w:rsid w:val="00FF2C73"/>
    <w:rsid w:val="00FF6BAA"/>
    <w:rsid w:val="00FF6C58"/>
    <w:rsid w:val="010A3562"/>
    <w:rsid w:val="010D50C6"/>
    <w:rsid w:val="01143EEC"/>
    <w:rsid w:val="01216C41"/>
    <w:rsid w:val="01290489"/>
    <w:rsid w:val="01350E74"/>
    <w:rsid w:val="01437C9C"/>
    <w:rsid w:val="01543C57"/>
    <w:rsid w:val="01564F11"/>
    <w:rsid w:val="015A3576"/>
    <w:rsid w:val="016B3DED"/>
    <w:rsid w:val="018C519F"/>
    <w:rsid w:val="018E0D25"/>
    <w:rsid w:val="01993B5C"/>
    <w:rsid w:val="01A47EC8"/>
    <w:rsid w:val="01A56261"/>
    <w:rsid w:val="01A958ED"/>
    <w:rsid w:val="01B36BD0"/>
    <w:rsid w:val="01CC1BA5"/>
    <w:rsid w:val="01CE537E"/>
    <w:rsid w:val="01D134FA"/>
    <w:rsid w:val="01D803E5"/>
    <w:rsid w:val="01DB502D"/>
    <w:rsid w:val="020636EB"/>
    <w:rsid w:val="0219419F"/>
    <w:rsid w:val="021D673F"/>
    <w:rsid w:val="02394659"/>
    <w:rsid w:val="02394A28"/>
    <w:rsid w:val="02535CBD"/>
    <w:rsid w:val="025366CC"/>
    <w:rsid w:val="025612EA"/>
    <w:rsid w:val="02563F53"/>
    <w:rsid w:val="02682B38"/>
    <w:rsid w:val="02A0457E"/>
    <w:rsid w:val="02AC49C1"/>
    <w:rsid w:val="02B20C36"/>
    <w:rsid w:val="02CC57C3"/>
    <w:rsid w:val="02DC3F04"/>
    <w:rsid w:val="030376E3"/>
    <w:rsid w:val="03465822"/>
    <w:rsid w:val="035529E1"/>
    <w:rsid w:val="03662242"/>
    <w:rsid w:val="036829BD"/>
    <w:rsid w:val="036832E8"/>
    <w:rsid w:val="036A740B"/>
    <w:rsid w:val="036E1B70"/>
    <w:rsid w:val="036F2FCB"/>
    <w:rsid w:val="038A1306"/>
    <w:rsid w:val="038C1C81"/>
    <w:rsid w:val="039056C4"/>
    <w:rsid w:val="039E48F6"/>
    <w:rsid w:val="039E740C"/>
    <w:rsid w:val="03A34A22"/>
    <w:rsid w:val="03AC66C0"/>
    <w:rsid w:val="03B629A7"/>
    <w:rsid w:val="03B81AEF"/>
    <w:rsid w:val="03CA64DC"/>
    <w:rsid w:val="03D5643F"/>
    <w:rsid w:val="03F90B95"/>
    <w:rsid w:val="03FC0B03"/>
    <w:rsid w:val="04003C23"/>
    <w:rsid w:val="040F20B8"/>
    <w:rsid w:val="041653E6"/>
    <w:rsid w:val="04214769"/>
    <w:rsid w:val="0430275A"/>
    <w:rsid w:val="04406715"/>
    <w:rsid w:val="04471BA7"/>
    <w:rsid w:val="045B70AB"/>
    <w:rsid w:val="045D72C7"/>
    <w:rsid w:val="046B0A59"/>
    <w:rsid w:val="047B784B"/>
    <w:rsid w:val="047C7D60"/>
    <w:rsid w:val="048A7A07"/>
    <w:rsid w:val="04933986"/>
    <w:rsid w:val="04966335"/>
    <w:rsid w:val="049F343C"/>
    <w:rsid w:val="04AE305E"/>
    <w:rsid w:val="04B53CD1"/>
    <w:rsid w:val="04D03931"/>
    <w:rsid w:val="04EF77A7"/>
    <w:rsid w:val="04F438D0"/>
    <w:rsid w:val="04F5217F"/>
    <w:rsid w:val="04F711FB"/>
    <w:rsid w:val="05003F44"/>
    <w:rsid w:val="050339CA"/>
    <w:rsid w:val="051536FE"/>
    <w:rsid w:val="05165E73"/>
    <w:rsid w:val="05332283"/>
    <w:rsid w:val="05402104"/>
    <w:rsid w:val="054118AA"/>
    <w:rsid w:val="05453FE3"/>
    <w:rsid w:val="054A2469"/>
    <w:rsid w:val="054B711F"/>
    <w:rsid w:val="055C757F"/>
    <w:rsid w:val="05796D9C"/>
    <w:rsid w:val="05A85C3A"/>
    <w:rsid w:val="05AE0EDE"/>
    <w:rsid w:val="05B64EE1"/>
    <w:rsid w:val="05BB48D6"/>
    <w:rsid w:val="05C07B0D"/>
    <w:rsid w:val="05C83664"/>
    <w:rsid w:val="05CB28CB"/>
    <w:rsid w:val="05E27A84"/>
    <w:rsid w:val="05FF29DD"/>
    <w:rsid w:val="060356C3"/>
    <w:rsid w:val="06294701"/>
    <w:rsid w:val="06334523"/>
    <w:rsid w:val="065437CC"/>
    <w:rsid w:val="066A604B"/>
    <w:rsid w:val="06746FE6"/>
    <w:rsid w:val="0679245D"/>
    <w:rsid w:val="067F1D83"/>
    <w:rsid w:val="06AA3B50"/>
    <w:rsid w:val="06AD5FE0"/>
    <w:rsid w:val="06B331CE"/>
    <w:rsid w:val="06B643CB"/>
    <w:rsid w:val="06C4362D"/>
    <w:rsid w:val="06C90C44"/>
    <w:rsid w:val="06CE6A3C"/>
    <w:rsid w:val="06D67EFC"/>
    <w:rsid w:val="06E30D1D"/>
    <w:rsid w:val="06E45A7E"/>
    <w:rsid w:val="06E74BCC"/>
    <w:rsid w:val="06EC66E0"/>
    <w:rsid w:val="06F061D0"/>
    <w:rsid w:val="06F7533A"/>
    <w:rsid w:val="0701192F"/>
    <w:rsid w:val="07027CB2"/>
    <w:rsid w:val="071B64FD"/>
    <w:rsid w:val="071D0141"/>
    <w:rsid w:val="073A38EF"/>
    <w:rsid w:val="073A3E6D"/>
    <w:rsid w:val="07524795"/>
    <w:rsid w:val="075D1C06"/>
    <w:rsid w:val="07612B93"/>
    <w:rsid w:val="077661DF"/>
    <w:rsid w:val="07862A94"/>
    <w:rsid w:val="078721F7"/>
    <w:rsid w:val="0789394A"/>
    <w:rsid w:val="078F7E87"/>
    <w:rsid w:val="079528D4"/>
    <w:rsid w:val="07CF4038"/>
    <w:rsid w:val="07D03942"/>
    <w:rsid w:val="07D67372"/>
    <w:rsid w:val="07F21202"/>
    <w:rsid w:val="07F95EB8"/>
    <w:rsid w:val="07FD72FC"/>
    <w:rsid w:val="08017F69"/>
    <w:rsid w:val="0808754A"/>
    <w:rsid w:val="082A74C0"/>
    <w:rsid w:val="08395955"/>
    <w:rsid w:val="084E1401"/>
    <w:rsid w:val="085602B5"/>
    <w:rsid w:val="085E00D6"/>
    <w:rsid w:val="08621F15"/>
    <w:rsid w:val="086302C4"/>
    <w:rsid w:val="08675515"/>
    <w:rsid w:val="086A3D60"/>
    <w:rsid w:val="08756176"/>
    <w:rsid w:val="088612BA"/>
    <w:rsid w:val="088766C0"/>
    <w:rsid w:val="08A54D99"/>
    <w:rsid w:val="08B111EB"/>
    <w:rsid w:val="08BF5E5A"/>
    <w:rsid w:val="08C60BA2"/>
    <w:rsid w:val="08C6543B"/>
    <w:rsid w:val="08D648E1"/>
    <w:rsid w:val="08E46FFA"/>
    <w:rsid w:val="08E917E5"/>
    <w:rsid w:val="08EA5DF2"/>
    <w:rsid w:val="09075A53"/>
    <w:rsid w:val="091F0613"/>
    <w:rsid w:val="09242ABB"/>
    <w:rsid w:val="092F65B6"/>
    <w:rsid w:val="09330451"/>
    <w:rsid w:val="093A7BD7"/>
    <w:rsid w:val="094217BD"/>
    <w:rsid w:val="09424B8B"/>
    <w:rsid w:val="094D16B8"/>
    <w:rsid w:val="09662BB8"/>
    <w:rsid w:val="09886B94"/>
    <w:rsid w:val="098D7D07"/>
    <w:rsid w:val="09910188"/>
    <w:rsid w:val="09916688"/>
    <w:rsid w:val="0995305F"/>
    <w:rsid w:val="09C13E54"/>
    <w:rsid w:val="09C17C14"/>
    <w:rsid w:val="09E22B15"/>
    <w:rsid w:val="09EC47F4"/>
    <w:rsid w:val="0A007206"/>
    <w:rsid w:val="0A0525B3"/>
    <w:rsid w:val="0A0A272E"/>
    <w:rsid w:val="0A0E0DD4"/>
    <w:rsid w:val="0A411361"/>
    <w:rsid w:val="0A433CE9"/>
    <w:rsid w:val="0A435183"/>
    <w:rsid w:val="0A563076"/>
    <w:rsid w:val="0A621193"/>
    <w:rsid w:val="0A766471"/>
    <w:rsid w:val="0A805ABD"/>
    <w:rsid w:val="0A93759F"/>
    <w:rsid w:val="0A9C0586"/>
    <w:rsid w:val="0AA32D01"/>
    <w:rsid w:val="0AA347B2"/>
    <w:rsid w:val="0AA62534"/>
    <w:rsid w:val="0AAA48E8"/>
    <w:rsid w:val="0AB92BAE"/>
    <w:rsid w:val="0ABA2D7D"/>
    <w:rsid w:val="0ABB08A3"/>
    <w:rsid w:val="0AC00944"/>
    <w:rsid w:val="0AC54B6E"/>
    <w:rsid w:val="0AD96F7B"/>
    <w:rsid w:val="0AE20526"/>
    <w:rsid w:val="0AF51A48"/>
    <w:rsid w:val="0B043FF8"/>
    <w:rsid w:val="0B1139CF"/>
    <w:rsid w:val="0B1964C2"/>
    <w:rsid w:val="0B1D7DBD"/>
    <w:rsid w:val="0B2D6EA6"/>
    <w:rsid w:val="0B3D4178"/>
    <w:rsid w:val="0B494101"/>
    <w:rsid w:val="0B4C599F"/>
    <w:rsid w:val="0B785D82"/>
    <w:rsid w:val="0B7D4E34"/>
    <w:rsid w:val="0B800ABD"/>
    <w:rsid w:val="0B824A1B"/>
    <w:rsid w:val="0B8E0331"/>
    <w:rsid w:val="0B8E521F"/>
    <w:rsid w:val="0B907F82"/>
    <w:rsid w:val="0BA47589"/>
    <w:rsid w:val="0BC3614D"/>
    <w:rsid w:val="0BC56402"/>
    <w:rsid w:val="0BCB68A3"/>
    <w:rsid w:val="0BD35D41"/>
    <w:rsid w:val="0BDC4F75"/>
    <w:rsid w:val="0BE46D3E"/>
    <w:rsid w:val="0BEB51B8"/>
    <w:rsid w:val="0BFB287A"/>
    <w:rsid w:val="0C051E37"/>
    <w:rsid w:val="0C076ACB"/>
    <w:rsid w:val="0C1E10EA"/>
    <w:rsid w:val="0C24583E"/>
    <w:rsid w:val="0C344DB1"/>
    <w:rsid w:val="0C395F24"/>
    <w:rsid w:val="0C3C77C2"/>
    <w:rsid w:val="0C580616"/>
    <w:rsid w:val="0C607954"/>
    <w:rsid w:val="0C654F6B"/>
    <w:rsid w:val="0C71395A"/>
    <w:rsid w:val="0C980B3C"/>
    <w:rsid w:val="0CAA30F6"/>
    <w:rsid w:val="0CB46555"/>
    <w:rsid w:val="0CB527B6"/>
    <w:rsid w:val="0CBD0134"/>
    <w:rsid w:val="0CBD4DA7"/>
    <w:rsid w:val="0CBF4E94"/>
    <w:rsid w:val="0CC579D5"/>
    <w:rsid w:val="0CD21ED4"/>
    <w:rsid w:val="0CD45C4C"/>
    <w:rsid w:val="0CD556B8"/>
    <w:rsid w:val="0CF146FB"/>
    <w:rsid w:val="0D097FEC"/>
    <w:rsid w:val="0D110610"/>
    <w:rsid w:val="0D123197"/>
    <w:rsid w:val="0D1E30E5"/>
    <w:rsid w:val="0D216673"/>
    <w:rsid w:val="0D223739"/>
    <w:rsid w:val="0D2D5153"/>
    <w:rsid w:val="0D3D37F2"/>
    <w:rsid w:val="0D471861"/>
    <w:rsid w:val="0D4812D7"/>
    <w:rsid w:val="0D4D71D0"/>
    <w:rsid w:val="0D4E1866"/>
    <w:rsid w:val="0D525BC6"/>
    <w:rsid w:val="0D58687D"/>
    <w:rsid w:val="0D5C45C0"/>
    <w:rsid w:val="0D676AC1"/>
    <w:rsid w:val="0D710078"/>
    <w:rsid w:val="0DA23232"/>
    <w:rsid w:val="0DA33F9D"/>
    <w:rsid w:val="0DAA1AB1"/>
    <w:rsid w:val="0DB40916"/>
    <w:rsid w:val="0DBA0D85"/>
    <w:rsid w:val="0DBF2ECE"/>
    <w:rsid w:val="0DC108C7"/>
    <w:rsid w:val="0DE22A11"/>
    <w:rsid w:val="0DE64BAC"/>
    <w:rsid w:val="0DEF3799"/>
    <w:rsid w:val="0DF26CD2"/>
    <w:rsid w:val="0DF31FE9"/>
    <w:rsid w:val="0DFA5B87"/>
    <w:rsid w:val="0E19425F"/>
    <w:rsid w:val="0E1F739B"/>
    <w:rsid w:val="0E2350DD"/>
    <w:rsid w:val="0E24587E"/>
    <w:rsid w:val="0E417312"/>
    <w:rsid w:val="0E4312DC"/>
    <w:rsid w:val="0E54656B"/>
    <w:rsid w:val="0E6A2D0C"/>
    <w:rsid w:val="0E6A6868"/>
    <w:rsid w:val="0E7476E7"/>
    <w:rsid w:val="0E7D7110"/>
    <w:rsid w:val="0E7E7783"/>
    <w:rsid w:val="0E883192"/>
    <w:rsid w:val="0E885B05"/>
    <w:rsid w:val="0E91150C"/>
    <w:rsid w:val="0E9906BC"/>
    <w:rsid w:val="0E9A13AA"/>
    <w:rsid w:val="0E9F15BE"/>
    <w:rsid w:val="0EAA3109"/>
    <w:rsid w:val="0EC93A2B"/>
    <w:rsid w:val="0ECA53D4"/>
    <w:rsid w:val="0ECC69B1"/>
    <w:rsid w:val="0ED06D37"/>
    <w:rsid w:val="0ED434D5"/>
    <w:rsid w:val="0ED87086"/>
    <w:rsid w:val="0EF401AF"/>
    <w:rsid w:val="0EFFDBE4"/>
    <w:rsid w:val="0F057CA8"/>
    <w:rsid w:val="0F074872"/>
    <w:rsid w:val="0F29227F"/>
    <w:rsid w:val="0F3D7F4A"/>
    <w:rsid w:val="0F4821BE"/>
    <w:rsid w:val="0F5E1584"/>
    <w:rsid w:val="0F8B118C"/>
    <w:rsid w:val="0F8E03AD"/>
    <w:rsid w:val="0F953DB9"/>
    <w:rsid w:val="0F956C90"/>
    <w:rsid w:val="0F9D0EBF"/>
    <w:rsid w:val="0F9F69E6"/>
    <w:rsid w:val="0FA1101D"/>
    <w:rsid w:val="0FA61B22"/>
    <w:rsid w:val="0FCE0606"/>
    <w:rsid w:val="0FD03043"/>
    <w:rsid w:val="0FD541B5"/>
    <w:rsid w:val="0FD926E1"/>
    <w:rsid w:val="0FE20680"/>
    <w:rsid w:val="0FE83BC3"/>
    <w:rsid w:val="0FEF7B5F"/>
    <w:rsid w:val="0FF2348A"/>
    <w:rsid w:val="0FF80B78"/>
    <w:rsid w:val="0FFE2478"/>
    <w:rsid w:val="0FFF02D2"/>
    <w:rsid w:val="102361E0"/>
    <w:rsid w:val="102B7246"/>
    <w:rsid w:val="1044243E"/>
    <w:rsid w:val="10452845"/>
    <w:rsid w:val="104A0DDA"/>
    <w:rsid w:val="10501A8E"/>
    <w:rsid w:val="105552F6"/>
    <w:rsid w:val="105B4E4C"/>
    <w:rsid w:val="105F10BE"/>
    <w:rsid w:val="106043C7"/>
    <w:rsid w:val="10606175"/>
    <w:rsid w:val="1063598B"/>
    <w:rsid w:val="106E2A03"/>
    <w:rsid w:val="10857989"/>
    <w:rsid w:val="108911C4"/>
    <w:rsid w:val="109776BD"/>
    <w:rsid w:val="10AA1E71"/>
    <w:rsid w:val="10B84498"/>
    <w:rsid w:val="10BB33AB"/>
    <w:rsid w:val="10EC63C3"/>
    <w:rsid w:val="10FE773C"/>
    <w:rsid w:val="110A7E8F"/>
    <w:rsid w:val="110E3E08"/>
    <w:rsid w:val="11162CD7"/>
    <w:rsid w:val="114A29CE"/>
    <w:rsid w:val="11541461"/>
    <w:rsid w:val="115F467E"/>
    <w:rsid w:val="118C6B1F"/>
    <w:rsid w:val="11A025A1"/>
    <w:rsid w:val="11CC76F4"/>
    <w:rsid w:val="11DF0A57"/>
    <w:rsid w:val="11E44B84"/>
    <w:rsid w:val="11E46CC1"/>
    <w:rsid w:val="11F21D02"/>
    <w:rsid w:val="11FD46BF"/>
    <w:rsid w:val="12045226"/>
    <w:rsid w:val="120D5E88"/>
    <w:rsid w:val="120F339E"/>
    <w:rsid w:val="1224767B"/>
    <w:rsid w:val="12296A3A"/>
    <w:rsid w:val="122D02D9"/>
    <w:rsid w:val="1232350F"/>
    <w:rsid w:val="123B653D"/>
    <w:rsid w:val="12461EBC"/>
    <w:rsid w:val="125E48EB"/>
    <w:rsid w:val="126F227B"/>
    <w:rsid w:val="128147CE"/>
    <w:rsid w:val="12865C3B"/>
    <w:rsid w:val="1291780E"/>
    <w:rsid w:val="12981CFB"/>
    <w:rsid w:val="12A53373"/>
    <w:rsid w:val="12A6008B"/>
    <w:rsid w:val="12AC21C3"/>
    <w:rsid w:val="12C56763"/>
    <w:rsid w:val="12CB75A7"/>
    <w:rsid w:val="12F62DC0"/>
    <w:rsid w:val="13031039"/>
    <w:rsid w:val="130F701D"/>
    <w:rsid w:val="1318274F"/>
    <w:rsid w:val="132769B4"/>
    <w:rsid w:val="13482EF0"/>
    <w:rsid w:val="134C29E0"/>
    <w:rsid w:val="13533D6F"/>
    <w:rsid w:val="135875D7"/>
    <w:rsid w:val="135A334F"/>
    <w:rsid w:val="135E2714"/>
    <w:rsid w:val="137DEF0D"/>
    <w:rsid w:val="13875F66"/>
    <w:rsid w:val="138A52B7"/>
    <w:rsid w:val="138B7D02"/>
    <w:rsid w:val="13983E78"/>
    <w:rsid w:val="139E7C5A"/>
    <w:rsid w:val="13A908E5"/>
    <w:rsid w:val="13B1699B"/>
    <w:rsid w:val="13B87ED6"/>
    <w:rsid w:val="13C01018"/>
    <w:rsid w:val="13DF4833"/>
    <w:rsid w:val="13E22B90"/>
    <w:rsid w:val="13EF7C2B"/>
    <w:rsid w:val="13FA6F5A"/>
    <w:rsid w:val="13FC4BE3"/>
    <w:rsid w:val="13FF7A53"/>
    <w:rsid w:val="14102512"/>
    <w:rsid w:val="14125594"/>
    <w:rsid w:val="14213E6D"/>
    <w:rsid w:val="147105DB"/>
    <w:rsid w:val="14743218"/>
    <w:rsid w:val="147B6FAB"/>
    <w:rsid w:val="147E12BF"/>
    <w:rsid w:val="14861F22"/>
    <w:rsid w:val="14880C8A"/>
    <w:rsid w:val="14975EDD"/>
    <w:rsid w:val="149A3C1F"/>
    <w:rsid w:val="14C33176"/>
    <w:rsid w:val="14C3764E"/>
    <w:rsid w:val="151E6A62"/>
    <w:rsid w:val="153D5CAA"/>
    <w:rsid w:val="15681D19"/>
    <w:rsid w:val="158E18DB"/>
    <w:rsid w:val="15970E66"/>
    <w:rsid w:val="1597E06F"/>
    <w:rsid w:val="159B2800"/>
    <w:rsid w:val="15A20FDE"/>
    <w:rsid w:val="15A563D8"/>
    <w:rsid w:val="15AC59B8"/>
    <w:rsid w:val="15C34AB0"/>
    <w:rsid w:val="15D23403"/>
    <w:rsid w:val="15F1786F"/>
    <w:rsid w:val="16092E0B"/>
    <w:rsid w:val="162241C0"/>
    <w:rsid w:val="16266BD5"/>
    <w:rsid w:val="16342DA7"/>
    <w:rsid w:val="166E0EC0"/>
    <w:rsid w:val="167B0137"/>
    <w:rsid w:val="168129A1"/>
    <w:rsid w:val="16B56C3D"/>
    <w:rsid w:val="16C12A18"/>
    <w:rsid w:val="16DB57E6"/>
    <w:rsid w:val="16E135D0"/>
    <w:rsid w:val="16E50698"/>
    <w:rsid w:val="16E724CA"/>
    <w:rsid w:val="16FA1AD6"/>
    <w:rsid w:val="16FE13F4"/>
    <w:rsid w:val="170536B5"/>
    <w:rsid w:val="171464B3"/>
    <w:rsid w:val="171A1D19"/>
    <w:rsid w:val="173E0892"/>
    <w:rsid w:val="174A270F"/>
    <w:rsid w:val="17577BA6"/>
    <w:rsid w:val="175C77B8"/>
    <w:rsid w:val="17A27073"/>
    <w:rsid w:val="17B332EF"/>
    <w:rsid w:val="17B86896"/>
    <w:rsid w:val="17BF5E77"/>
    <w:rsid w:val="17C44755"/>
    <w:rsid w:val="17CF34A9"/>
    <w:rsid w:val="17D66D1D"/>
    <w:rsid w:val="17E359FF"/>
    <w:rsid w:val="17E551B2"/>
    <w:rsid w:val="17F11DA8"/>
    <w:rsid w:val="18137E33"/>
    <w:rsid w:val="183D0B4A"/>
    <w:rsid w:val="18475E6C"/>
    <w:rsid w:val="184D192A"/>
    <w:rsid w:val="185365BF"/>
    <w:rsid w:val="185834CB"/>
    <w:rsid w:val="18A9531C"/>
    <w:rsid w:val="18BC23B6"/>
    <w:rsid w:val="18F6471E"/>
    <w:rsid w:val="18FF4051"/>
    <w:rsid w:val="190D676E"/>
    <w:rsid w:val="1914491D"/>
    <w:rsid w:val="19151AC7"/>
    <w:rsid w:val="191A70DD"/>
    <w:rsid w:val="1921058B"/>
    <w:rsid w:val="192A5572"/>
    <w:rsid w:val="19595E57"/>
    <w:rsid w:val="1968609A"/>
    <w:rsid w:val="1978154E"/>
    <w:rsid w:val="19874772"/>
    <w:rsid w:val="198A6011"/>
    <w:rsid w:val="199128EC"/>
    <w:rsid w:val="19AF7825"/>
    <w:rsid w:val="19B32973"/>
    <w:rsid w:val="19B412DF"/>
    <w:rsid w:val="19E70D86"/>
    <w:rsid w:val="19E971DB"/>
    <w:rsid w:val="19F00988"/>
    <w:rsid w:val="19FC6162"/>
    <w:rsid w:val="1A014E47"/>
    <w:rsid w:val="1A1B4EBB"/>
    <w:rsid w:val="1A1D6E85"/>
    <w:rsid w:val="1A32597D"/>
    <w:rsid w:val="1A332204"/>
    <w:rsid w:val="1A400DC5"/>
    <w:rsid w:val="1A474F6D"/>
    <w:rsid w:val="1A5C26E5"/>
    <w:rsid w:val="1A624C5A"/>
    <w:rsid w:val="1A6416C1"/>
    <w:rsid w:val="1A6525DA"/>
    <w:rsid w:val="1A684681"/>
    <w:rsid w:val="1A7866CD"/>
    <w:rsid w:val="1A8243C2"/>
    <w:rsid w:val="1A891D75"/>
    <w:rsid w:val="1A89276C"/>
    <w:rsid w:val="1A98287D"/>
    <w:rsid w:val="1A9E0B9D"/>
    <w:rsid w:val="1AA63129"/>
    <w:rsid w:val="1AB071EB"/>
    <w:rsid w:val="1AB7559B"/>
    <w:rsid w:val="1ABA10A1"/>
    <w:rsid w:val="1AC03753"/>
    <w:rsid w:val="1AC123F5"/>
    <w:rsid w:val="1AD734D7"/>
    <w:rsid w:val="1AD8526A"/>
    <w:rsid w:val="1AE856E5"/>
    <w:rsid w:val="1AEF0B99"/>
    <w:rsid w:val="1AF04599"/>
    <w:rsid w:val="1AF57D18"/>
    <w:rsid w:val="1B083691"/>
    <w:rsid w:val="1B3319E3"/>
    <w:rsid w:val="1B595C53"/>
    <w:rsid w:val="1B6C77AD"/>
    <w:rsid w:val="1BA91E9F"/>
    <w:rsid w:val="1BB27AA1"/>
    <w:rsid w:val="1BBE01F3"/>
    <w:rsid w:val="1BC6167F"/>
    <w:rsid w:val="1BDA3884"/>
    <w:rsid w:val="1BDE0896"/>
    <w:rsid w:val="1BEC4D61"/>
    <w:rsid w:val="1BEF2AA3"/>
    <w:rsid w:val="1BF03704"/>
    <w:rsid w:val="1BFC314F"/>
    <w:rsid w:val="1C02130A"/>
    <w:rsid w:val="1C115EB8"/>
    <w:rsid w:val="1C22699F"/>
    <w:rsid w:val="1C2F4C70"/>
    <w:rsid w:val="1C451F3A"/>
    <w:rsid w:val="1C4A6300"/>
    <w:rsid w:val="1C4D5DA4"/>
    <w:rsid w:val="1C913B5A"/>
    <w:rsid w:val="1C9173CA"/>
    <w:rsid w:val="1C940F54"/>
    <w:rsid w:val="1C9E1B58"/>
    <w:rsid w:val="1CA8581F"/>
    <w:rsid w:val="1CB6536F"/>
    <w:rsid w:val="1CBC5ED9"/>
    <w:rsid w:val="1CC11612"/>
    <w:rsid w:val="1CC63804"/>
    <w:rsid w:val="1CC81239"/>
    <w:rsid w:val="1CCA9224"/>
    <w:rsid w:val="1CCE7CD7"/>
    <w:rsid w:val="1CDA481D"/>
    <w:rsid w:val="1CDC1065"/>
    <w:rsid w:val="1CE11AE5"/>
    <w:rsid w:val="1CE343B6"/>
    <w:rsid w:val="1CFC7225"/>
    <w:rsid w:val="1CFF35D1"/>
    <w:rsid w:val="1CFFA2B7"/>
    <w:rsid w:val="1D083E1C"/>
    <w:rsid w:val="1D0C7C1D"/>
    <w:rsid w:val="1D24677C"/>
    <w:rsid w:val="1D303373"/>
    <w:rsid w:val="1D3D339A"/>
    <w:rsid w:val="1D404580"/>
    <w:rsid w:val="1D4B5AB7"/>
    <w:rsid w:val="1D504783"/>
    <w:rsid w:val="1D5701CF"/>
    <w:rsid w:val="1D6152DA"/>
    <w:rsid w:val="1D668803"/>
    <w:rsid w:val="1D745FDA"/>
    <w:rsid w:val="1D7C0366"/>
    <w:rsid w:val="1D7F58FF"/>
    <w:rsid w:val="1D813BCE"/>
    <w:rsid w:val="1D81668A"/>
    <w:rsid w:val="1D9E02DC"/>
    <w:rsid w:val="1DAB29F9"/>
    <w:rsid w:val="1DAD3C0B"/>
    <w:rsid w:val="1DAD49C3"/>
    <w:rsid w:val="1DB54D46"/>
    <w:rsid w:val="1DBF71FA"/>
    <w:rsid w:val="1DC47395"/>
    <w:rsid w:val="1DC57AB1"/>
    <w:rsid w:val="1DCC0C5B"/>
    <w:rsid w:val="1DD82CB7"/>
    <w:rsid w:val="1DDFA44C"/>
    <w:rsid w:val="1DE1641B"/>
    <w:rsid w:val="1DE218C6"/>
    <w:rsid w:val="1DF42A93"/>
    <w:rsid w:val="1DFD14A7"/>
    <w:rsid w:val="1E0B5540"/>
    <w:rsid w:val="1E171E3D"/>
    <w:rsid w:val="1E23519B"/>
    <w:rsid w:val="1E2C2D12"/>
    <w:rsid w:val="1E2D2246"/>
    <w:rsid w:val="1E2D550A"/>
    <w:rsid w:val="1E3D18A3"/>
    <w:rsid w:val="1E5517D2"/>
    <w:rsid w:val="1E656934"/>
    <w:rsid w:val="1E785BBD"/>
    <w:rsid w:val="1E7B27D2"/>
    <w:rsid w:val="1E7D1625"/>
    <w:rsid w:val="1E8F7C25"/>
    <w:rsid w:val="1E91399D"/>
    <w:rsid w:val="1E9B2A6E"/>
    <w:rsid w:val="1E9D2342"/>
    <w:rsid w:val="1E9F430C"/>
    <w:rsid w:val="1EA51597"/>
    <w:rsid w:val="1EB51D82"/>
    <w:rsid w:val="1EBA2EF4"/>
    <w:rsid w:val="1EBA561C"/>
    <w:rsid w:val="1EC4442D"/>
    <w:rsid w:val="1EC73863"/>
    <w:rsid w:val="1ECE2E43"/>
    <w:rsid w:val="1ECE4BF1"/>
    <w:rsid w:val="1ED73615"/>
    <w:rsid w:val="1EE95322"/>
    <w:rsid w:val="1EFB00E2"/>
    <w:rsid w:val="1EFB4C3D"/>
    <w:rsid w:val="1F1360DB"/>
    <w:rsid w:val="1F314E8E"/>
    <w:rsid w:val="1F59624F"/>
    <w:rsid w:val="1F640DC2"/>
    <w:rsid w:val="1F69290B"/>
    <w:rsid w:val="1F7D476D"/>
    <w:rsid w:val="1F7E2174"/>
    <w:rsid w:val="1F7FDA36"/>
    <w:rsid w:val="1F828C96"/>
    <w:rsid w:val="1F996FAD"/>
    <w:rsid w:val="1FA57921"/>
    <w:rsid w:val="1FAE1211"/>
    <w:rsid w:val="1FC63B1B"/>
    <w:rsid w:val="1FCB6867"/>
    <w:rsid w:val="1FD605E0"/>
    <w:rsid w:val="1FD70E9E"/>
    <w:rsid w:val="1FE346CD"/>
    <w:rsid w:val="1FE451CB"/>
    <w:rsid w:val="1FF00B97"/>
    <w:rsid w:val="1FF57F5C"/>
    <w:rsid w:val="1FFA6351"/>
    <w:rsid w:val="1FFE1DD0"/>
    <w:rsid w:val="20014B53"/>
    <w:rsid w:val="200627D8"/>
    <w:rsid w:val="202A28DA"/>
    <w:rsid w:val="202D0FD6"/>
    <w:rsid w:val="20322848"/>
    <w:rsid w:val="20406E6C"/>
    <w:rsid w:val="20482782"/>
    <w:rsid w:val="205840C2"/>
    <w:rsid w:val="20586D91"/>
    <w:rsid w:val="205904EB"/>
    <w:rsid w:val="20596F35"/>
    <w:rsid w:val="205F1963"/>
    <w:rsid w:val="206C0A5B"/>
    <w:rsid w:val="20715C91"/>
    <w:rsid w:val="207E1CC3"/>
    <w:rsid w:val="208B2C3F"/>
    <w:rsid w:val="2091237A"/>
    <w:rsid w:val="20920BA4"/>
    <w:rsid w:val="20A30097"/>
    <w:rsid w:val="20A50CC5"/>
    <w:rsid w:val="20A57BD4"/>
    <w:rsid w:val="20AA343C"/>
    <w:rsid w:val="20B138FB"/>
    <w:rsid w:val="20BD4D80"/>
    <w:rsid w:val="20C04A0E"/>
    <w:rsid w:val="20C1476D"/>
    <w:rsid w:val="20C14C1E"/>
    <w:rsid w:val="20CF69FF"/>
    <w:rsid w:val="20D565B0"/>
    <w:rsid w:val="20DB1848"/>
    <w:rsid w:val="20DF4E94"/>
    <w:rsid w:val="20E750A2"/>
    <w:rsid w:val="2104418C"/>
    <w:rsid w:val="210C1A46"/>
    <w:rsid w:val="21117017"/>
    <w:rsid w:val="211E4815"/>
    <w:rsid w:val="212A5807"/>
    <w:rsid w:val="212E79D0"/>
    <w:rsid w:val="21442F49"/>
    <w:rsid w:val="21456A1F"/>
    <w:rsid w:val="214B3D43"/>
    <w:rsid w:val="214D099D"/>
    <w:rsid w:val="214D44F3"/>
    <w:rsid w:val="215A4CAD"/>
    <w:rsid w:val="21612D9E"/>
    <w:rsid w:val="21657A51"/>
    <w:rsid w:val="21717AB6"/>
    <w:rsid w:val="217F1C22"/>
    <w:rsid w:val="218872DA"/>
    <w:rsid w:val="21976AF2"/>
    <w:rsid w:val="219B433E"/>
    <w:rsid w:val="21BC38A4"/>
    <w:rsid w:val="21C83B7A"/>
    <w:rsid w:val="21CB5418"/>
    <w:rsid w:val="22032E04"/>
    <w:rsid w:val="220726E7"/>
    <w:rsid w:val="220B1CB9"/>
    <w:rsid w:val="220D5A31"/>
    <w:rsid w:val="22131B6D"/>
    <w:rsid w:val="222B517D"/>
    <w:rsid w:val="22321601"/>
    <w:rsid w:val="224A27E1"/>
    <w:rsid w:val="22517CB1"/>
    <w:rsid w:val="2252657C"/>
    <w:rsid w:val="22635651"/>
    <w:rsid w:val="227123D7"/>
    <w:rsid w:val="227E14EA"/>
    <w:rsid w:val="22935E93"/>
    <w:rsid w:val="229955EE"/>
    <w:rsid w:val="229F7C15"/>
    <w:rsid w:val="22A34EAB"/>
    <w:rsid w:val="22B275D1"/>
    <w:rsid w:val="22BC1BC3"/>
    <w:rsid w:val="22C364EA"/>
    <w:rsid w:val="22E36792"/>
    <w:rsid w:val="23053BDC"/>
    <w:rsid w:val="2313284D"/>
    <w:rsid w:val="231E77CA"/>
    <w:rsid w:val="2322550C"/>
    <w:rsid w:val="232E3EB1"/>
    <w:rsid w:val="23327671"/>
    <w:rsid w:val="23386ADD"/>
    <w:rsid w:val="233C678E"/>
    <w:rsid w:val="23405992"/>
    <w:rsid w:val="234B4A63"/>
    <w:rsid w:val="236D7B36"/>
    <w:rsid w:val="237F295E"/>
    <w:rsid w:val="23843AD1"/>
    <w:rsid w:val="238735C1"/>
    <w:rsid w:val="23947812"/>
    <w:rsid w:val="23A93532"/>
    <w:rsid w:val="23AF3D16"/>
    <w:rsid w:val="23BF0E1F"/>
    <w:rsid w:val="23C13C0E"/>
    <w:rsid w:val="23C35696"/>
    <w:rsid w:val="23D51896"/>
    <w:rsid w:val="23F67170"/>
    <w:rsid w:val="23FE3883"/>
    <w:rsid w:val="2403533D"/>
    <w:rsid w:val="24087C88"/>
    <w:rsid w:val="241449D3"/>
    <w:rsid w:val="241E0857"/>
    <w:rsid w:val="243A4E61"/>
    <w:rsid w:val="244C6C69"/>
    <w:rsid w:val="2455546D"/>
    <w:rsid w:val="245F0C9E"/>
    <w:rsid w:val="24601156"/>
    <w:rsid w:val="247753E3"/>
    <w:rsid w:val="24855D52"/>
    <w:rsid w:val="248A15BB"/>
    <w:rsid w:val="2494642A"/>
    <w:rsid w:val="24992D90"/>
    <w:rsid w:val="249F6C02"/>
    <w:rsid w:val="24AE7D94"/>
    <w:rsid w:val="24B11BC6"/>
    <w:rsid w:val="24BC54EC"/>
    <w:rsid w:val="24D07EB4"/>
    <w:rsid w:val="24D9582A"/>
    <w:rsid w:val="24E231A5"/>
    <w:rsid w:val="24EB0ADA"/>
    <w:rsid w:val="24F9229C"/>
    <w:rsid w:val="24FF7C73"/>
    <w:rsid w:val="251E610C"/>
    <w:rsid w:val="25201C97"/>
    <w:rsid w:val="252C08C4"/>
    <w:rsid w:val="25370233"/>
    <w:rsid w:val="254175DE"/>
    <w:rsid w:val="25457290"/>
    <w:rsid w:val="25592D3B"/>
    <w:rsid w:val="25717D35"/>
    <w:rsid w:val="257429C1"/>
    <w:rsid w:val="257858B7"/>
    <w:rsid w:val="258F6493"/>
    <w:rsid w:val="25A0408C"/>
    <w:rsid w:val="25B85CB3"/>
    <w:rsid w:val="25BC36F6"/>
    <w:rsid w:val="25CD398F"/>
    <w:rsid w:val="25D30D3F"/>
    <w:rsid w:val="25D964F5"/>
    <w:rsid w:val="25DE6078"/>
    <w:rsid w:val="25E97B6A"/>
    <w:rsid w:val="25F56BF8"/>
    <w:rsid w:val="25F969F8"/>
    <w:rsid w:val="25FB2494"/>
    <w:rsid w:val="26054D70"/>
    <w:rsid w:val="26094761"/>
    <w:rsid w:val="26176E7E"/>
    <w:rsid w:val="262056B3"/>
    <w:rsid w:val="26325691"/>
    <w:rsid w:val="264E02D7"/>
    <w:rsid w:val="264F7881"/>
    <w:rsid w:val="267D0C84"/>
    <w:rsid w:val="268838D8"/>
    <w:rsid w:val="269C55D5"/>
    <w:rsid w:val="26A60202"/>
    <w:rsid w:val="26B77CD5"/>
    <w:rsid w:val="26BC17D3"/>
    <w:rsid w:val="26CA3EF0"/>
    <w:rsid w:val="26D13979"/>
    <w:rsid w:val="26D71116"/>
    <w:rsid w:val="26E06CF2"/>
    <w:rsid w:val="26ED62C6"/>
    <w:rsid w:val="26EF7DFB"/>
    <w:rsid w:val="26F17AC5"/>
    <w:rsid w:val="27133AE9"/>
    <w:rsid w:val="271D3099"/>
    <w:rsid w:val="271F55C1"/>
    <w:rsid w:val="273261BA"/>
    <w:rsid w:val="27335F39"/>
    <w:rsid w:val="273848EA"/>
    <w:rsid w:val="27514612"/>
    <w:rsid w:val="27550FA4"/>
    <w:rsid w:val="27556697"/>
    <w:rsid w:val="275639D6"/>
    <w:rsid w:val="276500BD"/>
    <w:rsid w:val="27743E5C"/>
    <w:rsid w:val="27745AE8"/>
    <w:rsid w:val="27764078"/>
    <w:rsid w:val="277B83DB"/>
    <w:rsid w:val="27846795"/>
    <w:rsid w:val="278C389C"/>
    <w:rsid w:val="279D1605"/>
    <w:rsid w:val="27A65A5D"/>
    <w:rsid w:val="27B55209"/>
    <w:rsid w:val="27CC3C98"/>
    <w:rsid w:val="27E3389B"/>
    <w:rsid w:val="27EA55BE"/>
    <w:rsid w:val="27F531EF"/>
    <w:rsid w:val="27F73724"/>
    <w:rsid w:val="27FD0C06"/>
    <w:rsid w:val="27FF988D"/>
    <w:rsid w:val="280D40E1"/>
    <w:rsid w:val="28146490"/>
    <w:rsid w:val="28246BCA"/>
    <w:rsid w:val="282633A8"/>
    <w:rsid w:val="282A7372"/>
    <w:rsid w:val="282B0A88"/>
    <w:rsid w:val="28304227"/>
    <w:rsid w:val="285215B4"/>
    <w:rsid w:val="28577A06"/>
    <w:rsid w:val="288A05AD"/>
    <w:rsid w:val="28A10C81"/>
    <w:rsid w:val="28AB3FA6"/>
    <w:rsid w:val="28AF339E"/>
    <w:rsid w:val="28BD7465"/>
    <w:rsid w:val="28CB554F"/>
    <w:rsid w:val="28D64439"/>
    <w:rsid w:val="28DC07D0"/>
    <w:rsid w:val="28DE1ED5"/>
    <w:rsid w:val="29114058"/>
    <w:rsid w:val="291E2E7B"/>
    <w:rsid w:val="29283106"/>
    <w:rsid w:val="294162F9"/>
    <w:rsid w:val="294822D4"/>
    <w:rsid w:val="296879F1"/>
    <w:rsid w:val="29A23BD4"/>
    <w:rsid w:val="29A76DE1"/>
    <w:rsid w:val="29A95707"/>
    <w:rsid w:val="29C11445"/>
    <w:rsid w:val="29C24B68"/>
    <w:rsid w:val="29CC1A50"/>
    <w:rsid w:val="29CF21C0"/>
    <w:rsid w:val="29E452C9"/>
    <w:rsid w:val="29F62207"/>
    <w:rsid w:val="29F64FFC"/>
    <w:rsid w:val="29F87845"/>
    <w:rsid w:val="29FE053F"/>
    <w:rsid w:val="2A062AB4"/>
    <w:rsid w:val="2A140CA0"/>
    <w:rsid w:val="2A145D20"/>
    <w:rsid w:val="2A2B114A"/>
    <w:rsid w:val="2A2E0C3A"/>
    <w:rsid w:val="2A4F61EE"/>
    <w:rsid w:val="2A50517C"/>
    <w:rsid w:val="2A645167"/>
    <w:rsid w:val="2A6D04C4"/>
    <w:rsid w:val="2A736BE0"/>
    <w:rsid w:val="2A7F1496"/>
    <w:rsid w:val="2A89284D"/>
    <w:rsid w:val="2ABC3037"/>
    <w:rsid w:val="2ACE4932"/>
    <w:rsid w:val="2ADFED9B"/>
    <w:rsid w:val="2AFF67E5"/>
    <w:rsid w:val="2B0D06F2"/>
    <w:rsid w:val="2B27650D"/>
    <w:rsid w:val="2B4F2D3A"/>
    <w:rsid w:val="2B514ABD"/>
    <w:rsid w:val="2B5E51DD"/>
    <w:rsid w:val="2B5F72E9"/>
    <w:rsid w:val="2B7B5B5B"/>
    <w:rsid w:val="2B81402B"/>
    <w:rsid w:val="2B8F12A9"/>
    <w:rsid w:val="2B9B35E6"/>
    <w:rsid w:val="2B9B5E5B"/>
    <w:rsid w:val="2BBA09D7"/>
    <w:rsid w:val="2BD1187D"/>
    <w:rsid w:val="2BF30E6E"/>
    <w:rsid w:val="2BF77448"/>
    <w:rsid w:val="2BFC1033"/>
    <w:rsid w:val="2C057779"/>
    <w:rsid w:val="2C062617"/>
    <w:rsid w:val="2C142A44"/>
    <w:rsid w:val="2C165DD0"/>
    <w:rsid w:val="2C2E0A7D"/>
    <w:rsid w:val="2C3B319A"/>
    <w:rsid w:val="2C3D7003"/>
    <w:rsid w:val="2C4464F3"/>
    <w:rsid w:val="2C45620F"/>
    <w:rsid w:val="2C5A333B"/>
    <w:rsid w:val="2C5C3886"/>
    <w:rsid w:val="2C6426F1"/>
    <w:rsid w:val="2C77391E"/>
    <w:rsid w:val="2C7F56C9"/>
    <w:rsid w:val="2C8219C0"/>
    <w:rsid w:val="2CA721F8"/>
    <w:rsid w:val="2CA758D3"/>
    <w:rsid w:val="2CAD4832"/>
    <w:rsid w:val="2CC53975"/>
    <w:rsid w:val="2CCF04B2"/>
    <w:rsid w:val="2CCF6918"/>
    <w:rsid w:val="2CD5354D"/>
    <w:rsid w:val="2CDA6E57"/>
    <w:rsid w:val="2CE37ABA"/>
    <w:rsid w:val="2CED0571"/>
    <w:rsid w:val="2CFF50EA"/>
    <w:rsid w:val="2D2D6F87"/>
    <w:rsid w:val="2D364177"/>
    <w:rsid w:val="2D3C541C"/>
    <w:rsid w:val="2D3F5834"/>
    <w:rsid w:val="2D4F514F"/>
    <w:rsid w:val="2D621327"/>
    <w:rsid w:val="2D624770"/>
    <w:rsid w:val="2D67758F"/>
    <w:rsid w:val="2D742E08"/>
    <w:rsid w:val="2D8A43D9"/>
    <w:rsid w:val="2D9E0485"/>
    <w:rsid w:val="2DA81050"/>
    <w:rsid w:val="2DB41456"/>
    <w:rsid w:val="2DB43E82"/>
    <w:rsid w:val="2DC25921"/>
    <w:rsid w:val="2DD00A37"/>
    <w:rsid w:val="2DE67921"/>
    <w:rsid w:val="2DEB7DA8"/>
    <w:rsid w:val="2DEE155D"/>
    <w:rsid w:val="2E092B16"/>
    <w:rsid w:val="2E1343CF"/>
    <w:rsid w:val="2E1D17C3"/>
    <w:rsid w:val="2E1E28E7"/>
    <w:rsid w:val="2E2D19E1"/>
    <w:rsid w:val="2E3C1C55"/>
    <w:rsid w:val="2E403095"/>
    <w:rsid w:val="2E440A2C"/>
    <w:rsid w:val="2E4E46E6"/>
    <w:rsid w:val="2E5071A6"/>
    <w:rsid w:val="2E536EC1"/>
    <w:rsid w:val="2E5C6996"/>
    <w:rsid w:val="2E8928E3"/>
    <w:rsid w:val="2E913546"/>
    <w:rsid w:val="2E9615EC"/>
    <w:rsid w:val="2E9F5C62"/>
    <w:rsid w:val="2EA0002C"/>
    <w:rsid w:val="2EA34DFE"/>
    <w:rsid w:val="2EAE5E4C"/>
    <w:rsid w:val="2EC979AD"/>
    <w:rsid w:val="2EEE0998"/>
    <w:rsid w:val="2EF04710"/>
    <w:rsid w:val="2F0106CB"/>
    <w:rsid w:val="2F063F34"/>
    <w:rsid w:val="2F195A15"/>
    <w:rsid w:val="2F2041C5"/>
    <w:rsid w:val="2F247BB3"/>
    <w:rsid w:val="2F300092"/>
    <w:rsid w:val="2F31608D"/>
    <w:rsid w:val="2F3F00D7"/>
    <w:rsid w:val="2F3F92A2"/>
    <w:rsid w:val="2F454A5C"/>
    <w:rsid w:val="2F6E7D83"/>
    <w:rsid w:val="2F773147"/>
    <w:rsid w:val="2F8E4D6D"/>
    <w:rsid w:val="2FAC4ADB"/>
    <w:rsid w:val="2FC4686E"/>
    <w:rsid w:val="2FC55B9D"/>
    <w:rsid w:val="2FC5794B"/>
    <w:rsid w:val="2FCD67FF"/>
    <w:rsid w:val="2FD47B8E"/>
    <w:rsid w:val="2FDFFD93"/>
    <w:rsid w:val="2FE51D9B"/>
    <w:rsid w:val="2FED58F2"/>
    <w:rsid w:val="30032221"/>
    <w:rsid w:val="301377D6"/>
    <w:rsid w:val="30243580"/>
    <w:rsid w:val="30330D10"/>
    <w:rsid w:val="304832BF"/>
    <w:rsid w:val="3049232A"/>
    <w:rsid w:val="306453B6"/>
    <w:rsid w:val="306E73C0"/>
    <w:rsid w:val="307C26FF"/>
    <w:rsid w:val="308C66BA"/>
    <w:rsid w:val="308C6728"/>
    <w:rsid w:val="309537C1"/>
    <w:rsid w:val="309B3588"/>
    <w:rsid w:val="30B46EC3"/>
    <w:rsid w:val="30DB5318"/>
    <w:rsid w:val="30DF3E57"/>
    <w:rsid w:val="31143A9E"/>
    <w:rsid w:val="311F752F"/>
    <w:rsid w:val="314A45AB"/>
    <w:rsid w:val="314F1BC2"/>
    <w:rsid w:val="31653DAB"/>
    <w:rsid w:val="316F1034"/>
    <w:rsid w:val="317121B6"/>
    <w:rsid w:val="318F6462"/>
    <w:rsid w:val="31900A47"/>
    <w:rsid w:val="3196072F"/>
    <w:rsid w:val="31A30DBF"/>
    <w:rsid w:val="31A6555A"/>
    <w:rsid w:val="31AA6DF8"/>
    <w:rsid w:val="31C205E6"/>
    <w:rsid w:val="31C75BFC"/>
    <w:rsid w:val="31CD0D39"/>
    <w:rsid w:val="31CE5EF0"/>
    <w:rsid w:val="31D40319"/>
    <w:rsid w:val="31EA18EB"/>
    <w:rsid w:val="31F2254D"/>
    <w:rsid w:val="31FC33CC"/>
    <w:rsid w:val="31FF6F86"/>
    <w:rsid w:val="32036508"/>
    <w:rsid w:val="320A5AE9"/>
    <w:rsid w:val="320C7AB3"/>
    <w:rsid w:val="32146ADF"/>
    <w:rsid w:val="321D1056"/>
    <w:rsid w:val="322A7F39"/>
    <w:rsid w:val="323111FF"/>
    <w:rsid w:val="323304CD"/>
    <w:rsid w:val="32335040"/>
    <w:rsid w:val="323C59AF"/>
    <w:rsid w:val="32540A0F"/>
    <w:rsid w:val="325A14A9"/>
    <w:rsid w:val="325E42E1"/>
    <w:rsid w:val="327708BF"/>
    <w:rsid w:val="32792DC0"/>
    <w:rsid w:val="327D0829"/>
    <w:rsid w:val="328B4E7C"/>
    <w:rsid w:val="32955609"/>
    <w:rsid w:val="329E76C8"/>
    <w:rsid w:val="32A658FC"/>
    <w:rsid w:val="32BB6DE3"/>
    <w:rsid w:val="32D81635"/>
    <w:rsid w:val="32D8556D"/>
    <w:rsid w:val="32EF3EC4"/>
    <w:rsid w:val="32F80153"/>
    <w:rsid w:val="332A30ED"/>
    <w:rsid w:val="33356B95"/>
    <w:rsid w:val="333675A7"/>
    <w:rsid w:val="333B17F8"/>
    <w:rsid w:val="333D5A4A"/>
    <w:rsid w:val="33497D6F"/>
    <w:rsid w:val="33632873"/>
    <w:rsid w:val="33647B0A"/>
    <w:rsid w:val="336B0809"/>
    <w:rsid w:val="33705ED4"/>
    <w:rsid w:val="33712D77"/>
    <w:rsid w:val="33762B0C"/>
    <w:rsid w:val="337B5A6C"/>
    <w:rsid w:val="338A3C50"/>
    <w:rsid w:val="338F274A"/>
    <w:rsid w:val="33967031"/>
    <w:rsid w:val="33A1422B"/>
    <w:rsid w:val="33B156B9"/>
    <w:rsid w:val="33B36501"/>
    <w:rsid w:val="33CA001A"/>
    <w:rsid w:val="33E06739"/>
    <w:rsid w:val="33E33A7A"/>
    <w:rsid w:val="33E83C08"/>
    <w:rsid w:val="341973B8"/>
    <w:rsid w:val="341E1DF8"/>
    <w:rsid w:val="342A07E1"/>
    <w:rsid w:val="34330911"/>
    <w:rsid w:val="343347D2"/>
    <w:rsid w:val="343A0040"/>
    <w:rsid w:val="343E7CCC"/>
    <w:rsid w:val="34433534"/>
    <w:rsid w:val="344B5DDB"/>
    <w:rsid w:val="3456065F"/>
    <w:rsid w:val="345968B4"/>
    <w:rsid w:val="347656B7"/>
    <w:rsid w:val="34880F47"/>
    <w:rsid w:val="3490100C"/>
    <w:rsid w:val="349C57EF"/>
    <w:rsid w:val="34AB3072"/>
    <w:rsid w:val="34AE4C08"/>
    <w:rsid w:val="34BE4161"/>
    <w:rsid w:val="34C460EE"/>
    <w:rsid w:val="34D9124A"/>
    <w:rsid w:val="34DC239B"/>
    <w:rsid w:val="34DF325D"/>
    <w:rsid w:val="34F07218"/>
    <w:rsid w:val="34FB00CA"/>
    <w:rsid w:val="34FE09D0"/>
    <w:rsid w:val="3502519D"/>
    <w:rsid w:val="350F2286"/>
    <w:rsid w:val="35300C7D"/>
    <w:rsid w:val="35375AB9"/>
    <w:rsid w:val="353F1F4D"/>
    <w:rsid w:val="356310D2"/>
    <w:rsid w:val="35640595"/>
    <w:rsid w:val="35765BF9"/>
    <w:rsid w:val="357D4824"/>
    <w:rsid w:val="3589141A"/>
    <w:rsid w:val="35990008"/>
    <w:rsid w:val="35A65B28"/>
    <w:rsid w:val="35B91D00"/>
    <w:rsid w:val="35BA15D4"/>
    <w:rsid w:val="35BA7310"/>
    <w:rsid w:val="35BB25F2"/>
    <w:rsid w:val="35BB448D"/>
    <w:rsid w:val="35BC534C"/>
    <w:rsid w:val="35E203DA"/>
    <w:rsid w:val="35ED6770"/>
    <w:rsid w:val="35EF7DCE"/>
    <w:rsid w:val="35F77F50"/>
    <w:rsid w:val="35FB1480"/>
    <w:rsid w:val="36096322"/>
    <w:rsid w:val="360F3793"/>
    <w:rsid w:val="361F5DE1"/>
    <w:rsid w:val="36237179"/>
    <w:rsid w:val="363D2477"/>
    <w:rsid w:val="3641419C"/>
    <w:rsid w:val="36461ED7"/>
    <w:rsid w:val="3647730B"/>
    <w:rsid w:val="367D567B"/>
    <w:rsid w:val="369F8A1E"/>
    <w:rsid w:val="36A6436A"/>
    <w:rsid w:val="36AE738B"/>
    <w:rsid w:val="36AF5B41"/>
    <w:rsid w:val="36B14743"/>
    <w:rsid w:val="36C81C57"/>
    <w:rsid w:val="36C97D20"/>
    <w:rsid w:val="36D822E6"/>
    <w:rsid w:val="36E214AC"/>
    <w:rsid w:val="36F40BD1"/>
    <w:rsid w:val="370545F8"/>
    <w:rsid w:val="37092C79"/>
    <w:rsid w:val="371C6747"/>
    <w:rsid w:val="372413FB"/>
    <w:rsid w:val="373C4996"/>
    <w:rsid w:val="37427AD3"/>
    <w:rsid w:val="374B4BD9"/>
    <w:rsid w:val="37551695"/>
    <w:rsid w:val="376161AB"/>
    <w:rsid w:val="37677539"/>
    <w:rsid w:val="3768578B"/>
    <w:rsid w:val="37792110"/>
    <w:rsid w:val="37A23C7A"/>
    <w:rsid w:val="37B87D95"/>
    <w:rsid w:val="37BF0C4B"/>
    <w:rsid w:val="37E45315"/>
    <w:rsid w:val="37F55BB6"/>
    <w:rsid w:val="37FD34C0"/>
    <w:rsid w:val="381A20B5"/>
    <w:rsid w:val="382122A2"/>
    <w:rsid w:val="38231F99"/>
    <w:rsid w:val="382579DA"/>
    <w:rsid w:val="382D6077"/>
    <w:rsid w:val="38745281"/>
    <w:rsid w:val="387617D6"/>
    <w:rsid w:val="387800E6"/>
    <w:rsid w:val="387A0C1D"/>
    <w:rsid w:val="388D2FD0"/>
    <w:rsid w:val="38910D12"/>
    <w:rsid w:val="389116EE"/>
    <w:rsid w:val="38A81BB8"/>
    <w:rsid w:val="38BC005D"/>
    <w:rsid w:val="38D155B2"/>
    <w:rsid w:val="38E60F4E"/>
    <w:rsid w:val="38E86614"/>
    <w:rsid w:val="38FF39F5"/>
    <w:rsid w:val="39295ACF"/>
    <w:rsid w:val="39296CF1"/>
    <w:rsid w:val="393C5AC3"/>
    <w:rsid w:val="395F6B6F"/>
    <w:rsid w:val="39691347"/>
    <w:rsid w:val="397A79F8"/>
    <w:rsid w:val="39833C10"/>
    <w:rsid w:val="398A522E"/>
    <w:rsid w:val="398C3407"/>
    <w:rsid w:val="39934616"/>
    <w:rsid w:val="39974106"/>
    <w:rsid w:val="39A405D1"/>
    <w:rsid w:val="39A62258"/>
    <w:rsid w:val="39A87134"/>
    <w:rsid w:val="39C32179"/>
    <w:rsid w:val="39D76BF8"/>
    <w:rsid w:val="39EB7DFC"/>
    <w:rsid w:val="39EE5CF0"/>
    <w:rsid w:val="39FF252F"/>
    <w:rsid w:val="3A070042"/>
    <w:rsid w:val="3A0B4AF4"/>
    <w:rsid w:val="3A166AE9"/>
    <w:rsid w:val="3A3270F8"/>
    <w:rsid w:val="3A327515"/>
    <w:rsid w:val="3A3E00D7"/>
    <w:rsid w:val="3A427C9D"/>
    <w:rsid w:val="3A667F7C"/>
    <w:rsid w:val="3A776CF9"/>
    <w:rsid w:val="3A8F302F"/>
    <w:rsid w:val="3AA27206"/>
    <w:rsid w:val="3AA60379"/>
    <w:rsid w:val="3AA868F8"/>
    <w:rsid w:val="3AAA2A7B"/>
    <w:rsid w:val="3AAF2519"/>
    <w:rsid w:val="3AB75D14"/>
    <w:rsid w:val="3AC85713"/>
    <w:rsid w:val="3ACB5FC6"/>
    <w:rsid w:val="3AD818D6"/>
    <w:rsid w:val="3AE35B2D"/>
    <w:rsid w:val="3AE803AA"/>
    <w:rsid w:val="3AEF5D96"/>
    <w:rsid w:val="3AF17882"/>
    <w:rsid w:val="3AF630AE"/>
    <w:rsid w:val="3AFC5601"/>
    <w:rsid w:val="3AFF6DFF"/>
    <w:rsid w:val="3B027CA5"/>
    <w:rsid w:val="3B0E664A"/>
    <w:rsid w:val="3B132CA2"/>
    <w:rsid w:val="3B1572BD"/>
    <w:rsid w:val="3B225494"/>
    <w:rsid w:val="3B242C33"/>
    <w:rsid w:val="3B2F0CB0"/>
    <w:rsid w:val="3B304181"/>
    <w:rsid w:val="3B325615"/>
    <w:rsid w:val="3B421764"/>
    <w:rsid w:val="3B5B1163"/>
    <w:rsid w:val="3B6C3370"/>
    <w:rsid w:val="3B7364DF"/>
    <w:rsid w:val="3B76AF75"/>
    <w:rsid w:val="3B77292C"/>
    <w:rsid w:val="3B8D6278"/>
    <w:rsid w:val="3BAB492F"/>
    <w:rsid w:val="3BB168F8"/>
    <w:rsid w:val="3BB371F1"/>
    <w:rsid w:val="3BBE28A0"/>
    <w:rsid w:val="3BBE32F5"/>
    <w:rsid w:val="3BF55114"/>
    <w:rsid w:val="3BFB8B34"/>
    <w:rsid w:val="3BFDF2F1"/>
    <w:rsid w:val="3C0149A1"/>
    <w:rsid w:val="3C0D6C8A"/>
    <w:rsid w:val="3C1557B6"/>
    <w:rsid w:val="3C1E4520"/>
    <w:rsid w:val="3C3F288E"/>
    <w:rsid w:val="3C4A1903"/>
    <w:rsid w:val="3C4D4F50"/>
    <w:rsid w:val="3C520EFB"/>
    <w:rsid w:val="3C553BBF"/>
    <w:rsid w:val="3C7050E2"/>
    <w:rsid w:val="3C7961AD"/>
    <w:rsid w:val="3C7D5310"/>
    <w:rsid w:val="3C805325"/>
    <w:rsid w:val="3C8E0152"/>
    <w:rsid w:val="3C9030E6"/>
    <w:rsid w:val="3C917532"/>
    <w:rsid w:val="3CA52596"/>
    <w:rsid w:val="3CB22CF7"/>
    <w:rsid w:val="3CB23005"/>
    <w:rsid w:val="3CB72D11"/>
    <w:rsid w:val="3CBF2474"/>
    <w:rsid w:val="3CCC056A"/>
    <w:rsid w:val="3CD613E9"/>
    <w:rsid w:val="3CFD4234"/>
    <w:rsid w:val="3CFE26EE"/>
    <w:rsid w:val="3CFE449C"/>
    <w:rsid w:val="3D072746"/>
    <w:rsid w:val="3D1572B3"/>
    <w:rsid w:val="3D3711B6"/>
    <w:rsid w:val="3D3D4FC4"/>
    <w:rsid w:val="3D4D2D2E"/>
    <w:rsid w:val="3D5DEB88"/>
    <w:rsid w:val="3D672041"/>
    <w:rsid w:val="3D7424BE"/>
    <w:rsid w:val="3D7D1E4D"/>
    <w:rsid w:val="3D8005FF"/>
    <w:rsid w:val="3D8A1D51"/>
    <w:rsid w:val="3D972499"/>
    <w:rsid w:val="3DA819B8"/>
    <w:rsid w:val="3DA8588A"/>
    <w:rsid w:val="3DAB75BC"/>
    <w:rsid w:val="3DAF10A4"/>
    <w:rsid w:val="3DB93C3A"/>
    <w:rsid w:val="3DBD71BD"/>
    <w:rsid w:val="3DC10D89"/>
    <w:rsid w:val="3DC32E8B"/>
    <w:rsid w:val="3DCF0316"/>
    <w:rsid w:val="3DDF3F00"/>
    <w:rsid w:val="3DE16861"/>
    <w:rsid w:val="3DE778E1"/>
    <w:rsid w:val="3DF3E45C"/>
    <w:rsid w:val="3DF43C1D"/>
    <w:rsid w:val="3E1D0952"/>
    <w:rsid w:val="3E276284"/>
    <w:rsid w:val="3E2B12A9"/>
    <w:rsid w:val="3E2F0AFD"/>
    <w:rsid w:val="3E3F6B1A"/>
    <w:rsid w:val="3E442382"/>
    <w:rsid w:val="3E5B09EB"/>
    <w:rsid w:val="3E5F522D"/>
    <w:rsid w:val="3E660F1E"/>
    <w:rsid w:val="3E746DEC"/>
    <w:rsid w:val="3E7569E0"/>
    <w:rsid w:val="3E7B0D04"/>
    <w:rsid w:val="3E832EAB"/>
    <w:rsid w:val="3E863380"/>
    <w:rsid w:val="3E9C3F6D"/>
    <w:rsid w:val="3ECB1DC0"/>
    <w:rsid w:val="3EDF55EC"/>
    <w:rsid w:val="3EEF0B8D"/>
    <w:rsid w:val="3EF17FDA"/>
    <w:rsid w:val="3EFAB662"/>
    <w:rsid w:val="3F0264C5"/>
    <w:rsid w:val="3F043ED2"/>
    <w:rsid w:val="3F050C57"/>
    <w:rsid w:val="3F0632CC"/>
    <w:rsid w:val="3F172290"/>
    <w:rsid w:val="3F1FB22D"/>
    <w:rsid w:val="3F26F7B7"/>
    <w:rsid w:val="3F3928BF"/>
    <w:rsid w:val="3F3A5491"/>
    <w:rsid w:val="3F422D66"/>
    <w:rsid w:val="3F484D1C"/>
    <w:rsid w:val="3F4A5777"/>
    <w:rsid w:val="3F5842B4"/>
    <w:rsid w:val="3F5F40C4"/>
    <w:rsid w:val="3F67F73C"/>
    <w:rsid w:val="3F6CA278"/>
    <w:rsid w:val="3F7F16A9"/>
    <w:rsid w:val="3F895187"/>
    <w:rsid w:val="3F9FE30F"/>
    <w:rsid w:val="3FA255B3"/>
    <w:rsid w:val="3FBD33EA"/>
    <w:rsid w:val="3FBF1E6F"/>
    <w:rsid w:val="3FC72DAE"/>
    <w:rsid w:val="3FD57038"/>
    <w:rsid w:val="3FDE0060"/>
    <w:rsid w:val="3FDF6C18"/>
    <w:rsid w:val="3FDFF1FD"/>
    <w:rsid w:val="3FE27262"/>
    <w:rsid w:val="3FE37E3A"/>
    <w:rsid w:val="3FEC7A6F"/>
    <w:rsid w:val="3FED9D9F"/>
    <w:rsid w:val="3FF7401F"/>
    <w:rsid w:val="3FF92B42"/>
    <w:rsid w:val="3FFDA675"/>
    <w:rsid w:val="3FFF3FA5"/>
    <w:rsid w:val="3FFF463A"/>
    <w:rsid w:val="3FFFBE38"/>
    <w:rsid w:val="400577C9"/>
    <w:rsid w:val="40103D0C"/>
    <w:rsid w:val="40185875"/>
    <w:rsid w:val="401F4E55"/>
    <w:rsid w:val="404579AB"/>
    <w:rsid w:val="404C3770"/>
    <w:rsid w:val="40532CA8"/>
    <w:rsid w:val="405745EF"/>
    <w:rsid w:val="405D0BD4"/>
    <w:rsid w:val="4071592F"/>
    <w:rsid w:val="408E7CE2"/>
    <w:rsid w:val="40996FC6"/>
    <w:rsid w:val="40A13ABC"/>
    <w:rsid w:val="40B43400"/>
    <w:rsid w:val="40DB0111"/>
    <w:rsid w:val="40E35E83"/>
    <w:rsid w:val="40E86FF4"/>
    <w:rsid w:val="40F260C6"/>
    <w:rsid w:val="40F938F8"/>
    <w:rsid w:val="40FF07E3"/>
    <w:rsid w:val="41016520"/>
    <w:rsid w:val="41105CD2"/>
    <w:rsid w:val="412A33A5"/>
    <w:rsid w:val="41340CF2"/>
    <w:rsid w:val="41814A97"/>
    <w:rsid w:val="41A17222"/>
    <w:rsid w:val="41A92006"/>
    <w:rsid w:val="41AD2620"/>
    <w:rsid w:val="41AD64B0"/>
    <w:rsid w:val="41AF51B5"/>
    <w:rsid w:val="41B31CF9"/>
    <w:rsid w:val="41BD0482"/>
    <w:rsid w:val="41CE28FA"/>
    <w:rsid w:val="41F63994"/>
    <w:rsid w:val="41F71D93"/>
    <w:rsid w:val="42052432"/>
    <w:rsid w:val="423A4F2A"/>
    <w:rsid w:val="424C7A58"/>
    <w:rsid w:val="4253528A"/>
    <w:rsid w:val="425F3C2F"/>
    <w:rsid w:val="42823479"/>
    <w:rsid w:val="42B03064"/>
    <w:rsid w:val="42C03D90"/>
    <w:rsid w:val="42C6780A"/>
    <w:rsid w:val="42C85330"/>
    <w:rsid w:val="42C910A8"/>
    <w:rsid w:val="42F457C3"/>
    <w:rsid w:val="42FF2D1C"/>
    <w:rsid w:val="430671A8"/>
    <w:rsid w:val="430736DD"/>
    <w:rsid w:val="430F2F5F"/>
    <w:rsid w:val="431C1B20"/>
    <w:rsid w:val="43234275"/>
    <w:rsid w:val="43301127"/>
    <w:rsid w:val="43387C8D"/>
    <w:rsid w:val="434C59E6"/>
    <w:rsid w:val="43654272"/>
    <w:rsid w:val="438C45B0"/>
    <w:rsid w:val="43BB4117"/>
    <w:rsid w:val="43BE6733"/>
    <w:rsid w:val="43C81B44"/>
    <w:rsid w:val="43D1D46F"/>
    <w:rsid w:val="43D56AEB"/>
    <w:rsid w:val="43DA4B70"/>
    <w:rsid w:val="43E048FB"/>
    <w:rsid w:val="43E36D1D"/>
    <w:rsid w:val="43EDE38C"/>
    <w:rsid w:val="43F115D4"/>
    <w:rsid w:val="43F32881"/>
    <w:rsid w:val="44150A49"/>
    <w:rsid w:val="443D58AA"/>
    <w:rsid w:val="445006D7"/>
    <w:rsid w:val="44563EF2"/>
    <w:rsid w:val="44572895"/>
    <w:rsid w:val="445D7CFA"/>
    <w:rsid w:val="44606284"/>
    <w:rsid w:val="44627A06"/>
    <w:rsid w:val="446454D0"/>
    <w:rsid w:val="44654E01"/>
    <w:rsid w:val="446749DF"/>
    <w:rsid w:val="447C0AC8"/>
    <w:rsid w:val="44887757"/>
    <w:rsid w:val="44917F7C"/>
    <w:rsid w:val="449556E6"/>
    <w:rsid w:val="44A406E8"/>
    <w:rsid w:val="44AFDEC2"/>
    <w:rsid w:val="44B16DCE"/>
    <w:rsid w:val="44B30262"/>
    <w:rsid w:val="44D162C6"/>
    <w:rsid w:val="44E4030E"/>
    <w:rsid w:val="44E651F1"/>
    <w:rsid w:val="44ED72D0"/>
    <w:rsid w:val="44FB75C1"/>
    <w:rsid w:val="44FF704D"/>
    <w:rsid w:val="45101210"/>
    <w:rsid w:val="452C38F0"/>
    <w:rsid w:val="45446BA9"/>
    <w:rsid w:val="4556138E"/>
    <w:rsid w:val="455D44E2"/>
    <w:rsid w:val="455E27BC"/>
    <w:rsid w:val="45763769"/>
    <w:rsid w:val="45833790"/>
    <w:rsid w:val="458674AA"/>
    <w:rsid w:val="45997458"/>
    <w:rsid w:val="459A0BC8"/>
    <w:rsid w:val="45B1505C"/>
    <w:rsid w:val="45B1654F"/>
    <w:rsid w:val="45BC6CA2"/>
    <w:rsid w:val="45C81AEB"/>
    <w:rsid w:val="45E6660B"/>
    <w:rsid w:val="45EF16B0"/>
    <w:rsid w:val="45F708A8"/>
    <w:rsid w:val="46001285"/>
    <w:rsid w:val="46072613"/>
    <w:rsid w:val="460743C1"/>
    <w:rsid w:val="463902F3"/>
    <w:rsid w:val="463B050F"/>
    <w:rsid w:val="463E6B5F"/>
    <w:rsid w:val="464078D7"/>
    <w:rsid w:val="464A2DC6"/>
    <w:rsid w:val="464D09AB"/>
    <w:rsid w:val="46664398"/>
    <w:rsid w:val="466C5F02"/>
    <w:rsid w:val="466E0C3C"/>
    <w:rsid w:val="46753E7E"/>
    <w:rsid w:val="46847FFC"/>
    <w:rsid w:val="468633F9"/>
    <w:rsid w:val="469458DD"/>
    <w:rsid w:val="4698326B"/>
    <w:rsid w:val="46C12A7F"/>
    <w:rsid w:val="46C67DD9"/>
    <w:rsid w:val="46D308AE"/>
    <w:rsid w:val="46DA3884"/>
    <w:rsid w:val="46EA78F9"/>
    <w:rsid w:val="46ED07F1"/>
    <w:rsid w:val="46EE27FF"/>
    <w:rsid w:val="46F35C30"/>
    <w:rsid w:val="46F661E4"/>
    <w:rsid w:val="46F9744E"/>
    <w:rsid w:val="47080EC7"/>
    <w:rsid w:val="4714323A"/>
    <w:rsid w:val="47163F31"/>
    <w:rsid w:val="471F5D2C"/>
    <w:rsid w:val="47217D1E"/>
    <w:rsid w:val="473E2065"/>
    <w:rsid w:val="474657CE"/>
    <w:rsid w:val="477041E8"/>
    <w:rsid w:val="47750398"/>
    <w:rsid w:val="477F32FD"/>
    <w:rsid w:val="477FA7B0"/>
    <w:rsid w:val="478C64B2"/>
    <w:rsid w:val="479553F0"/>
    <w:rsid w:val="479C2260"/>
    <w:rsid w:val="47A142AC"/>
    <w:rsid w:val="47AA4946"/>
    <w:rsid w:val="47CA1B4A"/>
    <w:rsid w:val="47CB3EAF"/>
    <w:rsid w:val="47F46E9A"/>
    <w:rsid w:val="47FB06DB"/>
    <w:rsid w:val="47FF4154"/>
    <w:rsid w:val="480146C4"/>
    <w:rsid w:val="482C4A03"/>
    <w:rsid w:val="4831420C"/>
    <w:rsid w:val="48335942"/>
    <w:rsid w:val="483E1008"/>
    <w:rsid w:val="485853A8"/>
    <w:rsid w:val="48693111"/>
    <w:rsid w:val="486A4AD3"/>
    <w:rsid w:val="487358E0"/>
    <w:rsid w:val="487C0965"/>
    <w:rsid w:val="48827DDE"/>
    <w:rsid w:val="48884AC8"/>
    <w:rsid w:val="48B16866"/>
    <w:rsid w:val="48B42DE1"/>
    <w:rsid w:val="48BE6881"/>
    <w:rsid w:val="48C06C85"/>
    <w:rsid w:val="48D20CC4"/>
    <w:rsid w:val="48E629B4"/>
    <w:rsid w:val="48F6681E"/>
    <w:rsid w:val="490E5CBB"/>
    <w:rsid w:val="491B1835"/>
    <w:rsid w:val="491D214E"/>
    <w:rsid w:val="49412586"/>
    <w:rsid w:val="49423962"/>
    <w:rsid w:val="49680979"/>
    <w:rsid w:val="496F3DC3"/>
    <w:rsid w:val="497004D0"/>
    <w:rsid w:val="49731D6E"/>
    <w:rsid w:val="49747FC0"/>
    <w:rsid w:val="49781578"/>
    <w:rsid w:val="498E4EBE"/>
    <w:rsid w:val="499C3073"/>
    <w:rsid w:val="49A51AB5"/>
    <w:rsid w:val="49AD5280"/>
    <w:rsid w:val="49AF433A"/>
    <w:rsid w:val="49B93C25"/>
    <w:rsid w:val="49C43726"/>
    <w:rsid w:val="49C600F0"/>
    <w:rsid w:val="49CD5416"/>
    <w:rsid w:val="49D722FD"/>
    <w:rsid w:val="49DF4E30"/>
    <w:rsid w:val="49FC27EC"/>
    <w:rsid w:val="4A03543C"/>
    <w:rsid w:val="4A0B0B03"/>
    <w:rsid w:val="4A1009F9"/>
    <w:rsid w:val="4A1D7C84"/>
    <w:rsid w:val="4A2154C2"/>
    <w:rsid w:val="4A216DB7"/>
    <w:rsid w:val="4A2D084C"/>
    <w:rsid w:val="4A2F3B19"/>
    <w:rsid w:val="4A3C4498"/>
    <w:rsid w:val="4A4756D4"/>
    <w:rsid w:val="4A4F3AB4"/>
    <w:rsid w:val="4A5212A1"/>
    <w:rsid w:val="4A5222DF"/>
    <w:rsid w:val="4A525E27"/>
    <w:rsid w:val="4A534028"/>
    <w:rsid w:val="4A7144FF"/>
    <w:rsid w:val="4A743685"/>
    <w:rsid w:val="4A7973D7"/>
    <w:rsid w:val="4A871714"/>
    <w:rsid w:val="4A9D7F31"/>
    <w:rsid w:val="4AA77F21"/>
    <w:rsid w:val="4AAB7F29"/>
    <w:rsid w:val="4AB20F2B"/>
    <w:rsid w:val="4AB23B5D"/>
    <w:rsid w:val="4AB70785"/>
    <w:rsid w:val="4ACC4439"/>
    <w:rsid w:val="4ADF9C73"/>
    <w:rsid w:val="4AF441B7"/>
    <w:rsid w:val="4AF60091"/>
    <w:rsid w:val="4AFB2791"/>
    <w:rsid w:val="4AFD755E"/>
    <w:rsid w:val="4AFF1B0B"/>
    <w:rsid w:val="4B0572BF"/>
    <w:rsid w:val="4B0B04B0"/>
    <w:rsid w:val="4B0B45F8"/>
    <w:rsid w:val="4B137364"/>
    <w:rsid w:val="4B3069DB"/>
    <w:rsid w:val="4B400741"/>
    <w:rsid w:val="4B477BC6"/>
    <w:rsid w:val="4B514FF0"/>
    <w:rsid w:val="4B5A1B72"/>
    <w:rsid w:val="4B7325F7"/>
    <w:rsid w:val="4B8B15F1"/>
    <w:rsid w:val="4B9A64FB"/>
    <w:rsid w:val="4BA206E8"/>
    <w:rsid w:val="4BA40904"/>
    <w:rsid w:val="4BB01057"/>
    <w:rsid w:val="4BB072A9"/>
    <w:rsid w:val="4BB664A0"/>
    <w:rsid w:val="4BEA6BE4"/>
    <w:rsid w:val="4C2D08FA"/>
    <w:rsid w:val="4C306DDD"/>
    <w:rsid w:val="4C3C3F69"/>
    <w:rsid w:val="4C405DD4"/>
    <w:rsid w:val="4C4A2424"/>
    <w:rsid w:val="4C4D3A7C"/>
    <w:rsid w:val="4C51283A"/>
    <w:rsid w:val="4C6A21A2"/>
    <w:rsid w:val="4C800A2A"/>
    <w:rsid w:val="4CB0379A"/>
    <w:rsid w:val="4CB521BA"/>
    <w:rsid w:val="4CBB7149"/>
    <w:rsid w:val="4CD061CE"/>
    <w:rsid w:val="4CE64BBF"/>
    <w:rsid w:val="4CF14E45"/>
    <w:rsid w:val="4CF50638"/>
    <w:rsid w:val="4D071093"/>
    <w:rsid w:val="4D166283"/>
    <w:rsid w:val="4D342F5F"/>
    <w:rsid w:val="4D6825F5"/>
    <w:rsid w:val="4D6E2CE7"/>
    <w:rsid w:val="4D73233C"/>
    <w:rsid w:val="4D844549"/>
    <w:rsid w:val="4D8A192F"/>
    <w:rsid w:val="4DAA3306"/>
    <w:rsid w:val="4DB79D70"/>
    <w:rsid w:val="4DCC2F75"/>
    <w:rsid w:val="4DDC1405"/>
    <w:rsid w:val="4DDDEC83"/>
    <w:rsid w:val="4DF34A88"/>
    <w:rsid w:val="4E3C6BD2"/>
    <w:rsid w:val="4E4F4B57"/>
    <w:rsid w:val="4E5305CF"/>
    <w:rsid w:val="4E6B7F6F"/>
    <w:rsid w:val="4E6FEF0A"/>
    <w:rsid w:val="4E76551D"/>
    <w:rsid w:val="4E810A89"/>
    <w:rsid w:val="4E872F75"/>
    <w:rsid w:val="4E8D38D2"/>
    <w:rsid w:val="4EAA7C98"/>
    <w:rsid w:val="4EAF2D11"/>
    <w:rsid w:val="4EB342A8"/>
    <w:rsid w:val="4EC372F3"/>
    <w:rsid w:val="4ED16F69"/>
    <w:rsid w:val="4ED80E18"/>
    <w:rsid w:val="4EDB4BC8"/>
    <w:rsid w:val="4EDF7A58"/>
    <w:rsid w:val="4EE76A47"/>
    <w:rsid w:val="4EED0546"/>
    <w:rsid w:val="4EF546E6"/>
    <w:rsid w:val="4EFD57A9"/>
    <w:rsid w:val="4F181265"/>
    <w:rsid w:val="4F1F0BF7"/>
    <w:rsid w:val="4F1F6825"/>
    <w:rsid w:val="4F3D47F1"/>
    <w:rsid w:val="4F4421E2"/>
    <w:rsid w:val="4F55E939"/>
    <w:rsid w:val="4F594DBB"/>
    <w:rsid w:val="4F596466"/>
    <w:rsid w:val="4F5E0022"/>
    <w:rsid w:val="4F681903"/>
    <w:rsid w:val="4F6D971D"/>
    <w:rsid w:val="4F726F19"/>
    <w:rsid w:val="4F7C5E20"/>
    <w:rsid w:val="4F9473AB"/>
    <w:rsid w:val="4FB1194D"/>
    <w:rsid w:val="4FBB5D29"/>
    <w:rsid w:val="4FBD3D3B"/>
    <w:rsid w:val="4FBE624A"/>
    <w:rsid w:val="4FC155E1"/>
    <w:rsid w:val="4FC43087"/>
    <w:rsid w:val="4FCF06B5"/>
    <w:rsid w:val="4FDE4345"/>
    <w:rsid w:val="4FE126A9"/>
    <w:rsid w:val="4FF78CB7"/>
    <w:rsid w:val="4FFF10C6"/>
    <w:rsid w:val="500C52C0"/>
    <w:rsid w:val="50124405"/>
    <w:rsid w:val="50175FC5"/>
    <w:rsid w:val="502A7FE4"/>
    <w:rsid w:val="502B33A2"/>
    <w:rsid w:val="50345948"/>
    <w:rsid w:val="503B1A66"/>
    <w:rsid w:val="504464B2"/>
    <w:rsid w:val="504B75A0"/>
    <w:rsid w:val="506643DA"/>
    <w:rsid w:val="506D39BB"/>
    <w:rsid w:val="50B138A7"/>
    <w:rsid w:val="50B574B7"/>
    <w:rsid w:val="50DF0A22"/>
    <w:rsid w:val="50FD4D3F"/>
    <w:rsid w:val="5100038B"/>
    <w:rsid w:val="511107EA"/>
    <w:rsid w:val="5116436F"/>
    <w:rsid w:val="51167BAE"/>
    <w:rsid w:val="511A6570"/>
    <w:rsid w:val="512C261D"/>
    <w:rsid w:val="51326D7B"/>
    <w:rsid w:val="51406C40"/>
    <w:rsid w:val="514F30C0"/>
    <w:rsid w:val="5151508A"/>
    <w:rsid w:val="517B63AD"/>
    <w:rsid w:val="518E1E3B"/>
    <w:rsid w:val="51A3705C"/>
    <w:rsid w:val="51AB3CB4"/>
    <w:rsid w:val="51B21C69"/>
    <w:rsid w:val="51B55619"/>
    <w:rsid w:val="51C83190"/>
    <w:rsid w:val="51C94C21"/>
    <w:rsid w:val="51D412F6"/>
    <w:rsid w:val="51E90E1F"/>
    <w:rsid w:val="51FD344B"/>
    <w:rsid w:val="51FF6894"/>
    <w:rsid w:val="52035D13"/>
    <w:rsid w:val="521F22CE"/>
    <w:rsid w:val="522B7B4F"/>
    <w:rsid w:val="52310D91"/>
    <w:rsid w:val="52412A09"/>
    <w:rsid w:val="52546BE0"/>
    <w:rsid w:val="52591EBD"/>
    <w:rsid w:val="525F5585"/>
    <w:rsid w:val="52711351"/>
    <w:rsid w:val="527C6137"/>
    <w:rsid w:val="5291580E"/>
    <w:rsid w:val="529509A1"/>
    <w:rsid w:val="52B7716F"/>
    <w:rsid w:val="52CA2DA7"/>
    <w:rsid w:val="52D47ED7"/>
    <w:rsid w:val="52DB2E5E"/>
    <w:rsid w:val="52DE46FC"/>
    <w:rsid w:val="52E714AF"/>
    <w:rsid w:val="52E77A54"/>
    <w:rsid w:val="52EA0F7C"/>
    <w:rsid w:val="52F50028"/>
    <w:rsid w:val="530F48B5"/>
    <w:rsid w:val="531C1F70"/>
    <w:rsid w:val="534A70A8"/>
    <w:rsid w:val="534E72B5"/>
    <w:rsid w:val="53530D1A"/>
    <w:rsid w:val="536746F1"/>
    <w:rsid w:val="537868FE"/>
    <w:rsid w:val="537B678C"/>
    <w:rsid w:val="538434F5"/>
    <w:rsid w:val="538C5F06"/>
    <w:rsid w:val="538F23C7"/>
    <w:rsid w:val="538F76E3"/>
    <w:rsid w:val="5391176E"/>
    <w:rsid w:val="539E07FC"/>
    <w:rsid w:val="53C9747A"/>
    <w:rsid w:val="53F817ED"/>
    <w:rsid w:val="54243EAA"/>
    <w:rsid w:val="5429409D"/>
    <w:rsid w:val="54321913"/>
    <w:rsid w:val="544464C4"/>
    <w:rsid w:val="544555EB"/>
    <w:rsid w:val="54596730"/>
    <w:rsid w:val="547215A0"/>
    <w:rsid w:val="547C3284"/>
    <w:rsid w:val="547E595F"/>
    <w:rsid w:val="54927EA1"/>
    <w:rsid w:val="54A22B9C"/>
    <w:rsid w:val="54A43723"/>
    <w:rsid w:val="54B576DE"/>
    <w:rsid w:val="54BA7CF8"/>
    <w:rsid w:val="54BC0A6D"/>
    <w:rsid w:val="54C433E9"/>
    <w:rsid w:val="54D80BF9"/>
    <w:rsid w:val="54DA3745"/>
    <w:rsid w:val="550BEBE8"/>
    <w:rsid w:val="552C25F4"/>
    <w:rsid w:val="553B19CA"/>
    <w:rsid w:val="553B29F8"/>
    <w:rsid w:val="554747DA"/>
    <w:rsid w:val="554B267F"/>
    <w:rsid w:val="555F79F2"/>
    <w:rsid w:val="55917172"/>
    <w:rsid w:val="55BB2AD2"/>
    <w:rsid w:val="55BD0710"/>
    <w:rsid w:val="55D1563D"/>
    <w:rsid w:val="55D87B28"/>
    <w:rsid w:val="55EF39CF"/>
    <w:rsid w:val="55F50ACD"/>
    <w:rsid w:val="55F61725"/>
    <w:rsid w:val="55FB9FB2"/>
    <w:rsid w:val="5612303A"/>
    <w:rsid w:val="56290C6C"/>
    <w:rsid w:val="563764AE"/>
    <w:rsid w:val="5642004D"/>
    <w:rsid w:val="565371AF"/>
    <w:rsid w:val="566771C8"/>
    <w:rsid w:val="56731EC2"/>
    <w:rsid w:val="5676B5DC"/>
    <w:rsid w:val="567A0BDF"/>
    <w:rsid w:val="568071EB"/>
    <w:rsid w:val="5691613F"/>
    <w:rsid w:val="569752EE"/>
    <w:rsid w:val="56986659"/>
    <w:rsid w:val="569E48CE"/>
    <w:rsid w:val="569F0646"/>
    <w:rsid w:val="56A95021"/>
    <w:rsid w:val="56AF6ADB"/>
    <w:rsid w:val="56B52BD2"/>
    <w:rsid w:val="56CE4A87"/>
    <w:rsid w:val="56DA27D4"/>
    <w:rsid w:val="56FB0201"/>
    <w:rsid w:val="57062127"/>
    <w:rsid w:val="570D68FA"/>
    <w:rsid w:val="573F6022"/>
    <w:rsid w:val="573FC6BB"/>
    <w:rsid w:val="574C257C"/>
    <w:rsid w:val="57550F07"/>
    <w:rsid w:val="57770990"/>
    <w:rsid w:val="57875362"/>
    <w:rsid w:val="578E53C8"/>
    <w:rsid w:val="579323DE"/>
    <w:rsid w:val="57A75A04"/>
    <w:rsid w:val="57B10719"/>
    <w:rsid w:val="57B23DD6"/>
    <w:rsid w:val="57BC2B32"/>
    <w:rsid w:val="57CE2F91"/>
    <w:rsid w:val="57D60E79"/>
    <w:rsid w:val="57DD6C8E"/>
    <w:rsid w:val="57DF0A84"/>
    <w:rsid w:val="580C3AB9"/>
    <w:rsid w:val="5814296E"/>
    <w:rsid w:val="58317205"/>
    <w:rsid w:val="584F2890"/>
    <w:rsid w:val="58501BF8"/>
    <w:rsid w:val="585A6F86"/>
    <w:rsid w:val="585EEA35"/>
    <w:rsid w:val="586B07E0"/>
    <w:rsid w:val="58762CFB"/>
    <w:rsid w:val="587F24DD"/>
    <w:rsid w:val="588C5B66"/>
    <w:rsid w:val="588D09B5"/>
    <w:rsid w:val="58A32F0B"/>
    <w:rsid w:val="58B47BD3"/>
    <w:rsid w:val="58BB6B58"/>
    <w:rsid w:val="58C651CD"/>
    <w:rsid w:val="58DE4629"/>
    <w:rsid w:val="58E10AA2"/>
    <w:rsid w:val="58E467E4"/>
    <w:rsid w:val="58E90C25"/>
    <w:rsid w:val="58FEDDD6"/>
    <w:rsid w:val="590363B1"/>
    <w:rsid w:val="590F2DDE"/>
    <w:rsid w:val="590F55B1"/>
    <w:rsid w:val="5915074C"/>
    <w:rsid w:val="591F298E"/>
    <w:rsid w:val="59232E69"/>
    <w:rsid w:val="59386377"/>
    <w:rsid w:val="594A4899"/>
    <w:rsid w:val="596F5259"/>
    <w:rsid w:val="5979D0AD"/>
    <w:rsid w:val="598558D1"/>
    <w:rsid w:val="59915BCC"/>
    <w:rsid w:val="59A0354C"/>
    <w:rsid w:val="59AC44CF"/>
    <w:rsid w:val="59B241EC"/>
    <w:rsid w:val="59D47B44"/>
    <w:rsid w:val="59DA3ECF"/>
    <w:rsid w:val="59DE31F2"/>
    <w:rsid w:val="59DE4FE1"/>
    <w:rsid w:val="59EE5886"/>
    <w:rsid w:val="59F105BF"/>
    <w:rsid w:val="5A0A4C8A"/>
    <w:rsid w:val="5A1F8993"/>
    <w:rsid w:val="5A2B3547"/>
    <w:rsid w:val="5A2F24DA"/>
    <w:rsid w:val="5A33133F"/>
    <w:rsid w:val="5A3A2B60"/>
    <w:rsid w:val="5A3E3CD2"/>
    <w:rsid w:val="5A435BA8"/>
    <w:rsid w:val="5A454E00"/>
    <w:rsid w:val="5A572BCE"/>
    <w:rsid w:val="5A7C2604"/>
    <w:rsid w:val="5A933F65"/>
    <w:rsid w:val="5A9962B0"/>
    <w:rsid w:val="5AA21002"/>
    <w:rsid w:val="5AA75D1B"/>
    <w:rsid w:val="5AAB580B"/>
    <w:rsid w:val="5AC10B8B"/>
    <w:rsid w:val="5ACD7478"/>
    <w:rsid w:val="5ACE5E3E"/>
    <w:rsid w:val="5AEA4476"/>
    <w:rsid w:val="5AED481B"/>
    <w:rsid w:val="5AF076C2"/>
    <w:rsid w:val="5AF7355D"/>
    <w:rsid w:val="5B1C518E"/>
    <w:rsid w:val="5B21162A"/>
    <w:rsid w:val="5B2E3F11"/>
    <w:rsid w:val="5B2F0801"/>
    <w:rsid w:val="5B34098D"/>
    <w:rsid w:val="5B3D2211"/>
    <w:rsid w:val="5B44356A"/>
    <w:rsid w:val="5B472E36"/>
    <w:rsid w:val="5B487019"/>
    <w:rsid w:val="5B560125"/>
    <w:rsid w:val="5B643036"/>
    <w:rsid w:val="5B6A2799"/>
    <w:rsid w:val="5B7406A2"/>
    <w:rsid w:val="5B8B3398"/>
    <w:rsid w:val="5BAE34C5"/>
    <w:rsid w:val="5BB22859"/>
    <w:rsid w:val="5BC22E0D"/>
    <w:rsid w:val="5BD05A60"/>
    <w:rsid w:val="5BDB3215"/>
    <w:rsid w:val="5BDD0497"/>
    <w:rsid w:val="5BE318D4"/>
    <w:rsid w:val="5BE84AE9"/>
    <w:rsid w:val="5C115B42"/>
    <w:rsid w:val="5C136B67"/>
    <w:rsid w:val="5C14118E"/>
    <w:rsid w:val="5C253DA9"/>
    <w:rsid w:val="5C2A6C04"/>
    <w:rsid w:val="5C463BC8"/>
    <w:rsid w:val="5C6B4FA1"/>
    <w:rsid w:val="5C6D6C8B"/>
    <w:rsid w:val="5C841237"/>
    <w:rsid w:val="5C853E3A"/>
    <w:rsid w:val="5C8B4198"/>
    <w:rsid w:val="5C8B76A2"/>
    <w:rsid w:val="5C8F2E8D"/>
    <w:rsid w:val="5C9B21DE"/>
    <w:rsid w:val="5CA93FCD"/>
    <w:rsid w:val="5CC11316"/>
    <w:rsid w:val="5CCF5C22"/>
    <w:rsid w:val="5CE26471"/>
    <w:rsid w:val="5CEA1177"/>
    <w:rsid w:val="5CF04A84"/>
    <w:rsid w:val="5CF52D6E"/>
    <w:rsid w:val="5CF60894"/>
    <w:rsid w:val="5CF856B6"/>
    <w:rsid w:val="5CFB98D0"/>
    <w:rsid w:val="5D086F45"/>
    <w:rsid w:val="5D172CE4"/>
    <w:rsid w:val="5D177188"/>
    <w:rsid w:val="5D2D69AC"/>
    <w:rsid w:val="5D35760E"/>
    <w:rsid w:val="5D3C099D"/>
    <w:rsid w:val="5D3D5F37"/>
    <w:rsid w:val="5D3F1822"/>
    <w:rsid w:val="5D4910A3"/>
    <w:rsid w:val="5D493C90"/>
    <w:rsid w:val="5D4B165C"/>
    <w:rsid w:val="5D5444F3"/>
    <w:rsid w:val="5D550E25"/>
    <w:rsid w:val="5D5C103F"/>
    <w:rsid w:val="5D663C6C"/>
    <w:rsid w:val="5D6BE2F5"/>
    <w:rsid w:val="5D6F16D2"/>
    <w:rsid w:val="5D6FFDC5"/>
    <w:rsid w:val="5D8305F1"/>
    <w:rsid w:val="5D8C35EC"/>
    <w:rsid w:val="5D9013A3"/>
    <w:rsid w:val="5D985B70"/>
    <w:rsid w:val="5D9E1657"/>
    <w:rsid w:val="5DAB32C8"/>
    <w:rsid w:val="5DAD641C"/>
    <w:rsid w:val="5DB03139"/>
    <w:rsid w:val="5DB524FD"/>
    <w:rsid w:val="5DBB663C"/>
    <w:rsid w:val="5DE7FA0B"/>
    <w:rsid w:val="5DFAF9A7"/>
    <w:rsid w:val="5DFD9A99"/>
    <w:rsid w:val="5DFF272D"/>
    <w:rsid w:val="5E127950"/>
    <w:rsid w:val="5E1A6F8C"/>
    <w:rsid w:val="5E203E1A"/>
    <w:rsid w:val="5E287173"/>
    <w:rsid w:val="5E2F0501"/>
    <w:rsid w:val="5E30699B"/>
    <w:rsid w:val="5E356FB8"/>
    <w:rsid w:val="5E3B4242"/>
    <w:rsid w:val="5E447596"/>
    <w:rsid w:val="5E603F4A"/>
    <w:rsid w:val="5E677C9B"/>
    <w:rsid w:val="5E694E99"/>
    <w:rsid w:val="5E6E2DD8"/>
    <w:rsid w:val="5E7517F5"/>
    <w:rsid w:val="5E7D74BF"/>
    <w:rsid w:val="5E847FBB"/>
    <w:rsid w:val="5EBB70FD"/>
    <w:rsid w:val="5EC022AF"/>
    <w:rsid w:val="5EC73BE1"/>
    <w:rsid w:val="5ECB0376"/>
    <w:rsid w:val="5EDFF19F"/>
    <w:rsid w:val="5EE66E8C"/>
    <w:rsid w:val="5EF4B607"/>
    <w:rsid w:val="5EFD42DE"/>
    <w:rsid w:val="5EFF7ED4"/>
    <w:rsid w:val="5F0A68E2"/>
    <w:rsid w:val="5F15112E"/>
    <w:rsid w:val="5F1B2EC3"/>
    <w:rsid w:val="5F2269D4"/>
    <w:rsid w:val="5F2D2C93"/>
    <w:rsid w:val="5F381638"/>
    <w:rsid w:val="5F3F3C51"/>
    <w:rsid w:val="5F463D55"/>
    <w:rsid w:val="5F55079B"/>
    <w:rsid w:val="5F6179CE"/>
    <w:rsid w:val="5F630AD3"/>
    <w:rsid w:val="5F6441DB"/>
    <w:rsid w:val="5F75336D"/>
    <w:rsid w:val="5F7F1075"/>
    <w:rsid w:val="5F815049"/>
    <w:rsid w:val="5F88611B"/>
    <w:rsid w:val="5F920D48"/>
    <w:rsid w:val="5F93061C"/>
    <w:rsid w:val="5F9E0A07"/>
    <w:rsid w:val="5FA3ADA2"/>
    <w:rsid w:val="5FA87FBA"/>
    <w:rsid w:val="5FB158E8"/>
    <w:rsid w:val="5FBF2E6D"/>
    <w:rsid w:val="5FBF4FB5"/>
    <w:rsid w:val="5FD300A5"/>
    <w:rsid w:val="5FE5C3D3"/>
    <w:rsid w:val="5FEA8CED"/>
    <w:rsid w:val="5FEDE881"/>
    <w:rsid w:val="5FEE8390"/>
    <w:rsid w:val="5FEF94D9"/>
    <w:rsid w:val="5FF27A39"/>
    <w:rsid w:val="5FF612D7"/>
    <w:rsid w:val="5FF73264"/>
    <w:rsid w:val="5FF90066"/>
    <w:rsid w:val="5FFE7CAC"/>
    <w:rsid w:val="5FFEBC2A"/>
    <w:rsid w:val="5FFEFE36"/>
    <w:rsid w:val="600D3983"/>
    <w:rsid w:val="60326087"/>
    <w:rsid w:val="60365B77"/>
    <w:rsid w:val="604007A9"/>
    <w:rsid w:val="604440E1"/>
    <w:rsid w:val="60502BD3"/>
    <w:rsid w:val="6050755C"/>
    <w:rsid w:val="6065494A"/>
    <w:rsid w:val="607641C6"/>
    <w:rsid w:val="60901D19"/>
    <w:rsid w:val="609D1CF7"/>
    <w:rsid w:val="60B24C11"/>
    <w:rsid w:val="60B51F17"/>
    <w:rsid w:val="60DED471"/>
    <w:rsid w:val="60E6759D"/>
    <w:rsid w:val="60E94998"/>
    <w:rsid w:val="60EA14AD"/>
    <w:rsid w:val="60F872D1"/>
    <w:rsid w:val="611312F2"/>
    <w:rsid w:val="612F779C"/>
    <w:rsid w:val="61311029"/>
    <w:rsid w:val="61355E2F"/>
    <w:rsid w:val="61477FB3"/>
    <w:rsid w:val="61571097"/>
    <w:rsid w:val="615C160D"/>
    <w:rsid w:val="616D262E"/>
    <w:rsid w:val="6170330B"/>
    <w:rsid w:val="61764983"/>
    <w:rsid w:val="61860438"/>
    <w:rsid w:val="61860F27"/>
    <w:rsid w:val="61863C86"/>
    <w:rsid w:val="61AB38B6"/>
    <w:rsid w:val="61BA27D8"/>
    <w:rsid w:val="61BF394A"/>
    <w:rsid w:val="61CC4882"/>
    <w:rsid w:val="61D513C0"/>
    <w:rsid w:val="61E413D5"/>
    <w:rsid w:val="61EEB4C9"/>
    <w:rsid w:val="61FF74B0"/>
    <w:rsid w:val="620A5D28"/>
    <w:rsid w:val="620C3034"/>
    <w:rsid w:val="620D0B5A"/>
    <w:rsid w:val="62103CE8"/>
    <w:rsid w:val="622D2FAA"/>
    <w:rsid w:val="624C0FCA"/>
    <w:rsid w:val="624E6DAA"/>
    <w:rsid w:val="625B0834"/>
    <w:rsid w:val="625F98AB"/>
    <w:rsid w:val="626416A1"/>
    <w:rsid w:val="626C5880"/>
    <w:rsid w:val="627B3D15"/>
    <w:rsid w:val="62871BBC"/>
    <w:rsid w:val="62906F0B"/>
    <w:rsid w:val="629E2444"/>
    <w:rsid w:val="62A61B9D"/>
    <w:rsid w:val="62D64D9C"/>
    <w:rsid w:val="62F30C40"/>
    <w:rsid w:val="62FB40A7"/>
    <w:rsid w:val="62FD1D35"/>
    <w:rsid w:val="63051831"/>
    <w:rsid w:val="6309230E"/>
    <w:rsid w:val="631D552C"/>
    <w:rsid w:val="631D6B7A"/>
    <w:rsid w:val="632236DB"/>
    <w:rsid w:val="635825F9"/>
    <w:rsid w:val="63617019"/>
    <w:rsid w:val="63626C83"/>
    <w:rsid w:val="63683893"/>
    <w:rsid w:val="637E9E87"/>
    <w:rsid w:val="637FB339"/>
    <w:rsid w:val="638C5AAE"/>
    <w:rsid w:val="63937E51"/>
    <w:rsid w:val="63BB2FBB"/>
    <w:rsid w:val="63D35EF7"/>
    <w:rsid w:val="63D915D6"/>
    <w:rsid w:val="63DE6647"/>
    <w:rsid w:val="63E01AA6"/>
    <w:rsid w:val="63E96778"/>
    <w:rsid w:val="63F21DB5"/>
    <w:rsid w:val="63F27B94"/>
    <w:rsid w:val="63FC2EDF"/>
    <w:rsid w:val="63FD7A0F"/>
    <w:rsid w:val="6406072C"/>
    <w:rsid w:val="64076927"/>
    <w:rsid w:val="64095351"/>
    <w:rsid w:val="640D1F14"/>
    <w:rsid w:val="64104931"/>
    <w:rsid w:val="641B0A80"/>
    <w:rsid w:val="641C5084"/>
    <w:rsid w:val="641F7C7A"/>
    <w:rsid w:val="644B6D24"/>
    <w:rsid w:val="64540CC2"/>
    <w:rsid w:val="646D3B32"/>
    <w:rsid w:val="64714CC7"/>
    <w:rsid w:val="647E09B2"/>
    <w:rsid w:val="648F3AA8"/>
    <w:rsid w:val="64941112"/>
    <w:rsid w:val="64A9769A"/>
    <w:rsid w:val="64C25C2B"/>
    <w:rsid w:val="64C71494"/>
    <w:rsid w:val="64CB7E9D"/>
    <w:rsid w:val="64CE5E75"/>
    <w:rsid w:val="64D644C9"/>
    <w:rsid w:val="64DB7FED"/>
    <w:rsid w:val="64E50DCA"/>
    <w:rsid w:val="64ED07CF"/>
    <w:rsid w:val="64F8BF61"/>
    <w:rsid w:val="64FFF2BB"/>
    <w:rsid w:val="65026A60"/>
    <w:rsid w:val="65132DE1"/>
    <w:rsid w:val="651915C4"/>
    <w:rsid w:val="652502A7"/>
    <w:rsid w:val="654241FB"/>
    <w:rsid w:val="65452F09"/>
    <w:rsid w:val="65493C57"/>
    <w:rsid w:val="654FF959"/>
    <w:rsid w:val="65755673"/>
    <w:rsid w:val="657D5FF6"/>
    <w:rsid w:val="658161C6"/>
    <w:rsid w:val="65826D65"/>
    <w:rsid w:val="65AB1E52"/>
    <w:rsid w:val="65B14C1E"/>
    <w:rsid w:val="65E0701F"/>
    <w:rsid w:val="65E8002C"/>
    <w:rsid w:val="65ED0C3E"/>
    <w:rsid w:val="65F64B98"/>
    <w:rsid w:val="65FC6F1B"/>
    <w:rsid w:val="65FF0991"/>
    <w:rsid w:val="66065FEC"/>
    <w:rsid w:val="660A2938"/>
    <w:rsid w:val="660B715E"/>
    <w:rsid w:val="660D1128"/>
    <w:rsid w:val="66135D17"/>
    <w:rsid w:val="662326FA"/>
    <w:rsid w:val="66385FA9"/>
    <w:rsid w:val="66410DD2"/>
    <w:rsid w:val="664D3161"/>
    <w:rsid w:val="665F45AA"/>
    <w:rsid w:val="66617445"/>
    <w:rsid w:val="667A6041"/>
    <w:rsid w:val="66923896"/>
    <w:rsid w:val="669DE087"/>
    <w:rsid w:val="66A86CEB"/>
    <w:rsid w:val="66AA3E90"/>
    <w:rsid w:val="66D9725C"/>
    <w:rsid w:val="66E0694F"/>
    <w:rsid w:val="66FB5425"/>
    <w:rsid w:val="66FD3B89"/>
    <w:rsid w:val="670D12A7"/>
    <w:rsid w:val="671F77DF"/>
    <w:rsid w:val="67334135"/>
    <w:rsid w:val="67381624"/>
    <w:rsid w:val="673A309E"/>
    <w:rsid w:val="67433648"/>
    <w:rsid w:val="675B6646"/>
    <w:rsid w:val="676E1C9E"/>
    <w:rsid w:val="6787046D"/>
    <w:rsid w:val="679D1739"/>
    <w:rsid w:val="679D472E"/>
    <w:rsid w:val="67A10F57"/>
    <w:rsid w:val="67B3016B"/>
    <w:rsid w:val="67E22141"/>
    <w:rsid w:val="67E759A9"/>
    <w:rsid w:val="67FE4FA6"/>
    <w:rsid w:val="67FF8D8A"/>
    <w:rsid w:val="68012F0F"/>
    <w:rsid w:val="68076E0B"/>
    <w:rsid w:val="6809456D"/>
    <w:rsid w:val="681933D4"/>
    <w:rsid w:val="681B2273"/>
    <w:rsid w:val="681F7699"/>
    <w:rsid w:val="682677EC"/>
    <w:rsid w:val="68330A3C"/>
    <w:rsid w:val="683823FF"/>
    <w:rsid w:val="68420E31"/>
    <w:rsid w:val="68476448"/>
    <w:rsid w:val="684E534B"/>
    <w:rsid w:val="6856339D"/>
    <w:rsid w:val="6859366D"/>
    <w:rsid w:val="686B4918"/>
    <w:rsid w:val="689736B2"/>
    <w:rsid w:val="68A015FA"/>
    <w:rsid w:val="68AB3249"/>
    <w:rsid w:val="68B45125"/>
    <w:rsid w:val="68BD0C84"/>
    <w:rsid w:val="68C52DF7"/>
    <w:rsid w:val="68CE26A6"/>
    <w:rsid w:val="68E51608"/>
    <w:rsid w:val="68EE67FD"/>
    <w:rsid w:val="68F16ADF"/>
    <w:rsid w:val="68F36A2E"/>
    <w:rsid w:val="68FA3AE9"/>
    <w:rsid w:val="68FD36D6"/>
    <w:rsid w:val="68FD73A5"/>
    <w:rsid w:val="690C3919"/>
    <w:rsid w:val="691050A2"/>
    <w:rsid w:val="69106B36"/>
    <w:rsid w:val="69342E70"/>
    <w:rsid w:val="694A4AFE"/>
    <w:rsid w:val="6962178B"/>
    <w:rsid w:val="696F307A"/>
    <w:rsid w:val="697C7DB1"/>
    <w:rsid w:val="697D6907"/>
    <w:rsid w:val="699F3445"/>
    <w:rsid w:val="69A04061"/>
    <w:rsid w:val="69B558FE"/>
    <w:rsid w:val="69C57D51"/>
    <w:rsid w:val="69C77840"/>
    <w:rsid w:val="69CB37D4"/>
    <w:rsid w:val="69CF0275"/>
    <w:rsid w:val="69CF5AC0"/>
    <w:rsid w:val="69D733DB"/>
    <w:rsid w:val="69DA57C5"/>
    <w:rsid w:val="69ED596F"/>
    <w:rsid w:val="69FD3262"/>
    <w:rsid w:val="6A052428"/>
    <w:rsid w:val="6A1251EA"/>
    <w:rsid w:val="6A265A8D"/>
    <w:rsid w:val="6A2F2B8E"/>
    <w:rsid w:val="6A481A52"/>
    <w:rsid w:val="6A7554EE"/>
    <w:rsid w:val="6A876FCF"/>
    <w:rsid w:val="6A8E3A9A"/>
    <w:rsid w:val="6A965EDC"/>
    <w:rsid w:val="6A9D3B1B"/>
    <w:rsid w:val="6AB455E5"/>
    <w:rsid w:val="6AC45ED6"/>
    <w:rsid w:val="6AC54A3B"/>
    <w:rsid w:val="6AD0778C"/>
    <w:rsid w:val="6AF705F9"/>
    <w:rsid w:val="6B170353"/>
    <w:rsid w:val="6B1B4485"/>
    <w:rsid w:val="6B282560"/>
    <w:rsid w:val="6B332745"/>
    <w:rsid w:val="6B511AB7"/>
    <w:rsid w:val="6B581FC0"/>
    <w:rsid w:val="6B665430"/>
    <w:rsid w:val="6B765F3D"/>
    <w:rsid w:val="6B9255B9"/>
    <w:rsid w:val="6B9C5394"/>
    <w:rsid w:val="6BA0659B"/>
    <w:rsid w:val="6BA954BC"/>
    <w:rsid w:val="6BC04DC3"/>
    <w:rsid w:val="6BDF76A3"/>
    <w:rsid w:val="6BF62E67"/>
    <w:rsid w:val="6BFD39ED"/>
    <w:rsid w:val="6C036C1C"/>
    <w:rsid w:val="6C2C7E2E"/>
    <w:rsid w:val="6C4038DA"/>
    <w:rsid w:val="6C4A2CA5"/>
    <w:rsid w:val="6C8A25E3"/>
    <w:rsid w:val="6C967E43"/>
    <w:rsid w:val="6CA81329"/>
    <w:rsid w:val="6CAD5413"/>
    <w:rsid w:val="6CB35FBD"/>
    <w:rsid w:val="6CB723C8"/>
    <w:rsid w:val="6CC3168B"/>
    <w:rsid w:val="6CC938CF"/>
    <w:rsid w:val="6CF13C81"/>
    <w:rsid w:val="6CF43A8C"/>
    <w:rsid w:val="6D0B3EE8"/>
    <w:rsid w:val="6D1365CE"/>
    <w:rsid w:val="6D301BA0"/>
    <w:rsid w:val="6D505D9E"/>
    <w:rsid w:val="6D532F3D"/>
    <w:rsid w:val="6D6543A3"/>
    <w:rsid w:val="6D6C2303"/>
    <w:rsid w:val="6D7136ED"/>
    <w:rsid w:val="6D7828DE"/>
    <w:rsid w:val="6D7B3756"/>
    <w:rsid w:val="6D8223FC"/>
    <w:rsid w:val="6D89623E"/>
    <w:rsid w:val="6DA0680D"/>
    <w:rsid w:val="6DA85BDA"/>
    <w:rsid w:val="6DAF6F69"/>
    <w:rsid w:val="6DB30807"/>
    <w:rsid w:val="6DB63E53"/>
    <w:rsid w:val="6DC60BF4"/>
    <w:rsid w:val="6DD00F54"/>
    <w:rsid w:val="6DD864C0"/>
    <w:rsid w:val="6DDB5FB0"/>
    <w:rsid w:val="6DF31461"/>
    <w:rsid w:val="6DFDDDA3"/>
    <w:rsid w:val="6E0A419F"/>
    <w:rsid w:val="6E1F5E9D"/>
    <w:rsid w:val="6E3523CA"/>
    <w:rsid w:val="6E4B4CE0"/>
    <w:rsid w:val="6E5B49FB"/>
    <w:rsid w:val="6E7C30DA"/>
    <w:rsid w:val="6E863529"/>
    <w:rsid w:val="6EA70224"/>
    <w:rsid w:val="6EB02DED"/>
    <w:rsid w:val="6EB26D11"/>
    <w:rsid w:val="6EB60E44"/>
    <w:rsid w:val="6EB75CDA"/>
    <w:rsid w:val="6EB7624D"/>
    <w:rsid w:val="6ECE6394"/>
    <w:rsid w:val="6ED175BF"/>
    <w:rsid w:val="6EDA6267"/>
    <w:rsid w:val="6EDD3662"/>
    <w:rsid w:val="6EE01868"/>
    <w:rsid w:val="6EED7D49"/>
    <w:rsid w:val="6EF015E7"/>
    <w:rsid w:val="6EF16B28"/>
    <w:rsid w:val="6F011A46"/>
    <w:rsid w:val="6F033616"/>
    <w:rsid w:val="6F103C92"/>
    <w:rsid w:val="6F121370"/>
    <w:rsid w:val="6F19454B"/>
    <w:rsid w:val="6F282B2F"/>
    <w:rsid w:val="6F323220"/>
    <w:rsid w:val="6F370FC4"/>
    <w:rsid w:val="6F385BB4"/>
    <w:rsid w:val="6F3C2A7E"/>
    <w:rsid w:val="6F3F804F"/>
    <w:rsid w:val="6F4831D1"/>
    <w:rsid w:val="6F4D6995"/>
    <w:rsid w:val="6F5A097E"/>
    <w:rsid w:val="6F5C2E44"/>
    <w:rsid w:val="6F8B00D3"/>
    <w:rsid w:val="6F8FB508"/>
    <w:rsid w:val="6F912BF4"/>
    <w:rsid w:val="6F9FCBE6"/>
    <w:rsid w:val="6FA83C3C"/>
    <w:rsid w:val="6FBF036F"/>
    <w:rsid w:val="6FBF3E57"/>
    <w:rsid w:val="6FC055B0"/>
    <w:rsid w:val="6FC34F87"/>
    <w:rsid w:val="6FC42866"/>
    <w:rsid w:val="6FC5288E"/>
    <w:rsid w:val="6FCC61B3"/>
    <w:rsid w:val="6FCF4CB4"/>
    <w:rsid w:val="6FD78633"/>
    <w:rsid w:val="6FE51D51"/>
    <w:rsid w:val="6FE9708A"/>
    <w:rsid w:val="6FF6DB9C"/>
    <w:rsid w:val="6FF715CA"/>
    <w:rsid w:val="6FFA40EB"/>
    <w:rsid w:val="6FFA7E9E"/>
    <w:rsid w:val="700370F8"/>
    <w:rsid w:val="70077DE7"/>
    <w:rsid w:val="700E4B1F"/>
    <w:rsid w:val="70174B59"/>
    <w:rsid w:val="701D01BA"/>
    <w:rsid w:val="70392C76"/>
    <w:rsid w:val="70482D8C"/>
    <w:rsid w:val="70495453"/>
    <w:rsid w:val="704D6C18"/>
    <w:rsid w:val="70545BA6"/>
    <w:rsid w:val="705C1573"/>
    <w:rsid w:val="706D2FC7"/>
    <w:rsid w:val="706D67CB"/>
    <w:rsid w:val="707935D4"/>
    <w:rsid w:val="707B3132"/>
    <w:rsid w:val="708811A7"/>
    <w:rsid w:val="708E072B"/>
    <w:rsid w:val="709D7FBB"/>
    <w:rsid w:val="70AF4CE1"/>
    <w:rsid w:val="70C16C70"/>
    <w:rsid w:val="70C20D61"/>
    <w:rsid w:val="70D07E75"/>
    <w:rsid w:val="70D81058"/>
    <w:rsid w:val="70DA254F"/>
    <w:rsid w:val="70E84879"/>
    <w:rsid w:val="70F5124E"/>
    <w:rsid w:val="70FC0717"/>
    <w:rsid w:val="70FC40BF"/>
    <w:rsid w:val="7100681A"/>
    <w:rsid w:val="71045389"/>
    <w:rsid w:val="711E068D"/>
    <w:rsid w:val="71235070"/>
    <w:rsid w:val="7128150C"/>
    <w:rsid w:val="712A09CD"/>
    <w:rsid w:val="712C2E5F"/>
    <w:rsid w:val="712D1774"/>
    <w:rsid w:val="71515E5E"/>
    <w:rsid w:val="715C7408"/>
    <w:rsid w:val="715E6CDC"/>
    <w:rsid w:val="716027CE"/>
    <w:rsid w:val="717903DD"/>
    <w:rsid w:val="71866DE5"/>
    <w:rsid w:val="718BDE91"/>
    <w:rsid w:val="71AB66E5"/>
    <w:rsid w:val="71D50BB1"/>
    <w:rsid w:val="71DE4C64"/>
    <w:rsid w:val="71FE36C1"/>
    <w:rsid w:val="72072F9F"/>
    <w:rsid w:val="72200435"/>
    <w:rsid w:val="72253C9E"/>
    <w:rsid w:val="723B0DCB"/>
    <w:rsid w:val="7243A0FF"/>
    <w:rsid w:val="72490FAE"/>
    <w:rsid w:val="724C2BD8"/>
    <w:rsid w:val="724F0E1B"/>
    <w:rsid w:val="72747593"/>
    <w:rsid w:val="727603A8"/>
    <w:rsid w:val="72787C55"/>
    <w:rsid w:val="727C2970"/>
    <w:rsid w:val="727D5888"/>
    <w:rsid w:val="728269FA"/>
    <w:rsid w:val="729E1103"/>
    <w:rsid w:val="72AC0256"/>
    <w:rsid w:val="72D7A9A2"/>
    <w:rsid w:val="72E472D2"/>
    <w:rsid w:val="72EC4180"/>
    <w:rsid w:val="72F42C94"/>
    <w:rsid w:val="73011310"/>
    <w:rsid w:val="731A30D6"/>
    <w:rsid w:val="73221FD0"/>
    <w:rsid w:val="73246F2C"/>
    <w:rsid w:val="733E5B7F"/>
    <w:rsid w:val="734C1439"/>
    <w:rsid w:val="734DD149"/>
    <w:rsid w:val="734E3FF8"/>
    <w:rsid w:val="735C0139"/>
    <w:rsid w:val="736A4BC5"/>
    <w:rsid w:val="737722D7"/>
    <w:rsid w:val="737C5B79"/>
    <w:rsid w:val="739A2334"/>
    <w:rsid w:val="739F0583"/>
    <w:rsid w:val="73A32535"/>
    <w:rsid w:val="73B96B1E"/>
    <w:rsid w:val="73C117A4"/>
    <w:rsid w:val="73C6500C"/>
    <w:rsid w:val="73D6D34D"/>
    <w:rsid w:val="73E753A0"/>
    <w:rsid w:val="73E92E4C"/>
    <w:rsid w:val="73EB3C03"/>
    <w:rsid w:val="73ED7084"/>
    <w:rsid w:val="73F25E01"/>
    <w:rsid w:val="740D2C3B"/>
    <w:rsid w:val="742064CB"/>
    <w:rsid w:val="74410803"/>
    <w:rsid w:val="74425539"/>
    <w:rsid w:val="744EC8A2"/>
    <w:rsid w:val="74575C64"/>
    <w:rsid w:val="746B6D2B"/>
    <w:rsid w:val="74884070"/>
    <w:rsid w:val="74950C28"/>
    <w:rsid w:val="74B11803"/>
    <w:rsid w:val="74B86703"/>
    <w:rsid w:val="74BFA3A5"/>
    <w:rsid w:val="74C4779E"/>
    <w:rsid w:val="74CE4179"/>
    <w:rsid w:val="74D86FD2"/>
    <w:rsid w:val="74EC0AA3"/>
    <w:rsid w:val="74F71921"/>
    <w:rsid w:val="7506715F"/>
    <w:rsid w:val="75087C2A"/>
    <w:rsid w:val="7517322A"/>
    <w:rsid w:val="751A73BE"/>
    <w:rsid w:val="75263FB5"/>
    <w:rsid w:val="752C4421"/>
    <w:rsid w:val="75330480"/>
    <w:rsid w:val="75444159"/>
    <w:rsid w:val="755421F2"/>
    <w:rsid w:val="755A3C5E"/>
    <w:rsid w:val="7564794F"/>
    <w:rsid w:val="756D5080"/>
    <w:rsid w:val="75721269"/>
    <w:rsid w:val="75771360"/>
    <w:rsid w:val="757B76FF"/>
    <w:rsid w:val="757C3BD5"/>
    <w:rsid w:val="757E4F46"/>
    <w:rsid w:val="758D193E"/>
    <w:rsid w:val="758FC4EA"/>
    <w:rsid w:val="75996298"/>
    <w:rsid w:val="75B467ED"/>
    <w:rsid w:val="75B66448"/>
    <w:rsid w:val="75B94E29"/>
    <w:rsid w:val="75BE5B4D"/>
    <w:rsid w:val="75CB6C0F"/>
    <w:rsid w:val="75CE5C20"/>
    <w:rsid w:val="75D02172"/>
    <w:rsid w:val="75D73501"/>
    <w:rsid w:val="75E476ED"/>
    <w:rsid w:val="75E874BC"/>
    <w:rsid w:val="75FE1FCC"/>
    <w:rsid w:val="75FF9E66"/>
    <w:rsid w:val="76000A93"/>
    <w:rsid w:val="76002828"/>
    <w:rsid w:val="7601057E"/>
    <w:rsid w:val="760A5684"/>
    <w:rsid w:val="76204CED"/>
    <w:rsid w:val="762635E5"/>
    <w:rsid w:val="763174AC"/>
    <w:rsid w:val="7634691F"/>
    <w:rsid w:val="763FB2C9"/>
    <w:rsid w:val="764710EF"/>
    <w:rsid w:val="76484006"/>
    <w:rsid w:val="764E6EF1"/>
    <w:rsid w:val="76577867"/>
    <w:rsid w:val="765863F0"/>
    <w:rsid w:val="766313E3"/>
    <w:rsid w:val="766D0E12"/>
    <w:rsid w:val="76766876"/>
    <w:rsid w:val="7677540F"/>
    <w:rsid w:val="767B01A0"/>
    <w:rsid w:val="767D7C04"/>
    <w:rsid w:val="767F5776"/>
    <w:rsid w:val="768D1F11"/>
    <w:rsid w:val="768E5E12"/>
    <w:rsid w:val="769D2054"/>
    <w:rsid w:val="76AD7DBE"/>
    <w:rsid w:val="76BF3183"/>
    <w:rsid w:val="76C012AD"/>
    <w:rsid w:val="76CEA805"/>
    <w:rsid w:val="76DF7E37"/>
    <w:rsid w:val="76F01FA7"/>
    <w:rsid w:val="77020109"/>
    <w:rsid w:val="770E2F52"/>
    <w:rsid w:val="7715608F"/>
    <w:rsid w:val="772207AC"/>
    <w:rsid w:val="77266551"/>
    <w:rsid w:val="77291B3A"/>
    <w:rsid w:val="77295015"/>
    <w:rsid w:val="772EFA4C"/>
    <w:rsid w:val="77353AF5"/>
    <w:rsid w:val="77712277"/>
    <w:rsid w:val="7780311D"/>
    <w:rsid w:val="77822FF8"/>
    <w:rsid w:val="779FC0BD"/>
    <w:rsid w:val="77BBC546"/>
    <w:rsid w:val="77BF6295"/>
    <w:rsid w:val="77BF7D20"/>
    <w:rsid w:val="77C43611"/>
    <w:rsid w:val="77D00208"/>
    <w:rsid w:val="77D01BBD"/>
    <w:rsid w:val="77DDCDDD"/>
    <w:rsid w:val="77E11694"/>
    <w:rsid w:val="77E51F05"/>
    <w:rsid w:val="77ED4D55"/>
    <w:rsid w:val="77EFC4CD"/>
    <w:rsid w:val="77F02658"/>
    <w:rsid w:val="77F11972"/>
    <w:rsid w:val="77F73E41"/>
    <w:rsid w:val="77FE1B11"/>
    <w:rsid w:val="77FF6398"/>
    <w:rsid w:val="77FFBD9F"/>
    <w:rsid w:val="77FFD7F5"/>
    <w:rsid w:val="78113C9B"/>
    <w:rsid w:val="781567D1"/>
    <w:rsid w:val="781A76D5"/>
    <w:rsid w:val="781C169F"/>
    <w:rsid w:val="78211626"/>
    <w:rsid w:val="78232A2D"/>
    <w:rsid w:val="78283BA0"/>
    <w:rsid w:val="78327A5B"/>
    <w:rsid w:val="7834760B"/>
    <w:rsid w:val="784F6DCD"/>
    <w:rsid w:val="7857203E"/>
    <w:rsid w:val="78644CBC"/>
    <w:rsid w:val="787763A8"/>
    <w:rsid w:val="78857244"/>
    <w:rsid w:val="78866DAF"/>
    <w:rsid w:val="788D434B"/>
    <w:rsid w:val="78997532"/>
    <w:rsid w:val="78A32EF1"/>
    <w:rsid w:val="78A4423B"/>
    <w:rsid w:val="78B96EEE"/>
    <w:rsid w:val="78C80EDF"/>
    <w:rsid w:val="78CF1B97"/>
    <w:rsid w:val="78D92E3A"/>
    <w:rsid w:val="78F45A6B"/>
    <w:rsid w:val="78FB9579"/>
    <w:rsid w:val="78FC6E20"/>
    <w:rsid w:val="790243F1"/>
    <w:rsid w:val="79076F1F"/>
    <w:rsid w:val="790C0D17"/>
    <w:rsid w:val="79154E31"/>
    <w:rsid w:val="792151BF"/>
    <w:rsid w:val="79265C8D"/>
    <w:rsid w:val="792A5615"/>
    <w:rsid w:val="7933494E"/>
    <w:rsid w:val="79770458"/>
    <w:rsid w:val="797F3B0C"/>
    <w:rsid w:val="798E037A"/>
    <w:rsid w:val="798E50CC"/>
    <w:rsid w:val="799223F4"/>
    <w:rsid w:val="79AA1C9E"/>
    <w:rsid w:val="79AFE7B5"/>
    <w:rsid w:val="79B92AA7"/>
    <w:rsid w:val="79C124FE"/>
    <w:rsid w:val="79C71AE7"/>
    <w:rsid w:val="79D76890"/>
    <w:rsid w:val="79DB474D"/>
    <w:rsid w:val="79E306C6"/>
    <w:rsid w:val="79EB757B"/>
    <w:rsid w:val="79F0693F"/>
    <w:rsid w:val="79F7672B"/>
    <w:rsid w:val="79FE8EAE"/>
    <w:rsid w:val="7A0D599F"/>
    <w:rsid w:val="7A117E6C"/>
    <w:rsid w:val="7A1602A1"/>
    <w:rsid w:val="7A2605B3"/>
    <w:rsid w:val="7A26257B"/>
    <w:rsid w:val="7A3129DF"/>
    <w:rsid w:val="7A3B69BB"/>
    <w:rsid w:val="7A3C091C"/>
    <w:rsid w:val="7A3C4545"/>
    <w:rsid w:val="7A4161F9"/>
    <w:rsid w:val="7A594599"/>
    <w:rsid w:val="7A66004B"/>
    <w:rsid w:val="7A6B9D36"/>
    <w:rsid w:val="7A9814B1"/>
    <w:rsid w:val="7A9D6AC7"/>
    <w:rsid w:val="7AB4366F"/>
    <w:rsid w:val="7AB4401E"/>
    <w:rsid w:val="7AB85A7B"/>
    <w:rsid w:val="7AB94F83"/>
    <w:rsid w:val="7ACA0554"/>
    <w:rsid w:val="7AD35472"/>
    <w:rsid w:val="7AD74FC0"/>
    <w:rsid w:val="7ADA4687"/>
    <w:rsid w:val="7AE2361D"/>
    <w:rsid w:val="7AF50EA1"/>
    <w:rsid w:val="7AFA1B12"/>
    <w:rsid w:val="7AFB0585"/>
    <w:rsid w:val="7B0D52CF"/>
    <w:rsid w:val="7B0E29B1"/>
    <w:rsid w:val="7B17584D"/>
    <w:rsid w:val="7B200B1A"/>
    <w:rsid w:val="7B242D44"/>
    <w:rsid w:val="7B2E97DC"/>
    <w:rsid w:val="7B3565BE"/>
    <w:rsid w:val="7B3B0F54"/>
    <w:rsid w:val="7B3F5C18"/>
    <w:rsid w:val="7B580C40"/>
    <w:rsid w:val="7B5B0730"/>
    <w:rsid w:val="7B5F1FCE"/>
    <w:rsid w:val="7B627AE5"/>
    <w:rsid w:val="7B679271"/>
    <w:rsid w:val="7B6F4385"/>
    <w:rsid w:val="7B771C02"/>
    <w:rsid w:val="7B7B186A"/>
    <w:rsid w:val="7B7D1F13"/>
    <w:rsid w:val="7B991390"/>
    <w:rsid w:val="7B9D681A"/>
    <w:rsid w:val="7B9F686F"/>
    <w:rsid w:val="7BA9270C"/>
    <w:rsid w:val="7BB73BB8"/>
    <w:rsid w:val="7BBB4D2B"/>
    <w:rsid w:val="7BCB233B"/>
    <w:rsid w:val="7BCE166E"/>
    <w:rsid w:val="7BD32D90"/>
    <w:rsid w:val="7BD770A2"/>
    <w:rsid w:val="7BD77B86"/>
    <w:rsid w:val="7BF75C85"/>
    <w:rsid w:val="7BF773FF"/>
    <w:rsid w:val="7BFADAA1"/>
    <w:rsid w:val="7BFB01F7"/>
    <w:rsid w:val="7BFD2CED"/>
    <w:rsid w:val="7BFEC560"/>
    <w:rsid w:val="7BFF4F32"/>
    <w:rsid w:val="7BFF8031"/>
    <w:rsid w:val="7BFF98ED"/>
    <w:rsid w:val="7BFFF848"/>
    <w:rsid w:val="7C093CE8"/>
    <w:rsid w:val="7C3A2CC2"/>
    <w:rsid w:val="7C3A6597"/>
    <w:rsid w:val="7C3F6D06"/>
    <w:rsid w:val="7C404C57"/>
    <w:rsid w:val="7C4116D4"/>
    <w:rsid w:val="7C503207"/>
    <w:rsid w:val="7C556F2D"/>
    <w:rsid w:val="7C5C1CB7"/>
    <w:rsid w:val="7C665B94"/>
    <w:rsid w:val="7C69FFCF"/>
    <w:rsid w:val="7C790E6E"/>
    <w:rsid w:val="7C7C44BA"/>
    <w:rsid w:val="7C91492E"/>
    <w:rsid w:val="7C9D2DDB"/>
    <w:rsid w:val="7CBC67F5"/>
    <w:rsid w:val="7CCA707C"/>
    <w:rsid w:val="7CCD4D16"/>
    <w:rsid w:val="7CD23007"/>
    <w:rsid w:val="7CD51E1C"/>
    <w:rsid w:val="7CDD45F1"/>
    <w:rsid w:val="7CDD572E"/>
    <w:rsid w:val="7CDE1E32"/>
    <w:rsid w:val="7CDFAF91"/>
    <w:rsid w:val="7CED3261"/>
    <w:rsid w:val="7CEEFBB1"/>
    <w:rsid w:val="7CF2384B"/>
    <w:rsid w:val="7CFDA37A"/>
    <w:rsid w:val="7D012C11"/>
    <w:rsid w:val="7D2237E9"/>
    <w:rsid w:val="7D256900"/>
    <w:rsid w:val="7D35B09F"/>
    <w:rsid w:val="7D361386"/>
    <w:rsid w:val="7D3B25C7"/>
    <w:rsid w:val="7D3D1E9B"/>
    <w:rsid w:val="7D4A45B8"/>
    <w:rsid w:val="7D513B99"/>
    <w:rsid w:val="7D5D77BB"/>
    <w:rsid w:val="7D603DDC"/>
    <w:rsid w:val="7D625DA6"/>
    <w:rsid w:val="7D6AF583"/>
    <w:rsid w:val="7D6E7260"/>
    <w:rsid w:val="7D80342D"/>
    <w:rsid w:val="7D927F19"/>
    <w:rsid w:val="7D9D6EC5"/>
    <w:rsid w:val="7DB56E6A"/>
    <w:rsid w:val="7DBA55FF"/>
    <w:rsid w:val="7DBB3E4E"/>
    <w:rsid w:val="7DC709A5"/>
    <w:rsid w:val="7DCE76CA"/>
    <w:rsid w:val="7DD51D9D"/>
    <w:rsid w:val="7DD740AC"/>
    <w:rsid w:val="7DDC7906"/>
    <w:rsid w:val="7DEC20B1"/>
    <w:rsid w:val="7DEFD6F8"/>
    <w:rsid w:val="7DFD9249"/>
    <w:rsid w:val="7DFD928B"/>
    <w:rsid w:val="7DFEDEA6"/>
    <w:rsid w:val="7DFFC1A9"/>
    <w:rsid w:val="7DFFCDB5"/>
    <w:rsid w:val="7DFFD529"/>
    <w:rsid w:val="7E1D3F2F"/>
    <w:rsid w:val="7E360F66"/>
    <w:rsid w:val="7E3B81A5"/>
    <w:rsid w:val="7E3C05B4"/>
    <w:rsid w:val="7E4B6453"/>
    <w:rsid w:val="7E623D46"/>
    <w:rsid w:val="7E6A24C6"/>
    <w:rsid w:val="7E73799A"/>
    <w:rsid w:val="7E77B23E"/>
    <w:rsid w:val="7E7F9DEF"/>
    <w:rsid w:val="7E9755DB"/>
    <w:rsid w:val="7E9877D0"/>
    <w:rsid w:val="7EA45F4A"/>
    <w:rsid w:val="7EA61CC2"/>
    <w:rsid w:val="7EA83C8C"/>
    <w:rsid w:val="7EBEDD44"/>
    <w:rsid w:val="7EC4FB92"/>
    <w:rsid w:val="7ECFFB35"/>
    <w:rsid w:val="7ED2491C"/>
    <w:rsid w:val="7ED945B4"/>
    <w:rsid w:val="7EDFA010"/>
    <w:rsid w:val="7EE94B95"/>
    <w:rsid w:val="7EED071E"/>
    <w:rsid w:val="7EED7749"/>
    <w:rsid w:val="7EEDD06D"/>
    <w:rsid w:val="7EF7441D"/>
    <w:rsid w:val="7EFFDD26"/>
    <w:rsid w:val="7F043992"/>
    <w:rsid w:val="7F196938"/>
    <w:rsid w:val="7F2F31D3"/>
    <w:rsid w:val="7F2F3A66"/>
    <w:rsid w:val="7F480F67"/>
    <w:rsid w:val="7F5B5141"/>
    <w:rsid w:val="7F5DA494"/>
    <w:rsid w:val="7F5DC685"/>
    <w:rsid w:val="7F5E434B"/>
    <w:rsid w:val="7F6000C3"/>
    <w:rsid w:val="7F67AC7A"/>
    <w:rsid w:val="7F6E5620"/>
    <w:rsid w:val="7F6EF85E"/>
    <w:rsid w:val="7F737DF6"/>
    <w:rsid w:val="7F797C56"/>
    <w:rsid w:val="7F7E213E"/>
    <w:rsid w:val="7F7EE058"/>
    <w:rsid w:val="7F7F2E99"/>
    <w:rsid w:val="7F7FFFC4"/>
    <w:rsid w:val="7F963EA4"/>
    <w:rsid w:val="7F98C4B9"/>
    <w:rsid w:val="7F994527"/>
    <w:rsid w:val="7F9976FC"/>
    <w:rsid w:val="7F9FEB7D"/>
    <w:rsid w:val="7FA4A79C"/>
    <w:rsid w:val="7FA77AA0"/>
    <w:rsid w:val="7FB3155E"/>
    <w:rsid w:val="7FB32B71"/>
    <w:rsid w:val="7FB34697"/>
    <w:rsid w:val="7FB79DC8"/>
    <w:rsid w:val="7FB7F92B"/>
    <w:rsid w:val="7FBA6FB5"/>
    <w:rsid w:val="7FBC94DC"/>
    <w:rsid w:val="7FBD1473"/>
    <w:rsid w:val="7FBEFA70"/>
    <w:rsid w:val="7FBF06C0"/>
    <w:rsid w:val="7FC30260"/>
    <w:rsid w:val="7FC44AF6"/>
    <w:rsid w:val="7FCB0E53"/>
    <w:rsid w:val="7FCDACE4"/>
    <w:rsid w:val="7FCEEC2E"/>
    <w:rsid w:val="7FD6A551"/>
    <w:rsid w:val="7FDD34C2"/>
    <w:rsid w:val="7FE3A6DF"/>
    <w:rsid w:val="7FE500F3"/>
    <w:rsid w:val="7FE50BA1"/>
    <w:rsid w:val="7FECF32C"/>
    <w:rsid w:val="7FEF289C"/>
    <w:rsid w:val="7FEFE339"/>
    <w:rsid w:val="7FF35B3E"/>
    <w:rsid w:val="7FF7184C"/>
    <w:rsid w:val="7FFC9B27"/>
    <w:rsid w:val="7FFE72EE"/>
    <w:rsid w:val="7FFE82DD"/>
    <w:rsid w:val="7FFEC767"/>
    <w:rsid w:val="7FFEF742"/>
    <w:rsid w:val="7FFF5F6D"/>
    <w:rsid w:val="7FFF888D"/>
    <w:rsid w:val="7FFF9F27"/>
    <w:rsid w:val="7FFFA63C"/>
    <w:rsid w:val="7FFFB49D"/>
    <w:rsid w:val="82AF17C8"/>
    <w:rsid w:val="86EEC045"/>
    <w:rsid w:val="8BD32920"/>
    <w:rsid w:val="8FCCF52E"/>
    <w:rsid w:val="8FCEB477"/>
    <w:rsid w:val="8FF765BD"/>
    <w:rsid w:val="977E96DA"/>
    <w:rsid w:val="97B70755"/>
    <w:rsid w:val="97F2A946"/>
    <w:rsid w:val="993A5B70"/>
    <w:rsid w:val="9A7D5D54"/>
    <w:rsid w:val="9BFB3DB5"/>
    <w:rsid w:val="9C9F443D"/>
    <w:rsid w:val="9EFF9EE8"/>
    <w:rsid w:val="9F73968E"/>
    <w:rsid w:val="9F957419"/>
    <w:rsid w:val="9FED2F3B"/>
    <w:rsid w:val="9FEE87A9"/>
    <w:rsid w:val="9FFA855F"/>
    <w:rsid w:val="9FFF54AD"/>
    <w:rsid w:val="A10F9F6C"/>
    <w:rsid w:val="A5EE5F5A"/>
    <w:rsid w:val="A6BC2737"/>
    <w:rsid w:val="A7772585"/>
    <w:rsid w:val="A7FFF80E"/>
    <w:rsid w:val="A8DD40B3"/>
    <w:rsid w:val="AACD05F6"/>
    <w:rsid w:val="AAEE5D2B"/>
    <w:rsid w:val="AB7F9E54"/>
    <w:rsid w:val="ABFE9C96"/>
    <w:rsid w:val="ABFFF5AA"/>
    <w:rsid w:val="AD2F71FA"/>
    <w:rsid w:val="ADCE9C1C"/>
    <w:rsid w:val="ADD7D8B5"/>
    <w:rsid w:val="AEBF0F5D"/>
    <w:rsid w:val="AF579E61"/>
    <w:rsid w:val="AFEC01BC"/>
    <w:rsid w:val="AFFB6539"/>
    <w:rsid w:val="AFFC2BC1"/>
    <w:rsid w:val="AFFFD773"/>
    <w:rsid w:val="B1F32901"/>
    <w:rsid w:val="B1FD555A"/>
    <w:rsid w:val="B3E11275"/>
    <w:rsid w:val="B4A9C7C6"/>
    <w:rsid w:val="B67BBA94"/>
    <w:rsid w:val="B6DA475F"/>
    <w:rsid w:val="B6DF5816"/>
    <w:rsid w:val="B6F9A13B"/>
    <w:rsid w:val="B6FF71F5"/>
    <w:rsid w:val="B7DF466B"/>
    <w:rsid w:val="B7F38B10"/>
    <w:rsid w:val="B8FEE4CC"/>
    <w:rsid w:val="B97E3472"/>
    <w:rsid w:val="BA2558F1"/>
    <w:rsid w:val="BA6DA1B4"/>
    <w:rsid w:val="BB37E903"/>
    <w:rsid w:val="BB9E668B"/>
    <w:rsid w:val="BBDDA036"/>
    <w:rsid w:val="BBFB01FA"/>
    <w:rsid w:val="BCBD7193"/>
    <w:rsid w:val="BCD5C014"/>
    <w:rsid w:val="BD6C91AB"/>
    <w:rsid w:val="BD6D9BF0"/>
    <w:rsid w:val="BD79C45D"/>
    <w:rsid w:val="BD7A0CAB"/>
    <w:rsid w:val="BD8B0413"/>
    <w:rsid w:val="BD9DBB09"/>
    <w:rsid w:val="BDEE5DCF"/>
    <w:rsid w:val="BDFF7901"/>
    <w:rsid w:val="BE6B78A4"/>
    <w:rsid w:val="BEDB0E49"/>
    <w:rsid w:val="BEDEF32B"/>
    <w:rsid w:val="BEE7FE39"/>
    <w:rsid w:val="BEFE1466"/>
    <w:rsid w:val="BF3F7D2E"/>
    <w:rsid w:val="BF3F998E"/>
    <w:rsid w:val="BF463887"/>
    <w:rsid w:val="BF471009"/>
    <w:rsid w:val="BF4F4EFF"/>
    <w:rsid w:val="BF56A3E2"/>
    <w:rsid w:val="BF57DB34"/>
    <w:rsid w:val="BF666323"/>
    <w:rsid w:val="BFCB353A"/>
    <w:rsid w:val="BFCF4257"/>
    <w:rsid w:val="BFF57491"/>
    <w:rsid w:val="BFFA38F1"/>
    <w:rsid w:val="BFFEC68E"/>
    <w:rsid w:val="BFFF11AA"/>
    <w:rsid w:val="BFFF7348"/>
    <w:rsid w:val="C4DF964D"/>
    <w:rsid w:val="C75FD44E"/>
    <w:rsid w:val="C7AE8C8C"/>
    <w:rsid w:val="C9EBE87E"/>
    <w:rsid w:val="CA4F8C0B"/>
    <w:rsid w:val="CB6BA5D3"/>
    <w:rsid w:val="CBD75A88"/>
    <w:rsid w:val="CBDF40E6"/>
    <w:rsid w:val="CBF3370B"/>
    <w:rsid w:val="CCDF3A42"/>
    <w:rsid w:val="CCF7F142"/>
    <w:rsid w:val="CCFE15A6"/>
    <w:rsid w:val="CDDDB674"/>
    <w:rsid w:val="CDFE094F"/>
    <w:rsid w:val="CE7F0F98"/>
    <w:rsid w:val="CED72B8F"/>
    <w:rsid w:val="CF1A70DA"/>
    <w:rsid w:val="CF9F46F6"/>
    <w:rsid w:val="CFF2FAAD"/>
    <w:rsid w:val="CFF5AE9C"/>
    <w:rsid w:val="D37D9E2E"/>
    <w:rsid w:val="D46D4C6D"/>
    <w:rsid w:val="D47FF590"/>
    <w:rsid w:val="D4FDF2D4"/>
    <w:rsid w:val="D55B9A65"/>
    <w:rsid w:val="D63A65FB"/>
    <w:rsid w:val="D6AF5286"/>
    <w:rsid w:val="D6F32D60"/>
    <w:rsid w:val="D7448DCA"/>
    <w:rsid w:val="D7C3BA86"/>
    <w:rsid w:val="D7CC27F6"/>
    <w:rsid w:val="D7FDE36C"/>
    <w:rsid w:val="D7FEE4E1"/>
    <w:rsid w:val="D7FFAB83"/>
    <w:rsid w:val="D875D226"/>
    <w:rsid w:val="D93F98CD"/>
    <w:rsid w:val="D97C388C"/>
    <w:rsid w:val="D9BE8B1A"/>
    <w:rsid w:val="DB7F8AF0"/>
    <w:rsid w:val="DBD7BD75"/>
    <w:rsid w:val="DBDD5DB7"/>
    <w:rsid w:val="DBEB2EB0"/>
    <w:rsid w:val="DBFAA388"/>
    <w:rsid w:val="DBFFD0C6"/>
    <w:rsid w:val="DD7B4DE6"/>
    <w:rsid w:val="DDCDAFD2"/>
    <w:rsid w:val="DDE71FD8"/>
    <w:rsid w:val="DDFA8C47"/>
    <w:rsid w:val="DEBB4D3D"/>
    <w:rsid w:val="DED3A6DF"/>
    <w:rsid w:val="DEEF9897"/>
    <w:rsid w:val="DEFA087B"/>
    <w:rsid w:val="DEFAE0FD"/>
    <w:rsid w:val="DEFF5A0B"/>
    <w:rsid w:val="DF3FF14C"/>
    <w:rsid w:val="DF5E3FC9"/>
    <w:rsid w:val="DF8BE878"/>
    <w:rsid w:val="DFBC57B7"/>
    <w:rsid w:val="DFCE4097"/>
    <w:rsid w:val="DFE67CB6"/>
    <w:rsid w:val="DFEDFF0F"/>
    <w:rsid w:val="DFF16172"/>
    <w:rsid w:val="DFFE5C9F"/>
    <w:rsid w:val="DFFEF0CA"/>
    <w:rsid w:val="DFFFFFF2"/>
    <w:rsid w:val="E13F9711"/>
    <w:rsid w:val="E305E582"/>
    <w:rsid w:val="E3F720FC"/>
    <w:rsid w:val="E3FFA131"/>
    <w:rsid w:val="E4EF1DF1"/>
    <w:rsid w:val="E4FF91F1"/>
    <w:rsid w:val="E6B67DBF"/>
    <w:rsid w:val="E6FD4456"/>
    <w:rsid w:val="E6FFBE57"/>
    <w:rsid w:val="E7464FE7"/>
    <w:rsid w:val="E777DBD9"/>
    <w:rsid w:val="E7CEF9FD"/>
    <w:rsid w:val="E7DA09BA"/>
    <w:rsid w:val="E7EA5AB7"/>
    <w:rsid w:val="E8E33E48"/>
    <w:rsid w:val="E8FF2A18"/>
    <w:rsid w:val="EABE5D1F"/>
    <w:rsid w:val="EAFF1101"/>
    <w:rsid w:val="EB3EA97C"/>
    <w:rsid w:val="EB4FE6A7"/>
    <w:rsid w:val="EB6FF114"/>
    <w:rsid w:val="EB7F2B1A"/>
    <w:rsid w:val="EBBF5AE8"/>
    <w:rsid w:val="EBE767EF"/>
    <w:rsid w:val="EBEF81ED"/>
    <w:rsid w:val="EBF7F2E9"/>
    <w:rsid w:val="EBF86ED6"/>
    <w:rsid w:val="EBFB7AFF"/>
    <w:rsid w:val="EBFDE3DC"/>
    <w:rsid w:val="ECBB8327"/>
    <w:rsid w:val="ED3E4860"/>
    <w:rsid w:val="ED738B7F"/>
    <w:rsid w:val="ED7E307A"/>
    <w:rsid w:val="EDB7E03D"/>
    <w:rsid w:val="EDDE879E"/>
    <w:rsid w:val="EDEA4AA0"/>
    <w:rsid w:val="EDEF5402"/>
    <w:rsid w:val="EDF65E82"/>
    <w:rsid w:val="EDF6B97B"/>
    <w:rsid w:val="EDF6EEA1"/>
    <w:rsid w:val="EDFE878B"/>
    <w:rsid w:val="EEBCD9C3"/>
    <w:rsid w:val="EEDA93DE"/>
    <w:rsid w:val="EEDFE101"/>
    <w:rsid w:val="EEEB28DB"/>
    <w:rsid w:val="EF3BBBF4"/>
    <w:rsid w:val="EF3F0486"/>
    <w:rsid w:val="EF5BBCA4"/>
    <w:rsid w:val="EF7F6127"/>
    <w:rsid w:val="EF8D0D55"/>
    <w:rsid w:val="EF976E33"/>
    <w:rsid w:val="EF9A8A01"/>
    <w:rsid w:val="EF9FEA1D"/>
    <w:rsid w:val="EFA9C860"/>
    <w:rsid w:val="EFBA0127"/>
    <w:rsid w:val="EFC71E21"/>
    <w:rsid w:val="EFD7E814"/>
    <w:rsid w:val="EFDE09D1"/>
    <w:rsid w:val="EFEE519C"/>
    <w:rsid w:val="EFFF27B5"/>
    <w:rsid w:val="EFFF5101"/>
    <w:rsid w:val="EFFFC170"/>
    <w:rsid w:val="EFFFC77E"/>
    <w:rsid w:val="F0FDF827"/>
    <w:rsid w:val="F2F7A984"/>
    <w:rsid w:val="F2F925BD"/>
    <w:rsid w:val="F35656AC"/>
    <w:rsid w:val="F37F050D"/>
    <w:rsid w:val="F3EF3183"/>
    <w:rsid w:val="F4FBB8FA"/>
    <w:rsid w:val="F5773EE3"/>
    <w:rsid w:val="F5776819"/>
    <w:rsid w:val="F57FAB86"/>
    <w:rsid w:val="F59B2853"/>
    <w:rsid w:val="F5BE90C1"/>
    <w:rsid w:val="F5E7E7B0"/>
    <w:rsid w:val="F5EB5F84"/>
    <w:rsid w:val="F5F7AB58"/>
    <w:rsid w:val="F5FCAD33"/>
    <w:rsid w:val="F5FEF422"/>
    <w:rsid w:val="F6BB319A"/>
    <w:rsid w:val="F6D75F92"/>
    <w:rsid w:val="F6EF804B"/>
    <w:rsid w:val="F6FF3039"/>
    <w:rsid w:val="F6FF9FDB"/>
    <w:rsid w:val="F7372C3D"/>
    <w:rsid w:val="F7B701D2"/>
    <w:rsid w:val="F7C979B7"/>
    <w:rsid w:val="F7CFF7D5"/>
    <w:rsid w:val="F7D6C7D2"/>
    <w:rsid w:val="F7DD3874"/>
    <w:rsid w:val="F7DF7D64"/>
    <w:rsid w:val="F7E33AA2"/>
    <w:rsid w:val="F7EF30D1"/>
    <w:rsid w:val="F7F5B64B"/>
    <w:rsid w:val="F7FDA075"/>
    <w:rsid w:val="F7FE2236"/>
    <w:rsid w:val="F7FED0A4"/>
    <w:rsid w:val="F7FF6171"/>
    <w:rsid w:val="F7FFE08F"/>
    <w:rsid w:val="F965CF7E"/>
    <w:rsid w:val="F9BF53FA"/>
    <w:rsid w:val="F9F4190A"/>
    <w:rsid w:val="F9FA9B67"/>
    <w:rsid w:val="FA2F0F60"/>
    <w:rsid w:val="FA8FF93A"/>
    <w:rsid w:val="FA975A9B"/>
    <w:rsid w:val="FB76D075"/>
    <w:rsid w:val="FB94659B"/>
    <w:rsid w:val="FBB4D44E"/>
    <w:rsid w:val="FBBD5B4F"/>
    <w:rsid w:val="FBCF82BD"/>
    <w:rsid w:val="FBDBB40A"/>
    <w:rsid w:val="FBDEF362"/>
    <w:rsid w:val="FBE41280"/>
    <w:rsid w:val="FBF95AD2"/>
    <w:rsid w:val="FBFC1889"/>
    <w:rsid w:val="FBFF3E64"/>
    <w:rsid w:val="FBFF9E2A"/>
    <w:rsid w:val="FBFFCDDF"/>
    <w:rsid w:val="FC47175B"/>
    <w:rsid w:val="FC79931B"/>
    <w:rsid w:val="FC961E5D"/>
    <w:rsid w:val="FCD9EC75"/>
    <w:rsid w:val="FCE7B66D"/>
    <w:rsid w:val="FCEE7356"/>
    <w:rsid w:val="FCF731CE"/>
    <w:rsid w:val="FD3D80F8"/>
    <w:rsid w:val="FD3FC80F"/>
    <w:rsid w:val="FD5E103B"/>
    <w:rsid w:val="FD7D6CA9"/>
    <w:rsid w:val="FD9DF404"/>
    <w:rsid w:val="FDBBB60A"/>
    <w:rsid w:val="FDC7BFA5"/>
    <w:rsid w:val="FDE75AA6"/>
    <w:rsid w:val="FDF3A9D5"/>
    <w:rsid w:val="FDF7243A"/>
    <w:rsid w:val="FDFB255D"/>
    <w:rsid w:val="FDFDE350"/>
    <w:rsid w:val="FE2FB974"/>
    <w:rsid w:val="FE3F67E6"/>
    <w:rsid w:val="FE7E0AA0"/>
    <w:rsid w:val="FE7E33F1"/>
    <w:rsid w:val="FEC771CF"/>
    <w:rsid w:val="FECE7B22"/>
    <w:rsid w:val="FED10FC1"/>
    <w:rsid w:val="FEDDC97E"/>
    <w:rsid w:val="FEF49D7E"/>
    <w:rsid w:val="FEF5FEFE"/>
    <w:rsid w:val="FEF9F260"/>
    <w:rsid w:val="FEFA0F17"/>
    <w:rsid w:val="FEFF27B6"/>
    <w:rsid w:val="FF1FAA5D"/>
    <w:rsid w:val="FF5F8672"/>
    <w:rsid w:val="FF6B2E86"/>
    <w:rsid w:val="FF6D55EC"/>
    <w:rsid w:val="FF77AC74"/>
    <w:rsid w:val="FF7B4762"/>
    <w:rsid w:val="FF7D2807"/>
    <w:rsid w:val="FF7D7014"/>
    <w:rsid w:val="FF7DFE26"/>
    <w:rsid w:val="FF7F7D18"/>
    <w:rsid w:val="FF7F8BF0"/>
    <w:rsid w:val="FF7FF174"/>
    <w:rsid w:val="FF832F95"/>
    <w:rsid w:val="FF9E74D1"/>
    <w:rsid w:val="FFA73D9A"/>
    <w:rsid w:val="FFAF6000"/>
    <w:rsid w:val="FFB9E838"/>
    <w:rsid w:val="FFBF7DC1"/>
    <w:rsid w:val="FFD98AC4"/>
    <w:rsid w:val="FFDD12BA"/>
    <w:rsid w:val="FFDDCF69"/>
    <w:rsid w:val="FFDDEDB7"/>
    <w:rsid w:val="FFDF7ECE"/>
    <w:rsid w:val="FFE04374"/>
    <w:rsid w:val="FFE99319"/>
    <w:rsid w:val="FFEB7C68"/>
    <w:rsid w:val="FFED1858"/>
    <w:rsid w:val="FFEEF19C"/>
    <w:rsid w:val="FFF2DFC1"/>
    <w:rsid w:val="FFF2FF23"/>
    <w:rsid w:val="FFF4BE05"/>
    <w:rsid w:val="FFF779EE"/>
    <w:rsid w:val="FFF96482"/>
    <w:rsid w:val="FFFBC17E"/>
    <w:rsid w:val="FFFF08B7"/>
    <w:rsid w:val="FFFF3036"/>
    <w:rsid w:val="FFFF4274"/>
    <w:rsid w:val="FFFF51C1"/>
    <w:rsid w:val="FFFF527C"/>
    <w:rsid w:val="FFFF84A2"/>
    <w:rsid w:val="FFFF8A63"/>
    <w:rsid w:val="FFFFB690"/>
    <w:rsid w:val="FFFFEC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Cs w:val="21"/>
      <w:lang w:val="en-US" w:eastAsia="zh-CN" w:bidi="ar-SA"/>
    </w:rPr>
  </w:style>
  <w:style w:type="paragraph" w:styleId="2">
    <w:name w:val="heading 1"/>
    <w:basedOn w:val="1"/>
    <w:next w:val="1"/>
    <w:link w:val="43"/>
    <w:qFormat/>
    <w:uiPriority w:val="0"/>
    <w:pPr>
      <w:keepNext/>
      <w:spacing w:line="216" w:lineRule="auto"/>
      <w:jc w:val="center"/>
      <w:outlineLvl w:val="0"/>
    </w:pPr>
    <w:rPr>
      <w:rFonts w:eastAsia="宋体"/>
      <w:b/>
      <w:sz w:val="44"/>
      <w:szCs w:val="20"/>
    </w:rPr>
  </w:style>
  <w:style w:type="paragraph" w:styleId="3">
    <w:name w:val="heading 2"/>
    <w:basedOn w:val="1"/>
    <w:next w:val="1"/>
    <w:link w:val="44"/>
    <w:qFormat/>
    <w:uiPriority w:val="0"/>
    <w:pPr>
      <w:keepNext/>
      <w:spacing w:line="216" w:lineRule="auto"/>
      <w:jc w:val="center"/>
      <w:outlineLvl w:val="1"/>
    </w:pPr>
    <w:rPr>
      <w:rFonts w:eastAsia="宋体"/>
      <w:b/>
      <w:sz w:val="32"/>
      <w:szCs w:val="20"/>
    </w:rPr>
  </w:style>
  <w:style w:type="paragraph" w:styleId="4">
    <w:name w:val="heading 3"/>
    <w:basedOn w:val="1"/>
    <w:next w:val="1"/>
    <w:link w:val="45"/>
    <w:qFormat/>
    <w:uiPriority w:val="0"/>
    <w:pPr>
      <w:keepNext/>
      <w:numPr>
        <w:ilvl w:val="0"/>
        <w:numId w:val="0"/>
      </w:numPr>
      <w:tabs>
        <w:tab w:val="left" w:pos="1275"/>
      </w:tabs>
      <w:spacing w:line="216" w:lineRule="auto"/>
      <w:ind w:firstLine="800" w:firstLineChars="200"/>
      <w:outlineLvl w:val="2"/>
    </w:pPr>
    <w:rPr>
      <w:rFonts w:eastAsia="宋体"/>
      <w:b/>
      <w:bCs/>
      <w:sz w:val="28"/>
      <w:szCs w:val="20"/>
    </w:rPr>
  </w:style>
  <w:style w:type="paragraph" w:styleId="5">
    <w:name w:val="heading 4"/>
    <w:basedOn w:val="1"/>
    <w:next w:val="1"/>
    <w:qFormat/>
    <w:uiPriority w:val="0"/>
    <w:pPr>
      <w:keepNext/>
      <w:numPr>
        <w:ilvl w:val="0"/>
        <w:numId w:val="1"/>
      </w:numPr>
      <w:spacing w:line="216" w:lineRule="auto"/>
      <w:outlineLvl w:val="3"/>
    </w:pPr>
    <w:rPr>
      <w:rFonts w:ascii="黑体" w:eastAsia="黑体"/>
      <w:b/>
      <w:sz w:val="24"/>
      <w:szCs w:val="20"/>
    </w:rPr>
  </w:style>
  <w:style w:type="character" w:default="1" w:styleId="37">
    <w:name w:val="Default Paragraph Font"/>
    <w:semiHidden/>
    <w:qFormat/>
    <w:uiPriority w:val="0"/>
  </w:style>
  <w:style w:type="table" w:default="1" w:styleId="3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semiHidden/>
    <w:qFormat/>
    <w:uiPriority w:val="0"/>
    <w:pPr>
      <w:ind w:left="2520" w:leftChars="1200"/>
    </w:pPr>
  </w:style>
  <w:style w:type="paragraph" w:styleId="7">
    <w:name w:val="Normal Indent"/>
    <w:basedOn w:val="1"/>
    <w:qFormat/>
    <w:uiPriority w:val="0"/>
    <w:pPr>
      <w:ind w:firstLine="420"/>
    </w:pPr>
    <w:rPr>
      <w:szCs w:val="20"/>
    </w:rPr>
  </w:style>
  <w:style w:type="paragraph" w:styleId="8">
    <w:name w:val="annotation text"/>
    <w:basedOn w:val="1"/>
    <w:link w:val="46"/>
    <w:qFormat/>
    <w:uiPriority w:val="0"/>
    <w:pPr>
      <w:adjustRightInd w:val="0"/>
      <w:jc w:val="left"/>
    </w:pPr>
  </w:style>
  <w:style w:type="paragraph" w:styleId="9">
    <w:name w:val="Body Text"/>
    <w:basedOn w:val="1"/>
    <w:next w:val="10"/>
    <w:link w:val="47"/>
    <w:qFormat/>
    <w:uiPriority w:val="0"/>
    <w:pPr>
      <w:autoSpaceDE w:val="0"/>
      <w:autoSpaceDN w:val="0"/>
      <w:adjustRightInd w:val="0"/>
      <w:spacing w:line="360" w:lineRule="auto"/>
    </w:pPr>
    <w:rPr>
      <w:rFonts w:ascii="宋体" w:hAnsi="Arial" w:cs="Arial"/>
      <w:snapToGrid w:val="0"/>
      <w:sz w:val="24"/>
      <w:szCs w:val="21"/>
      <w:lang w:val="zh-CN"/>
    </w:rPr>
  </w:style>
  <w:style w:type="paragraph" w:styleId="10">
    <w:name w:val="Body Text First Indent"/>
    <w:basedOn w:val="9"/>
    <w:next w:val="11"/>
    <w:qFormat/>
    <w:uiPriority w:val="99"/>
    <w:pPr>
      <w:widowControl w:val="0"/>
      <w:autoSpaceDE w:val="0"/>
      <w:autoSpaceDN w:val="0"/>
      <w:adjustRightInd w:val="0"/>
      <w:spacing w:line="360" w:lineRule="auto"/>
      <w:ind w:firstLine="420" w:firstLineChars="100"/>
      <w:jc w:val="both"/>
    </w:pPr>
    <w:rPr>
      <w:rFonts w:hint="eastAsia" w:ascii="宋体" w:hAnsi="Arial"/>
      <w:sz w:val="24"/>
      <w:szCs w:val="24"/>
      <w:lang w:val="en-US" w:eastAsia="zh-CN" w:bidi="ar-SA"/>
    </w:rPr>
  </w:style>
  <w:style w:type="paragraph" w:styleId="11">
    <w:name w:val="toc 6"/>
    <w:basedOn w:val="1"/>
    <w:next w:val="1"/>
    <w:semiHidden/>
    <w:qFormat/>
    <w:uiPriority w:val="0"/>
    <w:pPr>
      <w:keepNext w:val="0"/>
      <w:keepLines w:val="0"/>
      <w:widowControl w:val="0"/>
      <w:suppressLineNumbers w:val="0"/>
      <w:ind w:left="2100" w:leftChars="1000"/>
      <w:jc w:val="both"/>
    </w:pPr>
    <w:rPr>
      <w:rFonts w:hint="eastAsia" w:ascii="宋体" w:hAnsi="宋体" w:eastAsia="宋体" w:cs="宋体"/>
      <w:kern w:val="0"/>
      <w:lang w:val="en-US" w:eastAsia="zh-CN" w:bidi="ar"/>
    </w:rPr>
  </w:style>
  <w:style w:type="paragraph" w:styleId="12">
    <w:name w:val="Body Text Indent"/>
    <w:basedOn w:val="1"/>
    <w:link w:val="48"/>
    <w:qFormat/>
    <w:uiPriority w:val="0"/>
    <w:pPr>
      <w:spacing w:after="120"/>
      <w:ind w:left="420" w:leftChars="200"/>
    </w:pPr>
  </w:style>
  <w:style w:type="paragraph" w:styleId="13">
    <w:name w:val="toc 5"/>
    <w:basedOn w:val="1"/>
    <w:next w:val="1"/>
    <w:link w:val="49"/>
    <w:semiHidden/>
    <w:qFormat/>
    <w:uiPriority w:val="0"/>
    <w:pPr>
      <w:ind w:left="1680" w:leftChars="800"/>
    </w:pPr>
  </w:style>
  <w:style w:type="paragraph" w:styleId="14">
    <w:name w:val="toc 3"/>
    <w:basedOn w:val="1"/>
    <w:next w:val="1"/>
    <w:link w:val="50"/>
    <w:semiHidden/>
    <w:qFormat/>
    <w:uiPriority w:val="0"/>
    <w:pPr>
      <w:ind w:left="840" w:leftChars="400"/>
    </w:pPr>
  </w:style>
  <w:style w:type="paragraph" w:styleId="15">
    <w:name w:val="Plain Text"/>
    <w:basedOn w:val="1"/>
    <w:next w:val="1"/>
    <w:link w:val="51"/>
    <w:qFormat/>
    <w:uiPriority w:val="0"/>
    <w:rPr>
      <w:rFonts w:ascii="宋体" w:hAnsi="Courier New" w:cs="Courier New"/>
      <w:szCs w:val="21"/>
    </w:rPr>
  </w:style>
  <w:style w:type="paragraph" w:styleId="16">
    <w:name w:val="toc 8"/>
    <w:basedOn w:val="1"/>
    <w:next w:val="1"/>
    <w:semiHidden/>
    <w:qFormat/>
    <w:uiPriority w:val="0"/>
    <w:pPr>
      <w:ind w:left="2940" w:leftChars="1400"/>
    </w:pPr>
  </w:style>
  <w:style w:type="paragraph" w:styleId="17">
    <w:name w:val="Date"/>
    <w:basedOn w:val="1"/>
    <w:next w:val="1"/>
    <w:qFormat/>
    <w:uiPriority w:val="0"/>
    <w:pPr>
      <w:ind w:left="100" w:leftChars="2500"/>
    </w:pPr>
    <w:rPr>
      <w:rFonts w:ascii="宋体" w:hAnsi="宋体"/>
      <w:color w:val="000000"/>
      <w:sz w:val="24"/>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52"/>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3">
    <w:name w:val="toc 1"/>
    <w:basedOn w:val="1"/>
    <w:next w:val="1"/>
    <w:semiHidden/>
    <w:qFormat/>
    <w:uiPriority w:val="0"/>
  </w:style>
  <w:style w:type="paragraph" w:styleId="24">
    <w:name w:val="toc 4"/>
    <w:basedOn w:val="1"/>
    <w:next w:val="1"/>
    <w:semiHidden/>
    <w:qFormat/>
    <w:uiPriority w:val="0"/>
    <w:pPr>
      <w:ind w:left="1260" w:leftChars="600"/>
    </w:pPr>
  </w:style>
  <w:style w:type="paragraph" w:styleId="25">
    <w:name w:val="Subtitle"/>
    <w:basedOn w:val="1"/>
    <w:next w:val="1"/>
    <w:qFormat/>
    <w:uiPriority w:val="0"/>
    <w:pPr>
      <w:spacing w:line="360" w:lineRule="auto"/>
      <w:jc w:val="left"/>
      <w:outlineLvl w:val="2"/>
    </w:pPr>
    <w:rPr>
      <w:rFonts w:ascii="Cambria" w:hAnsi="Cambria"/>
      <w:b/>
      <w:bCs/>
      <w:kern w:val="28"/>
      <w:sz w:val="30"/>
      <w:szCs w:val="32"/>
    </w:rPr>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semiHidden/>
    <w:qFormat/>
    <w:uiPriority w:val="0"/>
    <w:pPr>
      <w:ind w:left="420" w:leftChars="200"/>
    </w:pPr>
  </w:style>
  <w:style w:type="paragraph" w:styleId="28">
    <w:name w:val="toc 9"/>
    <w:basedOn w:val="1"/>
    <w:next w:val="1"/>
    <w:semiHidden/>
    <w:qFormat/>
    <w:uiPriority w:val="0"/>
    <w:pPr>
      <w:ind w:left="3360" w:leftChars="1600"/>
    </w:pPr>
  </w:style>
  <w:style w:type="paragraph" w:styleId="29">
    <w:name w:val="Body Text 2"/>
    <w:basedOn w:val="1"/>
    <w:qFormat/>
    <w:uiPriority w:val="0"/>
    <w:pPr>
      <w:spacing w:line="480" w:lineRule="auto"/>
    </w:p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33">
    <w:name w:val="annotation subject"/>
    <w:basedOn w:val="8"/>
    <w:next w:val="8"/>
    <w:link w:val="53"/>
    <w:qFormat/>
    <w:uiPriority w:val="0"/>
    <w:pPr>
      <w:adjustRightInd/>
    </w:pPr>
    <w:rPr>
      <w:b/>
      <w:bCs/>
    </w:rPr>
  </w:style>
  <w:style w:type="paragraph" w:styleId="34">
    <w:name w:val="Body Text First Indent 2"/>
    <w:basedOn w:val="12"/>
    <w:link w:val="54"/>
    <w:qFormat/>
    <w:uiPriority w:val="0"/>
    <w:pPr>
      <w:widowControl w:val="0"/>
      <w:spacing w:after="120"/>
      <w:ind w:left="420" w:leftChars="200" w:firstLine="420" w:firstLineChars="200"/>
      <w:jc w:val="both"/>
    </w:pPr>
    <w:rPr>
      <w:rFonts w:hint="eastAsia" w:ascii="宋体" w:hAnsi="宋体" w:eastAsia="宋体" w:cs="Times New Roman"/>
      <w:lang w:val="en-US" w:eastAsia="zh-CN" w:bidi="ar-SA"/>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qFormat/>
    <w:uiPriority w:val="0"/>
  </w:style>
  <w:style w:type="character" w:styleId="39">
    <w:name w:val="FollowedHyperlink"/>
    <w:qFormat/>
    <w:uiPriority w:val="0"/>
    <w:rPr>
      <w:color w:val="800080"/>
      <w:u w:val="single"/>
    </w:rPr>
  </w:style>
  <w:style w:type="character" w:styleId="40">
    <w:name w:val="Emphasis"/>
    <w:qFormat/>
    <w:uiPriority w:val="0"/>
    <w:rPr>
      <w:i/>
    </w:rPr>
  </w:style>
  <w:style w:type="character" w:styleId="41">
    <w:name w:val="Hyperlink"/>
    <w:qFormat/>
    <w:uiPriority w:val="0"/>
    <w:rPr>
      <w:color w:val="0000FF"/>
      <w:u w:val="single"/>
    </w:rPr>
  </w:style>
  <w:style w:type="character" w:styleId="42">
    <w:name w:val="annotation reference"/>
    <w:qFormat/>
    <w:uiPriority w:val="99"/>
    <w:rPr>
      <w:sz w:val="21"/>
      <w:szCs w:val="21"/>
    </w:rPr>
  </w:style>
  <w:style w:type="character" w:customStyle="1" w:styleId="43">
    <w:name w:val="标题 1 字符"/>
    <w:link w:val="2"/>
    <w:qFormat/>
    <w:uiPriority w:val="0"/>
    <w:rPr>
      <w:rFonts w:ascii="宋体" w:hAnsi="宋体" w:eastAsia="宋体"/>
      <w:b/>
      <w:kern w:val="2"/>
      <w:sz w:val="44"/>
    </w:rPr>
  </w:style>
  <w:style w:type="character" w:customStyle="1" w:styleId="44">
    <w:name w:val="标题 2 字符"/>
    <w:link w:val="3"/>
    <w:qFormat/>
    <w:uiPriority w:val="0"/>
    <w:rPr>
      <w:rFonts w:ascii="宋体" w:eastAsia="宋体"/>
      <w:b/>
      <w:kern w:val="2"/>
      <w:sz w:val="32"/>
    </w:rPr>
  </w:style>
  <w:style w:type="character" w:customStyle="1" w:styleId="45">
    <w:name w:val="标题 3 字符"/>
    <w:link w:val="4"/>
    <w:qFormat/>
    <w:uiPriority w:val="0"/>
    <w:rPr>
      <w:rFonts w:ascii="宋体" w:hAnsi="宋体" w:eastAsia="宋体" w:cs="宋体"/>
      <w:b/>
      <w:bCs/>
      <w:sz w:val="28"/>
    </w:rPr>
  </w:style>
  <w:style w:type="character" w:customStyle="1" w:styleId="46">
    <w:name w:val="批注文字 字符"/>
    <w:link w:val="8"/>
    <w:qFormat/>
    <w:uiPriority w:val="0"/>
    <w:rPr>
      <w:kern w:val="2"/>
      <w:sz w:val="21"/>
      <w:szCs w:val="24"/>
      <w:lang w:bidi="ar-SA"/>
    </w:rPr>
  </w:style>
  <w:style w:type="character" w:customStyle="1" w:styleId="47">
    <w:name w:val="正文文本 字符"/>
    <w:link w:val="9"/>
    <w:qFormat/>
    <w:uiPriority w:val="0"/>
    <w:rPr>
      <w:rFonts w:hint="default" w:ascii="Times New Roman" w:hAnsi="Times New Roman" w:cs="Times New Roman"/>
      <w:kern w:val="2"/>
      <w:sz w:val="21"/>
      <w:szCs w:val="22"/>
    </w:rPr>
  </w:style>
  <w:style w:type="character" w:customStyle="1" w:styleId="48">
    <w:name w:val="正文文本缩进 字符"/>
    <w:link w:val="12"/>
    <w:qFormat/>
    <w:uiPriority w:val="0"/>
    <w:rPr>
      <w:kern w:val="2"/>
      <w:sz w:val="21"/>
      <w:szCs w:val="24"/>
    </w:rPr>
  </w:style>
  <w:style w:type="character" w:customStyle="1" w:styleId="49">
    <w:name w:val="TOC 5 字符"/>
    <w:link w:val="13"/>
    <w:qFormat/>
    <w:uiPriority w:val="0"/>
  </w:style>
  <w:style w:type="character" w:customStyle="1" w:styleId="50">
    <w:name w:val="TOC 3 字符"/>
    <w:link w:val="14"/>
    <w:qFormat/>
    <w:uiPriority w:val="0"/>
  </w:style>
  <w:style w:type="character" w:customStyle="1" w:styleId="51">
    <w:name w:val="纯文本 字符"/>
    <w:link w:val="15"/>
    <w:qFormat/>
    <w:locked/>
    <w:uiPriority w:val="0"/>
    <w:rPr>
      <w:rFonts w:ascii="宋体" w:hAnsi="Courier New" w:eastAsia="宋体" w:cs="Courier New"/>
      <w:kern w:val="2"/>
      <w:sz w:val="21"/>
      <w:szCs w:val="21"/>
      <w:lang w:val="en-US" w:eastAsia="zh-CN" w:bidi="ar-SA"/>
    </w:rPr>
  </w:style>
  <w:style w:type="character" w:customStyle="1" w:styleId="52">
    <w:name w:val="批注框文本 字符"/>
    <w:link w:val="19"/>
    <w:qFormat/>
    <w:uiPriority w:val="0"/>
    <w:rPr>
      <w:rFonts w:ascii="宋体" w:hAnsi="宋体" w:cs="宋体"/>
      <w:sz w:val="18"/>
      <w:szCs w:val="18"/>
    </w:rPr>
  </w:style>
  <w:style w:type="character" w:customStyle="1" w:styleId="53">
    <w:name w:val="批注主题 字符"/>
    <w:link w:val="33"/>
    <w:qFormat/>
    <w:uiPriority w:val="0"/>
    <w:rPr>
      <w:rFonts w:ascii="宋体" w:hAnsi="宋体" w:cs="宋体"/>
      <w:b/>
      <w:bCs/>
      <w:kern w:val="2"/>
      <w:sz w:val="21"/>
      <w:szCs w:val="21"/>
      <w:lang w:bidi="ar-SA"/>
    </w:rPr>
  </w:style>
  <w:style w:type="character" w:customStyle="1" w:styleId="54">
    <w:name w:val="正文文本首行缩进 2 字符"/>
    <w:link w:val="34"/>
    <w:qFormat/>
    <w:uiPriority w:val="0"/>
  </w:style>
  <w:style w:type="paragraph" w:customStyle="1" w:styleId="55">
    <w:name w:val="BodyText1I2"/>
    <w:basedOn w:val="56"/>
    <w:qFormat/>
    <w:uiPriority w:val="0"/>
    <w:pPr>
      <w:keepNext w:val="0"/>
      <w:keepLines w:val="0"/>
      <w:widowControl w:val="0"/>
      <w:suppressLineNumbers w:val="0"/>
      <w:suppressAutoHyphens/>
      <w:spacing w:before="0" w:beforeAutospacing="0" w:after="120" w:afterAutospacing="0"/>
      <w:ind w:left="420" w:leftChars="200" w:right="0" w:firstLine="420"/>
      <w:jc w:val="both"/>
    </w:pPr>
    <w:rPr>
      <w:rFonts w:hint="default" w:ascii="Calibri" w:hAnsi="Calibri" w:eastAsia="宋体" w:cs="Times New Roman"/>
      <w:kern w:val="1"/>
      <w:sz w:val="20"/>
      <w:szCs w:val="20"/>
      <w:lang w:val="en-US" w:eastAsia="zh-CN" w:bidi="ar"/>
    </w:rPr>
  </w:style>
  <w:style w:type="paragraph" w:customStyle="1" w:styleId="56">
    <w:name w:val="BodyTextIndent"/>
    <w:basedOn w:val="1"/>
    <w:next w:val="55"/>
    <w:qFormat/>
    <w:uiPriority w:val="0"/>
    <w:pPr>
      <w:spacing w:line="360" w:lineRule="auto"/>
      <w:ind w:firstLine="490"/>
      <w:jc w:val="left"/>
    </w:pPr>
    <w:rPr>
      <w:rFonts w:ascii="宋体" w:hAnsi="宋体"/>
      <w:sz w:val="24"/>
    </w:rPr>
  </w:style>
  <w:style w:type="paragraph" w:customStyle="1" w:styleId="57">
    <w:name w:val="样式 表格正文 + 两端对齐"/>
    <w:next w:val="58"/>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58">
    <w:name w:val="正文1"/>
    <w:basedOn w:val="59"/>
    <w:next w:val="61"/>
    <w:qFormat/>
    <w:uiPriority w:val="0"/>
    <w:rPr>
      <w:szCs w:val="21"/>
    </w:rPr>
  </w:style>
  <w:style w:type="paragraph" w:customStyle="1" w:styleId="59">
    <w:name w:val="Normal_0"/>
    <w:basedOn w:val="60"/>
    <w:qFormat/>
    <w:uiPriority w:val="0"/>
    <w:rPr>
      <w:rFonts w:eastAsia="Times New Roman"/>
      <w:sz w:val="24"/>
      <w:szCs w:val="24"/>
      <w:lang w:bidi="ar-SA"/>
    </w:rPr>
  </w:style>
  <w:style w:type="paragraph" w:customStyle="1" w:styleId="60">
    <w:name w:val="正文2"/>
    <w:basedOn w:val="29"/>
    <w:link w:val="64"/>
    <w:qFormat/>
    <w:uiPriority w:val="0"/>
    <w:pPr>
      <w:adjustRightInd w:val="0"/>
      <w:spacing w:before="156" w:line="360" w:lineRule="auto"/>
      <w:ind w:firstLine="510" w:firstLineChars="200"/>
    </w:pPr>
    <w:rPr>
      <w:sz w:val="24"/>
      <w:szCs w:val="20"/>
    </w:rPr>
  </w:style>
  <w:style w:type="paragraph" w:customStyle="1" w:styleId="61">
    <w:name w:val="自动更正"/>
    <w:next w:val="6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xl39"/>
    <w:next w:val="63"/>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63">
    <w:name w:val="分手多日，近况如何？"/>
    <w:next w:val="1"/>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64">
    <w:name w:val="正文2 Char Char"/>
    <w:link w:val="60"/>
    <w:qFormat/>
    <w:uiPriority w:val="0"/>
    <w:rPr>
      <w:rFonts w:eastAsia="宋体"/>
      <w:kern w:val="2"/>
      <w:sz w:val="24"/>
      <w:lang w:val="en-US" w:eastAsia="zh-CN" w:bidi="ar-SA"/>
    </w:rPr>
  </w:style>
  <w:style w:type="paragraph" w:customStyle="1" w:styleId="65">
    <w:name w:val="Normal"/>
    <w:basedOn w:val="1"/>
    <w:qFormat/>
    <w:uiPriority w:val="0"/>
    <w:rPr>
      <w:rFonts w:ascii="宋体" w:hAnsi="宋体" w:cs="宋体"/>
      <w:szCs w:val="21"/>
    </w:rPr>
  </w:style>
  <w:style w:type="character" w:customStyle="1" w:styleId="66">
    <w:name w:val="普通文字 Char Char Char1"/>
    <w:qFormat/>
    <w:uiPriority w:val="0"/>
    <w:rPr>
      <w:rFonts w:ascii="宋体" w:hAnsi="Courier New" w:eastAsia="宋体"/>
      <w:kern w:val="2"/>
      <w:sz w:val="21"/>
      <w:lang w:val="en-US" w:eastAsia="zh-CN" w:bidi="ar-SA"/>
    </w:rPr>
  </w:style>
  <w:style w:type="character" w:customStyle="1" w:styleId="67">
    <w:name w:val="font91"/>
    <w:qFormat/>
    <w:uiPriority w:val="0"/>
    <w:rPr>
      <w:rFonts w:hint="default" w:ascii="Times New Roman" w:hAnsi="Times New Roman" w:cs="Times New Roman"/>
      <w:color w:val="FF0000"/>
      <w:sz w:val="20"/>
      <w:szCs w:val="20"/>
      <w:u w:val="none"/>
    </w:rPr>
  </w:style>
  <w:style w:type="character" w:customStyle="1" w:styleId="68">
    <w:name w:val="Example TEXT Char"/>
    <w:link w:val="69"/>
    <w:qFormat/>
    <w:uiPriority w:val="0"/>
    <w:rPr>
      <w:rFonts w:ascii="宋体" w:hAnsi="宋体"/>
      <w:szCs w:val="21"/>
    </w:rPr>
  </w:style>
  <w:style w:type="paragraph" w:customStyle="1" w:styleId="69">
    <w:name w:val="Example TEXT"/>
    <w:basedOn w:val="70"/>
    <w:link w:val="68"/>
    <w:qFormat/>
    <w:uiPriority w:val="0"/>
    <w:pPr>
      <w:spacing w:line="360" w:lineRule="auto"/>
      <w:ind w:firstLine="0" w:firstLineChars="0"/>
      <w:contextualSpacing/>
      <w:jc w:val="center"/>
    </w:pPr>
    <w:rPr>
      <w:rFonts w:ascii="宋体" w:hAnsi="宋体"/>
      <w:szCs w:val="21"/>
    </w:rPr>
  </w:style>
  <w:style w:type="paragraph" w:customStyle="1" w:styleId="70">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szCs w:val="24"/>
    </w:rPr>
  </w:style>
  <w:style w:type="character" w:customStyle="1" w:styleId="71">
    <w:name w:val="font21"/>
    <w:qFormat/>
    <w:uiPriority w:val="0"/>
    <w:rPr>
      <w:rFonts w:hint="eastAsia" w:ascii="宋体" w:hAnsi="宋体" w:eastAsia="宋体" w:cs="宋体"/>
      <w:color w:val="000000"/>
      <w:sz w:val="22"/>
      <w:szCs w:val="22"/>
      <w:u w:val="none"/>
    </w:rPr>
  </w:style>
  <w:style w:type="character" w:customStyle="1" w:styleId="72">
    <w:name w:val="10"/>
    <w:qFormat/>
    <w:uiPriority w:val="0"/>
    <w:rPr>
      <w:rFonts w:hint="default" w:ascii="Times New Roman" w:hAnsi="Times New Roman" w:cs="Times New Roman"/>
    </w:rPr>
  </w:style>
  <w:style w:type="character" w:customStyle="1" w:styleId="73">
    <w:name w:val=" Char Char26"/>
    <w:qFormat/>
    <w:uiPriority w:val="0"/>
    <w:rPr>
      <w:rFonts w:ascii="宋体" w:hAnsi="Courier New" w:eastAsia="宋体" w:cs="Arial"/>
      <w:snapToGrid w:val="0"/>
      <w:kern w:val="2"/>
      <w:sz w:val="21"/>
      <w:szCs w:val="21"/>
      <w:lang w:val="en-US" w:eastAsia="zh-CN" w:bidi="ar-SA"/>
    </w:rPr>
  </w:style>
  <w:style w:type="character" w:customStyle="1" w:styleId="74">
    <w:name w:val="font11"/>
    <w:qFormat/>
    <w:uiPriority w:val="0"/>
    <w:rPr>
      <w:rFonts w:hint="eastAsia" w:ascii="宋体" w:hAnsi="宋体" w:eastAsia="宋体" w:cs="宋体"/>
      <w:color w:val="000000"/>
      <w:sz w:val="24"/>
      <w:szCs w:val="24"/>
      <w:u w:val="none"/>
    </w:rPr>
  </w:style>
  <w:style w:type="character" w:customStyle="1" w:styleId="75">
    <w:name w:val="NormalCharacter"/>
    <w:semiHidden/>
    <w:qFormat/>
    <w:uiPriority w:val="0"/>
  </w:style>
  <w:style w:type="character" w:customStyle="1" w:styleId="76">
    <w:name w:val="正文文本首行缩进 字符"/>
    <w:qFormat/>
    <w:uiPriority w:val="0"/>
    <w:rPr>
      <w:rFonts w:hint="default" w:ascii="Times New Roman" w:hAnsi="Times New Roman" w:cs="Times New Roman"/>
      <w:kern w:val="2"/>
      <w:sz w:val="21"/>
      <w:szCs w:val="22"/>
    </w:rPr>
  </w:style>
  <w:style w:type="character" w:customStyle="1" w:styleId="77">
    <w:name w:val="font61"/>
    <w:qFormat/>
    <w:uiPriority w:val="0"/>
    <w:rPr>
      <w:rFonts w:hint="default" w:ascii="等线" w:hAnsi="等线" w:eastAsia="等线" w:cs="等线"/>
      <w:color w:val="FF0000"/>
      <w:sz w:val="22"/>
      <w:szCs w:val="22"/>
      <w:u w:val="none"/>
    </w:rPr>
  </w:style>
  <w:style w:type="character" w:customStyle="1" w:styleId="78">
    <w:name w:val="font01"/>
    <w:qFormat/>
    <w:uiPriority w:val="0"/>
    <w:rPr>
      <w:rFonts w:hint="eastAsia" w:ascii="宋体" w:hAnsi="宋体" w:eastAsia="宋体" w:cs="宋体"/>
      <w:color w:val="000000"/>
      <w:sz w:val="22"/>
      <w:szCs w:val="22"/>
      <w:u w:val="none"/>
    </w:rPr>
  </w:style>
  <w:style w:type="character" w:customStyle="1" w:styleId="79">
    <w:name w:val="15"/>
    <w:qFormat/>
    <w:uiPriority w:val="0"/>
    <w:rPr>
      <w:rFonts w:hint="default" w:ascii="Times New Roman" w:hAnsi="Times New Roman" w:cs="Times New Roman"/>
    </w:rPr>
  </w:style>
  <w:style w:type="character" w:customStyle="1" w:styleId="80">
    <w:name w:val="font71"/>
    <w:qFormat/>
    <w:uiPriority w:val="0"/>
    <w:rPr>
      <w:rFonts w:hint="eastAsia" w:ascii="宋体" w:hAnsi="宋体" w:eastAsia="宋体" w:cs="宋体"/>
      <w:color w:val="000000"/>
      <w:sz w:val="20"/>
      <w:szCs w:val="20"/>
      <w:u w:val="none"/>
    </w:rPr>
  </w:style>
  <w:style w:type="paragraph" w:customStyle="1" w:styleId="8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WPSOffice手动目录 2"/>
    <w:qFormat/>
    <w:uiPriority w:val="0"/>
    <w:pPr>
      <w:ind w:leftChars="200"/>
    </w:pPr>
    <w:rPr>
      <w:rFonts w:ascii="Times New Roman" w:hAnsi="Times New Roman" w:eastAsia="宋体" w:cs="Times New Roman"/>
      <w:lang w:val="en-US" w:eastAsia="zh-CN" w:bidi="ar-SA"/>
    </w:rPr>
  </w:style>
  <w:style w:type="paragraph" w:customStyle="1" w:styleId="84">
    <w:name w:val="正文文本 21"/>
    <w:basedOn w:val="1"/>
    <w:next w:val="9"/>
    <w:qFormat/>
    <w:uiPriority w:val="1624"/>
    <w:pPr>
      <w:spacing w:line="480" w:lineRule="auto"/>
    </w:pPr>
  </w:style>
  <w:style w:type="paragraph" w:customStyle="1" w:styleId="85">
    <w:name w:val="Heading 2"/>
    <w:basedOn w:val="1"/>
    <w:qFormat/>
    <w:uiPriority w:val="1"/>
    <w:pPr>
      <w:spacing w:line="364" w:lineRule="exact"/>
      <w:ind w:left="1651" w:hanging="192"/>
      <w:outlineLvl w:val="2"/>
    </w:pPr>
    <w:rPr>
      <w:rFonts w:ascii="微软雅黑" w:hAnsi="微软雅黑" w:eastAsia="微软雅黑" w:cs="微软雅黑"/>
      <w:b/>
      <w:bCs/>
      <w:sz w:val="24"/>
      <w:szCs w:val="24"/>
    </w:rPr>
  </w:style>
  <w:style w:type="paragraph" w:customStyle="1" w:styleId="86">
    <w:name w:val="List Paragraph1"/>
    <w:basedOn w:val="1"/>
    <w:qFormat/>
    <w:uiPriority w:val="0"/>
    <w:pPr>
      <w:ind w:firstLine="420" w:firstLineChars="200"/>
    </w:pPr>
    <w:rPr>
      <w:rFonts w:ascii="Calibri" w:hAnsi="Calibri"/>
      <w:szCs w:val="22"/>
    </w:rPr>
  </w:style>
  <w:style w:type="paragraph" w:customStyle="1" w:styleId="87">
    <w:name w:val="Other|1"/>
    <w:basedOn w:val="1"/>
    <w:qFormat/>
    <w:uiPriority w:val="0"/>
    <w:rPr>
      <w:rFonts w:ascii="宋体" w:hAnsi="宋体" w:cs="宋体"/>
      <w:color w:val="2F2F30"/>
      <w:sz w:val="13"/>
      <w:szCs w:val="13"/>
      <w:lang w:val="zh-TW" w:eastAsia="zh-TW" w:bidi="zh-TW"/>
    </w:rPr>
  </w:style>
  <w:style w:type="paragraph" w:customStyle="1" w:styleId="88">
    <w:name w:val="WPSOffice手动目录 3"/>
    <w:qFormat/>
    <w:uiPriority w:val="0"/>
    <w:pPr>
      <w:ind w:leftChars="400"/>
    </w:pPr>
    <w:rPr>
      <w:rFonts w:ascii="Times New Roman" w:hAnsi="Times New Roman" w:eastAsia="宋体" w:cs="Times New Roman"/>
      <w:lang w:val="en-US" w:eastAsia="zh-CN" w:bidi="ar-SA"/>
    </w:rPr>
  </w:style>
  <w:style w:type="paragraph" w:customStyle="1" w:styleId="8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90">
    <w:name w:val="样式3"/>
    <w:basedOn w:val="15"/>
    <w:qFormat/>
    <w:uiPriority w:val="0"/>
    <w:pPr>
      <w:spacing w:line="0" w:lineRule="atLeast"/>
      <w:outlineLvl w:val="0"/>
    </w:pPr>
    <w:rPr>
      <w:sz w:val="28"/>
    </w:rPr>
  </w:style>
  <w:style w:type="paragraph" w:customStyle="1" w:styleId="9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WPSOffice手动目录 1"/>
    <w:qFormat/>
    <w:uiPriority w:val="0"/>
    <w:rPr>
      <w:rFonts w:ascii="Times New Roman" w:hAnsi="Times New Roman" w:eastAsia="宋体" w:cs="Times New Roman"/>
      <w:lang w:val="en-US" w:eastAsia="zh-CN" w:bidi="ar-SA"/>
    </w:rPr>
  </w:style>
  <w:style w:type="paragraph" w:customStyle="1" w:styleId="93">
    <w:name w:val="1"/>
    <w:basedOn w:val="1"/>
    <w:next w:val="1"/>
    <w:qFormat/>
    <w:uiPriority w:val="0"/>
    <w:rPr>
      <w:rFonts w:ascii="Calibri" w:hAnsi="Calibri"/>
      <w:szCs w:val="24"/>
    </w:rPr>
  </w:style>
  <w:style w:type="paragraph" w:customStyle="1" w:styleId="94">
    <w:name w:val="Body Text First Indent 21"/>
    <w:basedOn w:val="95"/>
    <w:qFormat/>
    <w:uiPriority w:val="0"/>
    <w:pPr>
      <w:autoSpaceDE/>
      <w:autoSpaceDN/>
      <w:adjustRightInd/>
      <w:spacing w:line="360" w:lineRule="auto"/>
      <w:ind w:firstLine="420" w:firstLineChars="200"/>
    </w:pPr>
    <w:rPr>
      <w:rFonts w:ascii="Calibri" w:hAnsi="Calibri" w:eastAsia="宋体" w:cs="Times New Roman"/>
      <w:color w:val="auto"/>
      <w:kern w:val="2"/>
      <w:sz w:val="24"/>
      <w:szCs w:val="22"/>
    </w:rPr>
  </w:style>
  <w:style w:type="paragraph" w:customStyle="1" w:styleId="95">
    <w:name w:val="Body Text Indent1"/>
    <w:basedOn w:val="1"/>
    <w:next w:val="1"/>
    <w:qFormat/>
    <w:uiPriority w:val="0"/>
    <w:pPr>
      <w:spacing w:after="120"/>
      <w:ind w:left="420" w:leftChars="200"/>
    </w:pPr>
    <w:rPr>
      <w:rFonts w:ascii="Times New Roman" w:hAnsi="Times New Roman" w:eastAsia="宋体" w:cs="Times New Roman"/>
    </w:rPr>
  </w:style>
  <w:style w:type="paragraph" w:customStyle="1" w:styleId="96">
    <w:name w:val="Char Char Char Char1"/>
    <w:basedOn w:val="1"/>
    <w:qFormat/>
    <w:uiPriority w:val="0"/>
    <w:rPr>
      <w:rFonts w:ascii="Tahoma" w:hAnsi="Tahoma"/>
      <w:sz w:val="24"/>
      <w:szCs w:val="20"/>
    </w:rPr>
  </w:style>
  <w:style w:type="paragraph" w:customStyle="1" w:styleId="97">
    <w:name w:val="列表段落1"/>
    <w:basedOn w:val="1"/>
    <w:qFormat/>
    <w:uiPriority w:val="34"/>
    <w:pPr>
      <w:widowControl/>
      <w:spacing w:before="100" w:beforeAutospacing="1" w:after="100" w:afterAutospacing="1"/>
      <w:jc w:val="left"/>
    </w:pPr>
    <w:rPr>
      <w:rFonts w:ascii="黑体" w:hAnsi="黑体" w:eastAsia="黑体"/>
      <w:color w:val="000000"/>
      <w:sz w:val="24"/>
      <w:szCs w:val="24"/>
    </w:rPr>
  </w:style>
  <w:style w:type="paragraph" w:customStyle="1" w:styleId="98">
    <w:name w:val="_Style 25"/>
    <w:basedOn w:val="1"/>
    <w:next w:val="70"/>
    <w:qFormat/>
    <w:uiPriority w:val="0"/>
    <w:pPr>
      <w:widowControl/>
      <w:spacing w:before="100" w:beforeAutospacing="1" w:after="100" w:afterAutospacing="1"/>
      <w:jc w:val="left"/>
    </w:pPr>
    <w:rPr>
      <w:rFonts w:ascii="Calibri" w:hAnsi="Calibri" w:eastAsia="等线" w:cs="Times New Roman"/>
      <w:snapToGrid w:val="0"/>
      <w:szCs w:val="21"/>
    </w:rPr>
  </w:style>
  <w:style w:type="paragraph" w:customStyle="1" w:styleId="9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02">
    <w:name w:val="A 专用1"/>
    <w:basedOn w:val="4"/>
    <w:qFormat/>
    <w:locked/>
    <w:uiPriority w:val="0"/>
    <w:pPr>
      <w:spacing w:before="60" w:after="60" w:line="360" w:lineRule="auto"/>
    </w:pPr>
    <w:rPr>
      <w:sz w:val="28"/>
    </w:rPr>
  </w:style>
  <w:style w:type="paragraph" w:customStyle="1" w:styleId="103">
    <w:name w:val="列出段落1"/>
    <w:basedOn w:val="1"/>
    <w:unhideWhenUsed/>
    <w:qFormat/>
    <w:uiPriority w:val="0"/>
    <w:pPr>
      <w:ind w:firstLine="420" w:firstLineChars="200"/>
    </w:pPr>
  </w:style>
  <w:style w:type="paragraph" w:customStyle="1" w:styleId="104">
    <w:name w:val="_Style 1"/>
    <w:qFormat/>
    <w:uiPriority w:val="0"/>
    <w:rPr>
      <w:rFonts w:ascii="Calibri" w:hAnsi="Calibri" w:eastAsia="宋体" w:cs="Times New Roman"/>
      <w:kern w:val="2"/>
      <w:sz w:val="28"/>
      <w:szCs w:val="22"/>
      <w:lang w:val="en-US" w:eastAsia="zh-CN" w:bidi="ar-SA"/>
    </w:rPr>
  </w:style>
  <w:style w:type="paragraph" w:customStyle="1" w:styleId="105">
    <w:name w:val="正文缩进_0"/>
    <w:basedOn w:val="106"/>
    <w:unhideWhenUsed/>
    <w:qFormat/>
    <w:uiPriority w:val="0"/>
    <w:pPr>
      <w:ind w:firstLine="420" w:firstLineChars="200"/>
    </w:pPr>
    <w:rPr>
      <w:rFonts w:ascii="Calibri" w:hAnsi="Calibri"/>
      <w:kern w:val="0"/>
      <w:sz w:val="20"/>
      <w:szCs w:val="20"/>
    </w:rPr>
  </w:style>
  <w:style w:type="paragraph" w:customStyle="1" w:styleId="106">
    <w:name w:val="正文_0"/>
    <w:basedOn w:val="107"/>
    <w:qFormat/>
    <w:uiPriority w:val="0"/>
    <w:rPr>
      <w:rFonts w:ascii="Calibri" w:hAnsi="Calibri"/>
    </w:rPr>
  </w:style>
  <w:style w:type="paragraph" w:customStyle="1" w:styleId="10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样式 正文（首行缩进两字） + 宋体"/>
    <w:basedOn w:val="105"/>
    <w:qFormat/>
    <w:uiPriority w:val="0"/>
    <w:pPr>
      <w:spacing w:line="460" w:lineRule="exact"/>
      <w:ind w:firstLine="200"/>
    </w:pPr>
    <w:rPr>
      <w:rFonts w:ascii="宋体" w:hAnsi="宋体" w:cs="宋体"/>
      <w:spacing w:val="6"/>
      <w:kern w:val="24"/>
      <w:sz w:val="24"/>
      <w:szCs w:val="24"/>
    </w:rPr>
  </w:style>
  <w:style w:type="paragraph" w:customStyle="1" w:styleId="109">
    <w:name w:val="图"/>
    <w:basedOn w:val="1"/>
    <w:next w:val="1"/>
    <w:qFormat/>
    <w:uiPriority w:val="0"/>
    <w:pPr>
      <w:numPr>
        <w:ilvl w:val="0"/>
        <w:numId w:val="2"/>
      </w:numPr>
      <w:wordWrap w:val="0"/>
      <w:adjustRightInd w:val="0"/>
      <w:snapToGrid w:val="0"/>
      <w:jc w:val="left"/>
      <w:outlineLvl w:val="2"/>
    </w:pPr>
    <w:rPr>
      <w:rFonts w:ascii="Times New Roman" w:hAnsi="Times New Roman" w:eastAsia="楷体_GB2312" w:cs="Times New Roman"/>
      <w:b/>
      <w:snapToGrid w:val="0"/>
      <w:sz w:val="24"/>
      <w:szCs w:val="18"/>
    </w:rPr>
  </w:style>
  <w:style w:type="paragraph" w:customStyle="1" w:styleId="110">
    <w:name w:val="表"/>
    <w:basedOn w:val="1"/>
    <w:qFormat/>
    <w:uiPriority w:val="0"/>
    <w:pPr>
      <w:wordWrap w:val="0"/>
      <w:adjustRightInd w:val="0"/>
      <w:snapToGrid w:val="0"/>
      <w:spacing w:beforeLines="5" w:afterLines="5"/>
      <w:jc w:val="center"/>
      <w:textAlignment w:val="center"/>
    </w:pPr>
    <w:rPr>
      <w:rFonts w:ascii="Times New Roman" w:hAnsi="Times New Roman" w:eastAsia="宋体" w:cs="Times New Roman"/>
      <w:snapToGrid w:val="0"/>
      <w:kern w:val="0"/>
      <w:sz w:val="22"/>
    </w:rPr>
  </w:style>
  <w:style w:type="character" w:customStyle="1" w:styleId="111">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80</Pages>
  <Words>40628</Words>
  <Characters>42272</Characters>
  <Lines>325</Lines>
  <Paragraphs>91</Paragraphs>
  <TotalTime>32</TotalTime>
  <ScaleCrop>false</ScaleCrop>
  <LinksUpToDate>false</LinksUpToDate>
  <CharactersWithSpaces>43321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2022-08-19T19:42:00Z</dcterms:created>
  <dc:creator>wxg</dc:creator>
  <cp:lastModifiedBy>hh</cp:lastModifiedBy>
  <cp:lastPrinted>2024-10-28T01:09:00Z</cp:lastPrinted>
  <dcterms:modified xsi:type="dcterms:W3CDTF">2024-12-03T12:08:32Z</dcterms:modified>
  <dc:title>采购单位：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530C269A59674C038FECD45C31D5A83F_13</vt:lpwstr>
  </property>
  <property fmtid="{D5CDD505-2E9C-101B-9397-08002B2CF9AE}" pid="4" name="woTemplateTypoMode">
    <vt:lpwstr/>
  </property>
  <property fmtid="{D5CDD505-2E9C-101B-9397-08002B2CF9AE}" pid="5" name="woTemplate">
    <vt:r8>0</vt:r8>
  </property>
</Properties>
</file>