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FC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jc w:val="left"/>
        <w:textAlignment w:val="bottom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绍兴明晨建设项目管理有限公司关于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柯城区卡露伽鲟鱼农艺农机融合试验基地—自动精准投喂农机装备配置、现代化农业设施建设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的</w:t>
      </w:r>
    </w:p>
    <w:p w14:paraId="245A3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80" w:lineRule="exact"/>
        <w:ind w:firstLine="3362" w:firstLineChars="1200"/>
        <w:jc w:val="left"/>
        <w:textAlignment w:val="bottom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更正公告</w:t>
      </w:r>
    </w:p>
    <w:p w14:paraId="330BE5D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440" w:lineRule="exact"/>
        <w:ind w:left="0" w:right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一、项目基本情况</w:t>
      </w:r>
    </w:p>
    <w:p w14:paraId="0C8BF27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jc w:val="left"/>
        <w:textAlignment w:val="bottom"/>
        <w:rPr>
          <w:rFonts w:hint="eastAsia" w:ascii="宋体" w:hAnsi="宋体" w:eastAsia="宋体" w:cs="宋体"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原公告的采购项目编号：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SXMCQZ2025001</w:t>
      </w:r>
    </w:p>
    <w:p w14:paraId="1590013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40" w:lineRule="exact"/>
        <w:jc w:val="left"/>
        <w:textAlignment w:val="bottom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原公告的采购项目名称：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柯城区卡露伽鲟鱼农艺农机融合试验基地—自动精准投喂农机装备配置、现代化农业设施建设</w:t>
      </w:r>
    </w:p>
    <w:p w14:paraId="0A003BE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440" w:lineRule="exact"/>
        <w:ind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首次公告日期：2025年0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 w14:paraId="063419B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440" w:lineRule="exact"/>
        <w:ind w:left="0" w:right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二、更正信息</w:t>
      </w:r>
    </w:p>
    <w:p w14:paraId="6831B61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440" w:lineRule="exact"/>
        <w:ind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更正事项：采购公告,采购文件</w:t>
      </w:r>
    </w:p>
    <w:p w14:paraId="2A2FD30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440" w:lineRule="exac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更正内容：      </w:t>
      </w:r>
    </w:p>
    <w:tbl>
      <w:tblPr>
        <w:tblW w:w="505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0" w:type="dxa"/>
          <w:bottom w:w="15" w:type="dxa"/>
          <w:right w:w="15" w:type="dxa"/>
        </w:tblCellMar>
      </w:tblPr>
      <w:tblGrid>
        <w:gridCol w:w="930"/>
        <w:gridCol w:w="1869"/>
        <w:gridCol w:w="2925"/>
        <w:gridCol w:w="2918"/>
      </w:tblGrid>
      <w:tr w14:paraId="21C94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5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4EEA9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beforeAutospacing="0" w:afterAutospacing="0" w:line="400" w:lineRule="exact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6874B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beforeAutospacing="0" w:afterAutospacing="0" w:line="400" w:lineRule="exact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更正项</w:t>
            </w:r>
          </w:p>
        </w:tc>
        <w:tc>
          <w:tcPr>
            <w:tcW w:w="16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4F2AD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beforeAutospacing="0" w:afterAutospacing="0" w:line="400" w:lineRule="exact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更正前内容</w:t>
            </w:r>
          </w:p>
        </w:tc>
        <w:tc>
          <w:tcPr>
            <w:tcW w:w="168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EDC4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beforeAutospacing="0" w:afterAutospacing="0" w:line="400" w:lineRule="exact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更正后内容</w:t>
            </w:r>
          </w:p>
        </w:tc>
      </w:tr>
      <w:tr w14:paraId="0A1E4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5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5A519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beforeAutospacing="0" w:afterAutospacing="0" w:line="400" w:lineRule="exact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5441B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beforeAutospacing="0" w:afterAutospacing="0" w:line="400" w:lineRule="exact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采购文件预算金额及最高限价</w:t>
            </w:r>
          </w:p>
        </w:tc>
        <w:tc>
          <w:tcPr>
            <w:tcW w:w="16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6AAC0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beforeAutospacing="0" w:afterAutospacing="0" w:line="4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预算金额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2980588.15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元</w:t>
            </w:r>
          </w:p>
          <w:p w14:paraId="645D7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beforeAutospacing="0" w:afterAutospacing="0" w:line="4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最高限价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2980588.15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元</w:t>
            </w:r>
          </w:p>
        </w:tc>
        <w:tc>
          <w:tcPr>
            <w:tcW w:w="168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344ED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beforeAutospacing="0" w:afterAutospacing="0" w:line="4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预算金额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：2986756.88元</w:t>
            </w:r>
          </w:p>
          <w:p w14:paraId="3919C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beforeAutospacing="0" w:afterAutospacing="0" w:line="400" w:lineRule="exact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最高限价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：2986756.88元</w:t>
            </w:r>
          </w:p>
        </w:tc>
      </w:tr>
    </w:tbl>
    <w:p w14:paraId="3B9C197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更正日期：2025年02月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 w14:paraId="4B2BEDD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三、其他补充事宜</w:t>
      </w:r>
    </w:p>
    <w:p w14:paraId="70C831F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四、对本次采购提出询问、质疑、投诉，请按以下方式联系。</w:t>
      </w:r>
    </w:p>
    <w:p w14:paraId="033F6E4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40" w:lineRule="exact"/>
        <w:ind w:left="0" w:firstLine="482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1、招标人名称：衢州鲟龙水产食品科技开发有限公司</w:t>
      </w:r>
    </w:p>
    <w:p w14:paraId="56E62F3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40" w:lineRule="exact"/>
        <w:ind w:left="0" w:firstLine="482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联系人：陈女士</w:t>
      </w:r>
    </w:p>
    <w:p w14:paraId="631613C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40" w:lineRule="exact"/>
        <w:ind w:left="0" w:firstLine="482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联系电话：18057023886</w:t>
      </w:r>
    </w:p>
    <w:bookmarkEnd w:id="0"/>
    <w:p w14:paraId="3B4D22C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40" w:lineRule="exact"/>
        <w:ind w:left="0" w:firstLine="482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2、采购代理机构名称：绍兴明晨建设项目管理有限公司</w:t>
      </w:r>
    </w:p>
    <w:p w14:paraId="4985F62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40" w:lineRule="exact"/>
        <w:ind w:left="0" w:firstLine="482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联系人：邱先生</w:t>
      </w:r>
    </w:p>
    <w:p w14:paraId="4CFD97D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40" w:lineRule="exact"/>
        <w:ind w:left="0" w:firstLine="482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联系电话：15205701567</w:t>
      </w:r>
    </w:p>
    <w:p w14:paraId="5BA287B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40" w:lineRule="exact"/>
        <w:ind w:left="0" w:firstLine="482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地址：柯城区双港街道荷五路761号</w:t>
      </w:r>
    </w:p>
    <w:p w14:paraId="06B094F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40" w:lineRule="exact"/>
        <w:ind w:left="0" w:firstLine="482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3．同级监督管理部门名称：衢州鲟龙水产食品科技开发有限公司内控中心（对本项目的 所有内容有质疑，请联系代理机构或招标人）</w:t>
      </w:r>
    </w:p>
    <w:p w14:paraId="659E62D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40" w:lineRule="exact"/>
        <w:ind w:left="0" w:firstLine="482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联系人：石先生</w:t>
      </w:r>
    </w:p>
    <w:p w14:paraId="694A08B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40" w:lineRule="exact"/>
        <w:ind w:left="0" w:firstLine="482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监督投诉电话：17757008638</w:t>
      </w:r>
    </w:p>
    <w:p w14:paraId="3DF2C39C">
      <w:pPr>
        <w:keepNext w:val="0"/>
        <w:keepLines w:val="0"/>
        <w:pageBreakBefore w:val="0"/>
        <w:kinsoku/>
        <w:overflowPunct/>
        <w:topLinePunct w:val="0"/>
        <w:bidi w:val="0"/>
        <w:spacing w:line="400" w:lineRule="exact"/>
        <w:rPr>
          <w:sz w:val="21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2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atLeast"/>
      <w:ind w:firstLine="570"/>
    </w:pPr>
    <w:rPr>
      <w:rFonts w:ascii="黑体" w:eastAsia="黑体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uiPriority w:val="0"/>
    <w:pPr>
      <w:spacing w:after="120" w:afterLines="0" w:afterAutospacing="0" w:line="240" w:lineRule="auto"/>
      <w:ind w:left="420" w:leftChars="200" w:firstLine="420" w:firstLineChars="200"/>
    </w:pPr>
    <w:rPr>
      <w:rFonts w:ascii="等线" w:hAnsi="等线" w:eastAsia="等线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zzj</dc:creator>
  <cp:lastModifiedBy>妍妍的妈咪</cp:lastModifiedBy>
  <dcterms:modified xsi:type="dcterms:W3CDTF">2025-02-15T06:05:42Z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eyJoZGlkIjoiZThhNDdiZjIzY2Q0YTRkNjc5MGViZDE3OTAzNGFhNTQiLCJ1c2VySWQiOiI2ODc3NjU4NDAifQ==</vt:lpwstr>
  </property>
  <property fmtid="{D5CDD505-2E9C-101B-9397-08002B2CF9AE}" pid="4" name="ICV">
    <vt:lpwstr>E4109D1F2DB94A0C9FF15B12CED6B46A_13</vt:lpwstr>
  </property>
</Properties>
</file>