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8"/>
      </w:tblGrid>
      <w:tr w14:paraId="356B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jc w:val="center"/>
        </w:trPr>
        <w:tc>
          <w:tcPr>
            <w:tcW w:w="9258" w:type="dxa"/>
          </w:tcPr>
          <w:p w14:paraId="12A7FDA6">
            <w:pPr>
              <w:autoSpaceDE w:val="0"/>
              <w:autoSpaceDN w:val="0"/>
              <w:adjustRightInd w:val="0"/>
              <w:snapToGrid w:val="0"/>
              <w:spacing w:line="500" w:lineRule="atLeast"/>
              <w:ind w:left="956"/>
              <w:rPr>
                <w:rFonts w:ascii="Cambria Math" w:hAnsi="Cambria Math" w:eastAsia="Cambria Math"/>
                <w:b w:val="0"/>
                <w:bCs w:val="0"/>
                <w:color w:val="auto"/>
                <w:sz w:val="32"/>
                <w:szCs w:val="32"/>
                <w:lang w:val="zh-CN"/>
              </w:rPr>
            </w:pPr>
          </w:p>
          <w:p w14:paraId="477E0773">
            <w:pPr>
              <w:autoSpaceDE w:val="0"/>
              <w:autoSpaceDN w:val="0"/>
              <w:adjustRightInd w:val="0"/>
              <w:snapToGrid w:val="0"/>
              <w:spacing w:line="500" w:lineRule="atLeast"/>
              <w:jc w:val="center"/>
              <w:rPr>
                <w:rFonts w:ascii="Cambria Math" w:hAnsi="Cambria Math" w:eastAsia="Cambria Math"/>
                <w:color w:val="auto"/>
                <w:sz w:val="32"/>
                <w:szCs w:val="32"/>
                <w:lang w:val="zh-CN"/>
              </w:rPr>
            </w:pPr>
          </w:p>
          <w:p w14:paraId="33F32910">
            <w:pPr>
              <w:jc w:val="center"/>
              <w:rPr>
                <w:rFonts w:ascii="Cambria Math" w:hAnsi="Cambria Math" w:eastAsia="Cambria Math"/>
                <w:b w:val="0"/>
                <w:color w:val="auto"/>
                <w:sz w:val="72"/>
              </w:rPr>
            </w:pPr>
            <w:r>
              <w:rPr>
                <w:rFonts w:hint="eastAsia" w:ascii="宋体" w:hAnsi="宋体"/>
                <w:b w:val="0"/>
                <w:color w:val="auto"/>
                <w:sz w:val="72"/>
              </w:rPr>
              <w:t xml:space="preserve">龙 港 </w:t>
            </w:r>
            <w:r>
              <w:rPr>
                <w:rFonts w:hint="eastAsia" w:ascii="Cambria Math" w:hAnsi="Cambria Math" w:eastAsia="Cambria Math"/>
                <w:b w:val="0"/>
                <w:color w:val="auto"/>
                <w:sz w:val="72"/>
              </w:rPr>
              <w:t>市 国 企 采 购</w:t>
            </w:r>
          </w:p>
          <w:p w14:paraId="6D773597">
            <w:pPr>
              <w:jc w:val="center"/>
              <w:rPr>
                <w:rFonts w:hint="eastAsia" w:ascii="宋体" w:hAnsi="宋体" w:cs="宋体"/>
                <w:b w:val="0"/>
                <w:color w:val="auto"/>
                <w:sz w:val="72"/>
              </w:rPr>
            </w:pPr>
            <w:r>
              <w:rPr>
                <w:rFonts w:hint="eastAsia" w:ascii="宋体" w:hAnsi="宋体" w:cs="宋体"/>
                <w:b w:val="0"/>
                <w:color w:val="auto"/>
                <w:sz w:val="72"/>
              </w:rPr>
              <w:t>招 标 文 件</w:t>
            </w:r>
          </w:p>
          <w:p w14:paraId="557F0190">
            <w:pPr>
              <w:ind w:firstLine="1200" w:firstLineChars="400"/>
              <w:rPr>
                <w:rFonts w:ascii="Cambria Math" w:hAnsi="Cambria Math"/>
                <w:b w:val="0"/>
                <w:color w:val="auto"/>
                <w:sz w:val="30"/>
                <w:szCs w:val="30"/>
              </w:rPr>
            </w:pPr>
          </w:p>
          <w:p w14:paraId="64A789A6">
            <w:pPr>
              <w:ind w:firstLine="1200" w:firstLineChars="400"/>
              <w:rPr>
                <w:rFonts w:ascii="Cambria Math" w:hAnsi="Cambria Math"/>
                <w:b w:val="0"/>
                <w:color w:val="auto"/>
                <w:sz w:val="30"/>
                <w:szCs w:val="30"/>
              </w:rPr>
            </w:pPr>
          </w:p>
          <w:p w14:paraId="55ABEDBE">
            <w:pPr>
              <w:spacing w:line="360" w:lineRule="auto"/>
              <w:ind w:left="2527" w:leftChars="569" w:hanging="1332" w:hangingChars="444"/>
              <w:rPr>
                <w:rFonts w:hint="eastAsia" w:ascii="Cambria Math" w:hAnsi="Cambria Math" w:eastAsia="宋体"/>
                <w:b w:val="0"/>
                <w:color w:val="auto"/>
                <w:sz w:val="30"/>
                <w:szCs w:val="30"/>
                <w:lang w:eastAsia="zh-CN"/>
              </w:rPr>
            </w:pPr>
            <w:r>
              <w:rPr>
                <w:rFonts w:hint="eastAsia" w:ascii="Cambria Math" w:hAnsi="Cambria Math" w:eastAsia="Cambria Math"/>
                <w:b w:val="0"/>
                <w:color w:val="auto"/>
                <w:sz w:val="30"/>
                <w:szCs w:val="30"/>
              </w:rPr>
              <w:t>项目名称：</w:t>
            </w:r>
            <w:r>
              <w:rPr>
                <w:rFonts w:hint="eastAsia" w:ascii="宋体" w:hAnsi="宋体" w:cs="宋体"/>
                <w:b w:val="0"/>
                <w:color w:val="auto"/>
                <w:sz w:val="30"/>
                <w:szCs w:val="30"/>
                <w:highlight w:val="none"/>
                <w:lang w:eastAsia="zh-CN"/>
              </w:rPr>
              <w:t>龙港水务供水桥管维养服务项目</w:t>
            </w:r>
          </w:p>
          <w:p w14:paraId="35EFBB95">
            <w:pPr>
              <w:spacing w:line="360" w:lineRule="auto"/>
              <w:ind w:firstLine="1200" w:firstLineChars="400"/>
              <w:rPr>
                <w:rFonts w:ascii="Cambria Math" w:hAnsi="Cambria Math" w:eastAsia="Cambria Math"/>
                <w:b w:val="0"/>
                <w:color w:val="auto"/>
                <w:sz w:val="30"/>
                <w:szCs w:val="30"/>
              </w:rPr>
            </w:pPr>
            <w:r>
              <w:rPr>
                <w:rFonts w:hint="eastAsia" w:ascii="Cambria Math" w:hAnsi="Cambria Math" w:eastAsia="Cambria Math"/>
                <w:b w:val="0"/>
                <w:color w:val="auto"/>
                <w:sz w:val="30"/>
                <w:szCs w:val="30"/>
              </w:rPr>
              <w:t>采购方式：公开招标</w:t>
            </w:r>
          </w:p>
          <w:p w14:paraId="2D1FDE18">
            <w:pPr>
              <w:ind w:firstLine="1200" w:firstLineChars="400"/>
              <w:rPr>
                <w:rFonts w:ascii="Cambria Math" w:hAnsi="Cambria Math" w:eastAsiaTheme="minorEastAsia"/>
                <w:b w:val="0"/>
                <w:color w:val="auto"/>
                <w:sz w:val="30"/>
                <w:szCs w:val="30"/>
              </w:rPr>
            </w:pPr>
          </w:p>
          <w:p w14:paraId="7D670DD8">
            <w:pPr>
              <w:ind w:firstLine="1200" w:firstLineChars="400"/>
              <w:rPr>
                <w:rFonts w:ascii="Cambria Math" w:hAnsi="Cambria Math" w:eastAsia="Cambria Math"/>
                <w:b w:val="0"/>
                <w:color w:val="auto"/>
                <w:sz w:val="30"/>
                <w:szCs w:val="30"/>
              </w:rPr>
            </w:pPr>
          </w:p>
          <w:p w14:paraId="2ACE85D4">
            <w:pPr>
              <w:ind w:firstLine="1200" w:firstLineChars="400"/>
              <w:rPr>
                <w:rFonts w:ascii="Cambria Math" w:hAnsi="Cambria Math"/>
                <w:b w:val="0"/>
                <w:color w:val="auto"/>
                <w:sz w:val="30"/>
                <w:szCs w:val="30"/>
              </w:rPr>
            </w:pPr>
            <w:r>
              <w:rPr>
                <w:rFonts w:hint="eastAsia" w:ascii="Cambria Math" w:hAnsi="Cambria Math" w:eastAsia="Cambria Math"/>
                <w:b w:val="0"/>
                <w:color w:val="auto"/>
                <w:sz w:val="30"/>
                <w:szCs w:val="30"/>
              </w:rPr>
              <w:t>采 购 人：</w:t>
            </w:r>
            <w:r>
              <w:rPr>
                <w:rFonts w:hint="eastAsia" w:ascii="宋体" w:hAnsi="宋体" w:cs="宋体"/>
                <w:b w:val="0"/>
                <w:color w:val="auto"/>
                <w:sz w:val="30"/>
                <w:szCs w:val="30"/>
              </w:rPr>
              <w:t>温州公用事业发展集团龙港水务有限公司</w:t>
            </w:r>
          </w:p>
          <w:p w14:paraId="530BD839">
            <w:pPr>
              <w:ind w:firstLine="1200" w:firstLineChars="400"/>
              <w:rPr>
                <w:rFonts w:ascii="Cambria Math" w:hAnsi="Cambria Math" w:eastAsia="Cambria Math"/>
                <w:b w:val="0"/>
                <w:color w:val="auto"/>
                <w:sz w:val="30"/>
                <w:szCs w:val="30"/>
              </w:rPr>
            </w:pPr>
          </w:p>
          <w:p w14:paraId="243BD936">
            <w:pPr>
              <w:rPr>
                <w:rFonts w:ascii="Cambria Math" w:hAnsi="Cambria Math" w:eastAsia="Cambria Math"/>
                <w:b w:val="0"/>
                <w:color w:val="auto"/>
                <w:sz w:val="30"/>
                <w:szCs w:val="30"/>
              </w:rPr>
            </w:pPr>
          </w:p>
          <w:p w14:paraId="41E1475D">
            <w:pPr>
              <w:ind w:firstLine="1200" w:firstLineChars="400"/>
              <w:rPr>
                <w:rFonts w:ascii="Cambria Math" w:hAnsi="Cambria Math" w:eastAsia="Cambria Math"/>
                <w:b w:val="0"/>
                <w:color w:val="auto"/>
                <w:sz w:val="30"/>
                <w:szCs w:val="30"/>
              </w:rPr>
            </w:pPr>
          </w:p>
          <w:p w14:paraId="437868C2">
            <w:pPr>
              <w:spacing w:line="360" w:lineRule="auto"/>
              <w:ind w:firstLine="1200" w:firstLineChars="400"/>
              <w:rPr>
                <w:rFonts w:ascii="Cambria Math" w:hAnsi="Cambria Math"/>
                <w:b w:val="0"/>
                <w:color w:val="auto"/>
                <w:sz w:val="30"/>
                <w:szCs w:val="30"/>
              </w:rPr>
            </w:pPr>
            <w:r>
              <w:rPr>
                <w:rFonts w:hint="eastAsia" w:ascii="Cambria Math" w:hAnsi="Cambria Math" w:eastAsia="Cambria Math"/>
                <w:b w:val="0"/>
                <w:color w:val="auto"/>
                <w:sz w:val="30"/>
                <w:szCs w:val="30"/>
              </w:rPr>
              <w:t>代理机构：</w:t>
            </w:r>
            <w:r>
              <w:rPr>
                <w:rFonts w:hint="eastAsia" w:ascii="Cambria Math" w:hAnsi="Cambria Math"/>
                <w:b w:val="0"/>
                <w:color w:val="auto"/>
                <w:sz w:val="30"/>
                <w:szCs w:val="30"/>
              </w:rPr>
              <w:t>温州超然招标代理有限公司</w:t>
            </w:r>
          </w:p>
          <w:p w14:paraId="67FE61B6">
            <w:pPr>
              <w:spacing w:line="360" w:lineRule="auto"/>
              <w:ind w:firstLine="1200" w:firstLineChars="400"/>
              <w:rPr>
                <w:rFonts w:ascii="Cambria Math" w:hAnsi="Cambria Math"/>
                <w:b w:val="0"/>
                <w:color w:val="auto"/>
                <w:sz w:val="30"/>
                <w:szCs w:val="30"/>
              </w:rPr>
            </w:pPr>
            <w:r>
              <w:rPr>
                <w:rFonts w:hint="eastAsia" w:ascii="Cambria Math" w:hAnsi="Cambria Math" w:eastAsia="Cambria Math"/>
                <w:b w:val="0"/>
                <w:color w:val="auto"/>
                <w:sz w:val="30"/>
                <w:szCs w:val="30"/>
              </w:rPr>
              <w:t>联 系 人：</w:t>
            </w:r>
            <w:r>
              <w:rPr>
                <w:rFonts w:hint="eastAsia" w:ascii="Cambria Math" w:hAnsi="Cambria Math"/>
                <w:b w:val="0"/>
                <w:color w:val="auto"/>
                <w:sz w:val="30"/>
                <w:szCs w:val="30"/>
              </w:rPr>
              <w:t>洪世铭</w:t>
            </w:r>
          </w:p>
          <w:p w14:paraId="19C0A02C">
            <w:pPr>
              <w:spacing w:line="360" w:lineRule="auto"/>
              <w:ind w:firstLine="1200" w:firstLineChars="400"/>
              <w:rPr>
                <w:rFonts w:hint="eastAsia" w:ascii="宋体" w:hAnsi="宋体"/>
                <w:b w:val="0"/>
                <w:color w:val="auto"/>
                <w:sz w:val="30"/>
                <w:szCs w:val="30"/>
              </w:rPr>
            </w:pPr>
            <w:r>
              <w:rPr>
                <w:rFonts w:hint="eastAsia" w:ascii="Cambria Math" w:hAnsi="Cambria Math" w:eastAsia="Cambria Math"/>
                <w:b w:val="0"/>
                <w:color w:val="auto"/>
                <w:sz w:val="30"/>
                <w:szCs w:val="30"/>
              </w:rPr>
              <w:t>联系电话：</w:t>
            </w:r>
            <w:r>
              <w:rPr>
                <w:rFonts w:hint="eastAsia" w:ascii="宋体" w:hAnsi="宋体"/>
                <w:b w:val="0"/>
                <w:color w:val="auto"/>
                <w:sz w:val="30"/>
                <w:szCs w:val="30"/>
              </w:rPr>
              <w:t>0577-68803069</w:t>
            </w:r>
          </w:p>
          <w:p w14:paraId="30197CE1">
            <w:pPr>
              <w:autoSpaceDE w:val="0"/>
              <w:autoSpaceDN w:val="0"/>
              <w:adjustRightInd w:val="0"/>
              <w:snapToGrid w:val="0"/>
              <w:spacing w:line="500" w:lineRule="atLeast"/>
              <w:jc w:val="center"/>
              <w:rPr>
                <w:rFonts w:ascii="Cambria Math" w:hAnsi="Cambria Math" w:eastAsia="Cambria Math"/>
                <w:b w:val="0"/>
                <w:color w:val="auto"/>
                <w:sz w:val="30"/>
                <w:szCs w:val="30"/>
              </w:rPr>
            </w:pPr>
          </w:p>
          <w:p w14:paraId="627A6957">
            <w:pPr>
              <w:autoSpaceDE w:val="0"/>
              <w:autoSpaceDN w:val="0"/>
              <w:adjustRightInd w:val="0"/>
              <w:snapToGrid w:val="0"/>
              <w:spacing w:line="500" w:lineRule="atLeast"/>
              <w:jc w:val="center"/>
              <w:rPr>
                <w:rFonts w:ascii="Cambria Math" w:hAnsi="Cambria Math" w:eastAsia="Cambria Math"/>
                <w:b w:val="0"/>
                <w:color w:val="auto"/>
                <w:sz w:val="30"/>
                <w:szCs w:val="30"/>
              </w:rPr>
            </w:pPr>
          </w:p>
          <w:p w14:paraId="747C062F">
            <w:pPr>
              <w:autoSpaceDE w:val="0"/>
              <w:autoSpaceDN w:val="0"/>
              <w:adjustRightInd w:val="0"/>
              <w:snapToGrid w:val="0"/>
              <w:spacing w:line="500" w:lineRule="atLeast"/>
              <w:jc w:val="center"/>
              <w:rPr>
                <w:rFonts w:ascii="Cambria Math" w:hAnsi="Cambria Math" w:eastAsia="Cambria Math"/>
                <w:b w:val="0"/>
                <w:color w:val="auto"/>
                <w:sz w:val="32"/>
                <w:szCs w:val="32"/>
                <w:lang w:val="zh-CN"/>
              </w:rPr>
            </w:pPr>
            <w:r>
              <w:rPr>
                <w:rFonts w:hint="eastAsia" w:ascii="宋体" w:hAnsi="宋体" w:cs="宋体"/>
                <w:b w:val="0"/>
                <w:color w:val="auto"/>
                <w:sz w:val="30"/>
                <w:szCs w:val="30"/>
              </w:rPr>
              <w:t>2025年</w:t>
            </w:r>
            <w:r>
              <w:rPr>
                <w:rFonts w:hint="eastAsia" w:ascii="宋体" w:hAnsi="宋体" w:cs="宋体"/>
                <w:b w:val="0"/>
                <w:color w:val="auto"/>
                <w:sz w:val="30"/>
                <w:szCs w:val="30"/>
                <w:lang w:val="en-US" w:eastAsia="zh-CN"/>
              </w:rPr>
              <w:t>3</w:t>
            </w:r>
            <w:r>
              <w:rPr>
                <w:rFonts w:hint="eastAsia" w:ascii="宋体" w:hAnsi="宋体" w:cs="宋体"/>
                <w:b w:val="0"/>
                <w:color w:val="auto"/>
                <w:sz w:val="30"/>
                <w:szCs w:val="30"/>
              </w:rPr>
              <w:t>月</w:t>
            </w:r>
          </w:p>
        </w:tc>
      </w:tr>
    </w:tbl>
    <w:p w14:paraId="6BB94921">
      <w:pPr>
        <w:pStyle w:val="4"/>
        <w:tabs>
          <w:tab w:val="left" w:pos="2725"/>
        </w:tabs>
        <w:spacing w:before="0" w:after="120" w:line="700" w:lineRule="exact"/>
        <w:ind w:left="0" w:firstLine="0"/>
        <w:jc w:val="center"/>
        <w:rPr>
          <w:rFonts w:hint="eastAsia" w:ascii="宋体" w:hAnsi="宋体" w:eastAsia="宋体" w:cs="宋体"/>
          <w:b/>
          <w:bCs/>
          <w:color w:val="auto"/>
          <w:spacing w:val="0"/>
          <w:szCs w:val="30"/>
        </w:rPr>
        <w:sectPr>
          <w:footerReference r:id="rId3" w:type="default"/>
          <w:pgSz w:w="11906" w:h="16839"/>
          <w:pgMar w:top="1431" w:right="1785" w:bottom="1171" w:left="1785" w:header="0" w:footer="992" w:gutter="0"/>
          <w:cols w:space="720" w:num="1"/>
        </w:sectPr>
      </w:pPr>
    </w:p>
    <w:p w14:paraId="6E174F97">
      <w:pPr>
        <w:pStyle w:val="4"/>
        <w:tabs>
          <w:tab w:val="left" w:pos="2725"/>
        </w:tabs>
        <w:spacing w:before="0" w:after="120" w:line="700" w:lineRule="exact"/>
        <w:ind w:left="0" w:firstLine="0"/>
        <w:jc w:val="center"/>
        <w:rPr>
          <w:rFonts w:ascii="Cambria Math" w:hAnsi="Cambria Math" w:eastAsia="Cambria Math"/>
          <w:b/>
          <w:color w:val="auto"/>
          <w:spacing w:val="0"/>
          <w:szCs w:val="30"/>
        </w:rPr>
      </w:pPr>
      <w:r>
        <w:rPr>
          <w:rFonts w:hint="eastAsia" w:ascii="宋体" w:hAnsi="宋体" w:eastAsia="宋体" w:cs="宋体"/>
          <w:b/>
          <w:bCs/>
          <w:color w:val="auto"/>
          <w:spacing w:val="0"/>
          <w:szCs w:val="30"/>
        </w:rPr>
        <w:t>温州市公用集团所属温州公用事业发展集团龙港水务有限公司关于</w:t>
      </w:r>
      <w:r>
        <w:rPr>
          <w:rFonts w:hint="eastAsia" w:ascii="宋体" w:hAnsi="宋体" w:eastAsia="宋体" w:cs="宋体"/>
          <w:b/>
          <w:bCs/>
          <w:color w:val="auto"/>
          <w:spacing w:val="0"/>
          <w:szCs w:val="30"/>
          <w:lang w:eastAsia="zh-CN"/>
        </w:rPr>
        <w:t>龙港水务供水桥管维养服务项目</w:t>
      </w:r>
      <w:r>
        <w:rPr>
          <w:rFonts w:hint="eastAsia" w:ascii="Cambria Math" w:hAnsi="Cambria Math" w:eastAsia="Cambria Math"/>
          <w:b/>
          <w:color w:val="auto"/>
          <w:spacing w:val="0"/>
          <w:szCs w:val="30"/>
        </w:rPr>
        <w:t>公开招标公告</w:t>
      </w:r>
    </w:p>
    <w:p w14:paraId="7943ABD3">
      <w:pPr>
        <w:spacing w:line="360" w:lineRule="auto"/>
        <w:rPr>
          <w:rFonts w:hint="eastAsia" w:ascii="宋体" w:hAnsi="宋体"/>
          <w:b w:val="0"/>
          <w:color w:val="auto"/>
          <w:sz w:val="22"/>
          <w:szCs w:val="22"/>
        </w:rPr>
      </w:pPr>
      <w:bookmarkStart w:id="0" w:name="OLE_LINK1"/>
      <w:bookmarkStart w:id="1" w:name="OLE_LINK2"/>
      <w:r>
        <w:rPr>
          <w:rFonts w:ascii="宋体" w:hAnsi="宋体"/>
          <w:b w:val="0"/>
          <w:color w:val="auto"/>
          <w:sz w:val="22"/>
          <w:szCs w:val="22"/>
        </w:rPr>
        <w:t>项目概况</w:t>
      </w:r>
    </w:p>
    <w:p w14:paraId="75184810">
      <w:pPr>
        <w:spacing w:line="360" w:lineRule="auto"/>
        <w:rPr>
          <w:rFonts w:hint="eastAsia" w:ascii="宋体" w:hAnsi="宋体"/>
          <w:b w:val="0"/>
          <w:color w:val="auto"/>
          <w:sz w:val="22"/>
          <w:szCs w:val="22"/>
        </w:rPr>
      </w:pPr>
      <w:r>
        <w:rPr>
          <w:rFonts w:ascii="宋体" w:hAnsi="宋体"/>
          <w:b w:val="0"/>
          <w:color w:val="auto"/>
          <w:sz w:val="22"/>
          <w:szCs w:val="22"/>
        </w:rPr>
        <w:t>   </w:t>
      </w:r>
      <w:r>
        <w:rPr>
          <w:rFonts w:hint="eastAsia" w:ascii="宋体" w:hAnsi="宋体" w:cs="宋体"/>
          <w:b w:val="0"/>
          <w:color w:val="auto"/>
          <w:sz w:val="22"/>
          <w:szCs w:val="22"/>
          <w:lang w:eastAsia="zh-CN"/>
        </w:rPr>
        <w:t>龙港水务供水桥管维养服务项目</w:t>
      </w:r>
      <w:r>
        <w:rPr>
          <w:rFonts w:hint="eastAsia" w:ascii="宋体" w:hAnsi="宋体"/>
          <w:b w:val="0"/>
          <w:color w:val="auto"/>
          <w:sz w:val="22"/>
          <w:szCs w:val="22"/>
        </w:rPr>
        <w:t>的潜在</w:t>
      </w:r>
      <w:r>
        <w:rPr>
          <w:rFonts w:ascii="宋体" w:hAnsi="宋体"/>
          <w:b w:val="0"/>
          <w:color w:val="auto"/>
          <w:sz w:val="22"/>
          <w:szCs w:val="22"/>
        </w:rPr>
        <w:t>投标人</w:t>
      </w:r>
      <w:r>
        <w:rPr>
          <w:rFonts w:hint="eastAsia" w:ascii="宋体" w:hAnsi="宋体"/>
          <w:b w:val="0"/>
          <w:color w:val="auto"/>
          <w:sz w:val="22"/>
          <w:szCs w:val="22"/>
        </w:rPr>
        <w:t>应在</w:t>
      </w:r>
      <w:r>
        <w:rPr>
          <w:rFonts w:hint="eastAsia" w:ascii="宋体" w:hAnsi="宋体" w:cs="@楷体_GB2312"/>
          <w:b w:val="0"/>
          <w:bCs w:val="0"/>
          <w:color w:val="auto"/>
          <w:sz w:val="22"/>
          <w:szCs w:val="22"/>
        </w:rPr>
        <w:t>乐采云平台（www.lecaiyun.com）</w:t>
      </w:r>
      <w:r>
        <w:rPr>
          <w:rFonts w:hint="eastAsia" w:ascii="宋体" w:hAnsi="宋体"/>
          <w:b w:val="0"/>
          <w:color w:val="auto"/>
          <w:sz w:val="22"/>
          <w:szCs w:val="22"/>
        </w:rPr>
        <w:t>获取（下载）招标文件</w:t>
      </w:r>
      <w:r>
        <w:rPr>
          <w:rFonts w:ascii="宋体" w:hAnsi="宋体"/>
          <w:b w:val="0"/>
          <w:color w:val="auto"/>
          <w:sz w:val="22"/>
          <w:szCs w:val="22"/>
        </w:rPr>
        <w:t>，并于</w:t>
      </w:r>
      <w:r>
        <w:rPr>
          <w:rFonts w:hint="eastAsia" w:ascii="宋体" w:hAnsi="宋体"/>
          <w:b w:val="0"/>
          <w:color w:val="auto"/>
          <w:sz w:val="22"/>
          <w:szCs w:val="22"/>
        </w:rPr>
        <w:t>2025</w:t>
      </w:r>
      <w:r>
        <w:rPr>
          <w:rFonts w:ascii="宋体" w:hAnsi="宋体"/>
          <w:b w:val="0"/>
          <w:color w:val="auto"/>
          <w:sz w:val="22"/>
          <w:szCs w:val="22"/>
        </w:rPr>
        <w:t>年</w:t>
      </w:r>
      <w:r>
        <w:rPr>
          <w:rFonts w:hint="eastAsia" w:ascii="宋体" w:hAnsi="宋体"/>
          <w:b w:val="0"/>
          <w:color w:val="auto"/>
          <w:sz w:val="22"/>
          <w:szCs w:val="22"/>
        </w:rPr>
        <w:t>0</w:t>
      </w:r>
      <w:r>
        <w:rPr>
          <w:rFonts w:hint="eastAsia" w:ascii="宋体" w:hAnsi="宋体"/>
          <w:b w:val="0"/>
          <w:color w:val="auto"/>
          <w:sz w:val="22"/>
          <w:szCs w:val="22"/>
          <w:lang w:val="en-US" w:eastAsia="zh-CN"/>
        </w:rPr>
        <w:t>3</w:t>
      </w:r>
      <w:r>
        <w:rPr>
          <w:rFonts w:ascii="宋体" w:hAnsi="宋体"/>
          <w:b w:val="0"/>
          <w:color w:val="auto"/>
          <w:sz w:val="22"/>
          <w:szCs w:val="22"/>
        </w:rPr>
        <w:t>月</w:t>
      </w:r>
      <w:r>
        <w:rPr>
          <w:rFonts w:hint="eastAsia" w:ascii="宋体" w:hAnsi="宋体"/>
          <w:b w:val="0"/>
          <w:color w:val="auto"/>
          <w:sz w:val="22"/>
          <w:szCs w:val="22"/>
          <w:lang w:val="en-US" w:eastAsia="zh-CN"/>
        </w:rPr>
        <w:t>24</w:t>
      </w:r>
      <w:r>
        <w:rPr>
          <w:rFonts w:ascii="宋体" w:hAnsi="宋体"/>
          <w:b w:val="0"/>
          <w:color w:val="auto"/>
          <w:sz w:val="22"/>
          <w:szCs w:val="22"/>
        </w:rPr>
        <w:t>日 14</w:t>
      </w:r>
      <w:r>
        <w:rPr>
          <w:rFonts w:hint="eastAsia" w:ascii="宋体" w:hAnsi="宋体"/>
          <w:b w:val="0"/>
          <w:color w:val="auto"/>
          <w:sz w:val="22"/>
          <w:szCs w:val="22"/>
        </w:rPr>
        <w:t>:30</w:t>
      </w:r>
      <w:r>
        <w:rPr>
          <w:rFonts w:ascii="宋体" w:hAnsi="宋体"/>
          <w:b w:val="0"/>
          <w:color w:val="auto"/>
          <w:sz w:val="22"/>
          <w:szCs w:val="22"/>
        </w:rPr>
        <w:t>（北京时间）前递交（上传）投标文件。</w:t>
      </w:r>
    </w:p>
    <w:p w14:paraId="1289F725">
      <w:pPr>
        <w:spacing w:line="360" w:lineRule="auto"/>
        <w:rPr>
          <w:rFonts w:ascii="Cambria Math" w:hAnsi="Cambria Math"/>
          <w:b w:val="0"/>
          <w:bCs w:val="0"/>
          <w:color w:val="auto"/>
          <w:sz w:val="22"/>
          <w:szCs w:val="22"/>
        </w:rPr>
      </w:pPr>
      <w:r>
        <w:rPr>
          <w:rFonts w:hint="eastAsia" w:ascii="Cambria Math" w:hAnsi="Cambria Math"/>
          <w:b w:val="0"/>
          <w:bCs w:val="0"/>
          <w:color w:val="auto"/>
          <w:sz w:val="22"/>
          <w:szCs w:val="22"/>
        </w:rPr>
        <w:t>一、项目基本情况</w:t>
      </w:r>
    </w:p>
    <w:p w14:paraId="2FAB6919">
      <w:pPr>
        <w:spacing w:line="360" w:lineRule="auto"/>
        <w:ind w:firstLine="440" w:firstLineChars="200"/>
        <w:rPr>
          <w:rFonts w:hint="eastAsia" w:ascii="宋体" w:hAnsi="宋体" w:eastAsia="宋体" w:cs="宋体"/>
          <w:b w:val="0"/>
          <w:color w:val="auto"/>
          <w:sz w:val="22"/>
          <w:szCs w:val="22"/>
          <w:lang w:eastAsia="zh-CN"/>
        </w:rPr>
      </w:pPr>
      <w:r>
        <w:rPr>
          <w:rFonts w:hint="eastAsia" w:ascii="宋体" w:hAnsi="宋体" w:cs="宋体"/>
          <w:b w:val="0"/>
          <w:color w:val="auto"/>
          <w:sz w:val="22"/>
          <w:szCs w:val="22"/>
        </w:rPr>
        <w:t>项目编号：</w:t>
      </w:r>
      <w:r>
        <w:rPr>
          <w:rFonts w:hint="eastAsia" w:ascii="宋体" w:hAnsi="宋体" w:cs="宋体"/>
          <w:b w:val="0"/>
          <w:color w:val="auto"/>
          <w:sz w:val="22"/>
          <w:szCs w:val="22"/>
          <w:lang w:eastAsia="zh-CN"/>
        </w:rPr>
        <w:t>WGSS-GYJT-Z-2025148</w:t>
      </w:r>
    </w:p>
    <w:p w14:paraId="40739B85">
      <w:pPr>
        <w:spacing w:line="360" w:lineRule="auto"/>
        <w:ind w:firstLine="440" w:firstLineChars="200"/>
        <w:rPr>
          <w:rFonts w:hint="eastAsia" w:ascii="宋体" w:hAnsi="宋体" w:eastAsia="宋体" w:cs="宋体"/>
          <w:b w:val="0"/>
          <w:color w:val="auto"/>
          <w:sz w:val="22"/>
          <w:szCs w:val="22"/>
          <w:lang w:eastAsia="zh-CN"/>
        </w:rPr>
      </w:pPr>
      <w:r>
        <w:rPr>
          <w:rFonts w:hint="eastAsia" w:ascii="宋体" w:hAnsi="宋体" w:cs="宋体"/>
          <w:b w:val="0"/>
          <w:color w:val="auto"/>
          <w:sz w:val="22"/>
          <w:szCs w:val="22"/>
        </w:rPr>
        <w:t>项目名称：</w:t>
      </w:r>
      <w:r>
        <w:rPr>
          <w:rFonts w:hint="eastAsia" w:ascii="宋体" w:hAnsi="宋体" w:cs="宋体"/>
          <w:b w:val="0"/>
          <w:color w:val="auto"/>
          <w:sz w:val="22"/>
          <w:szCs w:val="22"/>
          <w:lang w:eastAsia="zh-CN"/>
        </w:rPr>
        <w:t>龙港水务供水桥管维养服务项目</w:t>
      </w:r>
    </w:p>
    <w:p w14:paraId="1A5C6328">
      <w:pPr>
        <w:spacing w:line="360" w:lineRule="auto"/>
        <w:ind w:firstLine="440" w:firstLineChars="200"/>
        <w:rPr>
          <w:rFonts w:hint="eastAsia" w:ascii="宋体" w:hAnsi="宋体" w:eastAsia="宋体" w:cs="宋体"/>
          <w:b w:val="0"/>
          <w:color w:val="auto"/>
          <w:sz w:val="22"/>
          <w:szCs w:val="22"/>
          <w:lang w:eastAsia="zh-CN"/>
        </w:rPr>
      </w:pPr>
      <w:r>
        <w:rPr>
          <w:rFonts w:hint="eastAsia" w:ascii="宋体" w:hAnsi="宋体" w:cs="宋体"/>
          <w:b w:val="0"/>
          <w:color w:val="auto"/>
          <w:sz w:val="22"/>
          <w:szCs w:val="22"/>
        </w:rPr>
        <w:t>预算金额（元）：</w:t>
      </w:r>
      <w:r>
        <w:rPr>
          <w:rFonts w:hint="eastAsia" w:ascii="宋体" w:hAnsi="宋体" w:cs="宋体"/>
          <w:b w:val="0"/>
          <w:color w:val="auto"/>
          <w:sz w:val="22"/>
          <w:szCs w:val="22"/>
          <w:lang w:eastAsia="zh-CN"/>
        </w:rPr>
        <w:t>597371</w:t>
      </w:r>
    </w:p>
    <w:p w14:paraId="27731005">
      <w:pPr>
        <w:spacing w:line="360" w:lineRule="auto"/>
        <w:ind w:firstLine="440" w:firstLineChars="200"/>
        <w:rPr>
          <w:rFonts w:hint="eastAsia" w:ascii="宋体" w:hAnsi="宋体" w:eastAsia="宋体" w:cs="宋体"/>
          <w:b w:val="0"/>
          <w:color w:val="auto"/>
          <w:sz w:val="22"/>
          <w:szCs w:val="22"/>
          <w:lang w:eastAsia="zh-CN"/>
        </w:rPr>
      </w:pPr>
      <w:r>
        <w:rPr>
          <w:rFonts w:hint="eastAsia" w:ascii="宋体" w:hAnsi="宋体" w:cs="宋体"/>
          <w:b w:val="0"/>
          <w:color w:val="auto"/>
          <w:sz w:val="22"/>
          <w:szCs w:val="22"/>
        </w:rPr>
        <w:t>最高限价（元）：</w:t>
      </w:r>
      <w:r>
        <w:rPr>
          <w:rFonts w:hint="eastAsia" w:ascii="宋体" w:hAnsi="宋体" w:cs="宋体"/>
          <w:b w:val="0"/>
          <w:color w:val="auto"/>
          <w:sz w:val="22"/>
          <w:szCs w:val="22"/>
          <w:lang w:eastAsia="zh-CN"/>
        </w:rPr>
        <w:t>597371</w:t>
      </w:r>
    </w:p>
    <w:p w14:paraId="12EE797D">
      <w:pPr>
        <w:spacing w:line="360" w:lineRule="auto"/>
        <w:ind w:firstLine="440" w:firstLineChars="200"/>
        <w:rPr>
          <w:rFonts w:hint="eastAsia" w:ascii="宋体" w:hAnsi="宋体" w:cs="宋体"/>
          <w:b w:val="0"/>
          <w:color w:val="auto"/>
          <w:sz w:val="22"/>
          <w:szCs w:val="22"/>
        </w:rPr>
      </w:pPr>
      <w:r>
        <w:rPr>
          <w:rFonts w:hint="eastAsia" w:ascii="宋体" w:hAnsi="宋体" w:cs="宋体"/>
          <w:b w:val="0"/>
          <w:color w:val="auto"/>
          <w:sz w:val="22"/>
          <w:szCs w:val="22"/>
        </w:rPr>
        <w:t>采购需求：</w:t>
      </w:r>
    </w:p>
    <w:p w14:paraId="54BB13C3">
      <w:pPr>
        <w:spacing w:line="360" w:lineRule="auto"/>
        <w:ind w:firstLine="440" w:firstLineChars="200"/>
        <w:rPr>
          <w:rFonts w:hint="eastAsia" w:ascii="宋体" w:hAnsi="宋体" w:eastAsia="宋体" w:cs="宋体"/>
          <w:b w:val="0"/>
          <w:color w:val="auto"/>
          <w:sz w:val="22"/>
          <w:szCs w:val="22"/>
          <w:lang w:eastAsia="zh-CN"/>
        </w:rPr>
      </w:pPr>
      <w:r>
        <w:rPr>
          <w:rFonts w:hint="eastAsia" w:ascii="宋体" w:hAnsi="宋体" w:cs="宋体"/>
          <w:b w:val="0"/>
          <w:color w:val="auto"/>
          <w:sz w:val="22"/>
          <w:szCs w:val="22"/>
        </w:rPr>
        <w:t>标项名称：</w:t>
      </w:r>
      <w:r>
        <w:rPr>
          <w:rFonts w:hint="eastAsia" w:ascii="宋体" w:hAnsi="宋体" w:cs="宋体"/>
          <w:b w:val="0"/>
          <w:color w:val="auto"/>
          <w:sz w:val="22"/>
          <w:szCs w:val="22"/>
          <w:lang w:eastAsia="zh-CN"/>
        </w:rPr>
        <w:t>龙港水务供水桥管维养服务项目</w:t>
      </w:r>
    </w:p>
    <w:p w14:paraId="5977F2E9">
      <w:pPr>
        <w:spacing w:line="360" w:lineRule="auto"/>
        <w:ind w:firstLine="440" w:firstLineChars="200"/>
        <w:rPr>
          <w:rFonts w:hint="eastAsia" w:ascii="宋体" w:hAnsi="宋体" w:cs="宋体"/>
          <w:b w:val="0"/>
          <w:color w:val="auto"/>
          <w:sz w:val="22"/>
          <w:szCs w:val="22"/>
        </w:rPr>
      </w:pPr>
      <w:r>
        <w:rPr>
          <w:rFonts w:hint="eastAsia" w:ascii="宋体" w:hAnsi="宋体" w:cs="宋体"/>
          <w:b w:val="0"/>
          <w:color w:val="auto"/>
          <w:sz w:val="22"/>
          <w:szCs w:val="22"/>
        </w:rPr>
        <w:t>数量：1</w:t>
      </w:r>
    </w:p>
    <w:p w14:paraId="07E9E18E">
      <w:pPr>
        <w:spacing w:line="360" w:lineRule="auto"/>
        <w:ind w:firstLine="440" w:firstLineChars="200"/>
        <w:rPr>
          <w:rFonts w:hint="eastAsia" w:ascii="宋体" w:hAnsi="宋体" w:eastAsia="宋体" w:cs="宋体"/>
          <w:b w:val="0"/>
          <w:color w:val="auto"/>
          <w:sz w:val="22"/>
          <w:szCs w:val="22"/>
          <w:lang w:eastAsia="zh-CN"/>
        </w:rPr>
      </w:pPr>
      <w:r>
        <w:rPr>
          <w:rFonts w:hint="eastAsia" w:ascii="宋体" w:hAnsi="宋体" w:cs="宋体"/>
          <w:b w:val="0"/>
          <w:color w:val="auto"/>
          <w:sz w:val="22"/>
          <w:szCs w:val="22"/>
        </w:rPr>
        <w:t>预算金额（元）：</w:t>
      </w:r>
      <w:r>
        <w:rPr>
          <w:rFonts w:hint="eastAsia" w:ascii="宋体" w:hAnsi="宋体" w:cs="宋体"/>
          <w:b w:val="0"/>
          <w:color w:val="auto"/>
          <w:sz w:val="22"/>
          <w:szCs w:val="22"/>
          <w:lang w:eastAsia="zh-CN"/>
        </w:rPr>
        <w:t>597371</w:t>
      </w:r>
    </w:p>
    <w:p w14:paraId="4B5DDD3F">
      <w:pPr>
        <w:spacing w:line="360" w:lineRule="auto"/>
        <w:ind w:firstLine="440" w:firstLineChars="200"/>
        <w:rPr>
          <w:rFonts w:hint="eastAsia" w:ascii="宋体" w:hAnsi="宋体" w:cs="宋体"/>
          <w:b w:val="0"/>
          <w:color w:val="auto"/>
          <w:sz w:val="22"/>
          <w:szCs w:val="22"/>
        </w:rPr>
      </w:pPr>
      <w:r>
        <w:rPr>
          <w:rFonts w:hint="eastAsia" w:ascii="宋体" w:hAnsi="宋体" w:cs="宋体"/>
          <w:b w:val="0"/>
          <w:color w:val="auto"/>
          <w:sz w:val="22"/>
          <w:szCs w:val="22"/>
        </w:rPr>
        <w:t>简要规格描述或项目基本概况介绍、用途：详见采购需求。</w:t>
      </w:r>
    </w:p>
    <w:p w14:paraId="3030BBAA">
      <w:pPr>
        <w:spacing w:line="360" w:lineRule="auto"/>
        <w:ind w:firstLine="440" w:firstLineChars="200"/>
        <w:rPr>
          <w:rFonts w:hint="eastAsia" w:ascii="宋体" w:hAnsi="宋体" w:cs="宋体"/>
          <w:b w:val="0"/>
          <w:color w:val="auto"/>
          <w:sz w:val="22"/>
          <w:szCs w:val="22"/>
        </w:rPr>
      </w:pPr>
      <w:r>
        <w:rPr>
          <w:rFonts w:hint="eastAsia" w:ascii="宋体" w:hAnsi="宋体" w:cs="宋体"/>
          <w:b w:val="0"/>
          <w:color w:val="auto"/>
          <w:sz w:val="22"/>
          <w:szCs w:val="22"/>
        </w:rPr>
        <w:t>备注：/</w:t>
      </w:r>
    </w:p>
    <w:p w14:paraId="11C88456">
      <w:pPr>
        <w:spacing w:line="360" w:lineRule="auto"/>
        <w:ind w:firstLine="440" w:firstLineChars="200"/>
        <w:rPr>
          <w:rFonts w:hint="eastAsia" w:ascii="宋体" w:hAnsi="宋体" w:cs="宋体"/>
          <w:b w:val="0"/>
          <w:color w:val="auto"/>
          <w:sz w:val="22"/>
          <w:szCs w:val="22"/>
        </w:rPr>
      </w:pPr>
      <w:r>
        <w:rPr>
          <w:rFonts w:hint="eastAsia" w:ascii="宋体" w:hAnsi="宋体" w:cs="宋体"/>
          <w:b w:val="0"/>
          <w:color w:val="auto"/>
          <w:sz w:val="22"/>
          <w:szCs w:val="22"/>
        </w:rPr>
        <w:t>合同履行期限：详见招标文件</w:t>
      </w:r>
    </w:p>
    <w:p w14:paraId="665CCADE">
      <w:pPr>
        <w:spacing w:line="360" w:lineRule="auto"/>
        <w:ind w:firstLine="440" w:firstLineChars="200"/>
        <w:rPr>
          <w:rFonts w:hint="eastAsia" w:ascii="宋体" w:hAnsi="宋体" w:cs="宋体"/>
          <w:b w:val="0"/>
          <w:color w:val="auto"/>
          <w:sz w:val="22"/>
          <w:szCs w:val="22"/>
        </w:rPr>
      </w:pPr>
      <w:r>
        <w:rPr>
          <w:rFonts w:hint="eastAsia" w:ascii="宋体" w:hAnsi="宋体" w:cs="宋体"/>
          <w:b w:val="0"/>
          <w:color w:val="auto"/>
          <w:sz w:val="22"/>
          <w:szCs w:val="22"/>
        </w:rPr>
        <w:t>本项目（否）接受联合体投标。</w:t>
      </w:r>
    </w:p>
    <w:p w14:paraId="7AB5692B">
      <w:pPr>
        <w:spacing w:line="360" w:lineRule="auto"/>
        <w:rPr>
          <w:rFonts w:ascii="Cambria Math" w:hAnsi="Cambria Math"/>
          <w:b w:val="0"/>
          <w:bCs w:val="0"/>
          <w:color w:val="auto"/>
          <w:sz w:val="22"/>
          <w:szCs w:val="22"/>
        </w:rPr>
      </w:pPr>
      <w:r>
        <w:rPr>
          <w:rFonts w:ascii="Cambria Math" w:hAnsi="Cambria Math"/>
          <w:b w:val="0"/>
          <w:bCs w:val="0"/>
          <w:color w:val="auto"/>
          <w:sz w:val="22"/>
          <w:szCs w:val="22"/>
        </w:rPr>
        <w:t>二、申请人的资格要求</w:t>
      </w:r>
    </w:p>
    <w:p w14:paraId="50935964">
      <w:pPr>
        <w:spacing w:line="360" w:lineRule="auto"/>
        <w:ind w:firstLine="440" w:firstLineChars="200"/>
        <w:rPr>
          <w:rFonts w:hint="eastAsia" w:ascii="宋体" w:hAnsi="宋体" w:cs="宋体"/>
          <w:b w:val="0"/>
          <w:color w:val="auto"/>
          <w:sz w:val="22"/>
          <w:szCs w:val="22"/>
        </w:rPr>
      </w:pPr>
      <w:r>
        <w:rPr>
          <w:rFonts w:hint="eastAsia" w:ascii="宋体" w:hAnsi="宋体" w:cs="宋体"/>
          <w:b w:val="0"/>
          <w:color w:val="auto"/>
          <w:sz w:val="22"/>
          <w:szCs w:val="22"/>
        </w:rPr>
        <w:t>1.符合《温州市市属国有企业采购管理办法》温国资委〔2024〕51号第十八条对供应商参加温州市国有企业采购活动应当具备的条件的要求；</w:t>
      </w:r>
    </w:p>
    <w:p w14:paraId="1CC4B73D">
      <w:pPr>
        <w:spacing w:line="360" w:lineRule="auto"/>
        <w:ind w:firstLine="440" w:firstLineChars="200"/>
        <w:rPr>
          <w:rFonts w:hint="eastAsia" w:ascii="宋体" w:hAnsi="宋体" w:cs="宋体"/>
          <w:b w:val="0"/>
          <w:color w:val="auto"/>
          <w:sz w:val="22"/>
          <w:szCs w:val="22"/>
        </w:rPr>
      </w:pPr>
      <w:r>
        <w:rPr>
          <w:rFonts w:hint="eastAsia" w:ascii="宋体" w:hAnsi="宋体" w:cs="宋体"/>
          <w:b w:val="0"/>
          <w:color w:val="auto"/>
          <w:sz w:val="22"/>
          <w:szCs w:val="22"/>
        </w:rPr>
        <w:t>2.未被“信用中国”（www.creditchina.gov.cn）、中国政府采购网（www.ccgp.gov.cn）列入失信被执行人、重大税收违法案件当事人名单、采购严重违法失信行为记录名单；</w:t>
      </w:r>
    </w:p>
    <w:p w14:paraId="3918EB47">
      <w:pPr>
        <w:spacing w:line="360" w:lineRule="auto"/>
        <w:ind w:firstLine="440" w:firstLineChars="200"/>
        <w:rPr>
          <w:rFonts w:hint="eastAsia" w:ascii="宋体" w:hAnsi="宋体" w:cs="宋体"/>
          <w:b w:val="0"/>
          <w:color w:val="auto"/>
          <w:sz w:val="22"/>
          <w:szCs w:val="22"/>
        </w:rPr>
      </w:pPr>
      <w:r>
        <w:rPr>
          <w:rFonts w:hint="eastAsia" w:ascii="宋体" w:hAnsi="宋体" w:cs="宋体"/>
          <w:b w:val="0"/>
          <w:color w:val="auto"/>
          <w:sz w:val="22"/>
          <w:szCs w:val="22"/>
        </w:rPr>
        <w:t>3.单位负责人为同一人或者存在直接控股、管理</w:t>
      </w:r>
      <w:bookmarkStart w:id="69" w:name="_GoBack"/>
      <w:bookmarkEnd w:id="69"/>
      <w:r>
        <w:rPr>
          <w:rFonts w:hint="eastAsia" w:ascii="宋体" w:hAnsi="宋体" w:cs="宋体"/>
          <w:b w:val="0"/>
          <w:color w:val="auto"/>
          <w:sz w:val="22"/>
          <w:szCs w:val="22"/>
        </w:rPr>
        <w:t>关系的不同单位，不得参加同一采购项目投标，违反该款规定的，相关投标均无效；</w:t>
      </w:r>
    </w:p>
    <w:p w14:paraId="4B4E5FCC">
      <w:pPr>
        <w:spacing w:line="360" w:lineRule="auto"/>
        <w:ind w:firstLine="440" w:firstLineChars="200"/>
        <w:rPr>
          <w:rFonts w:hint="eastAsia" w:ascii="宋体" w:hAnsi="宋体" w:cs="宋体"/>
          <w:b w:val="0"/>
          <w:color w:val="auto"/>
          <w:sz w:val="22"/>
          <w:szCs w:val="22"/>
        </w:rPr>
      </w:pPr>
      <w:r>
        <w:rPr>
          <w:rFonts w:hint="eastAsia" w:ascii="宋体" w:hAnsi="宋体" w:cs="宋体"/>
          <w:b w:val="0"/>
          <w:color w:val="auto"/>
          <w:sz w:val="22"/>
          <w:szCs w:val="22"/>
        </w:rPr>
        <w:t>4. 落实采购政策需满足的资格要求：无</w:t>
      </w:r>
    </w:p>
    <w:p w14:paraId="4B92A430">
      <w:pPr>
        <w:spacing w:line="360" w:lineRule="auto"/>
        <w:ind w:firstLine="440" w:firstLineChars="200"/>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5. 本项目的特定资格要求：具有市政公用工程施工总承包三级及以上资质</w:t>
      </w:r>
      <w:r>
        <w:rPr>
          <w:rFonts w:hint="eastAsia" w:ascii="宋体" w:hAnsi="宋体" w:cs="宋体"/>
          <w:b w:val="0"/>
          <w:color w:val="auto"/>
          <w:sz w:val="22"/>
          <w:szCs w:val="22"/>
          <w:highlight w:val="none"/>
          <w:lang w:val="en-US" w:eastAsia="zh-CN"/>
        </w:rPr>
        <w:t>或</w:t>
      </w:r>
      <w:r>
        <w:rPr>
          <w:rFonts w:hint="eastAsia" w:ascii="宋体" w:hAnsi="宋体"/>
          <w:b w:val="0"/>
          <w:bCs w:val="0"/>
          <w:sz w:val="22"/>
          <w:szCs w:val="22"/>
          <w:highlight w:val="none"/>
        </w:rPr>
        <w:t>防腐保温工程专业承包二级</w:t>
      </w:r>
      <w:r>
        <w:rPr>
          <w:rFonts w:hint="eastAsia" w:ascii="宋体" w:hAnsi="宋体"/>
          <w:b w:val="0"/>
          <w:bCs w:val="0"/>
          <w:sz w:val="22"/>
          <w:szCs w:val="22"/>
          <w:highlight w:val="none"/>
          <w:lang w:val="en-US" w:eastAsia="zh-CN"/>
        </w:rPr>
        <w:t>及</w:t>
      </w:r>
      <w:r>
        <w:rPr>
          <w:rFonts w:hint="eastAsia" w:ascii="宋体" w:hAnsi="宋体"/>
          <w:b w:val="0"/>
          <w:bCs w:val="0"/>
          <w:sz w:val="22"/>
          <w:szCs w:val="22"/>
          <w:highlight w:val="none"/>
        </w:rPr>
        <w:t>以上资质</w:t>
      </w:r>
      <w:r>
        <w:rPr>
          <w:rFonts w:hint="eastAsia" w:ascii="宋体" w:hAnsi="宋体" w:cs="宋体"/>
          <w:b w:val="0"/>
          <w:color w:val="auto"/>
          <w:sz w:val="22"/>
          <w:szCs w:val="22"/>
          <w:highlight w:val="none"/>
        </w:rPr>
        <w:t>。</w:t>
      </w:r>
    </w:p>
    <w:p w14:paraId="70980716">
      <w:pPr>
        <w:spacing w:line="360" w:lineRule="auto"/>
        <w:ind w:firstLine="440" w:firstLineChars="200"/>
        <w:rPr>
          <w:rFonts w:hint="eastAsia" w:ascii="宋体" w:hAnsi="宋体" w:cs="宋体"/>
          <w:b w:val="0"/>
          <w:color w:val="auto"/>
          <w:sz w:val="22"/>
          <w:szCs w:val="22"/>
        </w:rPr>
      </w:pPr>
      <w:r>
        <w:rPr>
          <w:rFonts w:hint="eastAsia" w:ascii="宋体" w:hAnsi="宋体" w:cs="宋体"/>
          <w:b w:val="0"/>
          <w:color w:val="auto"/>
          <w:sz w:val="22"/>
          <w:szCs w:val="22"/>
        </w:rPr>
        <w:t>6.本项目（否）接受联合体投标。</w:t>
      </w:r>
    </w:p>
    <w:p w14:paraId="7A2A8BD9">
      <w:pPr>
        <w:spacing w:line="360" w:lineRule="auto"/>
        <w:rPr>
          <w:rFonts w:hint="eastAsia" w:ascii="宋体" w:hAnsi="宋体" w:cs="@楷体_GB2312"/>
          <w:b w:val="0"/>
          <w:color w:val="auto"/>
          <w:sz w:val="22"/>
          <w:szCs w:val="22"/>
        </w:rPr>
      </w:pPr>
      <w:r>
        <w:rPr>
          <w:rFonts w:hint="eastAsia" w:ascii="宋体" w:hAnsi="宋体" w:cs="宋体"/>
          <w:b w:val="0"/>
          <w:color w:val="auto"/>
          <w:sz w:val="22"/>
          <w:szCs w:val="22"/>
        </w:rPr>
        <w:t>三、</w:t>
      </w:r>
      <w:r>
        <w:rPr>
          <w:rFonts w:hint="eastAsia" w:ascii="宋体" w:hAnsi="宋体" w:cs="@楷体_GB2312"/>
          <w:b w:val="0"/>
          <w:color w:val="auto"/>
          <w:sz w:val="22"/>
          <w:szCs w:val="22"/>
        </w:rPr>
        <w:t>获取招标文件</w:t>
      </w:r>
      <w:r>
        <w:rPr>
          <w:rFonts w:ascii="宋体" w:hAnsi="宋体" w:cs="@楷体_GB2312"/>
          <w:b w:val="0"/>
          <w:color w:val="auto"/>
          <w:sz w:val="22"/>
          <w:szCs w:val="22"/>
        </w:rPr>
        <w:t>:</w:t>
      </w:r>
    </w:p>
    <w:p w14:paraId="0DF242EA">
      <w:pPr>
        <w:spacing w:line="360" w:lineRule="auto"/>
        <w:ind w:firstLine="440" w:firstLineChars="200"/>
        <w:rPr>
          <w:rFonts w:ascii="宋体"/>
          <w:b w:val="0"/>
          <w:bCs w:val="0"/>
          <w:color w:val="auto"/>
          <w:sz w:val="22"/>
          <w:szCs w:val="22"/>
        </w:rPr>
      </w:pPr>
      <w:r>
        <w:rPr>
          <w:rFonts w:hint="eastAsia" w:ascii="宋体"/>
          <w:b w:val="0"/>
          <w:bCs w:val="0"/>
          <w:color w:val="auto"/>
          <w:sz w:val="22"/>
          <w:szCs w:val="22"/>
        </w:rPr>
        <w:t>时间：/至2025年0</w:t>
      </w:r>
      <w:r>
        <w:rPr>
          <w:rFonts w:hint="eastAsia" w:ascii="宋体"/>
          <w:b w:val="0"/>
          <w:bCs w:val="0"/>
          <w:color w:val="auto"/>
          <w:sz w:val="22"/>
          <w:szCs w:val="22"/>
          <w:lang w:val="en-US" w:eastAsia="zh-CN"/>
        </w:rPr>
        <w:t>3</w:t>
      </w:r>
      <w:r>
        <w:rPr>
          <w:rFonts w:hint="eastAsia" w:ascii="宋体"/>
          <w:b w:val="0"/>
          <w:bCs w:val="0"/>
          <w:color w:val="auto"/>
          <w:sz w:val="22"/>
          <w:szCs w:val="22"/>
        </w:rPr>
        <w:t>月</w:t>
      </w:r>
      <w:r>
        <w:rPr>
          <w:rFonts w:hint="eastAsia" w:ascii="宋体"/>
          <w:b w:val="0"/>
          <w:bCs w:val="0"/>
          <w:color w:val="auto"/>
          <w:sz w:val="22"/>
          <w:szCs w:val="22"/>
          <w:lang w:val="en-US" w:eastAsia="zh-CN"/>
        </w:rPr>
        <w:t>24</w:t>
      </w:r>
      <w:r>
        <w:rPr>
          <w:rFonts w:hint="eastAsia" w:ascii="宋体"/>
          <w:b w:val="0"/>
          <w:bCs w:val="0"/>
          <w:color w:val="auto"/>
          <w:sz w:val="22"/>
          <w:szCs w:val="22"/>
        </w:rPr>
        <w:t xml:space="preserve">日 </w:t>
      </w:r>
      <w:r>
        <w:rPr>
          <w:rFonts w:ascii="宋体" w:hAnsi="宋体" w:cs="@楷体_GB2312"/>
          <w:b w:val="0"/>
          <w:bCs w:val="0"/>
          <w:color w:val="auto"/>
          <w:sz w:val="22"/>
          <w:szCs w:val="22"/>
        </w:rPr>
        <w:t>14</w:t>
      </w:r>
      <w:r>
        <w:rPr>
          <w:rFonts w:hint="eastAsia" w:ascii="宋体" w:hAnsi="宋体" w:cs="@楷体_GB2312"/>
          <w:b w:val="0"/>
          <w:bCs w:val="0"/>
          <w:color w:val="auto"/>
          <w:sz w:val="22"/>
          <w:szCs w:val="22"/>
        </w:rPr>
        <w:t>:30:00</w:t>
      </w:r>
      <w:r>
        <w:rPr>
          <w:rFonts w:hint="eastAsia" w:ascii="宋体"/>
          <w:b w:val="0"/>
          <w:bCs w:val="0"/>
          <w:color w:val="auto"/>
          <w:sz w:val="22"/>
          <w:szCs w:val="22"/>
        </w:rPr>
        <w:t>前</w:t>
      </w:r>
    </w:p>
    <w:p w14:paraId="68B58923">
      <w:pPr>
        <w:spacing w:line="360" w:lineRule="auto"/>
        <w:rPr>
          <w:rFonts w:ascii="宋体"/>
          <w:b w:val="0"/>
          <w:bCs w:val="0"/>
          <w:color w:val="auto"/>
          <w:sz w:val="22"/>
          <w:szCs w:val="22"/>
        </w:rPr>
      </w:pPr>
      <w:r>
        <w:rPr>
          <w:rFonts w:hint="eastAsia" w:ascii="宋体"/>
          <w:b w:val="0"/>
          <w:bCs w:val="0"/>
          <w:color w:val="auto"/>
          <w:sz w:val="22"/>
          <w:szCs w:val="22"/>
        </w:rPr>
        <w:t xml:space="preserve">    地点（网址）：乐采云平台（http://www.lecaiyun.com）</w:t>
      </w:r>
    </w:p>
    <w:p w14:paraId="3D93AD0A">
      <w:pPr>
        <w:spacing w:line="360" w:lineRule="auto"/>
        <w:ind w:firstLine="432"/>
        <w:rPr>
          <w:rFonts w:ascii="宋体"/>
          <w:b w:val="0"/>
          <w:bCs w:val="0"/>
          <w:color w:val="auto"/>
          <w:sz w:val="22"/>
          <w:szCs w:val="22"/>
        </w:rPr>
      </w:pPr>
      <w:r>
        <w:rPr>
          <w:rFonts w:hint="eastAsia" w:ascii="宋体"/>
          <w:b w:val="0"/>
          <w:bCs w:val="0"/>
          <w:color w:val="auto"/>
          <w:sz w:val="22"/>
          <w:szCs w:val="22"/>
        </w:rPr>
        <w:t>方式：线上获取；</w:t>
      </w:r>
    </w:p>
    <w:p w14:paraId="5A8AAB65">
      <w:pPr>
        <w:spacing w:line="360" w:lineRule="auto"/>
        <w:rPr>
          <w:rFonts w:ascii="宋体"/>
          <w:b w:val="0"/>
          <w:bCs w:val="0"/>
          <w:sz w:val="22"/>
          <w:szCs w:val="22"/>
        </w:rPr>
      </w:pPr>
      <w:r>
        <w:rPr>
          <w:rFonts w:hint="eastAsia" w:ascii="宋体"/>
          <w:b w:val="0"/>
          <w:bCs w:val="0"/>
          <w:color w:val="auto"/>
          <w:sz w:val="22"/>
          <w:szCs w:val="22"/>
        </w:rPr>
        <w:t xml:space="preserve">    售价（元）：0 </w:t>
      </w:r>
      <w:r>
        <w:rPr>
          <w:rFonts w:hint="eastAsia" w:ascii="宋体"/>
          <w:b w:val="0"/>
          <w:bCs w:val="0"/>
          <w:sz w:val="22"/>
          <w:szCs w:val="22"/>
        </w:rPr>
        <w:t> </w:t>
      </w:r>
    </w:p>
    <w:p w14:paraId="6697ABA4">
      <w:pPr>
        <w:spacing w:line="360" w:lineRule="auto"/>
        <w:rPr>
          <w:rFonts w:hint="eastAsia" w:ascii="宋体" w:hAnsi="宋体" w:cs="@楷体_GB2312"/>
          <w:b w:val="0"/>
          <w:color w:val="auto"/>
          <w:sz w:val="22"/>
          <w:szCs w:val="22"/>
        </w:rPr>
      </w:pPr>
      <w:r>
        <w:rPr>
          <w:rFonts w:ascii="宋体" w:hAnsi="宋体" w:cs="@楷体_GB2312"/>
          <w:b w:val="0"/>
          <w:color w:val="auto"/>
          <w:sz w:val="22"/>
          <w:szCs w:val="22"/>
        </w:rPr>
        <w:t>四、提交投标文件截止时间、开标时间和地点</w:t>
      </w:r>
    </w:p>
    <w:p w14:paraId="20F12DF8">
      <w:pPr>
        <w:spacing w:line="360" w:lineRule="auto"/>
        <w:ind w:firstLine="440" w:firstLineChars="200"/>
        <w:rPr>
          <w:rFonts w:hint="eastAsia" w:ascii="宋体" w:hAnsi="宋体" w:cs="@楷体_GB2312"/>
          <w:b w:val="0"/>
          <w:bCs w:val="0"/>
          <w:color w:val="auto"/>
          <w:sz w:val="22"/>
          <w:szCs w:val="22"/>
        </w:rPr>
      </w:pPr>
      <w:r>
        <w:rPr>
          <w:rFonts w:ascii="宋体" w:hAnsi="宋体" w:cs="@楷体_GB2312"/>
          <w:b w:val="0"/>
          <w:bCs w:val="0"/>
          <w:color w:val="auto"/>
          <w:sz w:val="22"/>
          <w:szCs w:val="22"/>
        </w:rPr>
        <w:t xml:space="preserve">提交投标文件截止时间： </w:t>
      </w:r>
      <w:r>
        <w:rPr>
          <w:rFonts w:hint="eastAsia" w:ascii="宋体" w:hAnsi="宋体" w:cs="@楷体_GB2312"/>
          <w:b w:val="0"/>
          <w:bCs w:val="0"/>
          <w:color w:val="auto"/>
          <w:sz w:val="22"/>
          <w:szCs w:val="22"/>
        </w:rPr>
        <w:t>2025</w:t>
      </w:r>
      <w:r>
        <w:rPr>
          <w:rFonts w:ascii="宋体" w:hAnsi="宋体" w:cs="@楷体_GB2312"/>
          <w:b w:val="0"/>
          <w:bCs w:val="0"/>
          <w:color w:val="auto"/>
          <w:sz w:val="22"/>
          <w:szCs w:val="22"/>
        </w:rPr>
        <w:t>年</w:t>
      </w:r>
      <w:r>
        <w:rPr>
          <w:rFonts w:hint="eastAsia" w:ascii="宋体" w:hAnsi="宋体" w:cs="@楷体_GB2312"/>
          <w:b w:val="0"/>
          <w:bCs w:val="0"/>
          <w:color w:val="auto"/>
          <w:sz w:val="22"/>
          <w:szCs w:val="22"/>
        </w:rPr>
        <w:t>0</w:t>
      </w:r>
      <w:r>
        <w:rPr>
          <w:rFonts w:hint="eastAsia" w:ascii="宋体" w:hAnsi="宋体" w:cs="@楷体_GB2312"/>
          <w:b w:val="0"/>
          <w:bCs w:val="0"/>
          <w:color w:val="auto"/>
          <w:sz w:val="22"/>
          <w:szCs w:val="22"/>
          <w:lang w:val="en-US" w:eastAsia="zh-CN"/>
        </w:rPr>
        <w:t>3</w:t>
      </w:r>
      <w:r>
        <w:rPr>
          <w:rFonts w:ascii="宋体" w:hAnsi="宋体" w:cs="@楷体_GB2312"/>
          <w:b w:val="0"/>
          <w:bCs w:val="0"/>
          <w:color w:val="auto"/>
          <w:sz w:val="22"/>
          <w:szCs w:val="22"/>
        </w:rPr>
        <w:t>月</w:t>
      </w:r>
      <w:r>
        <w:rPr>
          <w:rFonts w:hint="eastAsia" w:ascii="宋体" w:hAnsi="宋体" w:cs="@楷体_GB2312"/>
          <w:b w:val="0"/>
          <w:bCs w:val="0"/>
          <w:color w:val="auto"/>
          <w:sz w:val="22"/>
          <w:szCs w:val="22"/>
          <w:lang w:val="en-US" w:eastAsia="zh-CN"/>
        </w:rPr>
        <w:t>24</w:t>
      </w:r>
      <w:r>
        <w:rPr>
          <w:rFonts w:ascii="宋体" w:hAnsi="宋体" w:cs="@楷体_GB2312"/>
          <w:b w:val="0"/>
          <w:bCs w:val="0"/>
          <w:color w:val="auto"/>
          <w:sz w:val="22"/>
          <w:szCs w:val="22"/>
        </w:rPr>
        <w:t>日 14</w:t>
      </w:r>
      <w:r>
        <w:rPr>
          <w:rFonts w:hint="eastAsia" w:ascii="宋体" w:hAnsi="宋体" w:cs="@楷体_GB2312"/>
          <w:b w:val="0"/>
          <w:bCs w:val="0"/>
          <w:color w:val="auto"/>
          <w:sz w:val="22"/>
          <w:szCs w:val="22"/>
        </w:rPr>
        <w:t>:30:00</w:t>
      </w:r>
      <w:r>
        <w:rPr>
          <w:rFonts w:ascii="宋体" w:hAnsi="宋体" w:cs="@楷体_GB2312"/>
          <w:b w:val="0"/>
          <w:bCs w:val="0"/>
          <w:color w:val="auto"/>
          <w:sz w:val="22"/>
          <w:szCs w:val="22"/>
        </w:rPr>
        <w:t>（北京时间）</w:t>
      </w:r>
    </w:p>
    <w:p w14:paraId="5F9404C8">
      <w:pPr>
        <w:spacing w:line="360" w:lineRule="auto"/>
        <w:ind w:firstLine="440" w:firstLineChars="200"/>
        <w:rPr>
          <w:rFonts w:hint="eastAsia" w:ascii="宋体" w:hAnsi="宋体" w:cs="@楷体_GB2312"/>
          <w:b w:val="0"/>
          <w:bCs w:val="0"/>
          <w:color w:val="auto"/>
          <w:sz w:val="22"/>
          <w:szCs w:val="22"/>
        </w:rPr>
      </w:pPr>
      <w:r>
        <w:rPr>
          <w:rFonts w:ascii="宋体" w:hAnsi="宋体" w:cs="@楷体_GB2312"/>
          <w:b w:val="0"/>
          <w:bCs w:val="0"/>
          <w:color w:val="auto"/>
          <w:sz w:val="22"/>
          <w:szCs w:val="22"/>
        </w:rPr>
        <w:t>投标地点：</w:t>
      </w:r>
      <w:r>
        <w:rPr>
          <w:rFonts w:hint="eastAsia" w:ascii="宋体" w:hAnsi="宋体" w:cs="@楷体_GB2312"/>
          <w:b w:val="0"/>
          <w:bCs w:val="0"/>
          <w:color w:val="auto"/>
          <w:sz w:val="22"/>
          <w:szCs w:val="22"/>
        </w:rPr>
        <w:t>“乐采云平台（www.lecaiyun.com）”实行在线投标响应</w:t>
      </w:r>
    </w:p>
    <w:p w14:paraId="28D8BB09">
      <w:pPr>
        <w:spacing w:line="360" w:lineRule="auto"/>
        <w:ind w:firstLine="440" w:firstLineChars="200"/>
        <w:rPr>
          <w:rFonts w:hint="eastAsia" w:ascii="宋体" w:hAnsi="宋体" w:cs="@楷体_GB2312"/>
          <w:b w:val="0"/>
          <w:bCs w:val="0"/>
          <w:color w:val="auto"/>
          <w:sz w:val="22"/>
          <w:szCs w:val="22"/>
        </w:rPr>
      </w:pPr>
      <w:r>
        <w:rPr>
          <w:rFonts w:ascii="宋体" w:hAnsi="宋体" w:cs="@楷体_GB2312"/>
          <w:b w:val="0"/>
          <w:bCs w:val="0"/>
          <w:color w:val="auto"/>
          <w:sz w:val="22"/>
          <w:szCs w:val="22"/>
        </w:rPr>
        <w:t xml:space="preserve">开标时间： </w:t>
      </w:r>
      <w:r>
        <w:rPr>
          <w:rFonts w:hint="eastAsia" w:ascii="宋体" w:hAnsi="宋体" w:cs="@楷体_GB2312"/>
          <w:b w:val="0"/>
          <w:bCs w:val="0"/>
          <w:color w:val="auto"/>
          <w:sz w:val="22"/>
          <w:szCs w:val="22"/>
        </w:rPr>
        <w:t>2025</w:t>
      </w:r>
      <w:r>
        <w:rPr>
          <w:rFonts w:ascii="宋体" w:hAnsi="宋体" w:cs="@楷体_GB2312"/>
          <w:b w:val="0"/>
          <w:bCs w:val="0"/>
          <w:color w:val="auto"/>
          <w:sz w:val="22"/>
          <w:szCs w:val="22"/>
        </w:rPr>
        <w:t>年</w:t>
      </w:r>
      <w:r>
        <w:rPr>
          <w:rFonts w:hint="eastAsia" w:ascii="宋体" w:hAnsi="宋体" w:cs="@楷体_GB2312"/>
          <w:b w:val="0"/>
          <w:bCs w:val="0"/>
          <w:color w:val="auto"/>
          <w:sz w:val="22"/>
          <w:szCs w:val="22"/>
        </w:rPr>
        <w:t>0</w:t>
      </w:r>
      <w:r>
        <w:rPr>
          <w:rFonts w:hint="eastAsia" w:ascii="宋体" w:hAnsi="宋体" w:cs="@楷体_GB2312"/>
          <w:b w:val="0"/>
          <w:bCs w:val="0"/>
          <w:color w:val="auto"/>
          <w:sz w:val="22"/>
          <w:szCs w:val="22"/>
          <w:lang w:val="en-US" w:eastAsia="zh-CN"/>
        </w:rPr>
        <w:t>3</w:t>
      </w:r>
      <w:r>
        <w:rPr>
          <w:rFonts w:ascii="宋体" w:hAnsi="宋体" w:cs="@楷体_GB2312"/>
          <w:b w:val="0"/>
          <w:bCs w:val="0"/>
          <w:color w:val="auto"/>
          <w:sz w:val="22"/>
          <w:szCs w:val="22"/>
        </w:rPr>
        <w:t>月</w:t>
      </w:r>
      <w:r>
        <w:rPr>
          <w:rFonts w:hint="eastAsia" w:ascii="宋体" w:hAnsi="宋体" w:cs="@楷体_GB2312"/>
          <w:b w:val="0"/>
          <w:bCs w:val="0"/>
          <w:color w:val="auto"/>
          <w:sz w:val="22"/>
          <w:szCs w:val="22"/>
          <w:lang w:val="en-US" w:eastAsia="zh-CN"/>
        </w:rPr>
        <w:t>24</w:t>
      </w:r>
      <w:r>
        <w:rPr>
          <w:rFonts w:ascii="宋体" w:hAnsi="宋体" w:cs="@楷体_GB2312"/>
          <w:b w:val="0"/>
          <w:bCs w:val="0"/>
          <w:color w:val="auto"/>
          <w:sz w:val="22"/>
          <w:szCs w:val="22"/>
        </w:rPr>
        <w:t>日 14</w:t>
      </w:r>
      <w:r>
        <w:rPr>
          <w:rFonts w:hint="eastAsia" w:ascii="宋体" w:hAnsi="宋体" w:cs="@楷体_GB2312"/>
          <w:b w:val="0"/>
          <w:bCs w:val="0"/>
          <w:color w:val="auto"/>
          <w:sz w:val="22"/>
          <w:szCs w:val="22"/>
        </w:rPr>
        <w:t>:30:00</w:t>
      </w:r>
    </w:p>
    <w:p w14:paraId="32CF7263">
      <w:pPr>
        <w:spacing w:line="360" w:lineRule="auto"/>
        <w:ind w:firstLine="440" w:firstLineChars="200"/>
        <w:rPr>
          <w:rFonts w:hint="eastAsia" w:ascii="宋体" w:hAnsi="宋体" w:cs="@楷体_GB2312"/>
          <w:b w:val="0"/>
          <w:bCs w:val="0"/>
          <w:color w:val="auto"/>
          <w:sz w:val="22"/>
          <w:szCs w:val="22"/>
        </w:rPr>
      </w:pPr>
      <w:r>
        <w:rPr>
          <w:rFonts w:ascii="宋体" w:hAnsi="宋体" w:cs="@楷体_GB2312"/>
          <w:b w:val="0"/>
          <w:bCs w:val="0"/>
          <w:color w:val="auto"/>
          <w:sz w:val="22"/>
          <w:szCs w:val="22"/>
        </w:rPr>
        <w:t>开标地点：</w:t>
      </w:r>
      <w:r>
        <w:rPr>
          <w:rFonts w:hint="eastAsia" w:ascii="宋体" w:hAnsi="宋体" w:cs="@楷体_GB2312"/>
          <w:b w:val="0"/>
          <w:bCs w:val="0"/>
          <w:color w:val="auto"/>
          <w:sz w:val="22"/>
          <w:szCs w:val="22"/>
        </w:rPr>
        <w:t>“乐采云平台（www.lecaiyun.com）”实行在线开标评审</w:t>
      </w:r>
    </w:p>
    <w:p w14:paraId="1867A49C">
      <w:pPr>
        <w:spacing w:line="360" w:lineRule="auto"/>
        <w:ind w:firstLine="440" w:firstLineChars="200"/>
        <w:rPr>
          <w:rFonts w:hint="eastAsia" w:ascii="宋体" w:hAnsi="宋体" w:cs="@楷体_GB2312"/>
          <w:b w:val="0"/>
          <w:bCs w:val="0"/>
          <w:color w:val="auto"/>
          <w:sz w:val="22"/>
          <w:szCs w:val="22"/>
        </w:rPr>
      </w:pPr>
      <w:r>
        <w:rPr>
          <w:rFonts w:hint="eastAsia" w:ascii="宋体" w:hAnsi="宋体" w:cs="@楷体_GB2312"/>
          <w:b w:val="0"/>
          <w:bCs w:val="0"/>
          <w:color w:val="auto"/>
          <w:sz w:val="22"/>
          <w:szCs w:val="22"/>
        </w:rPr>
        <w:t>五、</w:t>
      </w:r>
      <w:r>
        <w:rPr>
          <w:rFonts w:ascii="宋体" w:hAnsi="宋体" w:cs="@楷体_GB2312"/>
          <w:b w:val="0"/>
          <w:bCs w:val="0"/>
          <w:color w:val="auto"/>
          <w:sz w:val="22"/>
          <w:szCs w:val="22"/>
        </w:rPr>
        <w:t>投标保证金：</w:t>
      </w:r>
      <w:r>
        <w:rPr>
          <w:rFonts w:hint="eastAsia" w:ascii="宋体" w:hAnsi="宋体" w:cs="@楷体_GB2312"/>
          <w:b w:val="0"/>
          <w:bCs w:val="0"/>
          <w:color w:val="auto"/>
          <w:sz w:val="22"/>
          <w:szCs w:val="22"/>
        </w:rPr>
        <w:t>按照《浙江省财政厅关于明确政府采购保证金管理工作的通知》浙财采监〔2020〕5号文件规定，投标人无需缴纳</w:t>
      </w:r>
      <w:r>
        <w:rPr>
          <w:rFonts w:ascii="宋体" w:hAnsi="宋体" w:cs="@楷体_GB2312"/>
          <w:b w:val="0"/>
          <w:bCs w:val="0"/>
          <w:color w:val="auto"/>
          <w:sz w:val="22"/>
          <w:szCs w:val="22"/>
        </w:rPr>
        <w:t>投标保证金</w:t>
      </w:r>
      <w:r>
        <w:rPr>
          <w:rFonts w:hint="eastAsia" w:ascii="宋体" w:hAnsi="宋体" w:cs="@楷体_GB2312"/>
          <w:b w:val="0"/>
          <w:bCs w:val="0"/>
          <w:color w:val="auto"/>
          <w:sz w:val="22"/>
          <w:szCs w:val="22"/>
        </w:rPr>
        <w:t>。</w:t>
      </w:r>
    </w:p>
    <w:p w14:paraId="2C3487ED">
      <w:pPr>
        <w:spacing w:line="360" w:lineRule="auto"/>
        <w:rPr>
          <w:rFonts w:hint="eastAsia" w:ascii="宋体" w:hAnsi="宋体" w:cs="@楷体_GB2312"/>
          <w:b w:val="0"/>
          <w:bCs w:val="0"/>
          <w:color w:val="auto"/>
          <w:sz w:val="22"/>
          <w:szCs w:val="22"/>
        </w:rPr>
      </w:pPr>
      <w:r>
        <w:rPr>
          <w:rFonts w:hint="eastAsia" w:ascii="宋体" w:hAnsi="宋体" w:cs="@楷体_GB2312"/>
          <w:b w:val="0"/>
          <w:bCs w:val="0"/>
          <w:color w:val="auto"/>
          <w:sz w:val="22"/>
          <w:szCs w:val="22"/>
        </w:rPr>
        <w:t>六</w:t>
      </w:r>
      <w:r>
        <w:rPr>
          <w:rFonts w:ascii="宋体" w:hAnsi="宋体" w:cs="@楷体_GB2312"/>
          <w:b w:val="0"/>
          <w:bCs w:val="0"/>
          <w:color w:val="auto"/>
          <w:sz w:val="22"/>
          <w:szCs w:val="22"/>
        </w:rPr>
        <w:t>、公告期限</w:t>
      </w:r>
    </w:p>
    <w:p w14:paraId="18C5E3BB">
      <w:pPr>
        <w:spacing w:line="360" w:lineRule="auto"/>
        <w:ind w:firstLine="440" w:firstLineChars="200"/>
        <w:rPr>
          <w:rFonts w:hint="eastAsia" w:ascii="宋体" w:hAnsi="宋体" w:cs="@楷体_GB2312"/>
          <w:b w:val="0"/>
          <w:bCs w:val="0"/>
          <w:color w:val="auto"/>
          <w:sz w:val="22"/>
          <w:szCs w:val="22"/>
        </w:rPr>
      </w:pPr>
      <w:r>
        <w:rPr>
          <w:rFonts w:ascii="宋体" w:hAnsi="宋体" w:cs="@楷体_GB2312"/>
          <w:b w:val="0"/>
          <w:bCs w:val="0"/>
          <w:color w:val="auto"/>
          <w:sz w:val="22"/>
          <w:szCs w:val="22"/>
        </w:rPr>
        <w:t>自本公告发布之日起5个工作日。</w:t>
      </w:r>
    </w:p>
    <w:p w14:paraId="72443D26">
      <w:pPr>
        <w:spacing w:line="360" w:lineRule="auto"/>
        <w:rPr>
          <w:rFonts w:hint="eastAsia" w:ascii="宋体" w:hAnsi="宋体" w:cs="@楷体_GB2312"/>
          <w:b w:val="0"/>
          <w:bCs w:val="0"/>
          <w:color w:val="auto"/>
          <w:sz w:val="22"/>
          <w:szCs w:val="22"/>
        </w:rPr>
      </w:pPr>
      <w:r>
        <w:rPr>
          <w:rFonts w:hint="eastAsia" w:ascii="宋体" w:hAnsi="宋体" w:cs="@楷体_GB2312"/>
          <w:b w:val="0"/>
          <w:bCs w:val="0"/>
          <w:color w:val="auto"/>
          <w:sz w:val="22"/>
          <w:szCs w:val="22"/>
        </w:rPr>
        <w:t>七、其他补充事宜</w:t>
      </w:r>
    </w:p>
    <w:p w14:paraId="20A3C9FE">
      <w:pPr>
        <w:spacing w:line="360" w:lineRule="auto"/>
        <w:ind w:firstLine="440" w:firstLineChars="200"/>
        <w:rPr>
          <w:rFonts w:hint="eastAsia" w:ascii="宋体" w:hAnsi="宋体" w:cs="@楷体_GB2312"/>
          <w:b w:val="0"/>
          <w:bCs w:val="0"/>
          <w:color w:val="auto"/>
          <w:sz w:val="22"/>
          <w:szCs w:val="22"/>
        </w:rPr>
      </w:pPr>
      <w:r>
        <w:rPr>
          <w:rFonts w:ascii="宋体" w:hAnsi="宋体" w:cs="@楷体_GB2312"/>
          <w:b w:val="0"/>
          <w:bCs w:val="0"/>
          <w:color w:val="auto"/>
          <w:sz w:val="22"/>
          <w:szCs w:val="22"/>
        </w:rPr>
        <w:t>1</w:t>
      </w:r>
      <w:r>
        <w:rPr>
          <w:rFonts w:hint="eastAsia" w:ascii="宋体" w:hAnsi="宋体" w:cs="@楷体_GB2312"/>
          <w:b w:val="0"/>
          <w:bCs w:val="0"/>
          <w:color w:val="auto"/>
          <w:sz w:val="22"/>
          <w:szCs w:val="22"/>
        </w:rPr>
        <w:t>、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监督管理部门投诉。</w:t>
      </w:r>
      <w:r>
        <w:rPr>
          <w:rFonts w:hint="eastAsia" w:ascii="宋体" w:hAnsi="宋体" w:cs="@楷体_GB2312"/>
          <w:b w:val="0"/>
          <w:bCs w:val="0"/>
          <w:color w:val="auto"/>
          <w:sz w:val="22"/>
          <w:szCs w:val="22"/>
        </w:rPr>
        <w:br w:type="textWrapping"/>
      </w:r>
      <w:r>
        <w:rPr>
          <w:rFonts w:hint="eastAsia" w:ascii="宋体" w:hAnsi="宋体" w:cs="@楷体_GB2312"/>
          <w:b w:val="0"/>
          <w:bCs w:val="0"/>
          <w:color w:val="auto"/>
          <w:sz w:val="22"/>
          <w:szCs w:val="22"/>
        </w:rPr>
        <w:t xml:space="preserve">    </w:t>
      </w:r>
      <w:r>
        <w:rPr>
          <w:rFonts w:ascii="宋体" w:hAnsi="宋体" w:cs="@楷体_GB2312"/>
          <w:b w:val="0"/>
          <w:bCs w:val="0"/>
          <w:color w:val="auto"/>
          <w:sz w:val="22"/>
          <w:szCs w:val="22"/>
        </w:rPr>
        <w:t>2</w:t>
      </w:r>
      <w:r>
        <w:rPr>
          <w:rFonts w:hint="eastAsia" w:ascii="宋体" w:hAnsi="宋体" w:cs="@楷体_GB2312"/>
          <w:b w:val="0"/>
          <w:bCs w:val="0"/>
          <w:color w:val="auto"/>
          <w:sz w:val="22"/>
          <w:szCs w:val="22"/>
        </w:rPr>
        <w:t>、质疑投诉提交方式：质疑投诉提交书面资料。</w:t>
      </w:r>
    </w:p>
    <w:p w14:paraId="3BBD1CA7">
      <w:pPr>
        <w:spacing w:line="360" w:lineRule="auto"/>
        <w:ind w:firstLine="440" w:firstLineChars="200"/>
        <w:rPr>
          <w:rFonts w:hint="eastAsia" w:ascii="宋体" w:hAnsi="宋体" w:cs="@楷体_GB2312"/>
          <w:b w:val="0"/>
          <w:bCs w:val="0"/>
          <w:color w:val="auto"/>
          <w:sz w:val="22"/>
          <w:szCs w:val="22"/>
        </w:rPr>
      </w:pPr>
      <w:r>
        <w:rPr>
          <w:rFonts w:ascii="宋体" w:hAnsi="宋体" w:cs="@楷体_GB2312"/>
          <w:b w:val="0"/>
          <w:bCs w:val="0"/>
          <w:color w:val="auto"/>
          <w:sz w:val="22"/>
          <w:szCs w:val="22"/>
        </w:rPr>
        <w:t>3</w:t>
      </w:r>
      <w:r>
        <w:rPr>
          <w:rFonts w:hint="eastAsia" w:ascii="宋体" w:hAnsi="宋体" w:cs="@楷体_GB2312"/>
          <w:b w:val="0"/>
          <w:bCs w:val="0"/>
          <w:color w:val="auto"/>
          <w:sz w:val="22"/>
          <w:szCs w:val="22"/>
        </w:rPr>
        <w:t>、</w:t>
      </w:r>
      <w:r>
        <w:rPr>
          <w:rFonts w:ascii="宋体" w:hAnsi="宋体" w:cs="@楷体_GB2312"/>
          <w:b w:val="0"/>
          <w:bCs w:val="0"/>
          <w:color w:val="auto"/>
          <w:sz w:val="22"/>
          <w:szCs w:val="22"/>
        </w:rPr>
        <w:t>其他事项：</w:t>
      </w:r>
      <w:r>
        <w:rPr>
          <w:rFonts w:hint="eastAsia" w:ascii="宋体" w:hAnsi="宋体" w:cs="@楷体_GB2312"/>
          <w:b w:val="0"/>
          <w:bCs w:val="0"/>
          <w:color w:val="auto"/>
          <w:sz w:val="22"/>
          <w:szCs w:val="22"/>
        </w:rPr>
        <w:t>本项目为龙港市国企采购，如与相关规定不一致以本采购文件为准。</w:t>
      </w:r>
    </w:p>
    <w:p w14:paraId="0D19D652">
      <w:pPr>
        <w:pStyle w:val="17"/>
        <w:rPr>
          <w:rFonts w:hint="eastAsia" w:ascii="宋体" w:hAnsi="宋体" w:eastAsia="宋体" w:cs="Times New Roman"/>
          <w:color w:val="000000"/>
          <w:kern w:val="0"/>
          <w:szCs w:val="22"/>
        </w:rPr>
      </w:pPr>
      <w:r>
        <w:rPr>
          <w:rFonts w:hint="eastAsia" w:asciiTheme="minorEastAsia" w:hAnsiTheme="minorEastAsia" w:eastAsiaTheme="minorEastAsia"/>
          <w:sz w:val="22"/>
          <w:szCs w:val="22"/>
        </w:rPr>
        <w:t>八</w:t>
      </w:r>
      <w:r>
        <w:rPr>
          <w:rFonts w:hint="eastAsia" w:ascii="宋体" w:hAnsi="宋体" w:eastAsia="宋体" w:cs="宋体"/>
          <w:sz w:val="22"/>
          <w:szCs w:val="22"/>
        </w:rPr>
        <w:t>、对本次招标提出询问，请按以下方式联系</w:t>
      </w:r>
    </w:p>
    <w:bookmarkEnd w:id="0"/>
    <w:bookmarkEnd w:id="1"/>
    <w:p w14:paraId="13513D79">
      <w:pPr>
        <w:spacing w:line="360" w:lineRule="auto"/>
        <w:ind w:left="425"/>
        <w:rPr>
          <w:rFonts w:hint="eastAsia" w:ascii="宋体" w:hAnsi="宋体" w:cs="新宋体"/>
          <w:b w:val="0"/>
          <w:bCs w:val="0"/>
          <w:szCs w:val="22"/>
        </w:rPr>
      </w:pPr>
      <w:r>
        <w:rPr>
          <w:rFonts w:hint="eastAsia" w:ascii="宋体" w:hAnsi="宋体" w:cs="新宋体"/>
          <w:b w:val="0"/>
          <w:bCs w:val="0"/>
          <w:szCs w:val="22"/>
        </w:rPr>
        <w:t>1</w:t>
      </w:r>
      <w:r>
        <w:rPr>
          <w:rFonts w:ascii="宋体" w:hAnsi="宋体" w:cs="新宋体"/>
          <w:b w:val="0"/>
          <w:bCs w:val="0"/>
          <w:szCs w:val="22"/>
        </w:rPr>
        <w:t>.采购人</w:t>
      </w:r>
      <w:r>
        <w:rPr>
          <w:rFonts w:hint="eastAsia" w:ascii="宋体" w:hAnsi="宋体" w:cs="新宋体"/>
          <w:b w:val="0"/>
          <w:bCs w:val="0"/>
          <w:szCs w:val="22"/>
        </w:rPr>
        <w:t>信息</w:t>
      </w:r>
    </w:p>
    <w:p w14:paraId="01717205">
      <w:pPr>
        <w:spacing w:line="360" w:lineRule="auto"/>
        <w:ind w:left="425"/>
        <w:rPr>
          <w:rFonts w:hint="eastAsia" w:ascii="宋体" w:hAnsi="宋体" w:cs="新宋体"/>
          <w:b w:val="0"/>
          <w:bCs w:val="0"/>
          <w:szCs w:val="22"/>
        </w:rPr>
      </w:pPr>
      <w:r>
        <w:rPr>
          <w:rFonts w:ascii="宋体" w:hAnsi="宋体" w:cs="新宋体"/>
          <w:b w:val="0"/>
          <w:bCs w:val="0"/>
          <w:szCs w:val="22"/>
        </w:rPr>
        <w:t>名称：</w:t>
      </w:r>
      <w:r>
        <w:rPr>
          <w:rFonts w:hint="eastAsia" w:ascii="宋体" w:hAnsi="宋体" w:cs="新宋体"/>
          <w:b w:val="0"/>
          <w:bCs w:val="0"/>
          <w:szCs w:val="22"/>
        </w:rPr>
        <w:t>温州公用事业发展集团龙港水务有限公司</w:t>
      </w:r>
    </w:p>
    <w:p w14:paraId="634156C8">
      <w:pPr>
        <w:spacing w:line="360" w:lineRule="auto"/>
        <w:ind w:firstLine="405" w:firstLineChars="193"/>
        <w:rPr>
          <w:rFonts w:hint="eastAsia" w:ascii="宋体" w:hAnsi="宋体" w:cs="新宋体"/>
          <w:b w:val="0"/>
          <w:bCs w:val="0"/>
          <w:szCs w:val="22"/>
        </w:rPr>
      </w:pPr>
      <w:r>
        <w:rPr>
          <w:rFonts w:hint="eastAsia" w:ascii="宋体" w:hAnsi="宋体" w:cs="新宋体"/>
          <w:b w:val="0"/>
          <w:bCs w:val="0"/>
          <w:szCs w:val="22"/>
        </w:rPr>
        <w:t>地址：龙港市通港路</w:t>
      </w:r>
      <w:r>
        <w:rPr>
          <w:rFonts w:hint="eastAsia" w:ascii="宋体" w:hAnsi="宋体" w:cs="新宋体"/>
          <w:b w:val="0"/>
          <w:szCs w:val="22"/>
        </w:rPr>
        <w:t>1255-1399号</w:t>
      </w:r>
    </w:p>
    <w:p w14:paraId="4BC6DFCD">
      <w:pPr>
        <w:spacing w:line="360" w:lineRule="auto"/>
        <w:ind w:firstLine="405" w:firstLineChars="193"/>
        <w:rPr>
          <w:rFonts w:hint="eastAsia" w:ascii="宋体" w:hAnsi="宋体" w:cs="新宋体"/>
          <w:b w:val="0"/>
          <w:bCs w:val="0"/>
          <w:szCs w:val="22"/>
        </w:rPr>
      </w:pPr>
      <w:r>
        <w:rPr>
          <w:rFonts w:ascii="宋体" w:hAnsi="宋体" w:cs="新宋体"/>
          <w:b w:val="0"/>
          <w:bCs w:val="0"/>
          <w:szCs w:val="22"/>
        </w:rPr>
        <w:t>传真：</w:t>
      </w:r>
      <w:r>
        <w:rPr>
          <w:rFonts w:hint="eastAsia" w:ascii="宋体" w:hAnsi="宋体" w:cs="新宋体"/>
          <w:b w:val="0"/>
          <w:bCs w:val="0"/>
          <w:szCs w:val="22"/>
        </w:rPr>
        <w:t>/</w:t>
      </w:r>
    </w:p>
    <w:p w14:paraId="08EAEB25">
      <w:pPr>
        <w:spacing w:line="360" w:lineRule="auto"/>
        <w:ind w:firstLine="405" w:firstLineChars="193"/>
        <w:rPr>
          <w:rFonts w:hint="eastAsia" w:ascii="宋体" w:hAnsi="宋体" w:cs="新宋体"/>
          <w:b w:val="0"/>
          <w:bCs w:val="0"/>
          <w:szCs w:val="22"/>
        </w:rPr>
      </w:pPr>
      <w:r>
        <w:rPr>
          <w:rFonts w:hint="eastAsia" w:ascii="宋体" w:hAnsi="宋体" w:cs="新宋体"/>
          <w:b w:val="0"/>
          <w:bCs w:val="0"/>
          <w:szCs w:val="22"/>
        </w:rPr>
        <w:t>项目</w:t>
      </w:r>
      <w:r>
        <w:rPr>
          <w:rFonts w:ascii="宋体" w:hAnsi="宋体" w:cs="新宋体"/>
          <w:b w:val="0"/>
          <w:bCs w:val="0"/>
          <w:szCs w:val="22"/>
        </w:rPr>
        <w:t>联系人</w:t>
      </w:r>
      <w:r>
        <w:rPr>
          <w:rFonts w:hint="eastAsia" w:ascii="宋体" w:hAnsi="宋体" w:cs="新宋体"/>
          <w:b w:val="0"/>
          <w:bCs w:val="0"/>
          <w:szCs w:val="22"/>
        </w:rPr>
        <w:t>（询问）</w:t>
      </w:r>
      <w:r>
        <w:rPr>
          <w:rFonts w:ascii="宋体" w:hAnsi="宋体" w:cs="新宋体"/>
          <w:b w:val="0"/>
          <w:bCs w:val="0"/>
          <w:szCs w:val="22"/>
        </w:rPr>
        <w:t xml:space="preserve">： </w:t>
      </w:r>
      <w:r>
        <w:rPr>
          <w:rFonts w:hint="eastAsia" w:ascii="宋体" w:hAnsi="宋体" w:cs="新宋体"/>
          <w:b w:val="0"/>
          <w:bCs w:val="0"/>
          <w:szCs w:val="22"/>
        </w:rPr>
        <w:t>黄先生</w:t>
      </w:r>
    </w:p>
    <w:p w14:paraId="60ADF96B">
      <w:pPr>
        <w:spacing w:line="360" w:lineRule="auto"/>
        <w:ind w:firstLine="405" w:firstLineChars="193"/>
        <w:rPr>
          <w:rFonts w:hint="eastAsia" w:ascii="宋体" w:hAnsi="宋体" w:cs="新宋体"/>
          <w:b w:val="0"/>
          <w:bCs w:val="0"/>
          <w:szCs w:val="22"/>
        </w:rPr>
      </w:pPr>
      <w:r>
        <w:rPr>
          <w:rFonts w:hint="eastAsia" w:ascii="宋体" w:hAnsi="宋体" w:cs="新宋体"/>
          <w:b w:val="0"/>
          <w:bCs w:val="0"/>
          <w:szCs w:val="22"/>
        </w:rPr>
        <w:t>项目</w:t>
      </w:r>
      <w:r>
        <w:rPr>
          <w:rFonts w:ascii="宋体" w:hAnsi="宋体" w:cs="新宋体"/>
          <w:b w:val="0"/>
          <w:bCs w:val="0"/>
          <w:szCs w:val="22"/>
        </w:rPr>
        <w:t>联系</w:t>
      </w:r>
      <w:r>
        <w:rPr>
          <w:rFonts w:hint="eastAsia" w:ascii="宋体" w:hAnsi="宋体" w:cs="新宋体"/>
          <w:b w:val="0"/>
          <w:bCs w:val="0"/>
          <w:szCs w:val="22"/>
        </w:rPr>
        <w:t>方式（询问）</w:t>
      </w:r>
      <w:r>
        <w:rPr>
          <w:rFonts w:ascii="宋体" w:hAnsi="宋体" w:cs="新宋体"/>
          <w:b w:val="0"/>
          <w:bCs w:val="0"/>
          <w:szCs w:val="22"/>
        </w:rPr>
        <w:t>：</w:t>
      </w:r>
      <w:r>
        <w:rPr>
          <w:rFonts w:hint="eastAsia" w:ascii="宋体" w:hAnsi="宋体" w:cs="新宋体"/>
          <w:b w:val="0"/>
          <w:bCs w:val="0"/>
          <w:szCs w:val="22"/>
        </w:rPr>
        <w:t>0577-59902855</w:t>
      </w:r>
    </w:p>
    <w:p w14:paraId="192ACBD7">
      <w:pPr>
        <w:spacing w:line="360" w:lineRule="auto"/>
        <w:ind w:firstLine="405" w:firstLineChars="193"/>
        <w:rPr>
          <w:rFonts w:hint="eastAsia" w:ascii="宋体" w:hAnsi="宋体" w:cs="新宋体"/>
          <w:b w:val="0"/>
          <w:bCs w:val="0"/>
          <w:szCs w:val="22"/>
        </w:rPr>
      </w:pPr>
      <w:r>
        <w:rPr>
          <w:rFonts w:hint="eastAsia" w:ascii="宋体" w:hAnsi="宋体" w:cs="新宋体"/>
          <w:b w:val="0"/>
          <w:bCs w:val="0"/>
          <w:szCs w:val="22"/>
        </w:rPr>
        <w:t>2．</w:t>
      </w:r>
      <w:r>
        <w:rPr>
          <w:rFonts w:ascii="宋体" w:hAnsi="宋体" w:cs="新宋体"/>
          <w:b w:val="0"/>
          <w:bCs w:val="0"/>
          <w:szCs w:val="22"/>
        </w:rPr>
        <w:t>采购代理机构信息</w:t>
      </w:r>
    </w:p>
    <w:p w14:paraId="3DB50DD4">
      <w:pPr>
        <w:spacing w:line="360" w:lineRule="auto"/>
        <w:ind w:firstLine="405" w:firstLineChars="193"/>
        <w:rPr>
          <w:rFonts w:hint="eastAsia" w:ascii="宋体" w:hAnsi="宋体" w:cs="新宋体"/>
          <w:b w:val="0"/>
          <w:bCs w:val="0"/>
          <w:szCs w:val="22"/>
        </w:rPr>
      </w:pPr>
      <w:r>
        <w:rPr>
          <w:rFonts w:ascii="宋体" w:hAnsi="宋体" w:cs="新宋体"/>
          <w:b w:val="0"/>
          <w:bCs w:val="0"/>
          <w:szCs w:val="22"/>
        </w:rPr>
        <w:t>名称：</w:t>
      </w:r>
      <w:r>
        <w:rPr>
          <w:rFonts w:hint="eastAsia" w:ascii="宋体" w:hAnsi="宋体" w:cs="新宋体"/>
          <w:b w:val="0"/>
          <w:bCs w:val="0"/>
          <w:szCs w:val="22"/>
        </w:rPr>
        <w:t>温州超然招标代理有限公司</w:t>
      </w:r>
    </w:p>
    <w:p w14:paraId="5D393F82">
      <w:pPr>
        <w:spacing w:line="360" w:lineRule="auto"/>
        <w:ind w:firstLine="405" w:firstLineChars="193"/>
        <w:rPr>
          <w:rFonts w:hint="eastAsia" w:ascii="宋体" w:hAnsi="宋体" w:cs="新宋体"/>
          <w:b w:val="0"/>
          <w:bCs w:val="0"/>
          <w:szCs w:val="22"/>
        </w:rPr>
      </w:pPr>
      <w:r>
        <w:rPr>
          <w:rFonts w:ascii="宋体" w:hAnsi="宋体" w:cs="新宋体"/>
          <w:b w:val="0"/>
          <w:bCs w:val="0"/>
          <w:szCs w:val="22"/>
        </w:rPr>
        <w:t>地址：</w:t>
      </w:r>
      <w:r>
        <w:rPr>
          <w:rFonts w:hint="eastAsia" w:ascii="宋体" w:hAnsi="宋体" w:cs="新宋体"/>
          <w:b w:val="0"/>
          <w:bCs w:val="0"/>
          <w:szCs w:val="22"/>
        </w:rPr>
        <w:t>龙港市海港路1283号后幢一单元202室</w:t>
      </w:r>
    </w:p>
    <w:p w14:paraId="20404E73">
      <w:pPr>
        <w:spacing w:line="360" w:lineRule="auto"/>
        <w:ind w:firstLine="405" w:firstLineChars="193"/>
        <w:rPr>
          <w:rFonts w:hint="eastAsia" w:ascii="宋体" w:hAnsi="宋体" w:cs="新宋体"/>
          <w:b w:val="0"/>
          <w:bCs w:val="0"/>
          <w:szCs w:val="22"/>
        </w:rPr>
      </w:pPr>
      <w:r>
        <w:rPr>
          <w:rFonts w:ascii="宋体" w:hAnsi="宋体" w:cs="新宋体"/>
          <w:b w:val="0"/>
          <w:bCs w:val="0"/>
          <w:szCs w:val="22"/>
        </w:rPr>
        <w:t>传真：</w:t>
      </w:r>
      <w:r>
        <w:rPr>
          <w:rFonts w:hint="eastAsia" w:ascii="宋体" w:hAnsi="宋体" w:cs="新宋体"/>
          <w:b w:val="0"/>
          <w:bCs w:val="0"/>
          <w:szCs w:val="22"/>
        </w:rPr>
        <w:t>0577-68803069</w:t>
      </w:r>
    </w:p>
    <w:p w14:paraId="24277269">
      <w:pPr>
        <w:spacing w:line="360" w:lineRule="auto"/>
        <w:ind w:firstLine="405" w:firstLineChars="193"/>
        <w:rPr>
          <w:rFonts w:hint="eastAsia" w:ascii="宋体" w:hAnsi="宋体" w:cs="新宋体"/>
          <w:b w:val="0"/>
          <w:bCs w:val="0"/>
          <w:szCs w:val="22"/>
        </w:rPr>
      </w:pPr>
      <w:r>
        <w:rPr>
          <w:rFonts w:hint="eastAsia" w:ascii="宋体" w:hAnsi="宋体" w:cs="新宋体"/>
          <w:b w:val="0"/>
          <w:bCs w:val="0"/>
          <w:szCs w:val="22"/>
        </w:rPr>
        <w:t>项目</w:t>
      </w:r>
      <w:r>
        <w:rPr>
          <w:rFonts w:ascii="宋体" w:hAnsi="宋体" w:cs="新宋体"/>
          <w:b w:val="0"/>
          <w:bCs w:val="0"/>
          <w:szCs w:val="22"/>
        </w:rPr>
        <w:t>联系人</w:t>
      </w:r>
      <w:r>
        <w:rPr>
          <w:rFonts w:hint="eastAsia" w:ascii="宋体" w:hAnsi="宋体" w:cs="新宋体"/>
          <w:b w:val="0"/>
          <w:bCs w:val="0"/>
          <w:szCs w:val="22"/>
        </w:rPr>
        <w:t>（询问）</w:t>
      </w:r>
      <w:r>
        <w:rPr>
          <w:rFonts w:ascii="宋体" w:hAnsi="宋体" w:cs="新宋体"/>
          <w:b w:val="0"/>
          <w:bCs w:val="0"/>
          <w:szCs w:val="22"/>
        </w:rPr>
        <w:t>：</w:t>
      </w:r>
      <w:r>
        <w:rPr>
          <w:rFonts w:hint="eastAsia" w:ascii="宋体" w:hAnsi="宋体" w:cs="新宋体"/>
          <w:b w:val="0"/>
          <w:bCs w:val="0"/>
          <w:szCs w:val="22"/>
        </w:rPr>
        <w:t>洪世铭</w:t>
      </w:r>
    </w:p>
    <w:p w14:paraId="0C529E61">
      <w:pPr>
        <w:spacing w:line="360" w:lineRule="auto"/>
        <w:ind w:firstLine="405" w:firstLineChars="193"/>
        <w:rPr>
          <w:rFonts w:hint="eastAsia" w:ascii="宋体" w:hAnsi="宋体" w:cs="新宋体"/>
          <w:b w:val="0"/>
          <w:bCs w:val="0"/>
          <w:szCs w:val="22"/>
        </w:rPr>
      </w:pPr>
      <w:r>
        <w:rPr>
          <w:rFonts w:hint="eastAsia" w:ascii="宋体" w:hAnsi="宋体" w:cs="新宋体"/>
          <w:b w:val="0"/>
          <w:bCs w:val="0"/>
          <w:szCs w:val="22"/>
        </w:rPr>
        <w:t>项目</w:t>
      </w:r>
      <w:r>
        <w:rPr>
          <w:rFonts w:ascii="宋体" w:hAnsi="宋体" w:cs="新宋体"/>
          <w:b w:val="0"/>
          <w:bCs w:val="0"/>
          <w:szCs w:val="22"/>
        </w:rPr>
        <w:t>联系</w:t>
      </w:r>
      <w:r>
        <w:rPr>
          <w:rFonts w:hint="eastAsia" w:ascii="宋体" w:hAnsi="宋体" w:cs="新宋体"/>
          <w:b w:val="0"/>
          <w:bCs w:val="0"/>
          <w:szCs w:val="22"/>
        </w:rPr>
        <w:t>方式（询问）</w:t>
      </w:r>
      <w:r>
        <w:rPr>
          <w:rFonts w:ascii="宋体" w:hAnsi="宋体" w:cs="新宋体"/>
          <w:b w:val="0"/>
          <w:bCs w:val="0"/>
          <w:szCs w:val="22"/>
        </w:rPr>
        <w:t>：</w:t>
      </w:r>
      <w:r>
        <w:rPr>
          <w:rFonts w:hint="eastAsia" w:ascii="宋体" w:hAnsi="宋体" w:cs="新宋体"/>
          <w:b w:val="0"/>
          <w:bCs w:val="0"/>
          <w:szCs w:val="22"/>
        </w:rPr>
        <w:t>18267789396</w:t>
      </w:r>
    </w:p>
    <w:p w14:paraId="7190B7EB">
      <w:pPr>
        <w:spacing w:line="360" w:lineRule="auto"/>
        <w:ind w:firstLine="405" w:firstLineChars="193"/>
        <w:rPr>
          <w:rFonts w:hint="eastAsia" w:ascii="宋体" w:hAnsi="宋体" w:cs="新宋体"/>
          <w:b w:val="0"/>
          <w:bCs w:val="0"/>
          <w:szCs w:val="22"/>
          <w:highlight w:val="none"/>
        </w:rPr>
      </w:pPr>
      <w:r>
        <w:rPr>
          <w:rFonts w:hint="eastAsia" w:ascii="宋体" w:hAnsi="宋体" w:cs="新宋体"/>
          <w:b w:val="0"/>
          <w:bCs w:val="0"/>
          <w:szCs w:val="22"/>
          <w:highlight w:val="none"/>
        </w:rPr>
        <w:t>3．同级采购监督管理部门</w:t>
      </w:r>
    </w:p>
    <w:p w14:paraId="63483D8C">
      <w:pPr>
        <w:spacing w:line="360" w:lineRule="auto"/>
        <w:ind w:firstLine="405" w:firstLineChars="193"/>
        <w:rPr>
          <w:rFonts w:hint="eastAsia" w:ascii="宋体" w:hAnsi="宋体" w:cs="新宋体"/>
          <w:b w:val="0"/>
          <w:bCs w:val="0"/>
          <w:szCs w:val="22"/>
          <w:lang w:val="en-US" w:eastAsia="zh-CN"/>
        </w:rPr>
      </w:pPr>
      <w:r>
        <w:rPr>
          <w:rFonts w:hint="eastAsia" w:ascii="宋体" w:hAnsi="宋体" w:cs="新宋体"/>
          <w:b w:val="0"/>
          <w:bCs w:val="0"/>
          <w:szCs w:val="22"/>
        </w:rPr>
        <w:t>名称：温州公用事业发展集团龙港水务有限公司</w:t>
      </w:r>
      <w:r>
        <w:rPr>
          <w:rFonts w:hint="eastAsia" w:ascii="宋体" w:hAnsi="宋体" w:cs="新宋体"/>
          <w:b w:val="0"/>
          <w:bCs w:val="0"/>
          <w:szCs w:val="22"/>
          <w:lang w:val="en-US" w:eastAsia="zh-CN"/>
        </w:rPr>
        <w:t>纪委</w:t>
      </w:r>
    </w:p>
    <w:p w14:paraId="01CC48FD">
      <w:pPr>
        <w:spacing w:line="360" w:lineRule="auto"/>
        <w:ind w:firstLine="405" w:firstLineChars="193"/>
        <w:rPr>
          <w:rFonts w:hint="eastAsia" w:ascii="宋体" w:hAnsi="宋体" w:cs="新宋体"/>
          <w:b w:val="0"/>
          <w:bCs w:val="0"/>
          <w:szCs w:val="22"/>
          <w:lang w:val="en-US" w:eastAsia="zh-CN"/>
        </w:rPr>
      </w:pPr>
      <w:r>
        <w:rPr>
          <w:rFonts w:hint="eastAsia" w:ascii="宋体" w:hAnsi="宋体" w:cs="新宋体"/>
          <w:b w:val="0"/>
          <w:bCs w:val="0"/>
          <w:szCs w:val="22"/>
        </w:rPr>
        <w:t>地址：浙江省温州市龙港市通港路1255-1399号</w:t>
      </w:r>
      <w:r>
        <w:rPr>
          <w:rFonts w:hint="eastAsia" w:ascii="宋体" w:hAnsi="宋体" w:cs="新宋体"/>
          <w:b w:val="0"/>
          <w:bCs w:val="0"/>
          <w:szCs w:val="22"/>
          <w:lang w:val="en-US" w:eastAsia="zh-CN"/>
        </w:rPr>
        <w:t xml:space="preserve"> </w:t>
      </w:r>
    </w:p>
    <w:p w14:paraId="74A94B45">
      <w:pPr>
        <w:spacing w:line="360" w:lineRule="auto"/>
        <w:ind w:firstLine="405" w:firstLineChars="193"/>
        <w:rPr>
          <w:rFonts w:hint="eastAsia" w:ascii="宋体" w:hAnsi="宋体" w:cs="新宋体"/>
          <w:b w:val="0"/>
          <w:bCs w:val="0"/>
          <w:szCs w:val="22"/>
        </w:rPr>
      </w:pPr>
      <w:r>
        <w:rPr>
          <w:rFonts w:hint="eastAsia" w:ascii="宋体" w:hAnsi="宋体" w:cs="新宋体"/>
          <w:b w:val="0"/>
          <w:bCs w:val="0"/>
          <w:szCs w:val="22"/>
        </w:rPr>
        <w:t>联系人：</w:t>
      </w:r>
      <w:r>
        <w:rPr>
          <w:rFonts w:hint="eastAsia" w:ascii="宋体" w:hAnsi="宋体" w:cs="新宋体"/>
          <w:b w:val="0"/>
          <w:bCs w:val="0"/>
          <w:szCs w:val="22"/>
          <w:lang w:val="en-US" w:eastAsia="zh-CN"/>
        </w:rPr>
        <w:t>苏</w:t>
      </w:r>
      <w:r>
        <w:rPr>
          <w:rFonts w:hint="eastAsia" w:ascii="宋体" w:hAnsi="宋体" w:cs="新宋体"/>
          <w:b w:val="0"/>
          <w:bCs w:val="0"/>
          <w:szCs w:val="22"/>
        </w:rPr>
        <w:t>女士</w:t>
      </w:r>
    </w:p>
    <w:p w14:paraId="190EA894">
      <w:pPr>
        <w:spacing w:line="360" w:lineRule="auto"/>
        <w:ind w:firstLine="405" w:firstLineChars="193"/>
        <w:rPr>
          <w:rFonts w:hint="eastAsia" w:ascii="宋体" w:hAnsi="宋体" w:cs="新宋体"/>
          <w:b w:val="0"/>
          <w:bCs w:val="0"/>
          <w:szCs w:val="22"/>
        </w:rPr>
      </w:pPr>
      <w:r>
        <w:rPr>
          <w:rFonts w:hint="eastAsia" w:ascii="宋体" w:hAnsi="宋体" w:cs="新宋体"/>
          <w:b w:val="0"/>
          <w:bCs w:val="0"/>
          <w:szCs w:val="22"/>
        </w:rPr>
        <w:t>监督投诉电话： 0577-59902886</w:t>
      </w:r>
    </w:p>
    <w:p w14:paraId="6F6D3EDC">
      <w:pPr>
        <w:pStyle w:val="23"/>
        <w:rPr>
          <w:rFonts w:hint="eastAsia" w:ascii="宋体" w:hAnsi="宋体" w:cs="新宋体"/>
          <w:b w:val="0"/>
          <w:bCs w:val="0"/>
          <w:szCs w:val="22"/>
        </w:rPr>
      </w:pPr>
    </w:p>
    <w:p w14:paraId="30BDB3B8">
      <w:pPr>
        <w:pStyle w:val="23"/>
        <w:rPr>
          <w:rFonts w:hint="eastAsia" w:ascii="宋体" w:hAnsi="宋体" w:cs="新宋体"/>
          <w:b w:val="0"/>
          <w:bCs w:val="0"/>
          <w:szCs w:val="22"/>
        </w:rPr>
      </w:pPr>
    </w:p>
    <w:p w14:paraId="03764D1A">
      <w:pPr>
        <w:pStyle w:val="23"/>
        <w:jc w:val="right"/>
        <w:rPr>
          <w:rFonts w:hint="eastAsia" w:ascii="宋体" w:hAnsi="宋体" w:cs="新宋体"/>
          <w:b w:val="0"/>
          <w:bCs w:val="0"/>
          <w:szCs w:val="22"/>
        </w:rPr>
      </w:pPr>
      <w:r>
        <w:rPr>
          <w:rFonts w:hint="eastAsia" w:ascii="宋体" w:hAnsi="宋体" w:cs="新宋体"/>
          <w:b w:val="0"/>
          <w:bCs w:val="0"/>
          <w:szCs w:val="22"/>
        </w:rPr>
        <w:t>温州公用事业发展集团龙港水务有限公司</w:t>
      </w:r>
    </w:p>
    <w:p w14:paraId="72C14E67">
      <w:pPr>
        <w:pStyle w:val="23"/>
        <w:jc w:val="right"/>
        <w:rPr>
          <w:rFonts w:hint="eastAsia" w:ascii="宋体" w:hAnsi="宋体" w:cs="新宋体"/>
          <w:b w:val="0"/>
          <w:bCs w:val="0"/>
          <w:szCs w:val="22"/>
        </w:rPr>
      </w:pPr>
      <w:r>
        <w:rPr>
          <w:rFonts w:hint="eastAsia" w:ascii="宋体" w:hAnsi="宋体" w:cs="新宋体"/>
          <w:b w:val="0"/>
          <w:bCs w:val="0"/>
          <w:szCs w:val="22"/>
        </w:rPr>
        <w:t>温州超然招标代理有限公司</w:t>
      </w:r>
    </w:p>
    <w:p w14:paraId="04735075">
      <w:pPr>
        <w:pStyle w:val="23"/>
        <w:jc w:val="right"/>
        <w:rPr>
          <w:rFonts w:hint="eastAsia" w:ascii="宋体" w:hAnsi="宋体" w:cs="新宋体"/>
          <w:b w:val="0"/>
          <w:bCs w:val="0"/>
          <w:szCs w:val="22"/>
        </w:rPr>
      </w:pPr>
      <w:r>
        <w:rPr>
          <w:rFonts w:hint="eastAsia" w:ascii="宋体" w:hAnsi="宋体" w:cs="新宋体"/>
          <w:b w:val="0"/>
          <w:bCs w:val="0"/>
          <w:szCs w:val="22"/>
        </w:rPr>
        <w:t>2025年</w:t>
      </w:r>
      <w:r>
        <w:rPr>
          <w:rFonts w:hint="eastAsia" w:ascii="宋体" w:hAnsi="宋体" w:cs="新宋体"/>
          <w:b w:val="0"/>
          <w:bCs w:val="0"/>
          <w:szCs w:val="22"/>
          <w:lang w:val="en-US" w:eastAsia="zh-CN"/>
        </w:rPr>
        <w:t>3</w:t>
      </w:r>
      <w:r>
        <w:rPr>
          <w:rFonts w:hint="eastAsia" w:ascii="宋体" w:hAnsi="宋体" w:cs="新宋体"/>
          <w:b w:val="0"/>
          <w:bCs w:val="0"/>
          <w:szCs w:val="22"/>
        </w:rPr>
        <w:t>月</w:t>
      </w:r>
      <w:r>
        <w:rPr>
          <w:rFonts w:hint="eastAsia" w:ascii="宋体" w:hAnsi="宋体" w:cs="新宋体"/>
          <w:b w:val="0"/>
          <w:bCs w:val="0"/>
          <w:szCs w:val="22"/>
          <w:lang w:val="en-US" w:eastAsia="zh-CN"/>
        </w:rPr>
        <w:t>4</w:t>
      </w:r>
      <w:r>
        <w:rPr>
          <w:rFonts w:hint="eastAsia" w:ascii="宋体" w:hAnsi="宋体" w:cs="新宋体"/>
          <w:b w:val="0"/>
          <w:bCs w:val="0"/>
          <w:szCs w:val="22"/>
        </w:rPr>
        <w:t>日</w:t>
      </w:r>
    </w:p>
    <w:p w14:paraId="206B097A">
      <w:pPr>
        <w:jc w:val="center"/>
        <w:rPr>
          <w:rFonts w:ascii="Cambria Math" w:hAnsi="Cambria Math" w:eastAsiaTheme="minorEastAsia"/>
          <w:b w:val="0"/>
          <w:bCs w:val="0"/>
          <w:color w:val="auto"/>
          <w:sz w:val="28"/>
          <w:szCs w:val="28"/>
        </w:rPr>
      </w:pPr>
    </w:p>
    <w:p w14:paraId="5F7BC29B">
      <w:pPr>
        <w:pStyle w:val="23"/>
      </w:pPr>
    </w:p>
    <w:p w14:paraId="2E71C5F1">
      <w:pPr>
        <w:pStyle w:val="23"/>
      </w:pPr>
    </w:p>
    <w:p w14:paraId="6E5640D5">
      <w:pPr>
        <w:pStyle w:val="23"/>
      </w:pPr>
    </w:p>
    <w:p w14:paraId="30648341">
      <w:pPr>
        <w:pStyle w:val="23"/>
      </w:pPr>
    </w:p>
    <w:p w14:paraId="30805CA3">
      <w:pPr>
        <w:pStyle w:val="23"/>
      </w:pPr>
    </w:p>
    <w:p w14:paraId="42F9238F">
      <w:pPr>
        <w:pStyle w:val="23"/>
      </w:pPr>
    </w:p>
    <w:p w14:paraId="41180CE7">
      <w:pPr>
        <w:pStyle w:val="23"/>
      </w:pPr>
    </w:p>
    <w:p w14:paraId="42C768E3">
      <w:pPr>
        <w:pStyle w:val="23"/>
      </w:pPr>
    </w:p>
    <w:p w14:paraId="762F49B4">
      <w:pPr>
        <w:pStyle w:val="23"/>
      </w:pPr>
    </w:p>
    <w:p w14:paraId="49B3458A">
      <w:pPr>
        <w:pStyle w:val="23"/>
      </w:pPr>
    </w:p>
    <w:p w14:paraId="314F69D2">
      <w:pPr>
        <w:pStyle w:val="23"/>
      </w:pPr>
    </w:p>
    <w:p w14:paraId="5CF4FD6A">
      <w:pPr>
        <w:pStyle w:val="23"/>
      </w:pPr>
    </w:p>
    <w:p w14:paraId="22DFC824">
      <w:pPr>
        <w:pStyle w:val="23"/>
      </w:pPr>
    </w:p>
    <w:p w14:paraId="7841B92B">
      <w:pPr>
        <w:pStyle w:val="23"/>
      </w:pPr>
    </w:p>
    <w:p w14:paraId="3654444B">
      <w:pPr>
        <w:pStyle w:val="23"/>
      </w:pPr>
    </w:p>
    <w:p w14:paraId="53F567FB">
      <w:pPr>
        <w:pStyle w:val="23"/>
      </w:pPr>
    </w:p>
    <w:p w14:paraId="3BE5CB39">
      <w:pPr>
        <w:pStyle w:val="23"/>
      </w:pPr>
    </w:p>
    <w:p w14:paraId="5EC644FB">
      <w:pPr>
        <w:pStyle w:val="23"/>
      </w:pPr>
    </w:p>
    <w:p w14:paraId="0C36C95D">
      <w:pPr>
        <w:widowControl/>
        <w:spacing w:line="450" w:lineRule="atLeast"/>
        <w:jc w:val="center"/>
        <w:rPr>
          <w:rFonts w:hint="eastAsia" w:ascii="等线" w:hAnsi="等线" w:eastAsia="等线" w:cs="宋体"/>
          <w:color w:val="4A4A4A"/>
        </w:rPr>
      </w:pPr>
      <w:r>
        <w:rPr>
          <w:rFonts w:hint="eastAsia" w:ascii="宋体" w:hAnsi="宋体" w:cs="宋体"/>
          <w:sz w:val="30"/>
          <w:szCs w:val="30"/>
        </w:rPr>
        <w:t>温州市公用集团所属温州公用事业发展集团龙港水务有限公司关于</w:t>
      </w:r>
      <w:r>
        <w:rPr>
          <w:rFonts w:hint="eastAsia" w:ascii="宋体" w:hAnsi="宋体" w:cs="宋体"/>
          <w:sz w:val="30"/>
          <w:szCs w:val="30"/>
          <w:lang w:eastAsia="zh-CN"/>
        </w:rPr>
        <w:t>龙港水务供水桥管维养服务项目</w:t>
      </w:r>
      <w:r>
        <w:rPr>
          <w:rFonts w:hint="eastAsia" w:ascii="宋体" w:hAnsi="宋体" w:cs="宋体"/>
          <w:sz w:val="30"/>
          <w:szCs w:val="30"/>
        </w:rPr>
        <w:t>公开招标文件的意见征询公告</w:t>
      </w:r>
    </w:p>
    <w:p w14:paraId="0DD46F3D">
      <w:pPr>
        <w:widowControl/>
        <w:spacing w:line="360" w:lineRule="auto"/>
        <w:ind w:firstLine="426"/>
        <w:rPr>
          <w:rFonts w:hint="eastAsia" w:ascii="宋体" w:hAnsi="宋体" w:cs="宋体"/>
          <w:b w:val="0"/>
          <w:bCs w:val="0"/>
          <w:color w:val="4A4A4A"/>
          <w:sz w:val="22"/>
          <w:szCs w:val="22"/>
        </w:rPr>
      </w:pPr>
      <w:r>
        <w:rPr>
          <w:rFonts w:hint="eastAsia" w:ascii="宋体" w:hAnsi="宋体" w:cs="宋体"/>
          <w:b w:val="0"/>
          <w:bCs w:val="0"/>
          <w:color w:val="4A4A4A"/>
          <w:sz w:val="22"/>
          <w:szCs w:val="22"/>
        </w:rPr>
        <w:t>公示简要情况说明：</w:t>
      </w:r>
      <w:r>
        <w:rPr>
          <w:rFonts w:hint="eastAsia" w:ascii="宋体" w:hAnsi="宋体" w:cs="宋体"/>
          <w:b w:val="0"/>
          <w:bCs w:val="0"/>
          <w:color w:val="4A4A4A"/>
          <w:sz w:val="22"/>
          <w:szCs w:val="22"/>
          <w:lang w:eastAsia="zh-CN"/>
        </w:rPr>
        <w:t>龙港水务供水桥管维养服务项目</w:t>
      </w:r>
      <w:r>
        <w:rPr>
          <w:rFonts w:hint="eastAsia" w:ascii="宋体" w:hAnsi="宋体" w:cs="宋体"/>
          <w:b w:val="0"/>
          <w:bCs w:val="0"/>
          <w:color w:val="4A4A4A"/>
          <w:sz w:val="22"/>
          <w:szCs w:val="22"/>
        </w:rPr>
        <w:t>将进行公开招标，为避免招标文件出现不合法或带有倾向性，现将招标文件征求意见稿公布,以公开征求意见。</w:t>
      </w:r>
    </w:p>
    <w:p w14:paraId="29BC2BD6">
      <w:pPr>
        <w:widowControl/>
        <w:spacing w:line="360" w:lineRule="auto"/>
        <w:ind w:firstLine="426"/>
        <w:rPr>
          <w:rFonts w:hint="eastAsia" w:ascii="宋体" w:hAnsi="宋体" w:eastAsia="宋体" w:cs="宋体"/>
          <w:b w:val="0"/>
          <w:bCs w:val="0"/>
          <w:color w:val="4A4A4A"/>
          <w:sz w:val="22"/>
          <w:szCs w:val="22"/>
          <w:lang w:eastAsia="zh-CN"/>
        </w:rPr>
      </w:pPr>
      <w:r>
        <w:rPr>
          <w:rFonts w:hint="eastAsia" w:ascii="宋体" w:hAnsi="宋体" w:cs="宋体"/>
          <w:b w:val="0"/>
          <w:bCs w:val="0"/>
          <w:color w:val="4A4A4A"/>
          <w:sz w:val="22"/>
          <w:szCs w:val="22"/>
        </w:rPr>
        <w:t>一、项目编号：</w:t>
      </w:r>
      <w:r>
        <w:rPr>
          <w:rFonts w:hint="eastAsia" w:ascii="宋体" w:hAnsi="宋体" w:cs="宋体"/>
          <w:b w:val="0"/>
          <w:bCs w:val="0"/>
          <w:color w:val="4A4A4A"/>
          <w:sz w:val="22"/>
          <w:szCs w:val="22"/>
          <w:lang w:eastAsia="zh-CN"/>
        </w:rPr>
        <w:t>WGSS-GYJT-Z-2025148</w:t>
      </w:r>
    </w:p>
    <w:p w14:paraId="32EA7ED2">
      <w:pPr>
        <w:widowControl/>
        <w:spacing w:line="360" w:lineRule="auto"/>
        <w:ind w:firstLine="426"/>
        <w:rPr>
          <w:rFonts w:hint="eastAsia" w:ascii="等线" w:hAnsi="等线" w:eastAsia="等线" w:cs="宋体"/>
          <w:b w:val="0"/>
          <w:bCs w:val="0"/>
          <w:color w:val="4A4A4A"/>
          <w:sz w:val="22"/>
          <w:szCs w:val="22"/>
        </w:rPr>
      </w:pPr>
      <w:r>
        <w:rPr>
          <w:rFonts w:hint="eastAsia" w:ascii="宋体" w:hAnsi="宋体" w:cs="宋体"/>
          <w:b w:val="0"/>
          <w:bCs w:val="0"/>
          <w:color w:val="4A4A4A"/>
          <w:sz w:val="22"/>
          <w:szCs w:val="22"/>
        </w:rPr>
        <w:t>二、征求意见范围：1、是否出现明显的倾向性意见； 2、影响“公开、公平、公正”原则的其他情况。</w:t>
      </w:r>
    </w:p>
    <w:p w14:paraId="690FFC1A">
      <w:pPr>
        <w:widowControl/>
        <w:spacing w:line="360" w:lineRule="auto"/>
        <w:ind w:firstLine="426"/>
        <w:rPr>
          <w:rFonts w:hint="eastAsia" w:ascii="等线" w:hAnsi="等线" w:eastAsia="等线" w:cs="宋体"/>
          <w:b w:val="0"/>
          <w:bCs w:val="0"/>
          <w:color w:val="4A4A4A"/>
          <w:sz w:val="22"/>
          <w:szCs w:val="22"/>
        </w:rPr>
      </w:pPr>
      <w:r>
        <w:rPr>
          <w:rFonts w:hint="eastAsia" w:ascii="宋体" w:hAnsi="宋体" w:cs="宋体"/>
          <w:b w:val="0"/>
          <w:bCs w:val="0"/>
          <w:color w:val="4A4A4A"/>
          <w:sz w:val="22"/>
          <w:szCs w:val="22"/>
        </w:rPr>
        <w:t>三、征求意见递交及接收：</w:t>
      </w:r>
    </w:p>
    <w:p w14:paraId="25476C08">
      <w:pPr>
        <w:widowControl/>
        <w:spacing w:line="360" w:lineRule="auto"/>
        <w:ind w:firstLine="424"/>
        <w:rPr>
          <w:rFonts w:hint="eastAsia" w:ascii="等线" w:hAnsi="等线" w:eastAsia="等线" w:cs="宋体"/>
          <w:b w:val="0"/>
          <w:bCs w:val="0"/>
          <w:color w:val="4A4A4A"/>
          <w:sz w:val="22"/>
          <w:szCs w:val="22"/>
        </w:rPr>
      </w:pPr>
      <w:r>
        <w:rPr>
          <w:rFonts w:hint="eastAsia" w:ascii="宋体" w:hAnsi="宋体" w:cs="宋体"/>
          <w:b w:val="0"/>
          <w:bCs w:val="0"/>
          <w:color w:val="4A4A4A"/>
          <w:sz w:val="22"/>
          <w:szCs w:val="22"/>
        </w:rPr>
        <w:t>1、意见递交时间：2025-0</w:t>
      </w:r>
      <w:r>
        <w:rPr>
          <w:rFonts w:hint="eastAsia" w:ascii="宋体" w:hAnsi="宋体" w:cs="宋体"/>
          <w:b w:val="0"/>
          <w:bCs w:val="0"/>
          <w:color w:val="4A4A4A"/>
          <w:sz w:val="22"/>
          <w:szCs w:val="22"/>
          <w:lang w:val="en-US" w:eastAsia="zh-CN"/>
        </w:rPr>
        <w:t>3</w:t>
      </w:r>
      <w:r>
        <w:rPr>
          <w:rFonts w:hint="eastAsia" w:ascii="宋体" w:hAnsi="宋体" w:cs="宋体"/>
          <w:b w:val="0"/>
          <w:bCs w:val="0"/>
          <w:color w:val="4A4A4A"/>
          <w:sz w:val="22"/>
          <w:szCs w:val="22"/>
        </w:rPr>
        <w:t>-</w:t>
      </w:r>
      <w:r>
        <w:rPr>
          <w:rFonts w:hint="eastAsia" w:ascii="宋体" w:hAnsi="宋体" w:cs="宋体"/>
          <w:b w:val="0"/>
          <w:bCs w:val="0"/>
          <w:color w:val="4A4A4A"/>
          <w:sz w:val="22"/>
          <w:szCs w:val="22"/>
          <w:lang w:val="en-US" w:eastAsia="zh-CN"/>
        </w:rPr>
        <w:t>10</w:t>
      </w:r>
      <w:r>
        <w:rPr>
          <w:rFonts w:hint="eastAsia" w:ascii="宋体" w:hAnsi="宋体" w:cs="宋体"/>
          <w:b w:val="0"/>
          <w:bCs w:val="0"/>
          <w:color w:val="4A4A4A"/>
          <w:sz w:val="22"/>
          <w:szCs w:val="22"/>
        </w:rPr>
        <w:t xml:space="preserve"> 16:30:00前</w:t>
      </w:r>
    </w:p>
    <w:p w14:paraId="400828AD">
      <w:pPr>
        <w:widowControl/>
        <w:spacing w:line="360" w:lineRule="auto"/>
        <w:ind w:firstLine="424"/>
        <w:rPr>
          <w:rFonts w:hint="eastAsia" w:ascii="等线" w:hAnsi="等线" w:eastAsia="等线" w:cs="宋体"/>
          <w:b w:val="0"/>
          <w:bCs w:val="0"/>
          <w:color w:val="4A4A4A"/>
          <w:sz w:val="22"/>
          <w:szCs w:val="22"/>
        </w:rPr>
      </w:pPr>
      <w:r>
        <w:rPr>
          <w:rFonts w:hint="eastAsia" w:ascii="宋体" w:hAnsi="宋体" w:cs="宋体"/>
          <w:b w:val="0"/>
          <w:bCs w:val="0"/>
          <w:color w:val="4A4A4A"/>
          <w:sz w:val="22"/>
          <w:szCs w:val="22"/>
        </w:rPr>
        <w:t>2、意见递交方式：现场递交、邮箱、邮寄</w:t>
      </w:r>
    </w:p>
    <w:p w14:paraId="140D506A">
      <w:pPr>
        <w:widowControl/>
        <w:spacing w:line="360" w:lineRule="auto"/>
        <w:ind w:firstLine="424"/>
        <w:rPr>
          <w:rFonts w:hint="eastAsia" w:ascii="等线" w:hAnsi="等线" w:eastAsia="等线" w:cs="宋体"/>
          <w:b w:val="0"/>
          <w:bCs w:val="0"/>
          <w:color w:val="4A4A4A"/>
          <w:sz w:val="22"/>
          <w:szCs w:val="22"/>
        </w:rPr>
      </w:pPr>
      <w:r>
        <w:rPr>
          <w:rFonts w:hint="eastAsia" w:ascii="宋体" w:hAnsi="宋体" w:cs="宋体"/>
          <w:b w:val="0"/>
          <w:bCs w:val="0"/>
          <w:color w:val="4A4A4A"/>
          <w:sz w:val="22"/>
          <w:szCs w:val="22"/>
        </w:rPr>
        <w:t>3、意见接收机构：温州超然招标代理有限公司</w:t>
      </w:r>
    </w:p>
    <w:p w14:paraId="5DD2A4A2">
      <w:pPr>
        <w:widowControl/>
        <w:spacing w:line="360" w:lineRule="auto"/>
        <w:ind w:firstLine="424"/>
        <w:rPr>
          <w:rFonts w:hint="eastAsia" w:ascii="等线" w:hAnsi="等线" w:eastAsia="等线" w:cs="宋体"/>
          <w:b w:val="0"/>
          <w:bCs w:val="0"/>
          <w:color w:val="4A4A4A"/>
          <w:sz w:val="22"/>
          <w:szCs w:val="22"/>
        </w:rPr>
      </w:pPr>
      <w:r>
        <w:rPr>
          <w:rFonts w:hint="eastAsia" w:ascii="宋体" w:hAnsi="宋体" w:cs="宋体"/>
          <w:b w:val="0"/>
          <w:bCs w:val="0"/>
          <w:color w:val="4A4A4A"/>
          <w:sz w:val="22"/>
          <w:szCs w:val="22"/>
        </w:rPr>
        <w:t>4、联系人：洪世铭（</w:t>
      </w:r>
      <w:r>
        <w:rPr>
          <w:rFonts w:ascii="宋体" w:hAnsi="宋体" w:cs="宋体"/>
          <w:b w:val="0"/>
          <w:bCs w:val="0"/>
          <w:color w:val="4A4A4A"/>
          <w:sz w:val="22"/>
          <w:szCs w:val="22"/>
        </w:rPr>
        <w:t>18267789396</w:t>
      </w:r>
      <w:r>
        <w:rPr>
          <w:rFonts w:hint="eastAsia" w:ascii="宋体" w:hAnsi="宋体" w:cs="宋体"/>
          <w:b w:val="0"/>
          <w:bCs w:val="0"/>
          <w:color w:val="4A4A4A"/>
          <w:sz w:val="22"/>
          <w:szCs w:val="22"/>
        </w:rPr>
        <w:t>）</w:t>
      </w:r>
    </w:p>
    <w:p w14:paraId="7502C88B">
      <w:pPr>
        <w:widowControl/>
        <w:spacing w:line="360" w:lineRule="auto"/>
        <w:ind w:firstLine="424"/>
        <w:rPr>
          <w:rFonts w:hint="eastAsia" w:ascii="等线" w:hAnsi="等线" w:eastAsia="等线" w:cs="宋体"/>
          <w:b w:val="0"/>
          <w:bCs w:val="0"/>
          <w:color w:val="4A4A4A"/>
          <w:sz w:val="22"/>
          <w:szCs w:val="22"/>
        </w:rPr>
      </w:pPr>
      <w:r>
        <w:rPr>
          <w:rFonts w:hint="eastAsia" w:ascii="宋体" w:hAnsi="宋体" w:cs="宋体"/>
          <w:b w:val="0"/>
          <w:bCs w:val="0"/>
          <w:color w:val="4A4A4A"/>
          <w:sz w:val="22"/>
          <w:szCs w:val="22"/>
        </w:rPr>
        <w:t>5、联系电话：0577-68803069</w:t>
      </w:r>
    </w:p>
    <w:p w14:paraId="06D479B5">
      <w:pPr>
        <w:widowControl/>
        <w:spacing w:line="360" w:lineRule="auto"/>
        <w:ind w:firstLine="424"/>
        <w:rPr>
          <w:rFonts w:hint="eastAsia" w:ascii="等线" w:hAnsi="等线" w:eastAsia="等线" w:cs="宋体"/>
          <w:b w:val="0"/>
          <w:bCs w:val="0"/>
          <w:color w:val="4A4A4A"/>
          <w:sz w:val="22"/>
          <w:szCs w:val="22"/>
        </w:rPr>
      </w:pPr>
      <w:r>
        <w:rPr>
          <w:rFonts w:hint="eastAsia" w:ascii="宋体" w:hAnsi="宋体" w:cs="宋体"/>
          <w:b w:val="0"/>
          <w:bCs w:val="0"/>
          <w:color w:val="4A4A4A"/>
          <w:sz w:val="22"/>
          <w:szCs w:val="22"/>
        </w:rPr>
        <w:t>6、联系邮箱：</w:t>
      </w:r>
      <w:r>
        <w:rPr>
          <w:rFonts w:ascii="宋体" w:hAnsi="宋体" w:cs="宋体"/>
          <w:b w:val="0"/>
          <w:bCs w:val="0"/>
          <w:color w:val="4A4A4A"/>
          <w:sz w:val="22"/>
          <w:szCs w:val="22"/>
        </w:rPr>
        <w:t>376169591</w:t>
      </w:r>
      <w:r>
        <w:rPr>
          <w:rFonts w:hint="eastAsia" w:ascii="宋体" w:hAnsi="宋体" w:cs="宋体"/>
          <w:b w:val="0"/>
          <w:bCs w:val="0"/>
          <w:color w:val="4A4A4A"/>
          <w:sz w:val="22"/>
          <w:szCs w:val="22"/>
        </w:rPr>
        <w:t>@qq.com</w:t>
      </w:r>
    </w:p>
    <w:p w14:paraId="204DB5F3">
      <w:pPr>
        <w:widowControl/>
        <w:spacing w:line="360" w:lineRule="auto"/>
        <w:ind w:firstLine="426"/>
        <w:rPr>
          <w:rFonts w:hint="eastAsia" w:ascii="等线" w:hAnsi="等线" w:eastAsia="等线" w:cs="宋体"/>
          <w:b w:val="0"/>
          <w:bCs w:val="0"/>
          <w:color w:val="4A4A4A"/>
          <w:sz w:val="22"/>
          <w:szCs w:val="22"/>
        </w:rPr>
      </w:pPr>
      <w:r>
        <w:rPr>
          <w:rFonts w:hint="eastAsia" w:ascii="宋体" w:hAnsi="宋体" w:cs="宋体"/>
          <w:b w:val="0"/>
          <w:bCs w:val="0"/>
          <w:color w:val="4A4A4A"/>
          <w:sz w:val="22"/>
          <w:szCs w:val="22"/>
        </w:rPr>
        <w:t>四、合格的修改意见或建议书要求</w:t>
      </w:r>
    </w:p>
    <w:p w14:paraId="6049F0A9">
      <w:pPr>
        <w:widowControl/>
        <w:spacing w:line="360" w:lineRule="auto"/>
        <w:ind w:firstLine="424"/>
        <w:rPr>
          <w:rFonts w:hint="eastAsia" w:ascii="等线" w:hAnsi="等线" w:eastAsia="等线" w:cs="宋体"/>
          <w:b w:val="0"/>
          <w:bCs w:val="0"/>
          <w:color w:val="4A4A4A"/>
          <w:sz w:val="22"/>
          <w:szCs w:val="22"/>
        </w:rPr>
      </w:pPr>
      <w:r>
        <w:rPr>
          <w:rFonts w:hint="eastAsia" w:ascii="宋体" w:hAnsi="宋体" w:cs="宋体"/>
          <w:b w:val="0"/>
          <w:bCs w:val="0"/>
          <w:color w:val="4A4A4A"/>
          <w:sz w:val="22"/>
          <w:szCs w:val="22"/>
        </w:rPr>
        <w:t>提出修改意见和建议的，书面材料须签字确认并加盖公章。提出的建议应说明修改原因以及替代性意见。</w:t>
      </w:r>
    </w:p>
    <w:p w14:paraId="26F73DD5">
      <w:pPr>
        <w:widowControl/>
        <w:spacing w:line="360" w:lineRule="auto"/>
        <w:ind w:firstLine="426"/>
        <w:rPr>
          <w:rFonts w:hint="eastAsia" w:ascii="等线" w:hAnsi="等线" w:eastAsia="等线" w:cs="宋体"/>
          <w:b w:val="0"/>
          <w:bCs w:val="0"/>
          <w:color w:val="4A4A4A"/>
          <w:sz w:val="22"/>
          <w:szCs w:val="22"/>
        </w:rPr>
      </w:pPr>
      <w:r>
        <w:rPr>
          <w:rFonts w:hint="eastAsia" w:ascii="宋体" w:hAnsi="宋体" w:cs="宋体"/>
          <w:b w:val="0"/>
          <w:bCs w:val="0"/>
          <w:color w:val="4A4A4A"/>
          <w:sz w:val="22"/>
          <w:szCs w:val="22"/>
        </w:rPr>
        <w:t>五、注意事项：</w:t>
      </w:r>
    </w:p>
    <w:p w14:paraId="5A0623C0">
      <w:pPr>
        <w:widowControl/>
        <w:spacing w:line="360" w:lineRule="auto"/>
        <w:ind w:firstLine="424"/>
        <w:rPr>
          <w:rFonts w:hint="eastAsia" w:ascii="宋体" w:hAnsi="宋体" w:cs="宋体"/>
          <w:b w:val="0"/>
          <w:bCs w:val="0"/>
          <w:color w:val="4A4A4A"/>
          <w:sz w:val="22"/>
          <w:szCs w:val="22"/>
        </w:rPr>
      </w:pPr>
      <w:r>
        <w:rPr>
          <w:rFonts w:hint="eastAsia" w:ascii="宋体" w:hAnsi="宋体" w:cs="宋体"/>
          <w:b w:val="0"/>
          <w:bCs w:val="0"/>
          <w:color w:val="4A4A4A"/>
          <w:sz w:val="22"/>
          <w:szCs w:val="22"/>
        </w:rPr>
        <w:t>提出修改意见和建议的，请于2025-00-00 16:30:00 前派送达或邮寄至温州超然招标代理有限公司(龙港市海港路1283号后幢一单元202室/苍南县灵溪镇上将小区1-17幢2单元302室)，也可将原件扫描件及WORD文档发送至电子邮箱：</w:t>
      </w:r>
      <w:r>
        <w:rPr>
          <w:rFonts w:ascii="宋体" w:hAnsi="宋体" w:cs="宋体"/>
          <w:b w:val="0"/>
          <w:bCs w:val="0"/>
          <w:color w:val="4A4A4A"/>
          <w:sz w:val="22"/>
          <w:szCs w:val="22"/>
        </w:rPr>
        <w:t>376169591</w:t>
      </w:r>
      <w:r>
        <w:rPr>
          <w:rFonts w:hint="eastAsia" w:ascii="宋体" w:hAnsi="宋体" w:cs="宋体"/>
          <w:b w:val="0"/>
          <w:bCs w:val="0"/>
          <w:color w:val="4A4A4A"/>
          <w:sz w:val="22"/>
          <w:szCs w:val="22"/>
        </w:rPr>
        <w:t>@qq.com。</w:t>
      </w:r>
    </w:p>
    <w:p w14:paraId="0F3B539A">
      <w:pPr>
        <w:pStyle w:val="23"/>
      </w:pPr>
    </w:p>
    <w:p w14:paraId="65574413">
      <w:pPr>
        <w:pStyle w:val="23"/>
      </w:pPr>
    </w:p>
    <w:p w14:paraId="159AED1D">
      <w:pPr>
        <w:pStyle w:val="23"/>
      </w:pPr>
    </w:p>
    <w:p w14:paraId="2057A60E">
      <w:pPr>
        <w:pStyle w:val="23"/>
      </w:pPr>
    </w:p>
    <w:p w14:paraId="0FEACDBF">
      <w:pPr>
        <w:pStyle w:val="23"/>
      </w:pPr>
    </w:p>
    <w:p w14:paraId="2D3512F4">
      <w:pPr>
        <w:pStyle w:val="23"/>
      </w:pPr>
    </w:p>
    <w:p w14:paraId="684D4319">
      <w:pPr>
        <w:pStyle w:val="23"/>
      </w:pPr>
    </w:p>
    <w:p w14:paraId="1B291C47">
      <w:pPr>
        <w:pStyle w:val="23"/>
        <w:ind w:firstLine="0"/>
      </w:pPr>
    </w:p>
    <w:p w14:paraId="0E1BE0B2">
      <w:pPr>
        <w:pStyle w:val="4"/>
        <w:spacing w:before="0" w:after="120" w:line="700" w:lineRule="exact"/>
        <w:ind w:left="0" w:firstLine="0"/>
        <w:jc w:val="center"/>
        <w:rPr>
          <w:rFonts w:ascii="Cambria Math" w:hAnsi="Cambria Math" w:eastAsia="Cambria Math"/>
          <w:b/>
          <w:color w:val="auto"/>
          <w:sz w:val="32"/>
        </w:rPr>
      </w:pPr>
      <w:r>
        <w:rPr>
          <w:rFonts w:hint="eastAsia" w:ascii="Cambria Math" w:hAnsi="Cambria Math" w:eastAsia="Cambria Math"/>
          <w:b/>
          <w:color w:val="auto"/>
          <w:sz w:val="32"/>
        </w:rPr>
        <w:t>投标通知(邀请)书</w:t>
      </w:r>
    </w:p>
    <w:p w14:paraId="28959C4A">
      <w:pPr>
        <w:spacing w:line="440" w:lineRule="exact"/>
        <w:ind w:firstLine="440" w:firstLineChars="200"/>
        <w:rPr>
          <w:rFonts w:hint="eastAsia" w:ascii="宋体" w:hAnsi="宋体"/>
          <w:b w:val="0"/>
          <w:color w:val="auto"/>
          <w:sz w:val="22"/>
          <w:szCs w:val="22"/>
        </w:rPr>
      </w:pPr>
      <w:r>
        <w:rPr>
          <w:rFonts w:hint="eastAsia" w:ascii="宋体" w:hAnsi="宋体"/>
          <w:b w:val="0"/>
          <w:color w:val="auto"/>
          <w:sz w:val="22"/>
          <w:szCs w:val="22"/>
        </w:rPr>
        <w:t>温州超然招标代理有限公司</w:t>
      </w:r>
      <w:r>
        <w:rPr>
          <w:rFonts w:hint="eastAsia" w:ascii="宋体" w:hAnsi="宋体"/>
          <w:b w:val="0"/>
          <w:bCs w:val="0"/>
          <w:color w:val="auto"/>
          <w:sz w:val="22"/>
          <w:szCs w:val="22"/>
        </w:rPr>
        <w:t>受</w:t>
      </w:r>
      <w:r>
        <w:rPr>
          <w:rFonts w:hint="eastAsia" w:ascii="宋体" w:hAnsi="宋体" w:cs="宋体"/>
          <w:b w:val="0"/>
          <w:color w:val="auto"/>
          <w:sz w:val="22"/>
          <w:szCs w:val="22"/>
        </w:rPr>
        <w:t>温州公用事业发展集团龙港水务有限公司</w:t>
      </w:r>
      <w:r>
        <w:rPr>
          <w:rFonts w:hint="eastAsia" w:ascii="宋体" w:hAnsi="宋体"/>
          <w:b w:val="0"/>
          <w:bCs w:val="0"/>
          <w:color w:val="auto"/>
          <w:sz w:val="22"/>
          <w:szCs w:val="22"/>
        </w:rPr>
        <w:t>委托，就</w:t>
      </w:r>
      <w:r>
        <w:rPr>
          <w:rFonts w:hint="eastAsia" w:ascii="宋体" w:hAnsi="宋体" w:cs="宋体"/>
          <w:b w:val="0"/>
          <w:color w:val="auto"/>
          <w:sz w:val="22"/>
          <w:szCs w:val="22"/>
          <w:lang w:eastAsia="zh-CN"/>
        </w:rPr>
        <w:t>龙港水务供水桥管维养服务项目</w:t>
      </w:r>
      <w:r>
        <w:rPr>
          <w:rFonts w:hint="eastAsia" w:ascii="宋体" w:hAnsi="宋体"/>
          <w:b w:val="0"/>
          <w:bCs w:val="0"/>
          <w:color w:val="auto"/>
          <w:sz w:val="22"/>
          <w:szCs w:val="22"/>
        </w:rPr>
        <w:t>进行公开招标</w:t>
      </w:r>
      <w:r>
        <w:rPr>
          <w:rFonts w:hint="eastAsia" w:ascii="宋体" w:hAnsi="宋体"/>
          <w:b w:val="0"/>
          <w:color w:val="auto"/>
          <w:sz w:val="22"/>
          <w:szCs w:val="22"/>
        </w:rPr>
        <w:t>，我们现通知贵公司（企业）参加投标，并请按招标文件的要求认真准备好投标文件，按时前来投标。</w:t>
      </w:r>
    </w:p>
    <w:tbl>
      <w:tblPr>
        <w:tblStyle w:val="35"/>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7398"/>
      </w:tblGrid>
      <w:tr w14:paraId="0238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269" w:type="dxa"/>
            <w:tcBorders>
              <w:top w:val="double" w:color="auto" w:sz="4" w:space="0"/>
              <w:left w:val="double" w:color="auto" w:sz="4" w:space="0"/>
            </w:tcBorders>
            <w:vAlign w:val="center"/>
          </w:tcPr>
          <w:p w14:paraId="0F393483">
            <w:pPr>
              <w:pStyle w:val="15"/>
              <w:snapToGrid w:val="0"/>
              <w:spacing w:before="0" w:line="400" w:lineRule="atLeast"/>
              <w:jc w:val="center"/>
              <w:rPr>
                <w:rFonts w:hint="eastAsia" w:ascii="宋体" w:hAnsi="宋体" w:cs="Times New Roman"/>
                <w:b w:val="0"/>
                <w:color w:val="auto"/>
                <w:sz w:val="22"/>
                <w:szCs w:val="22"/>
              </w:rPr>
            </w:pPr>
            <w:r>
              <w:rPr>
                <w:rFonts w:hint="eastAsia" w:ascii="宋体" w:hAnsi="宋体" w:cs="Times New Roman"/>
                <w:b w:val="0"/>
                <w:color w:val="auto"/>
                <w:sz w:val="22"/>
                <w:szCs w:val="22"/>
              </w:rPr>
              <w:t>招标编号</w:t>
            </w:r>
          </w:p>
        </w:tc>
        <w:tc>
          <w:tcPr>
            <w:tcW w:w="7398" w:type="dxa"/>
            <w:tcBorders>
              <w:top w:val="double" w:color="auto" w:sz="4" w:space="0"/>
              <w:right w:val="double" w:color="auto" w:sz="4" w:space="0"/>
            </w:tcBorders>
            <w:vAlign w:val="center"/>
          </w:tcPr>
          <w:p w14:paraId="54E64432">
            <w:pPr>
              <w:pStyle w:val="15"/>
              <w:snapToGrid w:val="0"/>
              <w:spacing w:before="0" w:line="400" w:lineRule="atLeast"/>
              <w:rPr>
                <w:rFonts w:hint="eastAsia" w:ascii="宋体" w:hAnsi="宋体" w:eastAsia="宋体" w:cs="Times New Roman"/>
                <w:b w:val="0"/>
                <w:color w:val="auto"/>
                <w:sz w:val="22"/>
                <w:szCs w:val="22"/>
                <w:lang w:eastAsia="zh-CN"/>
              </w:rPr>
            </w:pPr>
            <w:r>
              <w:rPr>
                <w:rFonts w:hint="eastAsia" w:ascii="宋体" w:hAnsi="宋体" w:cs="Times New Roman"/>
                <w:b w:val="0"/>
                <w:color w:val="auto"/>
                <w:sz w:val="22"/>
                <w:szCs w:val="22"/>
                <w:lang w:eastAsia="zh-CN"/>
              </w:rPr>
              <w:t>WGSS-GYJT-Z-2025148</w:t>
            </w:r>
          </w:p>
        </w:tc>
      </w:tr>
      <w:tr w14:paraId="7672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269" w:type="dxa"/>
            <w:tcBorders>
              <w:left w:val="double" w:color="auto" w:sz="4" w:space="0"/>
            </w:tcBorders>
            <w:vAlign w:val="center"/>
          </w:tcPr>
          <w:p w14:paraId="7BD2B70C">
            <w:pPr>
              <w:pStyle w:val="15"/>
              <w:snapToGrid w:val="0"/>
              <w:spacing w:before="0" w:line="400" w:lineRule="atLeast"/>
              <w:jc w:val="center"/>
              <w:rPr>
                <w:rFonts w:hint="eastAsia" w:ascii="宋体" w:hAnsi="宋体" w:cs="Times New Roman"/>
                <w:b w:val="0"/>
                <w:color w:val="auto"/>
                <w:sz w:val="22"/>
                <w:szCs w:val="22"/>
              </w:rPr>
            </w:pPr>
            <w:r>
              <w:rPr>
                <w:rFonts w:hint="eastAsia" w:ascii="宋体" w:hAnsi="宋体" w:cs="Times New Roman"/>
                <w:b w:val="0"/>
                <w:color w:val="auto"/>
                <w:sz w:val="22"/>
                <w:szCs w:val="22"/>
              </w:rPr>
              <w:t>招标内容</w:t>
            </w:r>
          </w:p>
        </w:tc>
        <w:tc>
          <w:tcPr>
            <w:tcW w:w="7398" w:type="dxa"/>
            <w:tcBorders>
              <w:right w:val="double" w:color="auto" w:sz="4" w:space="0"/>
            </w:tcBorders>
            <w:vAlign w:val="center"/>
          </w:tcPr>
          <w:p w14:paraId="5523A4C0">
            <w:pPr>
              <w:pStyle w:val="15"/>
              <w:snapToGrid w:val="0"/>
              <w:spacing w:before="0" w:line="400" w:lineRule="atLeast"/>
              <w:rPr>
                <w:rFonts w:hint="eastAsia" w:ascii="宋体" w:hAnsi="宋体" w:eastAsia="宋体" w:cs="Times New Roman"/>
                <w:b w:val="0"/>
                <w:color w:val="auto"/>
                <w:sz w:val="22"/>
                <w:szCs w:val="22"/>
                <w:lang w:eastAsia="zh-CN"/>
              </w:rPr>
            </w:pPr>
            <w:r>
              <w:rPr>
                <w:rFonts w:hint="eastAsia" w:ascii="宋体" w:hAnsi="宋体" w:cs="宋体"/>
                <w:b w:val="0"/>
                <w:color w:val="auto"/>
                <w:sz w:val="22"/>
                <w:szCs w:val="22"/>
                <w:lang w:eastAsia="zh-CN"/>
              </w:rPr>
              <w:t>龙港水务供水桥管维养服务项目</w:t>
            </w:r>
          </w:p>
        </w:tc>
      </w:tr>
      <w:tr w14:paraId="2304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269" w:type="dxa"/>
            <w:tcBorders>
              <w:left w:val="double" w:color="auto" w:sz="4" w:space="0"/>
            </w:tcBorders>
            <w:vAlign w:val="center"/>
          </w:tcPr>
          <w:p w14:paraId="549C97F1">
            <w:pPr>
              <w:pStyle w:val="15"/>
              <w:snapToGrid w:val="0"/>
              <w:spacing w:before="0" w:line="400" w:lineRule="atLeast"/>
              <w:jc w:val="center"/>
              <w:rPr>
                <w:rFonts w:hint="eastAsia" w:ascii="宋体" w:hAnsi="宋体" w:cs="Times New Roman"/>
                <w:b w:val="0"/>
                <w:color w:val="auto"/>
                <w:sz w:val="22"/>
                <w:szCs w:val="22"/>
              </w:rPr>
            </w:pPr>
            <w:r>
              <w:rPr>
                <w:rFonts w:hint="eastAsia" w:ascii="宋体" w:hAnsi="宋体" w:cs="Times New Roman"/>
                <w:b w:val="0"/>
                <w:color w:val="auto"/>
                <w:sz w:val="22"/>
                <w:szCs w:val="22"/>
              </w:rPr>
              <w:t>资金来源</w:t>
            </w:r>
          </w:p>
        </w:tc>
        <w:tc>
          <w:tcPr>
            <w:tcW w:w="7398" w:type="dxa"/>
            <w:tcBorders>
              <w:right w:val="double" w:color="auto" w:sz="4" w:space="0"/>
            </w:tcBorders>
            <w:vAlign w:val="center"/>
          </w:tcPr>
          <w:p w14:paraId="39AB644F">
            <w:pPr>
              <w:pStyle w:val="15"/>
              <w:snapToGrid w:val="0"/>
              <w:spacing w:before="0" w:line="400" w:lineRule="atLeast"/>
              <w:rPr>
                <w:rFonts w:hint="eastAsia" w:ascii="宋体" w:hAnsi="宋体" w:cs="Times New Roman"/>
                <w:b w:val="0"/>
                <w:color w:val="auto"/>
                <w:sz w:val="22"/>
                <w:szCs w:val="22"/>
              </w:rPr>
            </w:pPr>
            <w:r>
              <w:rPr>
                <w:rFonts w:hint="eastAsia" w:ascii="宋体" w:hAnsi="宋体" w:cs="Times New Roman"/>
                <w:b w:val="0"/>
                <w:color w:val="auto"/>
                <w:sz w:val="22"/>
                <w:szCs w:val="22"/>
              </w:rPr>
              <w:t>自筹</w:t>
            </w:r>
          </w:p>
        </w:tc>
      </w:tr>
      <w:tr w14:paraId="7E1E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269" w:type="dxa"/>
            <w:tcBorders>
              <w:left w:val="double" w:color="auto" w:sz="4" w:space="0"/>
            </w:tcBorders>
            <w:vAlign w:val="center"/>
          </w:tcPr>
          <w:p w14:paraId="0AD754D0">
            <w:pPr>
              <w:adjustRightInd w:val="0"/>
              <w:snapToGrid w:val="0"/>
              <w:spacing w:line="400" w:lineRule="atLeast"/>
              <w:jc w:val="center"/>
              <w:rPr>
                <w:rFonts w:hint="eastAsia" w:ascii="宋体" w:hAnsi="宋体"/>
                <w:b w:val="0"/>
                <w:color w:val="auto"/>
                <w:sz w:val="22"/>
                <w:szCs w:val="22"/>
              </w:rPr>
            </w:pPr>
            <w:r>
              <w:rPr>
                <w:rFonts w:hint="eastAsia" w:ascii="宋体" w:hAnsi="宋体"/>
                <w:b w:val="0"/>
                <w:color w:val="auto"/>
                <w:sz w:val="22"/>
                <w:szCs w:val="22"/>
              </w:rPr>
              <w:t>预算金额</w:t>
            </w:r>
          </w:p>
        </w:tc>
        <w:tc>
          <w:tcPr>
            <w:tcW w:w="7398" w:type="dxa"/>
            <w:tcBorders>
              <w:right w:val="double" w:color="auto" w:sz="4" w:space="0"/>
            </w:tcBorders>
            <w:vAlign w:val="center"/>
          </w:tcPr>
          <w:p w14:paraId="3D763051">
            <w:pPr>
              <w:adjustRightInd w:val="0"/>
              <w:snapToGrid w:val="0"/>
              <w:spacing w:line="400" w:lineRule="atLeast"/>
              <w:rPr>
                <w:rFonts w:hint="eastAsia" w:ascii="宋体" w:hAnsi="宋体"/>
                <w:b w:val="0"/>
                <w:color w:val="auto"/>
                <w:sz w:val="22"/>
                <w:szCs w:val="22"/>
              </w:rPr>
            </w:pPr>
            <w:r>
              <w:rPr>
                <w:rFonts w:hint="eastAsia" w:ascii="宋体" w:hAnsi="宋体"/>
                <w:b w:val="0"/>
                <w:color w:val="auto"/>
                <w:sz w:val="22"/>
                <w:szCs w:val="22"/>
              </w:rPr>
              <w:t>人民币</w:t>
            </w:r>
            <w:r>
              <w:rPr>
                <w:rFonts w:hint="eastAsia" w:ascii="宋体" w:hAnsi="宋体"/>
                <w:b w:val="0"/>
                <w:color w:val="auto"/>
                <w:sz w:val="22"/>
                <w:szCs w:val="22"/>
                <w:lang w:eastAsia="zh-CN"/>
              </w:rPr>
              <w:t>597371</w:t>
            </w:r>
            <w:r>
              <w:rPr>
                <w:rFonts w:ascii="宋体" w:hAnsi="宋体"/>
                <w:b w:val="0"/>
                <w:color w:val="auto"/>
                <w:sz w:val="22"/>
                <w:szCs w:val="22"/>
              </w:rPr>
              <w:t>元</w:t>
            </w:r>
          </w:p>
        </w:tc>
      </w:tr>
      <w:tr w14:paraId="5AD4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269" w:type="dxa"/>
            <w:tcBorders>
              <w:left w:val="double" w:color="auto" w:sz="4" w:space="0"/>
            </w:tcBorders>
            <w:vAlign w:val="center"/>
          </w:tcPr>
          <w:p w14:paraId="73C32EE2">
            <w:pPr>
              <w:pStyle w:val="15"/>
              <w:snapToGrid w:val="0"/>
              <w:spacing w:before="0" w:line="400" w:lineRule="atLeast"/>
              <w:jc w:val="center"/>
              <w:rPr>
                <w:rFonts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采购方式</w:t>
            </w:r>
          </w:p>
        </w:tc>
        <w:tc>
          <w:tcPr>
            <w:tcW w:w="7398" w:type="dxa"/>
            <w:tcBorders>
              <w:right w:val="double" w:color="auto" w:sz="4" w:space="0"/>
            </w:tcBorders>
            <w:vAlign w:val="center"/>
          </w:tcPr>
          <w:p w14:paraId="0484D70D">
            <w:pPr>
              <w:pStyle w:val="15"/>
              <w:snapToGrid w:val="0"/>
              <w:spacing w:before="0" w:line="400" w:lineRule="atLeast"/>
              <w:rPr>
                <w:rFonts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公开招标</w:t>
            </w:r>
          </w:p>
        </w:tc>
      </w:tr>
      <w:tr w14:paraId="0146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269" w:type="dxa"/>
            <w:tcBorders>
              <w:left w:val="double" w:color="auto" w:sz="4" w:space="0"/>
            </w:tcBorders>
            <w:vAlign w:val="center"/>
          </w:tcPr>
          <w:p w14:paraId="3C182C53">
            <w:pPr>
              <w:pStyle w:val="15"/>
              <w:snapToGrid w:val="0"/>
              <w:spacing w:before="0" w:line="400" w:lineRule="atLeast"/>
              <w:jc w:val="center"/>
              <w:rPr>
                <w:rFonts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评标办法</w:t>
            </w:r>
          </w:p>
        </w:tc>
        <w:tc>
          <w:tcPr>
            <w:tcW w:w="7398" w:type="dxa"/>
            <w:tcBorders>
              <w:right w:val="double" w:color="auto" w:sz="4" w:space="0"/>
            </w:tcBorders>
            <w:vAlign w:val="center"/>
          </w:tcPr>
          <w:p w14:paraId="4F23DABE">
            <w:pPr>
              <w:pStyle w:val="15"/>
              <w:snapToGrid w:val="0"/>
              <w:spacing w:before="0" w:line="400" w:lineRule="atLeast"/>
              <w:rPr>
                <w:rFonts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综合评分法</w:t>
            </w:r>
          </w:p>
        </w:tc>
      </w:tr>
      <w:tr w14:paraId="6C8F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269" w:type="dxa"/>
            <w:tcBorders>
              <w:left w:val="double" w:color="auto" w:sz="4" w:space="0"/>
            </w:tcBorders>
            <w:vAlign w:val="center"/>
          </w:tcPr>
          <w:p w14:paraId="09BC4B04">
            <w:pPr>
              <w:pStyle w:val="15"/>
              <w:snapToGrid w:val="0"/>
              <w:spacing w:before="0" w:line="400" w:lineRule="atLeast"/>
              <w:jc w:val="center"/>
              <w:rPr>
                <w:rFonts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投标有效期</w:t>
            </w:r>
          </w:p>
        </w:tc>
        <w:tc>
          <w:tcPr>
            <w:tcW w:w="7398" w:type="dxa"/>
            <w:tcBorders>
              <w:right w:val="double" w:color="auto" w:sz="4" w:space="0"/>
            </w:tcBorders>
            <w:vAlign w:val="center"/>
          </w:tcPr>
          <w:p w14:paraId="3BD5626F">
            <w:pPr>
              <w:pStyle w:val="15"/>
              <w:snapToGrid w:val="0"/>
              <w:spacing w:before="0" w:line="400" w:lineRule="atLeast"/>
              <w:rPr>
                <w:rFonts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120日历天（自投标截止日起计算）</w:t>
            </w:r>
          </w:p>
        </w:tc>
      </w:tr>
      <w:tr w14:paraId="7341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69" w:type="dxa"/>
            <w:tcBorders>
              <w:left w:val="double" w:color="auto" w:sz="4" w:space="0"/>
            </w:tcBorders>
            <w:vAlign w:val="center"/>
          </w:tcPr>
          <w:p w14:paraId="1B08F229">
            <w:pPr>
              <w:pStyle w:val="15"/>
              <w:snapToGrid w:val="0"/>
              <w:spacing w:before="0" w:line="400" w:lineRule="atLeast"/>
              <w:jc w:val="center"/>
              <w:rPr>
                <w:rFonts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投标文件递交至</w:t>
            </w:r>
          </w:p>
        </w:tc>
        <w:tc>
          <w:tcPr>
            <w:tcW w:w="7398" w:type="dxa"/>
            <w:tcBorders>
              <w:right w:val="double" w:color="auto" w:sz="4" w:space="0"/>
            </w:tcBorders>
            <w:vAlign w:val="center"/>
          </w:tcPr>
          <w:p w14:paraId="49DBDBE3">
            <w:pPr>
              <w:pStyle w:val="15"/>
              <w:snapToGrid w:val="0"/>
              <w:spacing w:before="0" w:line="400" w:lineRule="atLeast"/>
              <w:rPr>
                <w:rFonts w:ascii="Cambria Math" w:hAnsi="Cambria Math" w:eastAsia="Cambria Math" w:cs="Times New Roman"/>
                <w:b w:val="0"/>
                <w:color w:val="auto"/>
                <w:sz w:val="22"/>
                <w:szCs w:val="22"/>
              </w:rPr>
            </w:pPr>
            <w:r>
              <w:rPr>
                <w:rFonts w:hint="eastAsia" w:ascii="宋体" w:hAnsi="宋体" w:cs="宋体"/>
                <w:b w:val="0"/>
                <w:color w:val="auto"/>
                <w:sz w:val="22"/>
                <w:szCs w:val="22"/>
              </w:rPr>
              <w:t>“乐采云平台（www.lecaiyun.com）”实行在线投标响应</w:t>
            </w:r>
          </w:p>
        </w:tc>
      </w:tr>
      <w:tr w14:paraId="5777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69" w:type="dxa"/>
            <w:tcBorders>
              <w:left w:val="double" w:color="auto" w:sz="4" w:space="0"/>
            </w:tcBorders>
            <w:vAlign w:val="center"/>
          </w:tcPr>
          <w:p w14:paraId="3828821C">
            <w:pPr>
              <w:pStyle w:val="15"/>
              <w:snapToGrid w:val="0"/>
              <w:spacing w:before="0" w:line="400" w:lineRule="atLeast"/>
              <w:jc w:val="center"/>
              <w:rPr>
                <w:rFonts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投标截止与开标时间</w:t>
            </w:r>
          </w:p>
        </w:tc>
        <w:tc>
          <w:tcPr>
            <w:tcW w:w="7398" w:type="dxa"/>
            <w:tcBorders>
              <w:right w:val="double" w:color="auto" w:sz="4" w:space="0"/>
            </w:tcBorders>
            <w:vAlign w:val="center"/>
          </w:tcPr>
          <w:p w14:paraId="4AC57448">
            <w:pPr>
              <w:pStyle w:val="15"/>
              <w:snapToGrid w:val="0"/>
              <w:spacing w:before="0" w:line="400" w:lineRule="atLeast"/>
              <w:rPr>
                <w:rFonts w:ascii="Cambria Math" w:hAnsi="Cambria Math" w:cs="Times New Roman"/>
                <w:color w:val="auto"/>
                <w:sz w:val="22"/>
                <w:szCs w:val="22"/>
              </w:rPr>
            </w:pPr>
            <w:r>
              <w:rPr>
                <w:rFonts w:hint="eastAsia" w:ascii="Cambria Math" w:hAnsi="Cambria Math" w:cs="Times New Roman"/>
                <w:b w:val="0"/>
                <w:color w:val="auto"/>
                <w:sz w:val="22"/>
                <w:szCs w:val="22"/>
              </w:rPr>
              <w:t>2025</w:t>
            </w:r>
            <w:r>
              <w:rPr>
                <w:rFonts w:hint="eastAsia" w:ascii="宋体" w:hAnsi="宋体" w:cs="宋体"/>
                <w:b w:val="0"/>
                <w:color w:val="auto"/>
                <w:sz w:val="22"/>
                <w:szCs w:val="22"/>
              </w:rPr>
              <w:t>年</w:t>
            </w:r>
            <w:r>
              <w:rPr>
                <w:rFonts w:hint="eastAsia" w:ascii="Cambria Math" w:hAnsi="Cambria Math" w:cs="Times New Roman"/>
                <w:b w:val="0"/>
                <w:color w:val="auto"/>
                <w:sz w:val="22"/>
                <w:szCs w:val="22"/>
              </w:rPr>
              <w:t>0</w:t>
            </w:r>
            <w:r>
              <w:rPr>
                <w:rFonts w:hint="eastAsia" w:ascii="Cambria Math" w:hAnsi="Cambria Math" w:cs="Times New Roman"/>
                <w:b w:val="0"/>
                <w:color w:val="auto"/>
                <w:sz w:val="22"/>
                <w:szCs w:val="22"/>
                <w:lang w:val="en-US" w:eastAsia="zh-CN"/>
              </w:rPr>
              <w:t>3</w:t>
            </w:r>
            <w:r>
              <w:rPr>
                <w:rFonts w:hint="eastAsia" w:ascii="宋体" w:hAnsi="宋体" w:cs="宋体"/>
                <w:b w:val="0"/>
                <w:color w:val="auto"/>
                <w:sz w:val="22"/>
                <w:szCs w:val="22"/>
              </w:rPr>
              <w:t>月</w:t>
            </w:r>
            <w:r>
              <w:rPr>
                <w:rFonts w:hint="eastAsia" w:ascii="Cambria Math" w:hAnsi="Cambria Math" w:cs="Times New Roman"/>
                <w:b w:val="0"/>
                <w:color w:val="auto"/>
                <w:sz w:val="22"/>
                <w:szCs w:val="22"/>
                <w:lang w:val="en-US" w:eastAsia="zh-CN"/>
              </w:rPr>
              <w:t>24</w:t>
            </w:r>
            <w:r>
              <w:rPr>
                <w:rFonts w:hint="eastAsia" w:ascii="宋体" w:hAnsi="宋体" w:cs="宋体"/>
                <w:b w:val="0"/>
                <w:color w:val="auto"/>
                <w:sz w:val="22"/>
                <w:szCs w:val="22"/>
              </w:rPr>
              <w:t>日</w:t>
            </w:r>
            <w:r>
              <w:rPr>
                <w:rFonts w:ascii="Cambria Math" w:hAnsi="Cambria Math" w:cs="Times New Roman"/>
                <w:b w:val="0"/>
                <w:bCs w:val="0"/>
                <w:color w:val="auto"/>
                <w:sz w:val="22"/>
                <w:szCs w:val="22"/>
              </w:rPr>
              <w:t>14</w:t>
            </w:r>
            <w:r>
              <w:rPr>
                <w:rFonts w:hint="eastAsia" w:ascii="Cambria Math" w:hAnsi="Cambria Math" w:cs="Times New Roman"/>
                <w:b w:val="0"/>
                <w:bCs w:val="0"/>
                <w:color w:val="auto"/>
                <w:sz w:val="22"/>
                <w:szCs w:val="22"/>
              </w:rPr>
              <w:t>:30:00</w:t>
            </w:r>
          </w:p>
        </w:tc>
      </w:tr>
      <w:tr w14:paraId="34C6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69" w:type="dxa"/>
            <w:tcBorders>
              <w:left w:val="double" w:color="auto" w:sz="4" w:space="0"/>
            </w:tcBorders>
            <w:vAlign w:val="center"/>
          </w:tcPr>
          <w:p w14:paraId="35A6DDB8">
            <w:pPr>
              <w:pStyle w:val="15"/>
              <w:snapToGrid w:val="0"/>
              <w:spacing w:before="0" w:line="400" w:lineRule="atLeast"/>
              <w:jc w:val="center"/>
              <w:rPr>
                <w:rFonts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投标开标地点</w:t>
            </w:r>
          </w:p>
        </w:tc>
        <w:tc>
          <w:tcPr>
            <w:tcW w:w="7398" w:type="dxa"/>
            <w:tcBorders>
              <w:right w:val="double" w:color="auto" w:sz="4" w:space="0"/>
            </w:tcBorders>
            <w:vAlign w:val="center"/>
          </w:tcPr>
          <w:p w14:paraId="74B4F6F6">
            <w:pPr>
              <w:pStyle w:val="15"/>
              <w:snapToGrid w:val="0"/>
              <w:spacing w:before="0" w:line="400" w:lineRule="atLeast"/>
              <w:rPr>
                <w:rFonts w:ascii="Cambria Math" w:hAnsi="Cambria Math" w:eastAsia="Cambria Math" w:cs="Times New Roman"/>
                <w:b w:val="0"/>
                <w:color w:val="auto"/>
                <w:sz w:val="22"/>
                <w:szCs w:val="22"/>
              </w:rPr>
            </w:pPr>
            <w:r>
              <w:rPr>
                <w:rFonts w:hint="eastAsia" w:ascii="宋体" w:hAnsi="宋体" w:cs="@楷体_GB2312"/>
                <w:b w:val="0"/>
                <w:bCs w:val="0"/>
                <w:color w:val="auto"/>
                <w:sz w:val="22"/>
                <w:szCs w:val="22"/>
              </w:rPr>
              <w:t>“乐采云平台（www.lecaiyun.com）”实行在线开标评审</w:t>
            </w:r>
          </w:p>
        </w:tc>
      </w:tr>
      <w:tr w14:paraId="66C2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269" w:type="dxa"/>
            <w:tcBorders>
              <w:left w:val="double" w:color="auto" w:sz="4" w:space="0"/>
              <w:bottom w:val="single" w:color="auto" w:sz="4" w:space="0"/>
            </w:tcBorders>
            <w:vAlign w:val="center"/>
          </w:tcPr>
          <w:p w14:paraId="075210FB">
            <w:pPr>
              <w:pStyle w:val="15"/>
              <w:snapToGrid w:val="0"/>
              <w:spacing w:before="0" w:line="400" w:lineRule="atLeast"/>
              <w:jc w:val="center"/>
              <w:rPr>
                <w:rFonts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重要提醒</w:t>
            </w:r>
          </w:p>
        </w:tc>
        <w:tc>
          <w:tcPr>
            <w:tcW w:w="7398" w:type="dxa"/>
            <w:tcBorders>
              <w:bottom w:val="single" w:color="auto" w:sz="4" w:space="0"/>
              <w:right w:val="double" w:color="auto" w:sz="4" w:space="0"/>
            </w:tcBorders>
            <w:vAlign w:val="center"/>
          </w:tcPr>
          <w:p w14:paraId="3580D6B9">
            <w:pPr>
              <w:pStyle w:val="15"/>
              <w:snapToGrid w:val="0"/>
              <w:spacing w:before="0" w:line="400" w:lineRule="atLeast"/>
              <w:rPr>
                <w:rFonts w:ascii="Cambria Math" w:hAnsi="Cambria Math" w:eastAsia="Cambria Math" w:cs="Times New Roman"/>
                <w:color w:val="auto"/>
                <w:sz w:val="22"/>
                <w:szCs w:val="22"/>
              </w:rPr>
            </w:pPr>
            <w:r>
              <w:rPr>
                <w:rFonts w:hint="eastAsia" w:ascii="Cambria Math" w:hAnsi="Cambria Math" w:eastAsia="Cambria Math" w:cs="Times New Roman"/>
                <w:color w:val="auto"/>
                <w:sz w:val="22"/>
                <w:szCs w:val="22"/>
              </w:rPr>
              <w:t>招标文件中标注“▲”的技术或商务条款均为实质性要求条款，不满足实质性要求条款的投标无效。</w:t>
            </w:r>
          </w:p>
        </w:tc>
      </w:tr>
      <w:tr w14:paraId="7547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269" w:type="dxa"/>
            <w:tcBorders>
              <w:left w:val="double" w:color="auto" w:sz="4" w:space="0"/>
              <w:bottom w:val="single" w:color="auto" w:sz="4" w:space="0"/>
            </w:tcBorders>
            <w:vAlign w:val="center"/>
          </w:tcPr>
          <w:p w14:paraId="18963A9D">
            <w:pPr>
              <w:pStyle w:val="15"/>
              <w:snapToGrid w:val="0"/>
              <w:spacing w:before="0" w:line="400" w:lineRule="atLeast"/>
              <w:rPr>
                <w:rFonts w:ascii="Cambria Math" w:hAnsi="Cambria Math" w:eastAsia="Cambria Math" w:cs="Times New Roman"/>
                <w:b w:val="0"/>
                <w:color w:val="auto"/>
                <w:sz w:val="22"/>
                <w:szCs w:val="22"/>
              </w:rPr>
            </w:pPr>
            <w:r>
              <w:rPr>
                <w:rFonts w:ascii="Cambria Math" w:hAnsi="Cambria Math" w:eastAsia="Cambria Math" w:cs="Times New Roman"/>
                <w:b w:val="0"/>
                <w:color w:val="auto"/>
                <w:sz w:val="22"/>
                <w:szCs w:val="22"/>
                <w:lang w:bidi="zh-CN"/>
              </w:rPr>
              <w:t>▲信用记录查询与使用</w:t>
            </w:r>
          </w:p>
        </w:tc>
        <w:tc>
          <w:tcPr>
            <w:tcW w:w="7398" w:type="dxa"/>
            <w:tcBorders>
              <w:bottom w:val="single" w:color="auto" w:sz="4" w:space="0"/>
              <w:right w:val="double" w:color="auto" w:sz="4" w:space="0"/>
            </w:tcBorders>
            <w:vAlign w:val="center"/>
          </w:tcPr>
          <w:p w14:paraId="44A792C0">
            <w:pPr>
              <w:pStyle w:val="15"/>
              <w:snapToGrid w:val="0"/>
              <w:spacing w:before="0" w:line="400" w:lineRule="atLeast"/>
              <w:rPr>
                <w:rFonts w:ascii="Cambria Math" w:hAnsi="Cambria Math" w:eastAsia="Cambria Math" w:cs="Times New Roman"/>
                <w:b w:val="0"/>
                <w:color w:val="auto"/>
                <w:sz w:val="22"/>
                <w:szCs w:val="22"/>
              </w:rPr>
            </w:pPr>
            <w:r>
              <w:rPr>
                <w:rFonts w:ascii="Cambria Math" w:hAnsi="Cambria Math" w:eastAsia="Cambria Math" w:cs="Times New Roman"/>
                <w:b w:val="0"/>
                <w:color w:val="auto"/>
                <w:sz w:val="22"/>
                <w:szCs w:val="22"/>
              </w:rPr>
              <w:t>根据《财政部关于在政府采购活动中查询及使用信用记录的通知》（财库〔2016〕125号）相关规定，</w:t>
            </w:r>
            <w:r>
              <w:rPr>
                <w:rFonts w:hint="eastAsia" w:ascii="Cambria Math" w:hAnsi="Cambria Math" w:eastAsia="Cambria Math" w:cs="Times New Roman"/>
                <w:b w:val="0"/>
                <w:color w:val="auto"/>
                <w:sz w:val="22"/>
                <w:szCs w:val="22"/>
              </w:rPr>
              <w:t>评审时</w:t>
            </w:r>
            <w:r>
              <w:rPr>
                <w:rFonts w:ascii="Cambria Math" w:hAnsi="Cambria Math" w:eastAsia="Cambria Math" w:cs="Times New Roman"/>
                <w:b w:val="0"/>
                <w:color w:val="auto"/>
                <w:sz w:val="22"/>
                <w:szCs w:val="22"/>
              </w:rPr>
              <w:t>采购组织机构将统一通过“信用中国”网站（www.creditchina.gov.cn）、中国政府采购网（www.ccgp.gov.cn）查询供应商信用记录，对供应商信用记录进行甄别。</w:t>
            </w:r>
            <w:r>
              <w:rPr>
                <w:rFonts w:ascii="Cambria Math" w:hAnsi="Cambria Math" w:eastAsia="Cambria Math" w:cs="Times New Roman"/>
                <w:color w:val="auto"/>
                <w:sz w:val="22"/>
                <w:szCs w:val="22"/>
              </w:rPr>
              <w:t>凡是列入失信被执行人、重大税收违法案件当事人名单、政府采购严重违法失信行为记录名单及其他不符合《中华人民共和国政府采购法》第二十二条规定条件的供应商，</w:t>
            </w:r>
            <w:r>
              <w:rPr>
                <w:rFonts w:hint="eastAsia" w:ascii="Cambria Math" w:hAnsi="Cambria Math" w:eastAsia="Cambria Math" w:cs="Times New Roman"/>
                <w:color w:val="auto"/>
                <w:sz w:val="22"/>
                <w:szCs w:val="22"/>
              </w:rPr>
              <w:t>将</w:t>
            </w:r>
            <w:r>
              <w:rPr>
                <w:rFonts w:ascii="Cambria Math" w:hAnsi="Cambria Math" w:eastAsia="Cambria Math" w:cs="Times New Roman"/>
                <w:color w:val="auto"/>
                <w:sz w:val="22"/>
                <w:szCs w:val="22"/>
              </w:rPr>
              <w:t>拒绝其参加本次政府采购活动。</w:t>
            </w:r>
          </w:p>
        </w:tc>
      </w:tr>
      <w:tr w14:paraId="2142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269" w:type="dxa"/>
            <w:tcBorders>
              <w:left w:val="double" w:color="auto" w:sz="4" w:space="0"/>
              <w:bottom w:val="single" w:color="auto" w:sz="4" w:space="0"/>
            </w:tcBorders>
            <w:vAlign w:val="center"/>
          </w:tcPr>
          <w:p w14:paraId="3C6FD5D6">
            <w:pPr>
              <w:pStyle w:val="15"/>
              <w:spacing w:before="0" w:after="156" w:line="440" w:lineRule="exact"/>
              <w:rPr>
                <w:rFonts w:hint="eastAsia" w:ascii="宋体" w:hAnsi="宋体"/>
                <w:b w:val="0"/>
                <w:bCs w:val="0"/>
                <w:sz w:val="22"/>
                <w:szCs w:val="22"/>
              </w:rPr>
            </w:pPr>
            <w:r>
              <w:rPr>
                <w:rFonts w:hint="eastAsia" w:ascii="宋体" w:hAnsi="宋体"/>
                <w:b w:val="0"/>
                <w:bCs w:val="0"/>
                <w:sz w:val="22"/>
                <w:szCs w:val="22"/>
              </w:rPr>
              <w:t>国企采购</w:t>
            </w:r>
          </w:p>
        </w:tc>
        <w:tc>
          <w:tcPr>
            <w:tcW w:w="7398" w:type="dxa"/>
            <w:tcBorders>
              <w:bottom w:val="single" w:color="auto" w:sz="4" w:space="0"/>
              <w:right w:val="double" w:color="auto" w:sz="4" w:space="0"/>
            </w:tcBorders>
            <w:vAlign w:val="center"/>
          </w:tcPr>
          <w:p w14:paraId="0FFA8D51">
            <w:pPr>
              <w:spacing w:line="312" w:lineRule="auto"/>
              <w:rPr>
                <w:rFonts w:hint="eastAsia" w:ascii="宋体" w:hAnsi="宋体"/>
                <w:b w:val="0"/>
                <w:bCs w:val="0"/>
                <w:szCs w:val="22"/>
              </w:rPr>
            </w:pPr>
            <w:r>
              <w:rPr>
                <w:rFonts w:hint="eastAsia" w:ascii="宋体" w:hAnsi="宋体"/>
                <w:szCs w:val="22"/>
                <w:u w:val="single"/>
              </w:rPr>
              <w:t>本项目为国企采购，参照政府采购法相关规定执行，如与政府采购法相关规定不一致的，以本文件为准。</w:t>
            </w:r>
          </w:p>
        </w:tc>
      </w:tr>
      <w:tr w14:paraId="77D2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269" w:type="dxa"/>
            <w:tcBorders>
              <w:left w:val="double" w:color="auto" w:sz="4" w:space="0"/>
              <w:bottom w:val="double" w:color="auto" w:sz="4" w:space="0"/>
            </w:tcBorders>
            <w:vAlign w:val="center"/>
          </w:tcPr>
          <w:p w14:paraId="699B038D">
            <w:pPr>
              <w:pStyle w:val="15"/>
              <w:snapToGrid w:val="0"/>
              <w:spacing w:before="0" w:line="400" w:lineRule="atLeast"/>
              <w:jc w:val="center"/>
              <w:rPr>
                <w:rFonts w:ascii="Cambria Math" w:hAnsi="Cambria Math" w:eastAsia="Cambria Math" w:cs="Times New Roman"/>
                <w:b w:val="0"/>
                <w:color w:val="auto"/>
                <w:sz w:val="22"/>
                <w:szCs w:val="22"/>
              </w:rPr>
            </w:pPr>
            <w:r>
              <w:rPr>
                <w:rFonts w:hint="eastAsia" w:ascii="Cambria Math" w:hAnsi="Cambria Math" w:eastAsia="Cambria Math" w:cs="Times New Roman"/>
                <w:b w:val="0"/>
                <w:color w:val="auto"/>
                <w:sz w:val="22"/>
                <w:szCs w:val="22"/>
              </w:rPr>
              <w:t>备注</w:t>
            </w:r>
          </w:p>
        </w:tc>
        <w:tc>
          <w:tcPr>
            <w:tcW w:w="7398" w:type="dxa"/>
            <w:tcBorders>
              <w:bottom w:val="double" w:color="auto" w:sz="4" w:space="0"/>
              <w:right w:val="double" w:color="auto" w:sz="4" w:space="0"/>
            </w:tcBorders>
            <w:vAlign w:val="center"/>
          </w:tcPr>
          <w:p w14:paraId="2A04DB0B">
            <w:pPr>
              <w:rPr>
                <w:b w:val="0"/>
                <w:sz w:val="22"/>
                <w:szCs w:val="22"/>
              </w:rPr>
            </w:pPr>
            <w:r>
              <w:rPr>
                <w:rFonts w:hint="eastAsia"/>
                <w:b w:val="0"/>
                <w:sz w:val="22"/>
                <w:szCs w:val="22"/>
              </w:rPr>
              <w:t>如发现招标文件及其评标办法中存在含糊不清、相互矛盾、多种含义以及歧视性不公正条款或违法违规等内容时，请在规定的招标质疑截止时间前向代理机构书面反映，逾期不得再对招标文件的条款提出质疑。招标文件解释权归招标代理机构与采购人所有。</w:t>
            </w:r>
          </w:p>
        </w:tc>
      </w:tr>
    </w:tbl>
    <w:p w14:paraId="42D3F191">
      <w:pPr>
        <w:spacing w:line="440" w:lineRule="exact"/>
        <w:ind w:firstLine="880" w:firstLineChars="200"/>
        <w:rPr>
          <w:rFonts w:ascii="Cambria Math" w:hAnsi="Cambria Math" w:eastAsiaTheme="minorEastAsia"/>
          <w:b w:val="0"/>
          <w:color w:val="auto"/>
          <w:sz w:val="44"/>
          <w:szCs w:val="44"/>
        </w:rPr>
      </w:pPr>
    </w:p>
    <w:p w14:paraId="455C95B3">
      <w:pPr>
        <w:pStyle w:val="4"/>
        <w:spacing w:before="0" w:after="120" w:line="700" w:lineRule="exact"/>
        <w:ind w:left="0" w:firstLine="0"/>
        <w:jc w:val="center"/>
        <w:rPr>
          <w:rFonts w:ascii="Cambria Math" w:hAnsi="Cambria Math" w:eastAsia="Cambria Math"/>
          <w:b/>
          <w:color w:val="auto"/>
          <w:sz w:val="44"/>
          <w:szCs w:val="44"/>
        </w:rPr>
      </w:pPr>
    </w:p>
    <w:p w14:paraId="37D61DC9">
      <w:pPr>
        <w:pStyle w:val="4"/>
        <w:spacing w:before="0" w:after="120" w:line="700" w:lineRule="exact"/>
        <w:ind w:left="0" w:firstLine="0"/>
        <w:jc w:val="center"/>
        <w:rPr>
          <w:rFonts w:ascii="Cambria Math" w:hAnsi="Cambria Math" w:eastAsia="Cambria Math"/>
          <w:b/>
          <w:color w:val="auto"/>
          <w:sz w:val="44"/>
          <w:szCs w:val="44"/>
        </w:rPr>
      </w:pPr>
      <w:r>
        <w:rPr>
          <w:rFonts w:hint="eastAsia" w:ascii="Cambria Math" w:hAnsi="Cambria Math" w:eastAsia="Cambria Math"/>
          <w:b/>
          <w:color w:val="auto"/>
          <w:sz w:val="44"/>
          <w:szCs w:val="44"/>
        </w:rPr>
        <w:t>招标文件目录</w:t>
      </w:r>
    </w:p>
    <w:p w14:paraId="7973F23D">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第一部分、项目简介</w:t>
      </w:r>
    </w:p>
    <w:p w14:paraId="764B0DC4">
      <w:pPr>
        <w:autoSpaceDE w:val="0"/>
        <w:autoSpaceDN w:val="0"/>
        <w:adjustRightInd w:val="0"/>
        <w:spacing w:line="440" w:lineRule="atLeast"/>
        <w:rPr>
          <w:rFonts w:ascii="Cambria Math" w:hAnsi="Cambria Math" w:eastAsia="Cambria Math"/>
          <w:b w:val="0"/>
          <w:color w:val="auto"/>
          <w:sz w:val="28"/>
          <w:szCs w:val="28"/>
          <w:lang w:val="zh-CN"/>
        </w:rPr>
      </w:pPr>
    </w:p>
    <w:p w14:paraId="250466CC">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第二部分、招标内容及技术要求</w:t>
      </w:r>
    </w:p>
    <w:p w14:paraId="63B81D67">
      <w:pPr>
        <w:autoSpaceDE w:val="0"/>
        <w:autoSpaceDN w:val="0"/>
        <w:adjustRightInd w:val="0"/>
        <w:spacing w:line="440" w:lineRule="atLeast"/>
        <w:rPr>
          <w:rFonts w:ascii="Cambria Math" w:hAnsi="Cambria Math" w:eastAsia="Cambria Math"/>
          <w:b w:val="0"/>
          <w:color w:val="auto"/>
          <w:sz w:val="28"/>
          <w:szCs w:val="28"/>
          <w:lang w:val="zh-CN"/>
        </w:rPr>
      </w:pPr>
    </w:p>
    <w:p w14:paraId="6DCF47AC">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第三部分、供应商须知</w:t>
      </w:r>
    </w:p>
    <w:p w14:paraId="3076C8BB">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一、说明</w:t>
      </w:r>
    </w:p>
    <w:p w14:paraId="4A87D9A2">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二、招标文件</w:t>
      </w:r>
    </w:p>
    <w:p w14:paraId="44DF6F14">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三、投标文件</w:t>
      </w:r>
    </w:p>
    <w:p w14:paraId="747B22B6">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四、投标文件的递交</w:t>
      </w:r>
    </w:p>
    <w:p w14:paraId="7C6F76E1">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五、开标和评标</w:t>
      </w:r>
    </w:p>
    <w:p w14:paraId="0CDD9302">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六、授予合同</w:t>
      </w:r>
    </w:p>
    <w:p w14:paraId="72AEB12C">
      <w:pPr>
        <w:autoSpaceDE w:val="0"/>
        <w:autoSpaceDN w:val="0"/>
        <w:adjustRightInd w:val="0"/>
        <w:spacing w:line="440" w:lineRule="atLeast"/>
        <w:rPr>
          <w:rFonts w:ascii="Cambria Math" w:hAnsi="Cambria Math" w:eastAsia="Cambria Math"/>
          <w:b w:val="0"/>
          <w:color w:val="auto"/>
          <w:sz w:val="28"/>
          <w:szCs w:val="28"/>
          <w:lang w:val="zh-CN"/>
        </w:rPr>
      </w:pPr>
    </w:p>
    <w:p w14:paraId="477BF4E9">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第四部分、合同主要条款</w:t>
      </w:r>
    </w:p>
    <w:p w14:paraId="3FA094D4">
      <w:pPr>
        <w:autoSpaceDE w:val="0"/>
        <w:autoSpaceDN w:val="0"/>
        <w:adjustRightInd w:val="0"/>
        <w:spacing w:line="440" w:lineRule="atLeast"/>
        <w:rPr>
          <w:rFonts w:ascii="Cambria Math" w:hAnsi="Cambria Math" w:eastAsia="Cambria Math"/>
          <w:b w:val="0"/>
          <w:color w:val="auto"/>
          <w:sz w:val="28"/>
          <w:szCs w:val="28"/>
          <w:lang w:val="zh-CN"/>
        </w:rPr>
      </w:pPr>
    </w:p>
    <w:p w14:paraId="544F8B50">
      <w:pPr>
        <w:tabs>
          <w:tab w:val="left" w:pos="560"/>
        </w:tabs>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第五部分、投标文件格式</w:t>
      </w:r>
    </w:p>
    <w:p w14:paraId="680E1DB8">
      <w:pPr>
        <w:tabs>
          <w:tab w:val="left" w:pos="560"/>
        </w:tabs>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商务部分</w:t>
      </w:r>
    </w:p>
    <w:p w14:paraId="23F6E200">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技术部分</w:t>
      </w:r>
    </w:p>
    <w:p w14:paraId="65EC1A21">
      <w:pPr>
        <w:autoSpaceDE w:val="0"/>
        <w:autoSpaceDN w:val="0"/>
        <w:adjustRightInd w:val="0"/>
        <w:spacing w:line="440" w:lineRule="atLeast"/>
        <w:rPr>
          <w:rFonts w:ascii="Cambria Math" w:hAnsi="Cambria Math" w:eastAsia="Cambria Math"/>
          <w:b w:val="0"/>
          <w:color w:val="auto"/>
          <w:sz w:val="28"/>
          <w:szCs w:val="28"/>
          <w:lang w:val="zh-CN"/>
        </w:rPr>
      </w:pPr>
    </w:p>
    <w:p w14:paraId="61BCED6D">
      <w:pPr>
        <w:autoSpaceDE w:val="0"/>
        <w:autoSpaceDN w:val="0"/>
        <w:adjustRightInd w:val="0"/>
        <w:spacing w:line="440" w:lineRule="atLeast"/>
        <w:rPr>
          <w:rFonts w:ascii="Cambria Math" w:hAnsi="Cambria Math" w:eastAsia="Cambria Math"/>
          <w:b w:val="0"/>
          <w:color w:val="auto"/>
          <w:sz w:val="28"/>
          <w:szCs w:val="28"/>
          <w:lang w:val="zh-CN"/>
        </w:rPr>
      </w:pPr>
      <w:r>
        <w:rPr>
          <w:rFonts w:hint="eastAsia" w:ascii="Cambria Math" w:hAnsi="Cambria Math" w:eastAsia="Cambria Math"/>
          <w:b w:val="0"/>
          <w:color w:val="auto"/>
          <w:sz w:val="28"/>
          <w:szCs w:val="28"/>
          <w:lang w:val="zh-CN"/>
        </w:rPr>
        <w:t>第六部分、评标办法</w:t>
      </w:r>
    </w:p>
    <w:p w14:paraId="6F204C70">
      <w:pPr>
        <w:autoSpaceDE w:val="0"/>
        <w:autoSpaceDN w:val="0"/>
        <w:snapToGrid w:val="0"/>
        <w:spacing w:line="440" w:lineRule="atLeast"/>
        <w:ind w:firstLine="440" w:firstLineChars="200"/>
        <w:textAlignment w:val="bottom"/>
        <w:rPr>
          <w:rFonts w:ascii="Cambria Math" w:hAnsi="Cambria Math" w:eastAsia="Cambria Math"/>
          <w:bCs w:val="0"/>
          <w:color w:val="auto"/>
          <w:sz w:val="22"/>
          <w:szCs w:val="22"/>
          <w:u w:val="single"/>
        </w:rPr>
      </w:pPr>
      <w:r>
        <w:rPr>
          <w:rFonts w:hint="eastAsia" w:ascii="Cambria Math" w:hAnsi="Cambria Math" w:eastAsia="Cambria Math"/>
          <w:bCs w:val="0"/>
          <w:color w:val="auto"/>
          <w:sz w:val="22"/>
          <w:szCs w:val="22"/>
        </w:rPr>
        <w:t>注：</w:t>
      </w:r>
      <w:r>
        <w:rPr>
          <w:rFonts w:hint="eastAsia" w:ascii="Cambria Math" w:hAnsi="Cambria Math" w:eastAsia="Cambria Math"/>
          <w:bCs w:val="0"/>
          <w:color w:val="auto"/>
          <w:sz w:val="22"/>
          <w:szCs w:val="22"/>
          <w:u w:val="single"/>
        </w:rPr>
        <w:t>本次文件中有些文字条款已用加粗、加下划线的形式强调，这些特别强调的条款及内容，有些是重要条款，</w:t>
      </w:r>
      <w:r>
        <w:rPr>
          <w:rFonts w:ascii="Cambria Math" w:hAnsi="Cambria Math" w:eastAsia="Cambria Math"/>
          <w:bCs w:val="0"/>
          <w:color w:val="auto"/>
          <w:sz w:val="22"/>
          <w:szCs w:val="22"/>
          <w:u w:val="single"/>
        </w:rPr>
        <w:t>有些将在评</w:t>
      </w:r>
      <w:r>
        <w:rPr>
          <w:rFonts w:hint="eastAsia" w:ascii="Cambria Math" w:hAnsi="Cambria Math" w:eastAsia="Cambria Math"/>
          <w:bCs w:val="0"/>
          <w:color w:val="auto"/>
          <w:sz w:val="22"/>
          <w:szCs w:val="22"/>
          <w:u w:val="single"/>
        </w:rPr>
        <w:t>审</w:t>
      </w:r>
      <w:r>
        <w:rPr>
          <w:rFonts w:ascii="Cambria Math" w:hAnsi="Cambria Math" w:eastAsia="Cambria Math"/>
          <w:bCs w:val="0"/>
          <w:color w:val="auto"/>
          <w:sz w:val="22"/>
          <w:szCs w:val="22"/>
          <w:u w:val="single"/>
        </w:rPr>
        <w:t>过程中量化</w:t>
      </w:r>
      <w:r>
        <w:rPr>
          <w:rFonts w:hint="eastAsia" w:ascii="Cambria Math" w:hAnsi="Cambria Math" w:eastAsia="Cambria Math"/>
          <w:bCs w:val="0"/>
          <w:color w:val="auto"/>
          <w:sz w:val="22"/>
          <w:szCs w:val="22"/>
          <w:u w:val="single"/>
        </w:rPr>
        <w:t>，如有违反将导致对供应商不利的评审，直至投标文件被拒绝。</w:t>
      </w:r>
    </w:p>
    <w:p w14:paraId="470B5CAC">
      <w:pPr>
        <w:autoSpaceDE w:val="0"/>
        <w:autoSpaceDN w:val="0"/>
        <w:snapToGrid w:val="0"/>
        <w:spacing w:line="440" w:lineRule="atLeast"/>
        <w:ind w:firstLine="440" w:firstLineChars="200"/>
        <w:textAlignment w:val="bottom"/>
        <w:rPr>
          <w:rFonts w:ascii="Cambria Math" w:hAnsi="Cambria Math" w:eastAsia="Cambria Math"/>
          <w:bCs w:val="0"/>
          <w:color w:val="auto"/>
          <w:sz w:val="22"/>
          <w:szCs w:val="22"/>
          <w:u w:val="single"/>
        </w:rPr>
      </w:pPr>
    </w:p>
    <w:p w14:paraId="5EDB4030">
      <w:pPr>
        <w:autoSpaceDE w:val="0"/>
        <w:autoSpaceDN w:val="0"/>
        <w:snapToGrid w:val="0"/>
        <w:spacing w:line="440" w:lineRule="atLeast"/>
        <w:ind w:firstLine="440" w:firstLineChars="200"/>
        <w:textAlignment w:val="bottom"/>
        <w:rPr>
          <w:rFonts w:ascii="Cambria Math" w:hAnsi="Cambria Math" w:eastAsia="Cambria Math"/>
          <w:bCs w:val="0"/>
          <w:color w:val="auto"/>
          <w:sz w:val="22"/>
          <w:szCs w:val="22"/>
          <w:u w:val="single"/>
        </w:rPr>
      </w:pPr>
    </w:p>
    <w:p w14:paraId="5FDE4882">
      <w:pPr>
        <w:autoSpaceDE w:val="0"/>
        <w:autoSpaceDN w:val="0"/>
        <w:snapToGrid w:val="0"/>
        <w:spacing w:line="440" w:lineRule="atLeast"/>
        <w:ind w:firstLine="440" w:firstLineChars="200"/>
        <w:textAlignment w:val="bottom"/>
        <w:rPr>
          <w:rFonts w:ascii="Cambria Math" w:hAnsi="Cambria Math" w:eastAsia="Cambria Math"/>
          <w:bCs w:val="0"/>
          <w:color w:val="auto"/>
          <w:sz w:val="22"/>
          <w:szCs w:val="22"/>
          <w:u w:val="single"/>
        </w:rPr>
      </w:pPr>
    </w:p>
    <w:p w14:paraId="3BF99220">
      <w:pPr>
        <w:autoSpaceDE w:val="0"/>
        <w:autoSpaceDN w:val="0"/>
        <w:snapToGrid w:val="0"/>
        <w:spacing w:line="440" w:lineRule="atLeast"/>
        <w:ind w:firstLine="440" w:firstLineChars="200"/>
        <w:textAlignment w:val="bottom"/>
        <w:rPr>
          <w:rFonts w:ascii="Cambria Math" w:hAnsi="Cambria Math" w:eastAsia="Cambria Math"/>
          <w:bCs w:val="0"/>
          <w:color w:val="auto"/>
          <w:sz w:val="22"/>
          <w:szCs w:val="22"/>
          <w:u w:val="single"/>
        </w:rPr>
      </w:pPr>
    </w:p>
    <w:p w14:paraId="7AC0A6B8">
      <w:pPr>
        <w:autoSpaceDE w:val="0"/>
        <w:autoSpaceDN w:val="0"/>
        <w:snapToGrid w:val="0"/>
        <w:spacing w:line="440" w:lineRule="atLeast"/>
        <w:ind w:firstLine="440" w:firstLineChars="200"/>
        <w:textAlignment w:val="bottom"/>
        <w:rPr>
          <w:rFonts w:ascii="Cambria Math" w:hAnsi="Cambria Math" w:eastAsia="Cambria Math"/>
          <w:bCs w:val="0"/>
          <w:color w:val="auto"/>
          <w:sz w:val="22"/>
          <w:szCs w:val="22"/>
          <w:u w:val="single"/>
        </w:rPr>
      </w:pPr>
    </w:p>
    <w:p w14:paraId="386FE96A">
      <w:pPr>
        <w:pStyle w:val="4"/>
        <w:spacing w:before="0" w:after="120" w:line="700" w:lineRule="exact"/>
        <w:ind w:left="0" w:firstLine="0"/>
        <w:jc w:val="center"/>
        <w:rPr>
          <w:rFonts w:ascii="Cambria Math" w:hAnsi="Cambria Math" w:eastAsia="Cambria Math"/>
          <w:b/>
          <w:color w:val="auto"/>
          <w:sz w:val="32"/>
        </w:rPr>
      </w:pPr>
      <w:r>
        <w:rPr>
          <w:rFonts w:hint="eastAsia" w:ascii="Cambria Math" w:hAnsi="Cambria Math" w:eastAsia="Cambria Math"/>
          <w:b/>
          <w:color w:val="auto"/>
          <w:sz w:val="32"/>
        </w:rPr>
        <w:t>第一</w:t>
      </w:r>
      <w:r>
        <w:rPr>
          <w:rFonts w:hint="eastAsia" w:ascii="Cambria Math" w:hAnsi="Cambria Math" w:eastAsia="宋体"/>
          <w:b/>
          <w:color w:val="auto"/>
          <w:sz w:val="32"/>
        </w:rPr>
        <w:t>部分</w:t>
      </w:r>
      <w:r>
        <w:rPr>
          <w:rFonts w:hint="eastAsia" w:ascii="Cambria Math" w:hAnsi="Cambria Math" w:eastAsia="宋体"/>
          <w:b/>
          <w:color w:val="auto"/>
          <w:sz w:val="32"/>
          <w:lang w:val="en-US" w:eastAsia="zh-CN"/>
        </w:rPr>
        <w:t xml:space="preserve">  </w:t>
      </w:r>
      <w:r>
        <w:rPr>
          <w:rFonts w:hint="eastAsia" w:ascii="Cambria Math" w:hAnsi="Cambria Math" w:eastAsia="Cambria Math"/>
          <w:b/>
          <w:color w:val="auto"/>
          <w:sz w:val="32"/>
        </w:rPr>
        <w:t>项目简介</w:t>
      </w:r>
    </w:p>
    <w:p w14:paraId="00066420">
      <w:pPr>
        <w:snapToGrid w:val="0"/>
        <w:spacing w:line="460" w:lineRule="atLeast"/>
        <w:rPr>
          <w:rFonts w:hint="eastAsia" w:ascii="宋体" w:hAnsi="宋体"/>
          <w:b w:val="0"/>
          <w:color w:val="auto"/>
          <w:sz w:val="22"/>
          <w:szCs w:val="22"/>
        </w:rPr>
      </w:pPr>
      <w:r>
        <w:rPr>
          <w:rFonts w:hint="eastAsia" w:ascii="宋体" w:hAnsi="宋体"/>
          <w:b w:val="0"/>
          <w:color w:val="auto"/>
          <w:sz w:val="22"/>
          <w:szCs w:val="22"/>
        </w:rPr>
        <w:t>项目简介</w:t>
      </w:r>
    </w:p>
    <w:p w14:paraId="3AB609C3">
      <w:pPr>
        <w:snapToGrid w:val="0"/>
        <w:spacing w:line="460" w:lineRule="atLeast"/>
        <w:ind w:firstLine="440" w:firstLineChars="200"/>
        <w:rPr>
          <w:rFonts w:hint="eastAsia" w:ascii="宋体" w:hAnsi="宋体"/>
          <w:b w:val="0"/>
          <w:color w:val="auto"/>
          <w:sz w:val="22"/>
          <w:szCs w:val="22"/>
        </w:rPr>
      </w:pPr>
      <w:r>
        <w:rPr>
          <w:rFonts w:hint="eastAsia" w:ascii="宋体" w:hAnsi="宋体"/>
          <w:b w:val="0"/>
          <w:color w:val="auto"/>
          <w:sz w:val="22"/>
          <w:szCs w:val="22"/>
        </w:rPr>
        <w:t>经批准，温州超然招标代理有限公司对</w:t>
      </w:r>
      <w:r>
        <w:rPr>
          <w:rFonts w:hint="eastAsia" w:ascii="宋体" w:hAnsi="宋体" w:cs="宋体"/>
          <w:b w:val="0"/>
          <w:color w:val="auto"/>
          <w:sz w:val="22"/>
          <w:szCs w:val="22"/>
          <w:lang w:eastAsia="zh-CN"/>
        </w:rPr>
        <w:t>龙港水务供水桥管维养服务项目</w:t>
      </w:r>
      <w:r>
        <w:rPr>
          <w:rFonts w:hint="eastAsia" w:ascii="宋体" w:hAnsi="宋体"/>
          <w:b w:val="0"/>
          <w:color w:val="auto"/>
          <w:sz w:val="22"/>
          <w:szCs w:val="22"/>
        </w:rPr>
        <w:t>进行公开招标采购。本次招标的资金已经落实，我们热情欢迎有关公司（企业）前来投标。</w:t>
      </w:r>
    </w:p>
    <w:p w14:paraId="7D6F593E">
      <w:pPr>
        <w:pStyle w:val="4"/>
        <w:spacing w:before="0" w:after="120" w:line="700" w:lineRule="exact"/>
        <w:ind w:left="0" w:firstLine="0"/>
        <w:jc w:val="center"/>
        <w:rPr>
          <w:rFonts w:ascii="Cambria Math" w:hAnsi="Cambria Math" w:eastAsia="Cambria Math"/>
          <w:b/>
          <w:color w:val="auto"/>
          <w:sz w:val="32"/>
        </w:rPr>
      </w:pPr>
      <w:r>
        <w:rPr>
          <w:rFonts w:hint="eastAsia" w:ascii="Cambria Math" w:hAnsi="Cambria Math" w:eastAsia="Cambria Math"/>
          <w:b/>
          <w:color w:val="auto"/>
          <w:sz w:val="32"/>
        </w:rPr>
        <w:t>第二</w:t>
      </w:r>
      <w:r>
        <w:rPr>
          <w:rFonts w:hint="eastAsia" w:ascii="Cambria Math" w:hAnsi="Cambria Math" w:eastAsia="宋体"/>
          <w:b/>
          <w:color w:val="auto"/>
          <w:sz w:val="32"/>
        </w:rPr>
        <w:t>部分</w:t>
      </w:r>
      <w:r>
        <w:rPr>
          <w:rFonts w:hint="eastAsia" w:ascii="Cambria Math" w:hAnsi="Cambria Math" w:eastAsia="宋体"/>
          <w:b/>
          <w:color w:val="auto"/>
          <w:sz w:val="32"/>
          <w:lang w:val="en-US" w:eastAsia="zh-CN"/>
        </w:rPr>
        <w:t xml:space="preserve">  </w:t>
      </w:r>
      <w:r>
        <w:rPr>
          <w:rFonts w:hint="eastAsia" w:ascii="Cambria Math" w:hAnsi="Cambria Math" w:eastAsia="Cambria Math"/>
          <w:b/>
          <w:color w:val="auto"/>
          <w:sz w:val="32"/>
        </w:rPr>
        <w:t>招标内容及技术要求</w:t>
      </w:r>
    </w:p>
    <w:p w14:paraId="303B14D3">
      <w:pPr>
        <w:spacing w:line="460" w:lineRule="exact"/>
        <w:ind w:firstLine="440" w:firstLineChars="200"/>
        <w:rPr>
          <w:rFonts w:hint="eastAsia" w:ascii="宋体" w:hAnsi="宋体"/>
          <w:b w:val="0"/>
          <w:sz w:val="22"/>
          <w:szCs w:val="22"/>
        </w:rPr>
      </w:pPr>
      <w:bookmarkStart w:id="2" w:name="_Hlk184930408"/>
      <w:bookmarkStart w:id="3" w:name="_Toc32099"/>
      <w:bookmarkStart w:id="4" w:name="_Toc4253"/>
      <w:bookmarkStart w:id="5" w:name="_Toc7869"/>
      <w:bookmarkStart w:id="6" w:name="_Toc12750"/>
      <w:bookmarkStart w:id="7" w:name="_Toc26874"/>
      <w:bookmarkStart w:id="8" w:name="_Toc157410886"/>
      <w:r>
        <w:rPr>
          <w:rFonts w:hint="eastAsia" w:ascii="宋体" w:hAnsi="宋体"/>
          <w:b w:val="0"/>
          <w:sz w:val="22"/>
          <w:szCs w:val="22"/>
        </w:rPr>
        <w:t>一、项目概况：</w:t>
      </w:r>
    </w:p>
    <w:p w14:paraId="47B06890">
      <w:pPr>
        <w:spacing w:line="460" w:lineRule="exact"/>
        <w:ind w:firstLine="440" w:firstLineChars="200"/>
        <w:rPr>
          <w:rFonts w:hint="default" w:ascii="宋体" w:hAnsi="宋体" w:eastAsia="宋体"/>
          <w:b w:val="0"/>
          <w:sz w:val="22"/>
          <w:szCs w:val="22"/>
          <w:lang w:val="en-US" w:eastAsia="zh-CN"/>
        </w:rPr>
      </w:pPr>
      <w:r>
        <w:rPr>
          <w:rFonts w:hint="eastAsia" w:ascii="宋体" w:hAnsi="宋体"/>
          <w:b w:val="0"/>
          <w:sz w:val="22"/>
          <w:szCs w:val="22"/>
        </w:rPr>
        <w:t>本项目为</w:t>
      </w:r>
      <w:r>
        <w:rPr>
          <w:rFonts w:hint="eastAsia" w:ascii="宋体" w:hAnsi="宋体"/>
          <w:b w:val="0"/>
          <w:sz w:val="22"/>
          <w:szCs w:val="22"/>
          <w:lang w:eastAsia="zh-CN"/>
        </w:rPr>
        <w:t>龙港水务供水桥管维养服务项目</w:t>
      </w:r>
      <w:r>
        <w:rPr>
          <w:rFonts w:hint="eastAsia" w:ascii="宋体" w:hAnsi="宋体"/>
          <w:b w:val="0"/>
          <w:sz w:val="22"/>
          <w:szCs w:val="22"/>
        </w:rPr>
        <w:t>，范围为采购人指定的供水管道的外壁清理、除锈、刷高分子防腐涂料IPN8710-</w:t>
      </w:r>
      <w:r>
        <w:rPr>
          <w:rFonts w:hint="eastAsia" w:ascii="宋体" w:hAnsi="宋体"/>
          <w:b w:val="0"/>
          <w:sz w:val="22"/>
          <w:szCs w:val="22"/>
          <w:lang w:val="en-US" w:eastAsia="zh-CN"/>
        </w:rPr>
        <w:t>1</w:t>
      </w:r>
      <w:r>
        <w:rPr>
          <w:rFonts w:hint="eastAsia" w:ascii="宋体" w:hAnsi="宋体"/>
          <w:b w:val="0"/>
          <w:sz w:val="22"/>
          <w:szCs w:val="22"/>
        </w:rPr>
        <w:t>底漆</w:t>
      </w:r>
      <w:r>
        <w:rPr>
          <w:rFonts w:hint="eastAsia" w:ascii="宋体" w:hAnsi="宋体"/>
          <w:b w:val="0"/>
          <w:sz w:val="22"/>
          <w:szCs w:val="22"/>
          <w:lang w:val="en-US" w:eastAsia="zh-CN"/>
        </w:rPr>
        <w:t>、</w:t>
      </w:r>
      <w:r>
        <w:rPr>
          <w:rFonts w:hint="eastAsia" w:ascii="宋体" w:hAnsi="宋体"/>
          <w:b w:val="0"/>
          <w:sz w:val="22"/>
          <w:szCs w:val="22"/>
        </w:rPr>
        <w:t>IPN8710-2C面漆（或Yutep841底漆、Yutep8420面漆）等内容</w:t>
      </w:r>
      <w:r>
        <w:rPr>
          <w:rFonts w:hint="eastAsia" w:ascii="宋体" w:hAnsi="宋体"/>
          <w:b w:val="0"/>
          <w:sz w:val="22"/>
          <w:szCs w:val="22"/>
          <w:lang w:eastAsia="zh-CN"/>
        </w:rPr>
        <w:t>，</w:t>
      </w:r>
      <w:r>
        <w:rPr>
          <w:rFonts w:hint="eastAsia" w:ascii="宋体" w:hAnsi="宋体"/>
          <w:b w:val="0"/>
          <w:sz w:val="22"/>
          <w:szCs w:val="22"/>
          <w:lang w:val="en-US" w:eastAsia="zh-CN"/>
        </w:rPr>
        <w:t>防腐涂料应具有</w:t>
      </w:r>
      <w:r>
        <w:rPr>
          <w:rFonts w:hint="eastAsia" w:ascii="宋体" w:hAnsi="宋体"/>
          <w:b w:val="0"/>
          <w:color w:val="auto"/>
          <w:sz w:val="22"/>
          <w:szCs w:val="22"/>
          <w:u w:val="none"/>
          <w:lang w:val="en-US" w:eastAsia="zh-CN"/>
        </w:rPr>
        <w:t>涉及饮用水卫生安全的产品卫生许可</w:t>
      </w:r>
      <w:r>
        <w:rPr>
          <w:rFonts w:hint="eastAsia" w:ascii="宋体" w:hAnsi="宋体"/>
          <w:b w:val="0"/>
          <w:sz w:val="22"/>
          <w:szCs w:val="22"/>
          <w:lang w:val="en-US" w:eastAsia="zh-CN"/>
        </w:rPr>
        <w:t>。</w:t>
      </w:r>
    </w:p>
    <w:p w14:paraId="229C9D3B">
      <w:pPr>
        <w:spacing w:line="460" w:lineRule="exact"/>
        <w:ind w:firstLine="440" w:firstLineChars="200"/>
        <w:rPr>
          <w:rFonts w:hint="eastAsia" w:ascii="宋体" w:hAnsi="宋体"/>
          <w:b w:val="0"/>
          <w:sz w:val="22"/>
          <w:szCs w:val="22"/>
        </w:rPr>
      </w:pPr>
      <w:r>
        <w:rPr>
          <w:rFonts w:hint="eastAsia" w:ascii="宋体" w:hAnsi="宋体"/>
          <w:b w:val="0"/>
          <w:sz w:val="22"/>
          <w:szCs w:val="22"/>
        </w:rPr>
        <w:t>二、有关事项说明：</w:t>
      </w:r>
    </w:p>
    <w:p w14:paraId="428B9E35">
      <w:pPr>
        <w:spacing w:line="460" w:lineRule="exact"/>
        <w:ind w:firstLine="442" w:firstLineChars="200"/>
        <w:rPr>
          <w:rFonts w:hint="eastAsia" w:ascii="宋体" w:hAnsi="宋体"/>
          <w:b/>
          <w:bCs w:val="0"/>
          <w:sz w:val="22"/>
          <w:szCs w:val="22"/>
          <w:highlight w:val="none"/>
          <w:u w:val="single"/>
        </w:rPr>
      </w:pPr>
      <w:r>
        <w:rPr>
          <w:rFonts w:hint="eastAsia" w:ascii="宋体" w:hAnsi="宋体"/>
          <w:b/>
          <w:bCs w:val="0"/>
          <w:sz w:val="22"/>
          <w:szCs w:val="22"/>
          <w:highlight w:val="none"/>
          <w:u w:val="single"/>
        </w:rPr>
        <w:t>1、本项目钢管防腐面积约5</w:t>
      </w:r>
      <w:r>
        <w:rPr>
          <w:rFonts w:hint="eastAsia" w:ascii="宋体" w:hAnsi="宋体"/>
          <w:b/>
          <w:bCs w:val="0"/>
          <w:sz w:val="22"/>
          <w:szCs w:val="22"/>
          <w:highlight w:val="none"/>
          <w:u w:val="single"/>
          <w:lang w:val="en-US" w:eastAsia="zh-CN"/>
        </w:rPr>
        <w:t>3</w:t>
      </w:r>
      <w:r>
        <w:rPr>
          <w:rFonts w:hint="eastAsia" w:ascii="宋体" w:hAnsi="宋体"/>
          <w:b/>
          <w:bCs w:val="0"/>
          <w:sz w:val="22"/>
          <w:szCs w:val="22"/>
          <w:highlight w:val="none"/>
          <w:u w:val="single"/>
        </w:rPr>
        <w:t>00㎡，结算时按实调整。</w:t>
      </w:r>
    </w:p>
    <w:p w14:paraId="4FF667BC">
      <w:pPr>
        <w:spacing w:line="460" w:lineRule="exact"/>
        <w:ind w:firstLine="440" w:firstLineChars="200"/>
        <w:rPr>
          <w:rFonts w:hint="eastAsia" w:ascii="宋体" w:hAnsi="宋体"/>
          <w:b w:val="0"/>
          <w:sz w:val="22"/>
          <w:szCs w:val="22"/>
          <w:highlight w:val="none"/>
        </w:rPr>
      </w:pPr>
      <w:r>
        <w:rPr>
          <w:rFonts w:hint="eastAsia" w:ascii="宋体" w:hAnsi="宋体"/>
          <w:b w:val="0"/>
          <w:sz w:val="22"/>
          <w:szCs w:val="22"/>
          <w:highlight w:val="none"/>
        </w:rPr>
        <w:t>2、由于钢管防腐施工位置的不同，发生的人员、施工配件等转运产生的费用以及租赁的吊篮或船舶等设备费用已综合考虑在钢管防腐的工作内容中，不再另外计算。</w:t>
      </w:r>
    </w:p>
    <w:p w14:paraId="2EA39951">
      <w:pPr>
        <w:spacing w:line="460" w:lineRule="exact"/>
        <w:ind w:firstLine="440" w:firstLineChars="200"/>
        <w:rPr>
          <w:rFonts w:hint="eastAsia" w:ascii="宋体" w:hAnsi="宋体"/>
          <w:b w:val="0"/>
          <w:sz w:val="22"/>
          <w:szCs w:val="22"/>
          <w:highlight w:val="none"/>
        </w:rPr>
      </w:pPr>
      <w:r>
        <w:rPr>
          <w:rFonts w:hint="eastAsia" w:ascii="宋体" w:hAnsi="宋体"/>
          <w:b w:val="0"/>
          <w:sz w:val="22"/>
          <w:szCs w:val="22"/>
          <w:highlight w:val="none"/>
        </w:rPr>
        <w:t>3、钢管防爬刺、管托的清理除锈刷防腐涂料和排气阀阀门、螺丝打黄油等工作内容已包含在主钢管的清理除锈刷防腐涂料工作内，不再另外计算。</w:t>
      </w:r>
    </w:p>
    <w:p w14:paraId="4B28848E">
      <w:pPr>
        <w:spacing w:line="460" w:lineRule="exact"/>
        <w:ind w:firstLine="440" w:firstLineChars="200"/>
        <w:rPr>
          <w:rFonts w:hint="eastAsia" w:ascii="宋体" w:hAnsi="宋体"/>
          <w:b w:val="0"/>
          <w:sz w:val="22"/>
          <w:szCs w:val="22"/>
          <w:highlight w:val="none"/>
        </w:rPr>
      </w:pPr>
      <w:r>
        <w:rPr>
          <w:rFonts w:hint="eastAsia" w:ascii="宋体" w:hAnsi="宋体"/>
          <w:b w:val="0"/>
          <w:sz w:val="22"/>
          <w:szCs w:val="22"/>
          <w:highlight w:val="none"/>
        </w:rPr>
        <w:t>三、项目负责人资质等级要求：</w:t>
      </w:r>
    </w:p>
    <w:p w14:paraId="6A4C3D23">
      <w:pPr>
        <w:spacing w:line="460" w:lineRule="exact"/>
        <w:ind w:firstLine="440" w:firstLineChars="200"/>
        <w:rPr>
          <w:rFonts w:hint="eastAsia" w:ascii="宋体" w:hAnsi="宋体"/>
          <w:b w:val="0"/>
          <w:sz w:val="22"/>
          <w:szCs w:val="22"/>
          <w:highlight w:val="none"/>
        </w:rPr>
      </w:pPr>
      <w:r>
        <w:rPr>
          <w:rFonts w:hint="eastAsia" w:ascii="宋体" w:hAnsi="宋体"/>
          <w:b w:val="0"/>
          <w:sz w:val="22"/>
          <w:szCs w:val="22"/>
          <w:highlight w:val="none"/>
        </w:rPr>
        <w:t>▲项目负责人须具备市政公用工程专业二级及以上或机电安装工程专业二级及以上注册建造师资格。</w:t>
      </w:r>
    </w:p>
    <w:p w14:paraId="0FB14671">
      <w:pPr>
        <w:spacing w:line="460" w:lineRule="exact"/>
        <w:ind w:firstLine="440" w:firstLineChars="200"/>
        <w:rPr>
          <w:rFonts w:hint="eastAsia" w:ascii="宋体" w:hAnsi="宋体"/>
          <w:b w:val="0"/>
          <w:sz w:val="22"/>
          <w:szCs w:val="22"/>
        </w:rPr>
      </w:pPr>
      <w:r>
        <w:rPr>
          <w:rFonts w:hint="eastAsia" w:ascii="宋体" w:hAnsi="宋体"/>
          <w:b w:val="0"/>
          <w:sz w:val="22"/>
          <w:szCs w:val="22"/>
        </w:rPr>
        <w:t>四、本项目施工时必须按现行规范及下列技术要求执行：</w:t>
      </w:r>
    </w:p>
    <w:p w14:paraId="30EB8791">
      <w:pPr>
        <w:spacing w:line="460" w:lineRule="exact"/>
        <w:ind w:firstLine="440" w:firstLineChars="200"/>
        <w:rPr>
          <w:rFonts w:hint="eastAsia" w:ascii="宋体" w:hAnsi="宋体"/>
          <w:b w:val="0"/>
          <w:sz w:val="22"/>
          <w:szCs w:val="22"/>
        </w:rPr>
      </w:pPr>
      <w:r>
        <w:rPr>
          <w:rFonts w:hint="eastAsia" w:ascii="宋体" w:hAnsi="宋体"/>
          <w:b w:val="0"/>
          <w:sz w:val="22"/>
          <w:szCs w:val="22"/>
        </w:rPr>
        <w:t>1、供水管道外防腐采用高分子防腐涂料 IPN8710-2C（或Yutep841底漆、Yutep8420 面漆），要求二油涂刷，即底漆两道、面漆两道，底漆与面漆均采用同一品牌漆。四道漆均为不同颜色，第二道面漆颜色为海蓝色。</w:t>
      </w:r>
    </w:p>
    <w:p w14:paraId="1E4C8FFF">
      <w:pPr>
        <w:spacing w:line="460" w:lineRule="exact"/>
        <w:ind w:firstLine="440" w:firstLineChars="200"/>
        <w:rPr>
          <w:rFonts w:hint="eastAsia" w:ascii="宋体" w:hAnsi="宋体"/>
          <w:b w:val="0"/>
          <w:sz w:val="22"/>
          <w:szCs w:val="22"/>
        </w:rPr>
      </w:pPr>
      <w:r>
        <w:rPr>
          <w:rFonts w:hint="eastAsia" w:ascii="宋体" w:hAnsi="宋体"/>
          <w:b w:val="0"/>
          <w:sz w:val="22"/>
          <w:szCs w:val="22"/>
        </w:rPr>
        <w:t>2、涂漆后，漆厚应≥0.2mm。</w:t>
      </w:r>
    </w:p>
    <w:p w14:paraId="2DD5D531">
      <w:pPr>
        <w:spacing w:line="460" w:lineRule="exact"/>
        <w:ind w:firstLine="440" w:firstLineChars="200"/>
        <w:rPr>
          <w:rFonts w:hint="eastAsia" w:ascii="宋体" w:hAnsi="宋体"/>
          <w:b w:val="0"/>
          <w:sz w:val="22"/>
          <w:szCs w:val="22"/>
        </w:rPr>
      </w:pPr>
      <w:r>
        <w:rPr>
          <w:rFonts w:hint="eastAsia" w:ascii="宋体" w:hAnsi="宋体"/>
          <w:b w:val="0"/>
          <w:sz w:val="22"/>
          <w:szCs w:val="22"/>
        </w:rPr>
        <w:t>3、漆底漆前管子表面应清除油、灰渣、铁锈、氧化铁皮；采用喷射石英砂 除锈时，其质量标准应达到St3 级；St3 级应符合国家现行最新标准《涂装前刚 才表面处理规范》的规定。</w:t>
      </w:r>
    </w:p>
    <w:p w14:paraId="3A7F460C">
      <w:pPr>
        <w:spacing w:line="460" w:lineRule="exact"/>
        <w:ind w:firstLine="440" w:firstLineChars="200"/>
        <w:rPr>
          <w:rFonts w:hint="eastAsia" w:ascii="宋体" w:hAnsi="宋体"/>
          <w:b w:val="0"/>
          <w:sz w:val="22"/>
          <w:szCs w:val="22"/>
        </w:rPr>
      </w:pPr>
      <w:r>
        <w:rPr>
          <w:rFonts w:hint="eastAsia" w:ascii="宋体" w:hAnsi="宋体"/>
          <w:b w:val="0"/>
          <w:sz w:val="22"/>
          <w:szCs w:val="22"/>
        </w:rPr>
        <w:t>4、承包人将过桥钢管除锈后须通知发包人现场施工管理人员进行验收，验收合格后方可进行防腐施工。</w:t>
      </w:r>
    </w:p>
    <w:p w14:paraId="78BB4CF3">
      <w:pPr>
        <w:spacing w:line="460" w:lineRule="exact"/>
        <w:ind w:firstLine="440" w:firstLineChars="200"/>
        <w:rPr>
          <w:rFonts w:hint="eastAsia" w:ascii="宋体" w:hAnsi="宋体"/>
          <w:b w:val="0"/>
          <w:sz w:val="22"/>
          <w:szCs w:val="22"/>
        </w:rPr>
      </w:pPr>
      <w:r>
        <w:rPr>
          <w:rFonts w:hint="eastAsia" w:ascii="宋体" w:hAnsi="宋体"/>
          <w:b w:val="0"/>
          <w:sz w:val="22"/>
          <w:szCs w:val="22"/>
        </w:rPr>
        <w:t>5、涂底漆时基面应干燥，基面除锈后与涂底漆的间隔时候不得超过 8 小时， 且应涂刷均匀、饱满，不得有凝块、气泡现象。</w:t>
      </w:r>
    </w:p>
    <w:p w14:paraId="62F71F4F">
      <w:pPr>
        <w:spacing w:line="460" w:lineRule="exact"/>
        <w:ind w:firstLine="440" w:firstLineChars="200"/>
        <w:rPr>
          <w:rFonts w:hint="eastAsia" w:ascii="宋体" w:hAnsi="宋体"/>
          <w:b w:val="0"/>
          <w:sz w:val="22"/>
          <w:szCs w:val="22"/>
        </w:rPr>
      </w:pPr>
      <w:r>
        <w:rPr>
          <w:rFonts w:hint="eastAsia" w:ascii="宋体" w:hAnsi="宋体"/>
          <w:b w:val="0"/>
          <w:sz w:val="22"/>
          <w:szCs w:val="22"/>
        </w:rPr>
        <w:t>6、面漆应涂刷在洁净、干燥的底漆上，常温下刷面漆应涂底漆后 24 小时内 实施。</w:t>
      </w:r>
    </w:p>
    <w:p w14:paraId="4BA247A4">
      <w:pPr>
        <w:spacing w:line="460" w:lineRule="exact"/>
        <w:ind w:firstLine="440" w:firstLineChars="200"/>
        <w:rPr>
          <w:rFonts w:hint="eastAsia" w:ascii="宋体" w:hAnsi="宋体"/>
          <w:b w:val="0"/>
          <w:sz w:val="22"/>
          <w:szCs w:val="22"/>
        </w:rPr>
      </w:pPr>
      <w:r>
        <w:rPr>
          <w:rFonts w:hint="eastAsia" w:ascii="宋体" w:hAnsi="宋体"/>
          <w:b w:val="0"/>
          <w:sz w:val="22"/>
          <w:szCs w:val="22"/>
        </w:rPr>
        <w:t>7、涂刷应均匀，不漏刷、不起泡、不脱落。</w:t>
      </w:r>
    </w:p>
    <w:p w14:paraId="0A40EAF4">
      <w:pPr>
        <w:spacing w:line="460" w:lineRule="exact"/>
        <w:ind w:firstLine="440" w:firstLineChars="200"/>
        <w:rPr>
          <w:rFonts w:hint="eastAsia" w:ascii="宋体" w:hAnsi="宋体"/>
          <w:b w:val="0"/>
          <w:sz w:val="22"/>
          <w:szCs w:val="22"/>
        </w:rPr>
      </w:pPr>
      <w:r>
        <w:rPr>
          <w:rFonts w:hint="eastAsia" w:ascii="宋体" w:hAnsi="宋体"/>
          <w:b w:val="0"/>
          <w:sz w:val="22"/>
          <w:szCs w:val="22"/>
        </w:rPr>
        <w:t>8、面漆涂刷应在底漆表干后进行，底漆与第一道面漆涂刷的间隔时间不超过 24 小时。</w:t>
      </w:r>
    </w:p>
    <w:p w14:paraId="698E03A9">
      <w:pPr>
        <w:spacing w:line="460" w:lineRule="exact"/>
        <w:ind w:firstLine="440" w:firstLineChars="200"/>
        <w:rPr>
          <w:rFonts w:hint="eastAsia" w:ascii="宋体" w:hAnsi="宋体"/>
          <w:b w:val="0"/>
          <w:sz w:val="22"/>
          <w:szCs w:val="22"/>
        </w:rPr>
      </w:pPr>
      <w:r>
        <w:rPr>
          <w:rFonts w:hint="eastAsia" w:ascii="宋体" w:hAnsi="宋体"/>
          <w:b w:val="0"/>
          <w:sz w:val="22"/>
          <w:szCs w:val="22"/>
        </w:rPr>
        <w:t>9、不得在雨、雪或 5 级及以上大风中露天施工。</w:t>
      </w:r>
    </w:p>
    <w:p w14:paraId="55AD3BBD">
      <w:pPr>
        <w:spacing w:line="460" w:lineRule="exact"/>
        <w:ind w:firstLine="440" w:firstLineChars="200"/>
        <w:rPr>
          <w:rFonts w:hint="eastAsia" w:ascii="宋体" w:hAnsi="宋体"/>
          <w:b w:val="0"/>
          <w:sz w:val="22"/>
          <w:szCs w:val="22"/>
        </w:rPr>
      </w:pPr>
      <w:r>
        <w:rPr>
          <w:rFonts w:hint="eastAsia" w:ascii="宋体" w:hAnsi="宋体"/>
          <w:b w:val="0"/>
          <w:sz w:val="22"/>
          <w:szCs w:val="22"/>
        </w:rPr>
        <w:t>10、已涂漆管道，炎热天气下，不宜直接受阳光照射，直至涂层干燥。</w:t>
      </w:r>
    </w:p>
    <w:p w14:paraId="6B784471">
      <w:pPr>
        <w:spacing w:line="460" w:lineRule="exact"/>
        <w:ind w:firstLine="440" w:firstLineChars="200"/>
        <w:rPr>
          <w:rFonts w:hint="eastAsia" w:ascii="宋体" w:hAnsi="宋体"/>
          <w:b w:val="0"/>
          <w:sz w:val="22"/>
          <w:szCs w:val="22"/>
        </w:rPr>
      </w:pPr>
      <w:r>
        <w:rPr>
          <w:rFonts w:hint="eastAsia" w:ascii="宋体" w:hAnsi="宋体"/>
          <w:b w:val="0"/>
          <w:sz w:val="22"/>
          <w:szCs w:val="22"/>
        </w:rPr>
        <w:t>11、本项目质保期 2 年，质保期内表面光泽，无锈点。</w:t>
      </w:r>
    </w:p>
    <w:p w14:paraId="5788538F">
      <w:pPr>
        <w:spacing w:line="460" w:lineRule="exact"/>
        <w:ind w:firstLine="440" w:firstLineChars="200"/>
        <w:rPr>
          <w:rFonts w:hint="eastAsia" w:ascii="宋体" w:hAnsi="宋体"/>
          <w:b w:val="0"/>
          <w:sz w:val="22"/>
          <w:szCs w:val="22"/>
        </w:rPr>
      </w:pPr>
      <w:r>
        <w:rPr>
          <w:rFonts w:hint="eastAsia" w:ascii="宋体" w:hAnsi="宋体"/>
          <w:b w:val="0"/>
          <w:sz w:val="22"/>
          <w:szCs w:val="22"/>
        </w:rPr>
        <w:t xml:space="preserve">12、本项目所使用的漆需提供合格证、质保证、检测报告书。 </w:t>
      </w:r>
    </w:p>
    <w:p w14:paraId="7A833A99">
      <w:pPr>
        <w:spacing w:line="460" w:lineRule="exact"/>
        <w:ind w:firstLine="440" w:firstLineChars="200"/>
        <w:rPr>
          <w:rFonts w:hint="default" w:ascii="宋体" w:hAnsi="宋体" w:eastAsia="宋体"/>
          <w:b w:val="0"/>
          <w:sz w:val="22"/>
          <w:szCs w:val="22"/>
          <w:lang w:val="en-US" w:eastAsia="zh-CN"/>
        </w:rPr>
      </w:pPr>
      <w:r>
        <w:rPr>
          <w:rFonts w:hint="eastAsia" w:ascii="宋体" w:hAnsi="宋体"/>
          <w:b w:val="0"/>
          <w:sz w:val="22"/>
          <w:szCs w:val="22"/>
        </w:rPr>
        <w:t>五、工期要求：</w:t>
      </w:r>
      <w:r>
        <w:rPr>
          <w:rFonts w:hint="eastAsia" w:ascii="宋体" w:hAnsi="宋体"/>
          <w:b w:val="0"/>
          <w:sz w:val="22"/>
          <w:szCs w:val="22"/>
          <w:lang w:val="en-US" w:eastAsia="zh-CN"/>
        </w:rPr>
        <w:t>9</w:t>
      </w:r>
      <w:r>
        <w:rPr>
          <w:rFonts w:hint="eastAsia" w:ascii="宋体" w:hAnsi="宋体"/>
          <w:b w:val="0"/>
          <w:sz w:val="22"/>
          <w:szCs w:val="22"/>
        </w:rPr>
        <w:t>0 日历天</w:t>
      </w:r>
      <w:r>
        <w:rPr>
          <w:rFonts w:hint="eastAsia" w:ascii="宋体" w:hAnsi="宋体"/>
          <w:b w:val="0"/>
          <w:sz w:val="22"/>
          <w:szCs w:val="22"/>
          <w:lang w:eastAsia="zh-CN"/>
        </w:rPr>
        <w:t>，</w:t>
      </w:r>
      <w:r>
        <w:rPr>
          <w:rFonts w:hint="eastAsia" w:ascii="宋体" w:hAnsi="宋体"/>
          <w:b w:val="0"/>
          <w:sz w:val="22"/>
          <w:szCs w:val="22"/>
          <w:highlight w:val="none"/>
          <w:lang w:val="en-US" w:eastAsia="zh-CN"/>
        </w:rPr>
        <w:t>项目具体实施地点由采购人指定。</w:t>
      </w:r>
    </w:p>
    <w:bookmarkEnd w:id="2"/>
    <w:p w14:paraId="1CB64C0E">
      <w:pPr>
        <w:spacing w:line="460" w:lineRule="exact"/>
        <w:ind w:firstLine="431" w:firstLineChars="196"/>
        <w:rPr>
          <w:rFonts w:hint="eastAsia" w:ascii="宋体" w:hAnsi="宋体" w:cs="仿宋"/>
          <w:b w:val="0"/>
          <w:sz w:val="22"/>
          <w:szCs w:val="22"/>
        </w:rPr>
      </w:pPr>
      <w:r>
        <w:rPr>
          <w:rFonts w:hint="eastAsia" w:ascii="宋体" w:hAnsi="宋体" w:cs="仿宋"/>
          <w:b w:val="0"/>
          <w:sz w:val="22"/>
          <w:szCs w:val="22"/>
        </w:rPr>
        <w:t>六、报价要求</w:t>
      </w:r>
    </w:p>
    <w:p w14:paraId="50571B5F">
      <w:pPr>
        <w:spacing w:line="460" w:lineRule="exact"/>
        <w:ind w:firstLine="442" w:firstLineChars="200"/>
        <w:rPr>
          <w:rFonts w:hint="eastAsia" w:ascii="宋体" w:hAnsi="宋体" w:cs="仿宋"/>
          <w:bCs w:val="0"/>
          <w:sz w:val="22"/>
          <w:szCs w:val="22"/>
          <w:highlight w:val="none"/>
          <w:u w:val="single"/>
        </w:rPr>
      </w:pPr>
      <w:bookmarkStart w:id="9" w:name="_Hlk184930607"/>
      <w:r>
        <w:rPr>
          <w:rFonts w:hint="eastAsia" w:ascii="宋体" w:hAnsi="宋体"/>
          <w:bCs w:val="0"/>
          <w:sz w:val="22"/>
          <w:szCs w:val="22"/>
          <w:highlight w:val="none"/>
          <w:u w:val="single"/>
        </w:rPr>
        <w:t>▲</w:t>
      </w:r>
      <w:r>
        <w:rPr>
          <w:rFonts w:hint="eastAsia" w:ascii="宋体" w:hAnsi="宋体" w:cs="仿宋"/>
          <w:bCs w:val="0"/>
          <w:sz w:val="22"/>
          <w:szCs w:val="22"/>
          <w:highlight w:val="none"/>
          <w:u w:val="single"/>
        </w:rPr>
        <w:t>本项目单价最高限价：1</w:t>
      </w:r>
      <w:r>
        <w:rPr>
          <w:rFonts w:hint="eastAsia" w:ascii="宋体" w:hAnsi="宋体" w:cs="仿宋"/>
          <w:bCs w:val="0"/>
          <w:sz w:val="22"/>
          <w:szCs w:val="22"/>
          <w:highlight w:val="none"/>
          <w:u w:val="single"/>
          <w:lang w:val="en-US" w:eastAsia="zh-CN"/>
        </w:rPr>
        <w:t>1</w:t>
      </w:r>
      <w:r>
        <w:rPr>
          <w:rFonts w:hint="eastAsia" w:ascii="宋体" w:hAnsi="宋体" w:cs="仿宋"/>
          <w:bCs w:val="0"/>
          <w:sz w:val="22"/>
          <w:szCs w:val="22"/>
          <w:highlight w:val="none"/>
          <w:u w:val="single"/>
        </w:rPr>
        <w:t>0元/㎡，投标人报价不得超出该单价，如超出做无效标处理。最终按实际工程量及中标单价进行结算，投标报价包括人工费、材料费、机械费、措施费、检测费、测量费、管理费、利润、风险、规费、税金等完成本项目的一切费用。</w:t>
      </w:r>
    </w:p>
    <w:bookmarkEnd w:id="9"/>
    <w:p w14:paraId="52A71B4E">
      <w:pPr>
        <w:spacing w:line="460" w:lineRule="exact"/>
        <w:ind w:firstLine="440" w:firstLineChars="200"/>
        <w:rPr>
          <w:rFonts w:hint="eastAsia" w:ascii="宋体" w:hAnsi="宋体" w:cs="仿宋"/>
          <w:b w:val="0"/>
          <w:sz w:val="22"/>
          <w:szCs w:val="22"/>
          <w:highlight w:val="none"/>
        </w:rPr>
      </w:pPr>
      <w:r>
        <w:rPr>
          <w:rFonts w:hint="eastAsia" w:ascii="宋体" w:hAnsi="宋体" w:cs="仿宋"/>
          <w:b w:val="0"/>
          <w:sz w:val="22"/>
          <w:szCs w:val="22"/>
          <w:highlight w:val="none"/>
        </w:rPr>
        <w:t>七、付款方式</w:t>
      </w:r>
    </w:p>
    <w:p w14:paraId="76387E2A">
      <w:pPr>
        <w:tabs>
          <w:tab w:val="left" w:pos="525"/>
        </w:tabs>
        <w:autoSpaceDE w:val="0"/>
        <w:autoSpaceDN w:val="0"/>
        <w:spacing w:after="120" w:line="460" w:lineRule="exact"/>
        <w:ind w:firstLine="440" w:firstLineChars="200"/>
        <w:contextualSpacing/>
        <w:jc w:val="left"/>
        <w:textAlignment w:val="bottom"/>
        <w:rPr>
          <w:rFonts w:ascii="宋体" w:cs="Arial"/>
          <w:b w:val="0"/>
          <w:sz w:val="22"/>
          <w:szCs w:val="22"/>
          <w:highlight w:val="none"/>
          <w:u w:val="single"/>
        </w:rPr>
      </w:pPr>
      <w:r>
        <w:rPr>
          <w:rFonts w:hint="eastAsia" w:ascii="宋体" w:cs="Arial"/>
          <w:b w:val="0"/>
          <w:sz w:val="22"/>
          <w:szCs w:val="22"/>
          <w:highlight w:val="none"/>
          <w:u w:val="single"/>
        </w:rPr>
        <w:t>（1）中标供应商应提供合同总金额5%的履约保证金（允许以保函形式提交），履约保证金在项目通过验收后30日历天内无息退还。</w:t>
      </w:r>
    </w:p>
    <w:p w14:paraId="27342DF9">
      <w:pPr>
        <w:tabs>
          <w:tab w:val="left" w:pos="525"/>
        </w:tabs>
        <w:autoSpaceDE w:val="0"/>
        <w:autoSpaceDN w:val="0"/>
        <w:spacing w:after="120" w:line="460" w:lineRule="exact"/>
        <w:ind w:firstLine="440" w:firstLineChars="200"/>
        <w:contextualSpacing/>
        <w:jc w:val="left"/>
        <w:textAlignment w:val="bottom"/>
        <w:rPr>
          <w:rFonts w:ascii="宋体" w:cs="Arial"/>
          <w:b w:val="0"/>
          <w:sz w:val="22"/>
          <w:szCs w:val="22"/>
          <w:highlight w:val="none"/>
          <w:u w:val="single"/>
        </w:rPr>
      </w:pPr>
      <w:r>
        <w:rPr>
          <w:rFonts w:hint="eastAsia" w:ascii="宋体" w:cs="Arial"/>
          <w:b w:val="0"/>
          <w:sz w:val="22"/>
          <w:szCs w:val="22"/>
          <w:highlight w:val="none"/>
          <w:u w:val="single"/>
        </w:rPr>
        <w:t>（2）</w:t>
      </w:r>
      <w:r>
        <w:rPr>
          <w:rFonts w:hint="eastAsia" w:ascii="宋体" w:cs="Arial"/>
          <w:b w:val="0"/>
          <w:sz w:val="22"/>
          <w:szCs w:val="22"/>
          <w:highlight w:val="none"/>
          <w:u w:val="single"/>
          <w:lang w:val="en-US" w:eastAsia="zh-CN"/>
        </w:rPr>
        <w:t>合同签订后支付合同总价30%的预付款，项目竣工验收合格后进行结算，</w:t>
      </w:r>
      <w:r>
        <w:rPr>
          <w:rFonts w:hint="eastAsia" w:ascii="宋体" w:cs="Arial"/>
          <w:b w:val="0"/>
          <w:sz w:val="22"/>
          <w:szCs w:val="22"/>
          <w:highlight w:val="none"/>
          <w:u w:val="single"/>
        </w:rPr>
        <w:t>结算合同价款时以实际面积为准，合同总价款不高于</w:t>
      </w:r>
      <w:r>
        <w:rPr>
          <w:rFonts w:hint="eastAsia" w:ascii="宋体" w:cs="Arial"/>
          <w:b w:val="0"/>
          <w:sz w:val="22"/>
          <w:szCs w:val="22"/>
          <w:highlight w:val="none"/>
          <w:u w:val="single"/>
          <w:lang w:val="en-US" w:eastAsia="zh-CN"/>
        </w:rPr>
        <w:t>预算金额</w:t>
      </w:r>
      <w:r>
        <w:rPr>
          <w:rFonts w:hint="eastAsia" w:ascii="宋体" w:cs="Arial"/>
          <w:b w:val="0"/>
          <w:sz w:val="22"/>
          <w:szCs w:val="22"/>
          <w:highlight w:val="none"/>
          <w:u w:val="single"/>
        </w:rPr>
        <w:t>。</w:t>
      </w:r>
    </w:p>
    <w:p w14:paraId="4540E762">
      <w:pPr>
        <w:tabs>
          <w:tab w:val="left" w:pos="525"/>
        </w:tabs>
        <w:autoSpaceDE w:val="0"/>
        <w:autoSpaceDN w:val="0"/>
        <w:spacing w:after="120" w:line="460" w:lineRule="exact"/>
        <w:ind w:firstLine="440" w:firstLineChars="200"/>
        <w:contextualSpacing/>
        <w:jc w:val="left"/>
        <w:textAlignment w:val="bottom"/>
        <w:rPr>
          <w:rFonts w:ascii="宋体" w:cs="Arial"/>
          <w:b w:val="0"/>
          <w:sz w:val="22"/>
          <w:szCs w:val="22"/>
          <w:highlight w:val="none"/>
        </w:rPr>
      </w:pPr>
      <w:r>
        <w:rPr>
          <w:rFonts w:hint="eastAsia" w:ascii="宋体" w:cs="Arial"/>
          <w:b w:val="0"/>
          <w:sz w:val="22"/>
          <w:szCs w:val="22"/>
          <w:highlight w:val="none"/>
        </w:rPr>
        <w:t>对于满足合同支付约定条件的，采购人于收到中标供应商开具的正式税务发票后7个工作日内予以支付相应合同价款，由违约或验收结果引起的经济扣款，直接在服务费中扣除。</w:t>
      </w:r>
    </w:p>
    <w:p w14:paraId="75EF01CE">
      <w:pPr>
        <w:pStyle w:val="17"/>
        <w:spacing w:line="360" w:lineRule="auto"/>
        <w:jc w:val="left"/>
        <w:rPr>
          <w:rFonts w:hint="eastAsia" w:ascii="宋体" w:hAnsi="宋体" w:cs="宋体" w:eastAsiaTheme="minorEastAsia"/>
          <w:sz w:val="22"/>
          <w:szCs w:val="22"/>
        </w:rPr>
      </w:pPr>
    </w:p>
    <w:p w14:paraId="5B3AD529">
      <w:pPr>
        <w:pStyle w:val="34"/>
        <w:ind w:firstLine="211"/>
        <w:rPr>
          <w:rFonts w:hint="eastAsia"/>
        </w:rPr>
      </w:pPr>
    </w:p>
    <w:p w14:paraId="292E06C1">
      <w:pPr>
        <w:pStyle w:val="28"/>
      </w:pPr>
    </w:p>
    <w:p w14:paraId="659863BC"/>
    <w:p w14:paraId="4141C243">
      <w:pPr>
        <w:pStyle w:val="23"/>
      </w:pPr>
    </w:p>
    <w:p w14:paraId="4D8E695A">
      <w:pPr>
        <w:pStyle w:val="23"/>
      </w:pPr>
    </w:p>
    <w:bookmarkEnd w:id="3"/>
    <w:bookmarkEnd w:id="4"/>
    <w:bookmarkEnd w:id="5"/>
    <w:bookmarkEnd w:id="6"/>
    <w:bookmarkEnd w:id="7"/>
    <w:p w14:paraId="62CEBAB7">
      <w:pPr>
        <w:snapToGrid w:val="0"/>
        <w:spacing w:line="460" w:lineRule="atLeast"/>
        <w:rPr>
          <w:rFonts w:hint="eastAsia" w:ascii="宋体" w:hAnsi="宋体"/>
          <w:b w:val="0"/>
          <w:bCs w:val="0"/>
          <w:color w:val="auto"/>
          <w:sz w:val="22"/>
          <w:szCs w:val="22"/>
        </w:rPr>
      </w:pPr>
    </w:p>
    <w:bookmarkEnd w:id="8"/>
    <w:p w14:paraId="48F9CEEC">
      <w:pPr>
        <w:pStyle w:val="4"/>
        <w:spacing w:before="0" w:after="120" w:line="700" w:lineRule="exact"/>
        <w:ind w:left="0" w:firstLine="0"/>
        <w:jc w:val="center"/>
        <w:rPr>
          <w:rFonts w:ascii="Cambria Math" w:hAnsi="Cambria Math" w:eastAsia="Cambria Math"/>
          <w:b/>
          <w:color w:val="auto"/>
          <w:sz w:val="32"/>
        </w:rPr>
      </w:pPr>
      <w:r>
        <w:rPr>
          <w:rFonts w:hint="eastAsia" w:ascii="Cambria Math" w:hAnsi="Cambria Math" w:eastAsia="Cambria Math"/>
          <w:b/>
          <w:color w:val="auto"/>
          <w:sz w:val="32"/>
        </w:rPr>
        <w:t>第三部分</w:t>
      </w:r>
      <w:r>
        <w:rPr>
          <w:rFonts w:hint="eastAsia" w:ascii="Cambria Math" w:hAnsi="Cambria Math" w:eastAsiaTheme="minorEastAsia"/>
          <w:b/>
          <w:color w:val="auto"/>
          <w:sz w:val="32"/>
        </w:rPr>
        <w:t xml:space="preserve">  </w:t>
      </w:r>
      <w:r>
        <w:rPr>
          <w:rFonts w:hint="eastAsia" w:ascii="Cambria Math" w:hAnsi="Cambria Math" w:eastAsiaTheme="minorEastAsia"/>
          <w:b/>
          <w:color w:val="auto"/>
          <w:sz w:val="32"/>
          <w:lang w:val="en-US" w:eastAsia="zh-CN"/>
        </w:rPr>
        <w:t xml:space="preserve"> </w:t>
      </w:r>
      <w:r>
        <w:rPr>
          <w:rFonts w:hint="eastAsia" w:ascii="Cambria Math" w:hAnsi="Cambria Math" w:eastAsia="Cambria Math"/>
          <w:b/>
          <w:color w:val="auto"/>
          <w:sz w:val="32"/>
        </w:rPr>
        <w:t>供应商须知</w:t>
      </w:r>
    </w:p>
    <w:p w14:paraId="7894BC13">
      <w:pPr>
        <w:pStyle w:val="4"/>
        <w:spacing w:before="0" w:after="120" w:line="700" w:lineRule="exact"/>
        <w:ind w:left="0" w:firstLine="0"/>
        <w:rPr>
          <w:rFonts w:hint="eastAsia" w:ascii="宋体" w:hAnsi="宋体" w:eastAsia="宋体" w:cs="宋体"/>
          <w:b/>
          <w:color w:val="auto"/>
          <w:sz w:val="22"/>
          <w:szCs w:val="22"/>
        </w:rPr>
      </w:pPr>
      <w:r>
        <w:rPr>
          <w:rFonts w:hint="eastAsia" w:ascii="宋体" w:hAnsi="宋体" w:eastAsia="宋体" w:cs="宋体"/>
          <w:b/>
          <w:color w:val="auto"/>
          <w:sz w:val="22"/>
          <w:szCs w:val="22"/>
        </w:rPr>
        <w:t>一、说明</w:t>
      </w:r>
    </w:p>
    <w:p w14:paraId="56C0558E">
      <w:pPr>
        <w:autoSpaceDE w:val="0"/>
        <w:autoSpaceDN w:val="0"/>
        <w:adjustRightInd w:val="0"/>
        <w:snapToGrid w:val="0"/>
        <w:spacing w:line="440" w:lineRule="atLeast"/>
        <w:ind w:firstLine="420" w:firstLineChars="191"/>
        <w:textAlignment w:val="bottom"/>
        <w:rPr>
          <w:rFonts w:hint="eastAsia" w:ascii="宋体" w:hAnsi="宋体" w:cs="宋体"/>
          <w:b w:val="0"/>
          <w:color w:val="auto"/>
          <w:sz w:val="22"/>
          <w:szCs w:val="22"/>
        </w:rPr>
      </w:pPr>
      <w:r>
        <w:rPr>
          <w:rFonts w:hint="eastAsia" w:ascii="宋体" w:hAnsi="宋体" w:cs="宋体"/>
          <w:b w:val="0"/>
          <w:color w:val="auto"/>
          <w:sz w:val="22"/>
          <w:szCs w:val="22"/>
        </w:rPr>
        <w:t>1、本次采购工作是按照《中华人民共和国政府采购法》、《政府采购货物和服务招标投标管理办法》和《</w:t>
      </w:r>
      <w:r>
        <w:rPr>
          <w:rFonts w:hint="eastAsia" w:ascii="宋体" w:hAnsi="宋体" w:cs="宋体"/>
          <w:b w:val="0"/>
          <w:bCs w:val="0"/>
          <w:color w:val="auto"/>
          <w:sz w:val="22"/>
          <w:szCs w:val="22"/>
        </w:rPr>
        <w:t>浙江省财政厅、省监察厅关于进一步规范政府采购活动的若干意见</w:t>
      </w:r>
      <w:r>
        <w:rPr>
          <w:rFonts w:hint="eastAsia" w:ascii="宋体" w:hAnsi="宋体" w:cs="宋体"/>
          <w:b w:val="0"/>
          <w:color w:val="auto"/>
          <w:sz w:val="22"/>
          <w:szCs w:val="22"/>
        </w:rPr>
        <w:t>》及相关法律规章组织和实施。</w:t>
      </w:r>
    </w:p>
    <w:p w14:paraId="7E87A21B">
      <w:pPr>
        <w:autoSpaceDE w:val="0"/>
        <w:autoSpaceDN w:val="0"/>
        <w:adjustRightInd w:val="0"/>
        <w:snapToGrid w:val="0"/>
        <w:spacing w:line="460" w:lineRule="atLeast"/>
        <w:ind w:firstLine="431" w:firstLineChars="196"/>
        <w:jc w:val="left"/>
        <w:textAlignment w:val="bottom"/>
        <w:rPr>
          <w:rFonts w:hint="eastAsia" w:ascii="宋体" w:hAnsi="宋体" w:cs="宋体"/>
          <w:b w:val="0"/>
          <w:color w:val="auto"/>
          <w:sz w:val="22"/>
          <w:szCs w:val="22"/>
          <w:u w:val="single"/>
        </w:rPr>
      </w:pPr>
      <w:r>
        <w:rPr>
          <w:rFonts w:hint="eastAsia" w:ascii="宋体" w:hAnsi="宋体" w:cs="宋体"/>
          <w:b w:val="0"/>
          <w:color w:val="auto"/>
          <w:sz w:val="22"/>
          <w:szCs w:val="22"/>
          <w:u w:val="single"/>
        </w:rPr>
        <w:t>2、供应商必须对所有采购要求进行投标报价，否则按无效投标处理；</w:t>
      </w:r>
    </w:p>
    <w:p w14:paraId="3ED33F88">
      <w:pPr>
        <w:autoSpaceDE w:val="0"/>
        <w:autoSpaceDN w:val="0"/>
        <w:adjustRightInd w:val="0"/>
        <w:snapToGrid w:val="0"/>
        <w:spacing w:line="440" w:lineRule="atLeast"/>
        <w:ind w:firstLine="420" w:firstLineChars="191"/>
        <w:textAlignment w:val="bottom"/>
        <w:rPr>
          <w:rFonts w:hint="eastAsia" w:ascii="宋体" w:hAnsi="宋体" w:cs="宋体"/>
          <w:b w:val="0"/>
          <w:color w:val="auto"/>
          <w:sz w:val="22"/>
          <w:szCs w:val="22"/>
        </w:rPr>
      </w:pPr>
      <w:r>
        <w:rPr>
          <w:rFonts w:hint="eastAsia" w:ascii="宋体" w:hAnsi="宋体" w:cs="宋体"/>
          <w:b w:val="0"/>
          <w:color w:val="auto"/>
          <w:sz w:val="22"/>
          <w:szCs w:val="22"/>
        </w:rPr>
        <w:t>3、无论投标过程中的作法和结果如何，供应商自行承担投标活动中所发生的全部费用。</w:t>
      </w:r>
    </w:p>
    <w:p w14:paraId="7D440ECD">
      <w:pPr>
        <w:autoSpaceDE w:val="0"/>
        <w:autoSpaceDN w:val="0"/>
        <w:adjustRightInd w:val="0"/>
        <w:snapToGrid w:val="0"/>
        <w:spacing w:line="440" w:lineRule="atLeast"/>
        <w:ind w:firstLine="420" w:firstLineChars="191"/>
        <w:textAlignment w:val="bottom"/>
        <w:rPr>
          <w:rFonts w:hint="eastAsia" w:ascii="宋体" w:hAnsi="宋体" w:cs="宋体"/>
          <w:b w:val="0"/>
          <w:color w:val="auto"/>
          <w:sz w:val="22"/>
          <w:szCs w:val="22"/>
        </w:rPr>
      </w:pPr>
      <w:r>
        <w:rPr>
          <w:rFonts w:hint="eastAsia" w:ascii="宋体" w:hAnsi="宋体" w:cs="宋体"/>
          <w:b w:val="0"/>
          <w:color w:val="auto"/>
          <w:sz w:val="22"/>
          <w:szCs w:val="22"/>
        </w:rPr>
        <w:t>4、本次采购采用商务报价文件与技术资信文件分别评审，评标委员会首先评审供应商技术资信部分，技术资信部分无效的供应商不进入商务报价评审。要求供应商技术资信部分的投标文件（含资信与服务）中不得含产品报价，否则做无效投标处理。</w:t>
      </w:r>
    </w:p>
    <w:p w14:paraId="7FB81E96">
      <w:pPr>
        <w:adjustRightInd w:val="0"/>
        <w:spacing w:line="430" w:lineRule="atLeast"/>
        <w:ind w:firstLine="431" w:firstLineChars="196"/>
        <w:rPr>
          <w:rFonts w:hint="eastAsia" w:ascii="宋体" w:hAnsi="宋体" w:cs="宋体"/>
          <w:color w:val="auto"/>
          <w:sz w:val="22"/>
          <w:szCs w:val="22"/>
          <w:u w:val="single"/>
        </w:rPr>
      </w:pPr>
      <w:r>
        <w:rPr>
          <w:rFonts w:hint="eastAsia" w:ascii="宋体" w:hAnsi="宋体" w:cs="宋体"/>
          <w:b w:val="0"/>
          <w:color w:val="auto"/>
          <w:sz w:val="22"/>
          <w:szCs w:val="22"/>
        </w:rPr>
        <w:t>5、</w:t>
      </w:r>
      <w:r>
        <w:rPr>
          <w:rFonts w:hint="eastAsia" w:ascii="宋体" w:hAnsi="宋体" w:cs="宋体"/>
          <w:color w:val="auto"/>
          <w:sz w:val="22"/>
          <w:szCs w:val="22"/>
          <w:u w:val="single"/>
        </w:rPr>
        <w:t>▲投标供应商应保证其单位参加采购活动前三年无任何行贿犯罪档案记录。</w:t>
      </w:r>
    </w:p>
    <w:p w14:paraId="45D183EF">
      <w:pPr>
        <w:adjustRightInd w:val="0"/>
        <w:spacing w:line="440" w:lineRule="exact"/>
        <w:ind w:firstLine="433" w:firstLineChars="196"/>
        <w:rPr>
          <w:rFonts w:hint="eastAsia" w:ascii="宋体" w:hAnsi="宋体" w:cs="宋体"/>
          <w:b w:val="0"/>
          <w:color w:val="auto"/>
          <w:sz w:val="22"/>
          <w:szCs w:val="22"/>
        </w:rPr>
      </w:pPr>
      <w:r>
        <w:rPr>
          <w:rFonts w:hint="eastAsia" w:ascii="宋体" w:hAnsi="宋体" w:cs="宋体"/>
          <w:color w:val="auto"/>
          <w:sz w:val="22"/>
          <w:szCs w:val="22"/>
        </w:rPr>
        <w:t>6、</w:t>
      </w:r>
      <w:r>
        <w:rPr>
          <w:rFonts w:hint="eastAsia" w:ascii="宋体" w:hAnsi="宋体" w:cs="宋体"/>
          <w:b w:val="0"/>
          <w:color w:val="auto"/>
          <w:sz w:val="22"/>
          <w:szCs w:val="22"/>
        </w:rPr>
        <w:t>本《招标文件》所称“关联企业”，是指存在关联关系的企业；“关联关系”的界定适用《中华人民共和国公司法》216条之规定。</w:t>
      </w:r>
    </w:p>
    <w:p w14:paraId="28380346">
      <w:pPr>
        <w:adjustRightInd w:val="0"/>
        <w:spacing w:line="440" w:lineRule="exact"/>
        <w:ind w:firstLine="431" w:firstLineChars="196"/>
        <w:rPr>
          <w:rFonts w:hint="eastAsia" w:ascii="宋体" w:hAnsi="宋体" w:cs="宋体"/>
          <w:b w:val="0"/>
          <w:color w:val="auto"/>
          <w:sz w:val="22"/>
          <w:szCs w:val="22"/>
        </w:rPr>
      </w:pPr>
      <w:r>
        <w:rPr>
          <w:rFonts w:hint="eastAsia" w:ascii="宋体" w:hAnsi="宋体" w:cs="宋体"/>
          <w:b w:val="0"/>
          <w:color w:val="auto"/>
          <w:sz w:val="22"/>
          <w:szCs w:val="22"/>
        </w:rPr>
        <w:t xml:space="preserve">6.1单位负责人为同一人或者存在直接控股、管理关系的不同供应商参加同一合同项下的采购活动的，相关投标均作无效标处理。 </w:t>
      </w:r>
    </w:p>
    <w:p w14:paraId="22DE7836">
      <w:pPr>
        <w:adjustRightInd w:val="0"/>
        <w:spacing w:line="440" w:lineRule="exact"/>
        <w:ind w:firstLine="431" w:firstLineChars="196"/>
        <w:rPr>
          <w:rFonts w:hint="eastAsia" w:ascii="宋体" w:hAnsi="宋体" w:cs="宋体"/>
          <w:b w:val="0"/>
          <w:color w:val="auto"/>
          <w:sz w:val="22"/>
          <w:szCs w:val="22"/>
        </w:rPr>
      </w:pPr>
      <w:r>
        <w:rPr>
          <w:rFonts w:hint="eastAsia" w:ascii="宋体" w:hAnsi="宋体" w:cs="宋体"/>
          <w:b w:val="0"/>
          <w:color w:val="auto"/>
          <w:sz w:val="22"/>
          <w:szCs w:val="22"/>
        </w:rPr>
        <w:t>6.2不同供应商之间存在以下利害关系并且存在影响采购公平竞争行为的，不得参加同一合同项下的采购活动，相关投标均作无效标处理：</w:t>
      </w:r>
    </w:p>
    <w:p w14:paraId="1E95540D">
      <w:pPr>
        <w:adjustRightInd w:val="0"/>
        <w:spacing w:line="440" w:lineRule="exact"/>
        <w:ind w:firstLine="431" w:firstLineChars="196"/>
        <w:rPr>
          <w:rFonts w:hint="eastAsia" w:ascii="宋体" w:hAnsi="宋体" w:cs="宋体"/>
          <w:b w:val="0"/>
          <w:color w:val="auto"/>
          <w:sz w:val="22"/>
          <w:szCs w:val="22"/>
        </w:rPr>
      </w:pPr>
      <w:r>
        <w:rPr>
          <w:rFonts w:hint="eastAsia" w:ascii="宋体" w:hAnsi="宋体" w:cs="宋体"/>
          <w:b w:val="0"/>
          <w:color w:val="auto"/>
          <w:sz w:val="22"/>
          <w:szCs w:val="22"/>
        </w:rPr>
        <w:t>（1）法定代表人或负责人或实际控制人是夫妻关系；</w:t>
      </w:r>
    </w:p>
    <w:p w14:paraId="37E8AE61">
      <w:pPr>
        <w:adjustRightInd w:val="0"/>
        <w:spacing w:line="440" w:lineRule="exact"/>
        <w:ind w:firstLine="431" w:firstLineChars="196"/>
        <w:rPr>
          <w:rFonts w:hint="eastAsia" w:ascii="宋体" w:hAnsi="宋体" w:cs="宋体"/>
          <w:b w:val="0"/>
          <w:color w:val="auto"/>
          <w:sz w:val="22"/>
          <w:szCs w:val="22"/>
        </w:rPr>
      </w:pPr>
      <w:r>
        <w:rPr>
          <w:rFonts w:hint="eastAsia" w:ascii="宋体" w:hAnsi="宋体" w:cs="宋体"/>
          <w:b w:val="0"/>
          <w:color w:val="auto"/>
          <w:sz w:val="22"/>
          <w:szCs w:val="22"/>
        </w:rPr>
        <w:t>（2）法定代表人或负责人或实际控制人是直系血亲关系；；</w:t>
      </w:r>
    </w:p>
    <w:p w14:paraId="29A2DDF1">
      <w:pPr>
        <w:adjustRightInd w:val="0"/>
        <w:spacing w:line="440" w:lineRule="exact"/>
        <w:ind w:firstLine="431" w:firstLineChars="196"/>
        <w:rPr>
          <w:rFonts w:hint="eastAsia" w:ascii="宋体" w:hAnsi="宋体" w:cs="宋体"/>
          <w:b w:val="0"/>
          <w:color w:val="auto"/>
          <w:sz w:val="22"/>
          <w:szCs w:val="22"/>
        </w:rPr>
      </w:pPr>
      <w:r>
        <w:rPr>
          <w:rFonts w:hint="eastAsia" w:ascii="宋体" w:hAnsi="宋体" w:cs="宋体"/>
          <w:b w:val="0"/>
          <w:color w:val="auto"/>
          <w:sz w:val="22"/>
          <w:szCs w:val="22"/>
        </w:rPr>
        <w:t>（3）法定代表人或负责人或实际控制人存在股份控制或实际控制关系；</w:t>
      </w:r>
    </w:p>
    <w:p w14:paraId="6684624E">
      <w:pPr>
        <w:adjustRightInd w:val="0"/>
        <w:spacing w:line="440" w:lineRule="exact"/>
        <w:ind w:firstLine="431" w:firstLineChars="196"/>
        <w:rPr>
          <w:rFonts w:hint="eastAsia" w:ascii="宋体" w:hAnsi="宋体" w:cs="宋体"/>
          <w:b w:val="0"/>
          <w:color w:val="auto"/>
          <w:sz w:val="22"/>
          <w:szCs w:val="22"/>
        </w:rPr>
      </w:pPr>
      <w:r>
        <w:rPr>
          <w:rFonts w:hint="eastAsia" w:ascii="宋体" w:hAnsi="宋体" w:cs="宋体"/>
          <w:b w:val="0"/>
          <w:color w:val="auto"/>
          <w:sz w:val="22"/>
          <w:szCs w:val="22"/>
        </w:rPr>
        <w:t>（4）存在共同直接或间接投资设立子公司、联营企业和合营企业情况；</w:t>
      </w:r>
    </w:p>
    <w:p w14:paraId="1C71A2AE">
      <w:pPr>
        <w:adjustRightInd w:val="0"/>
        <w:spacing w:line="440" w:lineRule="exact"/>
        <w:ind w:firstLine="431" w:firstLineChars="196"/>
        <w:rPr>
          <w:rFonts w:hint="eastAsia" w:ascii="宋体" w:hAnsi="宋体" w:cs="宋体"/>
          <w:b w:val="0"/>
          <w:color w:val="auto"/>
          <w:sz w:val="22"/>
          <w:szCs w:val="22"/>
        </w:rPr>
      </w:pPr>
      <w:r>
        <w:rPr>
          <w:rFonts w:hint="eastAsia" w:ascii="宋体" w:hAnsi="宋体" w:cs="宋体"/>
          <w:b w:val="0"/>
          <w:color w:val="auto"/>
          <w:sz w:val="22"/>
          <w:szCs w:val="22"/>
        </w:rPr>
        <w:t>7、提供相同品牌产品且通过资格审查、符合性审查的不同投标人参加同一合同项下投标的，按一家投标人计算，评审后得分最高的同品牌投标人获得中标人推荐资格；评审得分相同的，报价最低的同品牌投标人获得中标人推荐资格；评审得分及报价均相同的，随机抽取方式确定；其他同品牌投标人不作为中标候选人。</w:t>
      </w:r>
    </w:p>
    <w:p w14:paraId="5924D567">
      <w:pPr>
        <w:adjustRightInd w:val="0"/>
        <w:spacing w:line="440" w:lineRule="exact"/>
        <w:ind w:firstLine="431" w:firstLineChars="196"/>
        <w:rPr>
          <w:rFonts w:hint="eastAsia" w:ascii="宋体" w:hAnsi="宋体" w:cs="宋体"/>
          <w:b w:val="0"/>
          <w:color w:val="auto"/>
          <w:sz w:val="22"/>
          <w:szCs w:val="22"/>
        </w:rPr>
      </w:pPr>
      <w:r>
        <w:rPr>
          <w:rFonts w:hint="eastAsia" w:ascii="宋体" w:hAnsi="宋体" w:cs="宋体"/>
          <w:b w:val="0"/>
          <w:color w:val="auto"/>
          <w:sz w:val="22"/>
          <w:szCs w:val="22"/>
        </w:rPr>
        <w:t>非单一产品采购项目中，作为关键核心部分的单一产品品牌相同且报价占项目总报价50%以上（含本数，下同）的，视为提供的是同品牌的产品；多家供应商中，有一家供应商的报价达到50%以上，提供同品牌产品的供应商均按一家供应商认定。</w:t>
      </w:r>
    </w:p>
    <w:p w14:paraId="0FCCF193">
      <w:pPr>
        <w:adjustRightInd w:val="0"/>
        <w:spacing w:line="430" w:lineRule="atLeast"/>
        <w:ind w:firstLine="433" w:firstLineChars="196"/>
        <w:rPr>
          <w:rFonts w:hint="eastAsia" w:ascii="宋体" w:hAnsi="宋体" w:cs="宋体"/>
          <w:b w:val="0"/>
          <w:color w:val="auto"/>
          <w:sz w:val="22"/>
          <w:szCs w:val="22"/>
        </w:rPr>
      </w:pPr>
      <w:r>
        <w:rPr>
          <w:rFonts w:hint="eastAsia" w:ascii="宋体" w:hAnsi="宋体" w:cs="宋体"/>
          <w:color w:val="auto"/>
          <w:sz w:val="22"/>
          <w:szCs w:val="22"/>
        </w:rPr>
        <w:t>8、</w:t>
      </w:r>
      <w:r>
        <w:rPr>
          <w:rFonts w:hint="eastAsia" w:ascii="宋体" w:hAnsi="宋体" w:cs="宋体"/>
          <w:color w:val="auto"/>
          <w:szCs w:val="22"/>
        </w:rPr>
        <w:t>有效供应商不足三家时，本项目作废标处理，重新组织采购。</w:t>
      </w:r>
    </w:p>
    <w:p w14:paraId="3EDBC302">
      <w:pPr>
        <w:pStyle w:val="4"/>
        <w:spacing w:before="0" w:after="120" w:line="700" w:lineRule="exact"/>
        <w:ind w:left="0" w:firstLine="0"/>
        <w:rPr>
          <w:rFonts w:hint="eastAsia" w:ascii="宋体" w:hAnsi="宋体" w:eastAsia="宋体" w:cs="宋体"/>
          <w:b/>
          <w:color w:val="auto"/>
          <w:sz w:val="22"/>
          <w:szCs w:val="22"/>
        </w:rPr>
      </w:pPr>
      <w:r>
        <w:rPr>
          <w:rFonts w:hint="eastAsia" w:ascii="宋体" w:hAnsi="宋体" w:eastAsia="宋体" w:cs="宋体"/>
          <w:b/>
          <w:color w:val="auto"/>
          <w:sz w:val="22"/>
          <w:szCs w:val="22"/>
        </w:rPr>
        <w:t>二、投标供应商资格要求:</w:t>
      </w:r>
    </w:p>
    <w:p w14:paraId="178A9C95">
      <w:pPr>
        <w:autoSpaceDE w:val="0"/>
        <w:autoSpaceDN w:val="0"/>
        <w:adjustRightInd w:val="0"/>
        <w:snapToGrid w:val="0"/>
        <w:spacing w:line="400" w:lineRule="atLeast"/>
        <w:ind w:firstLine="440" w:firstLineChars="200"/>
        <w:rPr>
          <w:rFonts w:hint="eastAsia" w:ascii="宋体" w:hAnsi="宋体" w:cs="宋体"/>
          <w:color w:val="auto"/>
          <w:sz w:val="22"/>
          <w:szCs w:val="22"/>
          <w:lang w:val="zh-CN"/>
        </w:rPr>
      </w:pPr>
      <w:r>
        <w:rPr>
          <w:rFonts w:hint="eastAsia" w:ascii="宋体" w:hAnsi="宋体" w:cs="宋体"/>
          <w:b w:val="0"/>
          <w:bCs w:val="0"/>
          <w:color w:val="auto"/>
          <w:sz w:val="22"/>
          <w:szCs w:val="22"/>
        </w:rPr>
        <w:t>按招标公告要求</w:t>
      </w:r>
    </w:p>
    <w:p w14:paraId="2D9FC427">
      <w:pPr>
        <w:pStyle w:val="4"/>
        <w:spacing w:before="0" w:after="120" w:line="700" w:lineRule="exact"/>
        <w:ind w:left="0" w:firstLine="0"/>
        <w:rPr>
          <w:rFonts w:hint="eastAsia" w:ascii="宋体" w:hAnsi="宋体" w:eastAsia="宋体" w:cs="宋体"/>
          <w:b/>
          <w:color w:val="auto"/>
          <w:sz w:val="22"/>
          <w:szCs w:val="22"/>
        </w:rPr>
      </w:pPr>
      <w:r>
        <w:rPr>
          <w:rFonts w:hint="eastAsia" w:ascii="宋体" w:hAnsi="宋体" w:eastAsia="宋体" w:cs="宋体"/>
          <w:b/>
          <w:color w:val="auto"/>
          <w:sz w:val="22"/>
          <w:szCs w:val="22"/>
        </w:rPr>
        <w:t>三、招标文件</w:t>
      </w:r>
    </w:p>
    <w:p w14:paraId="0C4B781E">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1、招标文件</w:t>
      </w:r>
    </w:p>
    <w:p w14:paraId="7B6FB2F1">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1.1招标文件发放</w:t>
      </w:r>
    </w:p>
    <w:p w14:paraId="1A4A6B25">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供应商在领取标书的同时须填写报名登记表。</w:t>
      </w:r>
    </w:p>
    <w:p w14:paraId="43D60F1D">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1.2招标文件约束力</w:t>
      </w:r>
    </w:p>
    <w:p w14:paraId="35B94333">
      <w:pPr>
        <w:autoSpaceDE w:val="0"/>
        <w:autoSpaceDN w:val="0"/>
        <w:adjustRightInd w:val="0"/>
        <w:snapToGrid w:val="0"/>
        <w:spacing w:line="400" w:lineRule="atLeast"/>
        <w:ind w:firstLine="442" w:firstLineChars="200"/>
        <w:rPr>
          <w:rFonts w:hint="eastAsia" w:ascii="宋体" w:hAnsi="宋体" w:cs="宋体"/>
          <w:color w:val="auto"/>
          <w:sz w:val="22"/>
          <w:szCs w:val="22"/>
          <w:u w:val="single"/>
          <w:lang w:val="zh-CN"/>
        </w:rPr>
      </w:pPr>
      <w:r>
        <w:rPr>
          <w:rFonts w:hint="eastAsia" w:ascii="宋体" w:hAnsi="宋体" w:cs="宋体"/>
          <w:color w:val="auto"/>
          <w:sz w:val="22"/>
          <w:szCs w:val="22"/>
          <w:u w:val="single"/>
          <w:lang w:val="zh-CN"/>
        </w:rPr>
        <w:t>供应商</w:t>
      </w:r>
      <w:r>
        <w:rPr>
          <w:rFonts w:hint="eastAsia" w:ascii="宋体" w:hAnsi="宋体" w:cs="宋体"/>
          <w:color w:val="auto"/>
          <w:sz w:val="22"/>
          <w:szCs w:val="22"/>
          <w:u w:val="single"/>
        </w:rPr>
        <w:t>一旦领取本招标文件并参加投标，即被认为接受了本招标文件中招标通知(邀请)书及供应商须知中所有条款和规定。</w:t>
      </w:r>
    </w:p>
    <w:p w14:paraId="3565CCC7">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2、招标文件的澄清</w:t>
      </w:r>
    </w:p>
    <w:p w14:paraId="480482C4">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2.1供应商对招标文件如有疑点要求澄清，或认为有必要与采购人进行技术交流，可用书面形式（包括信函、传真，下同）通知代理机构，但通知不得迟于投标通知（邀请）书中规定时间使代理机构收到，代理机构将用书面形式予以答复。如有必要，可将不说明来源的答复发给各有关供应商。</w:t>
      </w:r>
    </w:p>
    <w:p w14:paraId="4CCD3AC8">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3、招标文件的修改</w:t>
      </w:r>
    </w:p>
    <w:p w14:paraId="1B8C53E3">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3.1在投标截止时间前，采购人或代理机构有权修改招标文件，并以书面形式通知供应商。补充文件作为招标文件的补充和组成部分，对所有供应商均有约束力。</w:t>
      </w:r>
    </w:p>
    <w:p w14:paraId="209C5C2B">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3.2为使供应商有足够的时间按招标文件要求修正投标文件，采购人可酌情推迟投标截止时间和开标时间，并将此变更通知供应商。</w:t>
      </w:r>
    </w:p>
    <w:p w14:paraId="243A1295">
      <w:pPr>
        <w:pStyle w:val="4"/>
        <w:spacing w:before="0" w:after="120" w:line="700" w:lineRule="exact"/>
        <w:ind w:left="0" w:firstLine="0"/>
        <w:rPr>
          <w:rFonts w:hint="eastAsia" w:ascii="宋体" w:hAnsi="宋体" w:eastAsia="宋体" w:cs="宋体"/>
          <w:b/>
          <w:color w:val="auto"/>
          <w:sz w:val="22"/>
          <w:szCs w:val="22"/>
        </w:rPr>
      </w:pPr>
      <w:r>
        <w:rPr>
          <w:rFonts w:hint="eastAsia" w:ascii="宋体" w:hAnsi="宋体" w:eastAsia="宋体" w:cs="宋体"/>
          <w:b/>
          <w:color w:val="auto"/>
          <w:sz w:val="22"/>
          <w:szCs w:val="22"/>
        </w:rPr>
        <w:t>四、投标文件</w:t>
      </w:r>
    </w:p>
    <w:p w14:paraId="4437657B">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1、投标文件</w:t>
      </w:r>
    </w:p>
    <w:p w14:paraId="55099797">
      <w:pPr>
        <w:autoSpaceDE w:val="0"/>
        <w:autoSpaceDN w:val="0"/>
        <w:adjustRightInd w:val="0"/>
        <w:snapToGrid w:val="0"/>
        <w:spacing w:line="400" w:lineRule="atLeast"/>
        <w:ind w:firstLine="440" w:firstLineChars="200"/>
        <w:textAlignment w:val="bottom"/>
        <w:rPr>
          <w:rFonts w:hint="eastAsia" w:ascii="宋体" w:hAnsi="宋体" w:cs="宋体"/>
          <w:b w:val="0"/>
          <w:color w:val="auto"/>
          <w:sz w:val="22"/>
          <w:szCs w:val="22"/>
        </w:rPr>
      </w:pPr>
      <w:r>
        <w:rPr>
          <w:rFonts w:hint="eastAsia" w:ascii="宋体" w:hAnsi="宋体" w:cs="宋体"/>
          <w:b w:val="0"/>
          <w:color w:val="auto"/>
          <w:sz w:val="22"/>
          <w:szCs w:val="22"/>
          <w:lang w:val="zh-CN"/>
        </w:rPr>
        <w:t>1.1</w:t>
      </w:r>
      <w:r>
        <w:rPr>
          <w:rFonts w:hint="eastAsia" w:ascii="宋体" w:hAnsi="宋体" w:cs="宋体"/>
          <w:b w:val="0"/>
          <w:color w:val="auto"/>
          <w:sz w:val="22"/>
          <w:szCs w:val="22"/>
        </w:rPr>
        <w:t>供应商应仔细阅读招标文件中的所有内容，按照招标文件及招标货物技术规格要求，详细编制投标文件。并对招标文件的要求做出实质上响应。实质上响应的投标应该是与招标文件要求没有重大偏离的投标。未实质上响应的投标文件将被拒绝，但允许投标设备在基本满足招标货物技术要求的前提下出现的微小差异。</w:t>
      </w:r>
    </w:p>
    <w:p w14:paraId="585C90A5">
      <w:pPr>
        <w:autoSpaceDE w:val="0"/>
        <w:autoSpaceDN w:val="0"/>
        <w:adjustRightInd w:val="0"/>
        <w:snapToGrid w:val="0"/>
        <w:spacing w:line="400" w:lineRule="atLeast"/>
        <w:ind w:firstLine="440" w:firstLineChars="200"/>
        <w:textAlignment w:val="bottom"/>
        <w:rPr>
          <w:rFonts w:hint="eastAsia" w:ascii="宋体" w:hAnsi="宋体" w:cs="宋体"/>
          <w:b w:val="0"/>
          <w:color w:val="auto"/>
          <w:sz w:val="22"/>
          <w:szCs w:val="22"/>
        </w:rPr>
      </w:pPr>
      <w:r>
        <w:rPr>
          <w:rFonts w:hint="eastAsia" w:ascii="宋体" w:hAnsi="宋体" w:cs="宋体"/>
          <w:b w:val="0"/>
          <w:color w:val="auto"/>
          <w:sz w:val="22"/>
          <w:szCs w:val="22"/>
          <w:lang w:val="zh-CN"/>
        </w:rPr>
        <w:t>1.2</w:t>
      </w:r>
      <w:r>
        <w:rPr>
          <w:rFonts w:hint="eastAsia" w:ascii="宋体" w:hAnsi="宋体" w:cs="宋体"/>
          <w:b w:val="0"/>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38162EC8">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1.3供应商应仔细阅读招标文件中的所有内容，按照招标文件要求，详细编制投标文件，所有文件资料必须是针对本次投标。不按招标文件的要求提供的投标文件可能导致被拒绝。</w:t>
      </w:r>
    </w:p>
    <w:p w14:paraId="42A40A93">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2、投标文件的组成</w:t>
      </w:r>
    </w:p>
    <w:p w14:paraId="44504B9D">
      <w:pPr>
        <w:autoSpaceDE w:val="0"/>
        <w:autoSpaceDN w:val="0"/>
        <w:adjustRightInd w:val="0"/>
        <w:snapToGrid w:val="0"/>
        <w:spacing w:line="400" w:lineRule="atLeast"/>
        <w:ind w:firstLine="442" w:firstLineChars="200"/>
        <w:rPr>
          <w:rFonts w:hint="eastAsia" w:ascii="宋体" w:hAnsi="宋体" w:cs="宋体"/>
          <w:color w:val="auto"/>
          <w:sz w:val="22"/>
          <w:szCs w:val="22"/>
          <w:lang w:val="zh-CN"/>
        </w:rPr>
      </w:pPr>
      <w:r>
        <w:rPr>
          <w:rFonts w:hint="eastAsia" w:ascii="宋体" w:hAnsi="宋体" w:cs="宋体"/>
          <w:bCs w:val="0"/>
          <w:color w:val="auto"/>
          <w:sz w:val="22"/>
          <w:szCs w:val="22"/>
          <w:u w:val="single"/>
        </w:rPr>
        <w:t>投标文件由商务报价部分和技术资信部分二部分组成</w:t>
      </w:r>
      <w:r>
        <w:rPr>
          <w:rFonts w:hint="eastAsia" w:ascii="宋体" w:hAnsi="宋体" w:cs="宋体"/>
          <w:bCs w:val="0"/>
          <w:color w:val="auto"/>
          <w:sz w:val="22"/>
          <w:szCs w:val="22"/>
          <w:u w:val="single"/>
          <w:lang w:eastAsia="zh-CN"/>
        </w:rPr>
        <w:t>，</w:t>
      </w:r>
      <w:r>
        <w:rPr>
          <w:rFonts w:hint="eastAsia" w:ascii="宋体" w:hAnsi="宋体" w:cs="宋体"/>
          <w:bCs w:val="0"/>
          <w:color w:val="auto"/>
          <w:sz w:val="22"/>
          <w:szCs w:val="22"/>
          <w:u w:val="single"/>
        </w:rPr>
        <w:t>技术资信部分（含资信与服务）不得含报价，否则投标将被拒绝。</w:t>
      </w:r>
    </w:p>
    <w:p w14:paraId="4CFCEE17">
      <w:pPr>
        <w:autoSpaceDE w:val="0"/>
        <w:autoSpaceDN w:val="0"/>
        <w:adjustRightInd w:val="0"/>
        <w:snapToGrid w:val="0"/>
        <w:spacing w:line="400" w:lineRule="atLeast"/>
        <w:ind w:firstLine="440" w:firstLineChars="200"/>
        <w:rPr>
          <w:rFonts w:hint="eastAsia" w:ascii="宋体" w:hAnsi="宋体" w:cs="宋体"/>
          <w:b w:val="0"/>
          <w:color w:val="auto"/>
          <w:sz w:val="22"/>
          <w:szCs w:val="22"/>
          <w:lang w:val="zh-CN"/>
        </w:rPr>
      </w:pPr>
      <w:r>
        <w:rPr>
          <w:rFonts w:hint="eastAsia" w:ascii="宋体" w:hAnsi="宋体" w:cs="宋体"/>
          <w:b w:val="0"/>
          <w:color w:val="auto"/>
          <w:sz w:val="22"/>
          <w:szCs w:val="22"/>
          <w:lang w:val="zh-CN"/>
        </w:rPr>
        <w:t>2.1、</w:t>
      </w:r>
      <w:r>
        <w:rPr>
          <w:rFonts w:hint="eastAsia" w:ascii="宋体" w:hAnsi="宋体" w:cs="宋体"/>
          <w:color w:val="auto"/>
          <w:sz w:val="22"/>
          <w:szCs w:val="22"/>
          <w:u w:val="single"/>
        </w:rPr>
        <w:t>商务报价部分</w:t>
      </w:r>
      <w:r>
        <w:rPr>
          <w:rFonts w:hint="eastAsia" w:ascii="宋体" w:hAnsi="宋体" w:cs="宋体"/>
          <w:color w:val="auto"/>
          <w:sz w:val="22"/>
          <w:szCs w:val="22"/>
          <w:u w:val="single"/>
          <w:lang w:val="zh-CN"/>
        </w:rPr>
        <w:t>组成</w:t>
      </w:r>
    </w:p>
    <w:p w14:paraId="28EB98AF">
      <w:pPr>
        <w:autoSpaceDE w:val="0"/>
        <w:autoSpaceDN w:val="0"/>
        <w:adjustRightInd w:val="0"/>
        <w:snapToGrid w:val="0"/>
        <w:spacing w:line="460" w:lineRule="atLeast"/>
        <w:ind w:firstLine="440" w:firstLineChars="200"/>
        <w:textAlignment w:val="bottom"/>
        <w:rPr>
          <w:rFonts w:hint="eastAsia" w:ascii="宋体" w:hAnsi="宋体" w:cs="宋体"/>
          <w:b w:val="0"/>
          <w:color w:val="auto"/>
          <w:sz w:val="22"/>
          <w:szCs w:val="22"/>
        </w:rPr>
      </w:pPr>
      <w:r>
        <w:rPr>
          <w:rFonts w:hint="eastAsia" w:ascii="宋体" w:hAnsi="宋体" w:cs="宋体"/>
          <w:b w:val="0"/>
          <w:color w:val="auto"/>
          <w:sz w:val="22"/>
          <w:szCs w:val="22"/>
        </w:rPr>
        <w:t>1）开标一览表（附件1-1）</w:t>
      </w:r>
      <w:r>
        <w:rPr>
          <w:rFonts w:hint="eastAsia" w:ascii="宋体" w:hAnsi="宋体" w:cs="宋体"/>
          <w:color w:val="auto"/>
          <w:sz w:val="22"/>
          <w:szCs w:val="22"/>
          <w:u w:val="single"/>
        </w:rPr>
        <w:t>（统一格式、不得更改）；</w:t>
      </w:r>
    </w:p>
    <w:p w14:paraId="6FBF86D4">
      <w:pPr>
        <w:autoSpaceDE w:val="0"/>
        <w:autoSpaceDN w:val="0"/>
        <w:adjustRightInd w:val="0"/>
        <w:snapToGrid w:val="0"/>
        <w:spacing w:line="460" w:lineRule="atLeast"/>
        <w:ind w:firstLine="440" w:firstLineChars="200"/>
        <w:textAlignment w:val="bottom"/>
        <w:rPr>
          <w:rFonts w:hint="eastAsia" w:ascii="宋体" w:hAnsi="宋体" w:cs="宋体"/>
          <w:b w:val="0"/>
          <w:color w:val="auto"/>
          <w:sz w:val="22"/>
          <w:szCs w:val="22"/>
        </w:rPr>
      </w:pPr>
      <w:r>
        <w:rPr>
          <w:rFonts w:hint="eastAsia" w:ascii="宋体" w:hAnsi="宋体" w:cs="宋体"/>
          <w:b w:val="0"/>
          <w:color w:val="auto"/>
          <w:sz w:val="22"/>
          <w:szCs w:val="22"/>
        </w:rPr>
        <w:t>2）投标明细表（附件1-2）。</w:t>
      </w:r>
    </w:p>
    <w:p w14:paraId="5091B0A4">
      <w:pPr>
        <w:autoSpaceDE w:val="0"/>
        <w:autoSpaceDN w:val="0"/>
        <w:adjustRightInd w:val="0"/>
        <w:snapToGrid w:val="0"/>
        <w:spacing w:line="460" w:lineRule="atLeast"/>
        <w:ind w:firstLine="440" w:firstLineChars="200"/>
        <w:textAlignment w:val="bottom"/>
        <w:rPr>
          <w:rFonts w:hint="eastAsia" w:ascii="宋体" w:hAnsi="宋体" w:cs="宋体"/>
          <w:b w:val="0"/>
          <w:color w:val="auto"/>
          <w:sz w:val="22"/>
          <w:szCs w:val="22"/>
        </w:rPr>
      </w:pPr>
      <w:r>
        <w:rPr>
          <w:rFonts w:hint="eastAsia" w:ascii="宋体" w:hAnsi="宋体" w:cs="宋体"/>
          <w:b w:val="0"/>
          <w:color w:val="auto"/>
          <w:sz w:val="22"/>
          <w:szCs w:val="22"/>
        </w:rPr>
        <w:t>2.2、</w:t>
      </w:r>
      <w:r>
        <w:rPr>
          <w:rFonts w:hint="eastAsia" w:ascii="宋体" w:hAnsi="宋体" w:cs="宋体"/>
          <w:color w:val="auto"/>
          <w:sz w:val="22"/>
          <w:szCs w:val="22"/>
          <w:u w:val="single"/>
        </w:rPr>
        <w:t>技术资信部分组成</w:t>
      </w:r>
    </w:p>
    <w:p w14:paraId="03AA02C2">
      <w:pPr>
        <w:autoSpaceDE w:val="0"/>
        <w:autoSpaceDN w:val="0"/>
        <w:adjustRightInd w:val="0"/>
        <w:snapToGrid w:val="0"/>
        <w:spacing w:line="460" w:lineRule="atLeast"/>
        <w:ind w:firstLine="440" w:firstLineChars="200"/>
        <w:textAlignment w:val="bottom"/>
        <w:rPr>
          <w:rFonts w:hint="eastAsia" w:ascii="宋体" w:hAnsi="宋体" w:cs="宋体"/>
          <w:b w:val="0"/>
          <w:color w:val="auto"/>
          <w:sz w:val="22"/>
          <w:szCs w:val="22"/>
        </w:rPr>
      </w:pPr>
      <w:r>
        <w:rPr>
          <w:rFonts w:hint="eastAsia" w:ascii="宋体" w:hAnsi="宋体" w:cs="宋体"/>
          <w:b w:val="0"/>
          <w:color w:val="auto"/>
          <w:sz w:val="22"/>
          <w:szCs w:val="22"/>
        </w:rPr>
        <w:t>1）投标函（附件2-1）；</w:t>
      </w:r>
    </w:p>
    <w:p w14:paraId="69C285A2">
      <w:pPr>
        <w:autoSpaceDE w:val="0"/>
        <w:autoSpaceDN w:val="0"/>
        <w:adjustRightInd w:val="0"/>
        <w:snapToGrid w:val="0"/>
        <w:spacing w:line="460" w:lineRule="atLeast"/>
        <w:ind w:left="767" w:leftChars="208" w:hanging="330" w:hangingChars="150"/>
        <w:textAlignment w:val="bottom"/>
        <w:rPr>
          <w:rFonts w:hint="eastAsia" w:ascii="宋体" w:hAnsi="宋体" w:cs="宋体"/>
          <w:b w:val="0"/>
          <w:color w:val="auto"/>
          <w:sz w:val="22"/>
          <w:szCs w:val="22"/>
        </w:rPr>
      </w:pPr>
      <w:r>
        <w:rPr>
          <w:rFonts w:hint="eastAsia" w:ascii="宋体" w:hAnsi="宋体" w:cs="宋体"/>
          <w:b w:val="0"/>
          <w:color w:val="auto"/>
          <w:sz w:val="22"/>
          <w:szCs w:val="22"/>
        </w:rPr>
        <w:t>2）法定代表人授权书（附件2-2）</w:t>
      </w:r>
      <w:r>
        <w:rPr>
          <w:rFonts w:hint="eastAsia" w:ascii="宋体" w:hAnsi="宋体" w:cs="宋体"/>
          <w:color w:val="auto"/>
          <w:sz w:val="22"/>
          <w:szCs w:val="22"/>
          <w:u w:val="single"/>
        </w:rPr>
        <w:t>（统一格式、不得更改）；</w:t>
      </w:r>
    </w:p>
    <w:p w14:paraId="674E9E32">
      <w:pPr>
        <w:autoSpaceDE w:val="0"/>
        <w:autoSpaceDN w:val="0"/>
        <w:adjustRightInd w:val="0"/>
        <w:snapToGrid w:val="0"/>
        <w:spacing w:line="460" w:lineRule="atLeast"/>
        <w:ind w:left="767" w:leftChars="208" w:hanging="330" w:hangingChars="150"/>
        <w:textAlignment w:val="bottom"/>
        <w:rPr>
          <w:rFonts w:hint="eastAsia" w:ascii="宋体" w:hAnsi="宋体" w:cs="宋体"/>
          <w:b w:val="0"/>
          <w:color w:val="auto"/>
          <w:sz w:val="22"/>
          <w:szCs w:val="22"/>
        </w:rPr>
      </w:pPr>
      <w:r>
        <w:rPr>
          <w:rFonts w:hint="eastAsia" w:ascii="宋体" w:hAnsi="宋体" w:cs="宋体"/>
          <w:b w:val="0"/>
          <w:color w:val="auto"/>
          <w:sz w:val="22"/>
          <w:szCs w:val="22"/>
        </w:rPr>
        <w:t>3) 供应商情况声明（附件2-3）；</w:t>
      </w:r>
    </w:p>
    <w:p w14:paraId="7EBD01FD">
      <w:pPr>
        <w:autoSpaceDE w:val="0"/>
        <w:autoSpaceDN w:val="0"/>
        <w:adjustRightInd w:val="0"/>
        <w:snapToGrid w:val="0"/>
        <w:spacing w:line="460" w:lineRule="atLeast"/>
        <w:ind w:left="767" w:leftChars="208" w:hanging="330" w:hangingChars="150"/>
        <w:textAlignment w:val="bottom"/>
        <w:rPr>
          <w:rFonts w:hint="eastAsia" w:ascii="宋体" w:hAnsi="宋体" w:cs="宋体"/>
          <w:b w:val="0"/>
          <w:color w:val="auto"/>
          <w:sz w:val="22"/>
          <w:szCs w:val="22"/>
        </w:rPr>
      </w:pPr>
      <w:r>
        <w:rPr>
          <w:rFonts w:hint="eastAsia" w:ascii="宋体" w:hAnsi="宋体" w:cs="宋体"/>
          <w:b w:val="0"/>
          <w:color w:val="auto"/>
          <w:sz w:val="22"/>
          <w:szCs w:val="22"/>
        </w:rPr>
        <w:t>4）</w:t>
      </w:r>
      <w:r>
        <w:rPr>
          <w:rFonts w:hint="eastAsia" w:ascii="宋体" w:hAnsi="宋体" w:cs="宋体"/>
          <w:b w:val="0"/>
          <w:color w:val="auto"/>
          <w:sz w:val="22"/>
        </w:rPr>
        <w:t>近三年内在经营活动中没有重大违法记录的书面声明</w:t>
      </w:r>
      <w:r>
        <w:rPr>
          <w:rFonts w:hint="eastAsia" w:ascii="宋体" w:hAnsi="宋体" w:cs="宋体"/>
          <w:b w:val="0"/>
          <w:color w:val="auto"/>
          <w:sz w:val="22"/>
          <w:szCs w:val="22"/>
        </w:rPr>
        <w:t>（附件2-4）；</w:t>
      </w:r>
    </w:p>
    <w:p w14:paraId="70C65B0F">
      <w:pPr>
        <w:autoSpaceDE w:val="0"/>
        <w:autoSpaceDN w:val="0"/>
        <w:adjustRightInd w:val="0"/>
        <w:snapToGrid w:val="0"/>
        <w:spacing w:line="460" w:lineRule="atLeast"/>
        <w:ind w:left="767" w:leftChars="208" w:hanging="330" w:hangingChars="150"/>
        <w:textAlignment w:val="bottom"/>
        <w:rPr>
          <w:rFonts w:hint="eastAsia" w:ascii="宋体" w:hAnsi="宋体" w:cs="宋体"/>
          <w:b w:val="0"/>
          <w:color w:val="auto"/>
          <w:sz w:val="22"/>
          <w:szCs w:val="22"/>
        </w:rPr>
      </w:pPr>
      <w:r>
        <w:rPr>
          <w:rFonts w:hint="eastAsia" w:ascii="宋体" w:hAnsi="宋体" w:cs="宋体"/>
          <w:b w:val="0"/>
          <w:color w:val="auto"/>
          <w:sz w:val="22"/>
          <w:szCs w:val="22"/>
        </w:rPr>
        <w:t>5）依法缴纳税收和</w:t>
      </w:r>
      <w:r>
        <w:fldChar w:fldCharType="begin"/>
      </w:r>
      <w:r>
        <w:instrText xml:space="preserve"> HYPERLINK "http://baike.sogou.com/lemma/ShowInnerLink.htm?lemmaId=65969667&amp;ss_c=ssc.citiao.link" \t "_blank" </w:instrText>
      </w:r>
      <w:r>
        <w:fldChar w:fldCharType="separate"/>
      </w:r>
      <w:r>
        <w:rPr>
          <w:rFonts w:hint="eastAsia" w:ascii="宋体" w:hAnsi="宋体" w:cs="宋体"/>
          <w:b w:val="0"/>
          <w:color w:val="auto"/>
          <w:sz w:val="22"/>
          <w:szCs w:val="22"/>
        </w:rPr>
        <w:t>社会保障资金</w:t>
      </w:r>
      <w:r>
        <w:rPr>
          <w:rFonts w:hint="eastAsia" w:ascii="宋体" w:hAnsi="宋体" w:cs="宋体"/>
          <w:b w:val="0"/>
          <w:color w:val="auto"/>
          <w:sz w:val="22"/>
          <w:szCs w:val="22"/>
        </w:rPr>
        <w:fldChar w:fldCharType="end"/>
      </w:r>
      <w:r>
        <w:rPr>
          <w:rFonts w:hint="eastAsia" w:ascii="宋体" w:hAnsi="宋体" w:cs="宋体"/>
          <w:b w:val="0"/>
          <w:color w:val="auto"/>
          <w:sz w:val="22"/>
          <w:szCs w:val="22"/>
        </w:rPr>
        <w:t>的相关材料（附件2-5）；</w:t>
      </w:r>
    </w:p>
    <w:p w14:paraId="0111C783">
      <w:pPr>
        <w:autoSpaceDE w:val="0"/>
        <w:autoSpaceDN w:val="0"/>
        <w:adjustRightInd w:val="0"/>
        <w:snapToGrid w:val="0"/>
        <w:spacing w:line="460" w:lineRule="atLeast"/>
        <w:ind w:left="767" w:leftChars="208" w:hanging="330" w:hangingChars="150"/>
        <w:textAlignment w:val="bottom"/>
        <w:rPr>
          <w:rFonts w:hint="eastAsia" w:ascii="宋体" w:hAnsi="宋体" w:cs="宋体"/>
          <w:b w:val="0"/>
          <w:color w:val="auto"/>
          <w:sz w:val="22"/>
          <w:szCs w:val="22"/>
        </w:rPr>
      </w:pPr>
      <w:r>
        <w:rPr>
          <w:rFonts w:hint="eastAsia" w:ascii="宋体" w:hAnsi="宋体" w:cs="宋体"/>
          <w:b w:val="0"/>
          <w:color w:val="auto"/>
          <w:sz w:val="22"/>
          <w:szCs w:val="22"/>
        </w:rPr>
        <w:t>6) 供应商营业执照（或事业单位法人证书）、税务登记证或三（五）证合一证照、资质证书（批文）（复印件加盖公章）；</w:t>
      </w:r>
    </w:p>
    <w:p w14:paraId="6A60F8CB">
      <w:pPr>
        <w:tabs>
          <w:tab w:val="left" w:pos="824"/>
        </w:tabs>
        <w:autoSpaceDE w:val="0"/>
        <w:autoSpaceDN w:val="0"/>
        <w:adjustRightInd w:val="0"/>
        <w:snapToGrid w:val="0"/>
        <w:spacing w:line="460" w:lineRule="atLeast"/>
        <w:ind w:left="767" w:leftChars="208" w:hanging="330" w:hangingChars="150"/>
        <w:textAlignment w:val="bottom"/>
        <w:rPr>
          <w:rFonts w:hint="eastAsia" w:ascii="宋体" w:hAnsi="宋体" w:cs="宋体"/>
          <w:b w:val="0"/>
          <w:color w:val="auto"/>
          <w:sz w:val="22"/>
          <w:szCs w:val="22"/>
        </w:rPr>
      </w:pPr>
      <w:r>
        <w:rPr>
          <w:rFonts w:hint="eastAsia" w:ascii="宋体" w:hAnsi="宋体" w:cs="宋体"/>
          <w:b w:val="0"/>
          <w:color w:val="auto"/>
          <w:sz w:val="22"/>
          <w:szCs w:val="22"/>
        </w:rPr>
        <w:t>8) 商务、技术响应表（附件2-6、附件2-7）（如不填写，则视为完全响应采购文件的要求）；</w:t>
      </w:r>
    </w:p>
    <w:p w14:paraId="12EDC9EB">
      <w:pPr>
        <w:autoSpaceDE w:val="0"/>
        <w:autoSpaceDN w:val="0"/>
        <w:adjustRightInd w:val="0"/>
        <w:snapToGrid w:val="0"/>
        <w:spacing w:line="460" w:lineRule="atLeast"/>
        <w:ind w:left="767" w:leftChars="208" w:hanging="330" w:hangingChars="150"/>
        <w:textAlignment w:val="bottom"/>
        <w:rPr>
          <w:rFonts w:hint="eastAsia" w:ascii="宋体" w:hAnsi="宋体" w:cs="宋体"/>
          <w:b w:val="0"/>
          <w:color w:val="auto"/>
          <w:sz w:val="22"/>
        </w:rPr>
      </w:pPr>
      <w:r>
        <w:rPr>
          <w:rFonts w:hint="eastAsia" w:ascii="宋体" w:hAnsi="宋体" w:cs="宋体"/>
          <w:b w:val="0"/>
          <w:color w:val="auto"/>
          <w:sz w:val="22"/>
        </w:rPr>
        <w:t>9）拟投入项目人员情况（附件2-8）</w:t>
      </w:r>
    </w:p>
    <w:p w14:paraId="3DCBEAF7">
      <w:pPr>
        <w:autoSpaceDE w:val="0"/>
        <w:autoSpaceDN w:val="0"/>
        <w:adjustRightInd w:val="0"/>
        <w:snapToGrid w:val="0"/>
        <w:spacing w:line="460" w:lineRule="atLeast"/>
        <w:ind w:left="767" w:leftChars="208" w:hanging="330" w:hangingChars="150"/>
        <w:textAlignment w:val="bottom"/>
        <w:rPr>
          <w:rFonts w:hint="eastAsia" w:ascii="宋体" w:hAnsi="宋体" w:cs="宋体"/>
          <w:b w:val="0"/>
          <w:color w:val="auto"/>
          <w:sz w:val="22"/>
        </w:rPr>
      </w:pPr>
      <w:r>
        <w:rPr>
          <w:rFonts w:hint="eastAsia" w:ascii="宋体" w:hAnsi="宋体" w:cs="宋体"/>
          <w:b w:val="0"/>
          <w:color w:val="auto"/>
          <w:sz w:val="22"/>
        </w:rPr>
        <w:t>10）投标人类似业绩清单；</w:t>
      </w:r>
    </w:p>
    <w:p w14:paraId="6D79C10E">
      <w:pPr>
        <w:autoSpaceDE w:val="0"/>
        <w:autoSpaceDN w:val="0"/>
        <w:adjustRightInd w:val="0"/>
        <w:snapToGrid w:val="0"/>
        <w:spacing w:line="460" w:lineRule="atLeast"/>
        <w:ind w:firstLine="440" w:firstLineChars="200"/>
        <w:textAlignment w:val="bottom"/>
        <w:rPr>
          <w:rFonts w:hint="eastAsia" w:ascii="宋体" w:hAnsi="宋体" w:cs="宋体"/>
          <w:b w:val="0"/>
          <w:color w:val="auto"/>
          <w:sz w:val="22"/>
        </w:rPr>
      </w:pPr>
      <w:r>
        <w:rPr>
          <w:rFonts w:hint="eastAsia" w:ascii="宋体" w:hAnsi="宋体" w:cs="宋体"/>
          <w:b w:val="0"/>
          <w:color w:val="auto"/>
          <w:sz w:val="22"/>
        </w:rPr>
        <w:t>11）根据“技术资信综合评分”提供各项方案（格式自拟））；</w:t>
      </w:r>
    </w:p>
    <w:p w14:paraId="7A1F7B81">
      <w:pPr>
        <w:autoSpaceDE w:val="0"/>
        <w:autoSpaceDN w:val="0"/>
        <w:adjustRightInd w:val="0"/>
        <w:snapToGrid w:val="0"/>
        <w:spacing w:line="460" w:lineRule="atLeast"/>
        <w:ind w:left="767" w:leftChars="208" w:hanging="330" w:hangingChars="150"/>
        <w:textAlignment w:val="bottom"/>
        <w:rPr>
          <w:rFonts w:hint="eastAsia" w:ascii="宋体" w:hAnsi="宋体" w:cs="宋体"/>
          <w:b w:val="0"/>
          <w:color w:val="auto"/>
          <w:sz w:val="22"/>
        </w:rPr>
      </w:pPr>
      <w:r>
        <w:rPr>
          <w:rFonts w:hint="eastAsia" w:ascii="宋体" w:hAnsi="宋体" w:cs="宋体"/>
          <w:b w:val="0"/>
          <w:color w:val="auto"/>
          <w:sz w:val="22"/>
        </w:rPr>
        <w:t>1</w:t>
      </w:r>
      <w:r>
        <w:rPr>
          <w:rFonts w:ascii="宋体" w:hAnsi="宋体" w:cs="宋体"/>
          <w:b w:val="0"/>
          <w:color w:val="auto"/>
          <w:sz w:val="22"/>
        </w:rPr>
        <w:t>2</w:t>
      </w:r>
      <w:r>
        <w:rPr>
          <w:rFonts w:hint="eastAsia" w:ascii="宋体" w:hAnsi="宋体" w:cs="宋体"/>
          <w:b w:val="0"/>
          <w:color w:val="auto"/>
          <w:sz w:val="22"/>
        </w:rPr>
        <w:t>）供应商相关资质、认证证书、获得荣誉、资信或信用证书等（如有则提供，复印件加盖有效公章）；</w:t>
      </w:r>
    </w:p>
    <w:p w14:paraId="4A91944C">
      <w:pPr>
        <w:autoSpaceDE w:val="0"/>
        <w:autoSpaceDN w:val="0"/>
        <w:adjustRightInd w:val="0"/>
        <w:snapToGrid w:val="0"/>
        <w:spacing w:line="460" w:lineRule="atLeast"/>
        <w:ind w:left="767" w:leftChars="208" w:hanging="330" w:hangingChars="150"/>
        <w:textAlignment w:val="bottom"/>
        <w:rPr>
          <w:rFonts w:hint="eastAsia" w:ascii="宋体" w:hAnsi="宋体" w:cs="宋体"/>
          <w:b w:val="0"/>
          <w:color w:val="auto"/>
          <w:sz w:val="22"/>
        </w:rPr>
      </w:pPr>
      <w:r>
        <w:rPr>
          <w:rFonts w:ascii="宋体" w:hAnsi="宋体" w:cs="宋体"/>
          <w:b w:val="0"/>
          <w:color w:val="auto"/>
          <w:sz w:val="22"/>
        </w:rPr>
        <w:t>13</w:t>
      </w:r>
      <w:r>
        <w:rPr>
          <w:rFonts w:hint="eastAsia" w:ascii="宋体" w:hAnsi="宋体" w:cs="宋体"/>
          <w:b w:val="0"/>
          <w:color w:val="auto"/>
          <w:sz w:val="22"/>
        </w:rPr>
        <w:t>）</w:t>
      </w:r>
      <w:r>
        <w:rPr>
          <w:rFonts w:hint="eastAsia" w:ascii="宋体" w:hAnsi="宋体" w:cs="宋体"/>
          <w:b w:val="0"/>
          <w:color w:val="auto"/>
        </w:rPr>
        <w:t>其它应提供的文件。</w:t>
      </w:r>
    </w:p>
    <w:p w14:paraId="3507241C">
      <w:pPr>
        <w:autoSpaceDE w:val="0"/>
        <w:autoSpaceDN w:val="0"/>
        <w:adjustRightInd w:val="0"/>
        <w:snapToGrid w:val="0"/>
        <w:spacing w:line="460" w:lineRule="atLeast"/>
        <w:ind w:left="768" w:leftChars="208" w:hanging="331" w:hangingChars="150"/>
        <w:textAlignment w:val="bottom"/>
        <w:rPr>
          <w:rFonts w:hint="eastAsia" w:ascii="宋体" w:hAnsi="宋体" w:cs="宋体"/>
          <w:color w:val="auto"/>
          <w:sz w:val="22"/>
          <w:szCs w:val="22"/>
        </w:rPr>
      </w:pPr>
      <w:r>
        <w:rPr>
          <w:rFonts w:hint="eastAsia" w:ascii="宋体" w:hAnsi="宋体" w:cs="宋体"/>
          <w:color w:val="auto"/>
          <w:sz w:val="22"/>
          <w:szCs w:val="22"/>
        </w:rPr>
        <w:t>▲注：《法定代表人授权委托书》必须由投标人的法定代表人签名（盖章）并加盖单位公章（其他需要签字的部分可由授权代表签字并加盖公章）；资格、资质证书复印件以及其他关键文件资料均须加盖单位公章；签章不齐或未签章的视同未提供；</w:t>
      </w:r>
    </w:p>
    <w:p w14:paraId="380BFB75">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rPr>
      </w:pPr>
      <w:r>
        <w:rPr>
          <w:rFonts w:hint="eastAsia" w:ascii="宋体" w:hAnsi="宋体" w:cs="Arial"/>
          <w:b w:val="0"/>
          <w:color w:val="auto"/>
          <w:sz w:val="22"/>
          <w:szCs w:val="22"/>
        </w:rPr>
        <w:t>3、投标内容填写说明</w:t>
      </w:r>
    </w:p>
    <w:p w14:paraId="6E69C95A">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rPr>
      </w:pPr>
      <w:r>
        <w:rPr>
          <w:rFonts w:hint="eastAsia" w:ascii="宋体" w:hAnsi="宋体" w:cs="Arial"/>
          <w:b w:val="0"/>
          <w:color w:val="auto"/>
          <w:sz w:val="22"/>
          <w:szCs w:val="22"/>
        </w:rPr>
        <w:t>3.1、投标文件格式</w:t>
      </w:r>
    </w:p>
    <w:p w14:paraId="4AFEBA45">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rPr>
      </w:pPr>
      <w:r>
        <w:rPr>
          <w:rFonts w:hint="eastAsia" w:ascii="宋体" w:hAnsi="宋体" w:cs="Arial"/>
          <w:b w:val="0"/>
          <w:color w:val="auto"/>
          <w:sz w:val="22"/>
          <w:szCs w:val="22"/>
        </w:rPr>
        <w:t>供应商应按照第2条所列出的内容及格式组成投标文件</w:t>
      </w:r>
      <w:r>
        <w:rPr>
          <w:rFonts w:hint="eastAsia" w:ascii="宋体" w:hAnsi="宋体" w:cs="Arial"/>
          <w:color w:val="auto"/>
          <w:sz w:val="22"/>
          <w:szCs w:val="22"/>
        </w:rPr>
        <w:t>。</w:t>
      </w:r>
    </w:p>
    <w:p w14:paraId="2E7A693E">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rPr>
      </w:pPr>
      <w:r>
        <w:rPr>
          <w:rFonts w:hint="eastAsia" w:ascii="宋体" w:hAnsi="宋体" w:cs="Arial"/>
          <w:b w:val="0"/>
          <w:color w:val="auto"/>
          <w:sz w:val="22"/>
          <w:szCs w:val="22"/>
        </w:rPr>
        <w:t>3.2、开标一览表供应商需按格式填写，统一规格，不得自行增减内容。</w:t>
      </w:r>
    </w:p>
    <w:p w14:paraId="5F0A84A1">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rPr>
      </w:pPr>
      <w:bookmarkStart w:id="10" w:name="_Toc132122115"/>
      <w:bookmarkStart w:id="11" w:name="_Toc132122412"/>
      <w:r>
        <w:rPr>
          <w:rFonts w:hint="eastAsia" w:ascii="宋体" w:hAnsi="宋体" w:cs="Arial"/>
          <w:b w:val="0"/>
          <w:color w:val="auto"/>
          <w:sz w:val="22"/>
          <w:szCs w:val="22"/>
        </w:rPr>
        <w:t>4、投标报价</w:t>
      </w:r>
      <w:bookmarkEnd w:id="10"/>
      <w:bookmarkEnd w:id="11"/>
    </w:p>
    <w:p w14:paraId="52F7E28E">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rPr>
      </w:pPr>
      <w:r>
        <w:rPr>
          <w:rFonts w:hint="eastAsia" w:ascii="宋体" w:hAnsi="宋体" w:cs="Arial"/>
          <w:b w:val="0"/>
          <w:color w:val="auto"/>
          <w:sz w:val="22"/>
          <w:szCs w:val="22"/>
        </w:rPr>
        <w:t>4.1、供应商应按招标文件中《开标一览表》填写投标价格。</w:t>
      </w:r>
    </w:p>
    <w:p w14:paraId="46AFCA70">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rPr>
      </w:pPr>
      <w:r>
        <w:rPr>
          <w:rFonts w:hint="eastAsia" w:ascii="宋体" w:hAnsi="宋体" w:cs="Arial"/>
          <w:b w:val="0"/>
          <w:color w:val="auto"/>
          <w:sz w:val="22"/>
          <w:szCs w:val="22"/>
        </w:rPr>
        <w:t>4.2、本次招标只允许有一个报价，有选择的报价将不予接受。</w:t>
      </w:r>
    </w:p>
    <w:p w14:paraId="129B3B06">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rPr>
      </w:pPr>
      <w:r>
        <w:rPr>
          <w:rFonts w:hint="eastAsia" w:ascii="宋体" w:hAnsi="宋体" w:cs="Arial"/>
          <w:b w:val="0"/>
          <w:color w:val="auto"/>
          <w:sz w:val="22"/>
          <w:szCs w:val="22"/>
        </w:rPr>
        <w:t>4.3、本次招标只有一次投标报价的机会，投标报价为到货并送到最终用户验收合格后的全部费用。供应商应在各自技术和商务占优势的基础上并充分考虑本项目的重要性，提供对买方最优惠的投标报价。</w:t>
      </w:r>
    </w:p>
    <w:p w14:paraId="6BDB225F">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rPr>
      </w:pPr>
      <w:r>
        <w:rPr>
          <w:rFonts w:hint="eastAsia" w:ascii="宋体" w:hAnsi="宋体" w:cs="Arial"/>
          <w:b w:val="0"/>
          <w:color w:val="auto"/>
          <w:sz w:val="22"/>
          <w:szCs w:val="22"/>
        </w:rPr>
        <w:t>4.4、投标报价应按包含以下费用。</w:t>
      </w:r>
    </w:p>
    <w:p w14:paraId="6FE5CF79">
      <w:pPr>
        <w:autoSpaceDE w:val="0"/>
        <w:autoSpaceDN w:val="0"/>
        <w:adjustRightInd w:val="0"/>
        <w:snapToGrid w:val="0"/>
        <w:spacing w:line="400" w:lineRule="atLeast"/>
        <w:ind w:firstLine="552" w:firstLineChars="250"/>
        <w:textAlignment w:val="bottom"/>
        <w:rPr>
          <w:rFonts w:hint="eastAsia" w:ascii="宋体" w:hAnsi="宋体" w:cs="Arial"/>
          <w:color w:val="auto"/>
          <w:sz w:val="22"/>
          <w:szCs w:val="22"/>
          <w:u w:val="single"/>
        </w:rPr>
      </w:pPr>
      <w:r>
        <w:rPr>
          <w:rFonts w:hint="eastAsia" w:ascii="宋体" w:hAnsi="宋体" w:cs="Arial"/>
          <w:color w:val="auto"/>
          <w:sz w:val="22"/>
          <w:szCs w:val="22"/>
        </w:rPr>
        <w:t>应包括本次项目所涉及的所有</w:t>
      </w:r>
      <w:r>
        <w:rPr>
          <w:rFonts w:ascii="宋体" w:hAnsi="宋体" w:cs="Arial"/>
          <w:color w:val="auto"/>
          <w:sz w:val="22"/>
          <w:szCs w:val="22"/>
          <w:u w:val="single"/>
        </w:rPr>
        <w:t>服务范围内全部工作内容的价格，</w:t>
      </w:r>
      <w:r>
        <w:rPr>
          <w:rFonts w:hint="eastAsia" w:ascii="宋体" w:hAnsi="宋体" w:cs="Arial"/>
          <w:color w:val="auto"/>
          <w:sz w:val="22"/>
          <w:szCs w:val="22"/>
          <w:u w:val="single"/>
        </w:rPr>
        <w:t>合同价为完成本项目所有采购内容并完成合同约定的相应服务应支付的各项金额总和，包括对人员培训、运输、保险、税金、配合措施费、利润、税金、技术措施费、风险费、人身意外保险费、施工遇到的如过桥钢管等情况采用的吊篮或船舶等设备租赁费等相关服务的所有费用。凡</w:t>
      </w:r>
      <w:r>
        <w:rPr>
          <w:rFonts w:hint="eastAsia" w:ascii="宋体" w:hAnsi="宋体" w:cs="Arial"/>
          <w:color w:val="auto"/>
          <w:sz w:val="22"/>
          <w:szCs w:val="22"/>
          <w:u w:val="single"/>
          <w:lang w:val="en-US" w:eastAsia="zh-CN"/>
        </w:rPr>
        <w:t>供应商</w:t>
      </w:r>
      <w:r>
        <w:rPr>
          <w:rFonts w:hint="eastAsia" w:ascii="宋体" w:hAnsi="宋体" w:cs="Arial"/>
          <w:color w:val="auto"/>
          <w:sz w:val="22"/>
          <w:szCs w:val="22"/>
          <w:u w:val="single"/>
        </w:rPr>
        <w:t>在报价中未列明但又为本次采购所必备的项目或遗漏项目，</w:t>
      </w:r>
      <w:r>
        <w:rPr>
          <w:rFonts w:hint="eastAsia" w:ascii="宋体" w:hAnsi="宋体" w:cs="Arial"/>
          <w:color w:val="auto"/>
          <w:sz w:val="22"/>
          <w:szCs w:val="22"/>
          <w:u w:val="single"/>
          <w:lang w:val="en-US" w:eastAsia="zh-CN"/>
        </w:rPr>
        <w:t>采购人</w:t>
      </w:r>
      <w:r>
        <w:rPr>
          <w:rFonts w:hint="eastAsia" w:ascii="宋体" w:hAnsi="宋体" w:cs="Arial"/>
          <w:color w:val="auto"/>
          <w:sz w:val="22"/>
          <w:szCs w:val="22"/>
          <w:u w:val="single"/>
        </w:rPr>
        <w:t>将一律视为已包括在合同价中，在合同执行中将不予考虑。</w:t>
      </w:r>
    </w:p>
    <w:p w14:paraId="7646FB32">
      <w:pPr>
        <w:autoSpaceDE w:val="0"/>
        <w:autoSpaceDN w:val="0"/>
        <w:adjustRightInd w:val="0"/>
        <w:snapToGrid w:val="0"/>
        <w:spacing w:line="400" w:lineRule="atLeast"/>
        <w:ind w:firstLine="552" w:firstLineChars="250"/>
        <w:textAlignment w:val="bottom"/>
        <w:rPr>
          <w:rFonts w:hint="eastAsia" w:ascii="宋体" w:hAnsi="宋体" w:cs="Arial"/>
          <w:color w:val="auto"/>
          <w:sz w:val="22"/>
          <w:szCs w:val="22"/>
        </w:rPr>
      </w:pPr>
      <w:r>
        <w:rPr>
          <w:rFonts w:hint="eastAsia" w:ascii="宋体" w:hAnsi="宋体" w:cs="Arial"/>
          <w:color w:val="auto"/>
          <w:sz w:val="22"/>
          <w:szCs w:val="22"/>
        </w:rPr>
        <w:t>供应商对在合同执行中，除上述费用及招标文件规定的由中标人负责的工作范围以外需要买方协调或提供便利的工作应当在投标文件中说明。</w:t>
      </w:r>
    </w:p>
    <w:p w14:paraId="0E67BA9A">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rPr>
      </w:pPr>
      <w:r>
        <w:rPr>
          <w:rFonts w:hint="eastAsia" w:ascii="宋体" w:hAnsi="宋体" w:cs="Arial"/>
          <w:b w:val="0"/>
          <w:color w:val="auto"/>
          <w:sz w:val="22"/>
          <w:szCs w:val="22"/>
        </w:rPr>
        <w:t>填写报价表格时，各项费用应如实填写，如已含在产品价格中，则填“含”，如免费则填“免”，不允许空白。</w:t>
      </w:r>
    </w:p>
    <w:p w14:paraId="5E950615">
      <w:pPr>
        <w:autoSpaceDE w:val="0"/>
        <w:autoSpaceDN w:val="0"/>
        <w:adjustRightInd w:val="0"/>
        <w:snapToGrid w:val="0"/>
        <w:spacing w:line="440" w:lineRule="atLeast"/>
        <w:ind w:firstLine="440" w:firstLineChars="200"/>
        <w:textAlignment w:val="bottom"/>
        <w:rPr>
          <w:rFonts w:hint="eastAsia" w:ascii="宋体" w:hAnsi="宋体" w:cs="Arial"/>
          <w:b w:val="0"/>
          <w:color w:val="auto"/>
          <w:sz w:val="22"/>
          <w:szCs w:val="22"/>
        </w:rPr>
      </w:pPr>
      <w:r>
        <w:rPr>
          <w:rFonts w:hint="eastAsia" w:ascii="宋体" w:hAnsi="宋体" w:cs="Arial"/>
          <w:b w:val="0"/>
          <w:color w:val="auto"/>
          <w:sz w:val="22"/>
          <w:szCs w:val="22"/>
        </w:rPr>
        <w:t>5、采购人要求分类报价是为了方便评标，但在任何情况下不限制采购人以其认为最合适的条款签订合同的权利。</w:t>
      </w:r>
    </w:p>
    <w:p w14:paraId="3773D1AF">
      <w:pPr>
        <w:pStyle w:val="21"/>
        <w:adjustRightInd w:val="0"/>
        <w:snapToGrid w:val="0"/>
        <w:spacing w:line="440" w:lineRule="atLeast"/>
        <w:ind w:firstLine="440" w:firstLineChars="200"/>
        <w:rPr>
          <w:rFonts w:hint="eastAsia" w:ascii="宋体" w:hAnsi="宋体" w:eastAsia="宋体" w:cs="Arial"/>
          <w:b w:val="0"/>
          <w:color w:val="auto"/>
          <w:sz w:val="22"/>
          <w:szCs w:val="22"/>
        </w:rPr>
      </w:pPr>
      <w:bookmarkStart w:id="12" w:name="_Toc132122414"/>
      <w:bookmarkStart w:id="13" w:name="_Toc132122117"/>
      <w:r>
        <w:rPr>
          <w:rFonts w:ascii="宋体" w:hAnsi="宋体" w:eastAsia="宋体" w:cs="Arial"/>
          <w:b w:val="0"/>
          <w:color w:val="auto"/>
          <w:sz w:val="22"/>
          <w:szCs w:val="22"/>
        </w:rPr>
        <w:t>6</w:t>
      </w:r>
      <w:r>
        <w:rPr>
          <w:rFonts w:hint="eastAsia" w:ascii="宋体" w:hAnsi="宋体" w:eastAsia="宋体" w:cs="Arial"/>
          <w:b w:val="0"/>
          <w:color w:val="auto"/>
          <w:sz w:val="22"/>
          <w:szCs w:val="22"/>
        </w:rPr>
        <w:t>、投标文件的有效期</w:t>
      </w:r>
      <w:bookmarkEnd w:id="12"/>
      <w:bookmarkEnd w:id="13"/>
    </w:p>
    <w:p w14:paraId="05A903F0">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6</w:t>
      </w:r>
      <w:r>
        <w:rPr>
          <w:rFonts w:hint="eastAsia" w:ascii="宋体" w:hAnsi="宋体" w:eastAsia="宋体" w:cs="Arial"/>
          <w:b w:val="0"/>
          <w:color w:val="auto"/>
          <w:sz w:val="22"/>
          <w:szCs w:val="22"/>
        </w:rPr>
        <w:t>.1、自开标日起120天内，投标文件应保持有效。有效期短于这个规定期限的投标将被拒绝。</w:t>
      </w:r>
    </w:p>
    <w:p w14:paraId="42A416D5">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6</w:t>
      </w:r>
      <w:r>
        <w:rPr>
          <w:rFonts w:hint="eastAsia" w:ascii="宋体" w:hAnsi="宋体" w:eastAsia="宋体" w:cs="Arial"/>
          <w:b w:val="0"/>
          <w:color w:val="auto"/>
          <w:sz w:val="22"/>
          <w:szCs w:val="22"/>
        </w:rPr>
        <w:t>.2、在特殊情况下，采购人可与供应商协商延长投标文件的有效期，这种要求和答复均应以书面形式进行。</w:t>
      </w:r>
    </w:p>
    <w:p w14:paraId="2713C688">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6</w:t>
      </w:r>
      <w:r>
        <w:rPr>
          <w:rFonts w:hint="eastAsia" w:ascii="宋体" w:hAnsi="宋体" w:eastAsia="宋体" w:cs="Arial"/>
          <w:b w:val="0"/>
          <w:color w:val="auto"/>
          <w:sz w:val="22"/>
          <w:szCs w:val="22"/>
        </w:rPr>
        <w:t>.3、供应商可拒绝接受延期要求。同意延长有效期的供应商不能修改投标文件。</w:t>
      </w:r>
    </w:p>
    <w:p w14:paraId="1D24904C">
      <w:pPr>
        <w:pStyle w:val="21"/>
        <w:adjustRightInd w:val="0"/>
        <w:snapToGrid w:val="0"/>
        <w:spacing w:line="440" w:lineRule="atLeast"/>
        <w:ind w:firstLine="440" w:firstLineChars="200"/>
        <w:rPr>
          <w:rFonts w:hint="eastAsia" w:ascii="宋体" w:hAnsi="宋体" w:eastAsia="宋体" w:cs="Arial"/>
          <w:b w:val="0"/>
          <w:color w:val="auto"/>
          <w:sz w:val="22"/>
          <w:szCs w:val="22"/>
        </w:rPr>
      </w:pPr>
      <w:bookmarkStart w:id="14" w:name="_Toc132122415"/>
      <w:bookmarkStart w:id="15" w:name="_Toc132122118"/>
      <w:r>
        <w:rPr>
          <w:rFonts w:ascii="宋体" w:hAnsi="宋体" w:eastAsia="宋体" w:cs="Arial"/>
          <w:b w:val="0"/>
          <w:color w:val="auto"/>
          <w:sz w:val="22"/>
          <w:szCs w:val="22"/>
        </w:rPr>
        <w:t>7</w:t>
      </w:r>
      <w:r>
        <w:rPr>
          <w:rFonts w:hint="eastAsia" w:ascii="宋体" w:hAnsi="宋体" w:eastAsia="宋体" w:cs="Arial"/>
          <w:b w:val="0"/>
          <w:color w:val="auto"/>
          <w:sz w:val="22"/>
          <w:szCs w:val="22"/>
        </w:rPr>
        <w:t>、投标文件的签署和份数</w:t>
      </w:r>
      <w:bookmarkEnd w:id="14"/>
      <w:bookmarkEnd w:id="15"/>
    </w:p>
    <w:p w14:paraId="376437B3">
      <w:pPr>
        <w:pStyle w:val="21"/>
        <w:adjustRightInd w:val="0"/>
        <w:snapToGrid w:val="0"/>
        <w:spacing w:line="440" w:lineRule="atLeast"/>
        <w:ind w:firstLine="442" w:firstLineChars="200"/>
        <w:rPr>
          <w:rFonts w:hint="eastAsia" w:ascii="宋体" w:hAnsi="宋体" w:eastAsia="宋体" w:cs="Arial"/>
          <w:color w:val="auto"/>
          <w:sz w:val="22"/>
          <w:szCs w:val="22"/>
          <w:u w:val="single"/>
        </w:rPr>
      </w:pPr>
      <w:r>
        <w:rPr>
          <w:rFonts w:ascii="宋体" w:hAnsi="宋体" w:eastAsia="宋体" w:cs="Arial"/>
          <w:color w:val="auto"/>
          <w:sz w:val="22"/>
          <w:szCs w:val="22"/>
        </w:rPr>
        <w:t>7.1</w:t>
      </w:r>
      <w:r>
        <w:rPr>
          <w:rFonts w:hint="eastAsia" w:ascii="宋体" w:hAnsi="宋体" w:eastAsia="宋体" w:cs="Arial"/>
          <w:color w:val="auto"/>
          <w:sz w:val="22"/>
          <w:szCs w:val="22"/>
        </w:rPr>
        <w:t>投标文件的签章：</w:t>
      </w:r>
    </w:p>
    <w:p w14:paraId="1F521354">
      <w:pPr>
        <w:pStyle w:val="21"/>
        <w:adjustRightInd w:val="0"/>
        <w:snapToGrid w:val="0"/>
        <w:spacing w:line="440" w:lineRule="atLeast"/>
        <w:ind w:firstLine="442" w:firstLineChars="200"/>
        <w:rPr>
          <w:rFonts w:hint="eastAsia" w:ascii="宋体" w:hAnsi="宋体" w:eastAsia="宋体" w:cs="Arial"/>
          <w:color w:val="auto"/>
          <w:sz w:val="22"/>
          <w:szCs w:val="22"/>
        </w:rPr>
      </w:pPr>
      <w:r>
        <w:rPr>
          <w:rFonts w:hint="eastAsia" w:ascii="宋体" w:hAnsi="宋体" w:eastAsia="宋体" w:cs="Arial"/>
          <w:color w:val="auto"/>
          <w:sz w:val="22"/>
          <w:szCs w:val="22"/>
        </w:rPr>
        <w:t>1）投标文件的签章：见《</w:t>
      </w:r>
      <w:r>
        <w:rPr>
          <w:rFonts w:ascii="宋体" w:hAnsi="宋体" w:eastAsia="宋体" w:cs="Arial"/>
          <w:color w:val="auto"/>
          <w:sz w:val="22"/>
          <w:szCs w:val="22"/>
        </w:rPr>
        <w:t>投标通知(邀请)书</w:t>
      </w:r>
      <w:r>
        <w:rPr>
          <w:rFonts w:hint="eastAsia" w:ascii="宋体" w:hAnsi="宋体" w:eastAsia="宋体" w:cs="Arial"/>
          <w:color w:val="auto"/>
          <w:sz w:val="22"/>
          <w:szCs w:val="22"/>
        </w:rPr>
        <w:t>》；</w:t>
      </w:r>
    </w:p>
    <w:p w14:paraId="081DE8A6">
      <w:pPr>
        <w:pStyle w:val="21"/>
        <w:adjustRightInd w:val="0"/>
        <w:snapToGrid w:val="0"/>
        <w:spacing w:line="440" w:lineRule="atLeast"/>
        <w:ind w:firstLine="442" w:firstLineChars="200"/>
        <w:rPr>
          <w:rFonts w:hint="eastAsia" w:ascii="宋体" w:hAnsi="宋体" w:eastAsia="宋体" w:cs="Arial"/>
          <w:b w:val="0"/>
          <w:color w:val="auto"/>
          <w:sz w:val="22"/>
          <w:szCs w:val="22"/>
        </w:rPr>
      </w:pPr>
      <w:r>
        <w:rPr>
          <w:rFonts w:hint="eastAsia" w:ascii="宋体" w:hAnsi="宋体" w:eastAsia="宋体" w:cs="Arial"/>
          <w:color w:val="auto"/>
          <w:sz w:val="22"/>
          <w:szCs w:val="22"/>
        </w:rPr>
        <w:t>2）电子签章操作指南详见《供应商项目采购-电子招投标操作指南》</w:t>
      </w:r>
      <w:r>
        <w:rPr>
          <w:rFonts w:hint="eastAsia" w:ascii="宋体" w:hAnsi="宋体" w:eastAsia="宋体" w:cs="Arial"/>
          <w:b w:val="0"/>
          <w:color w:val="auto"/>
          <w:sz w:val="22"/>
          <w:szCs w:val="22"/>
        </w:rPr>
        <w:t>。</w:t>
      </w:r>
    </w:p>
    <w:p w14:paraId="4D64F1FA">
      <w:pPr>
        <w:pStyle w:val="21"/>
        <w:adjustRightInd w:val="0"/>
        <w:snapToGrid w:val="0"/>
        <w:spacing w:line="440" w:lineRule="atLeast"/>
        <w:ind w:firstLine="442" w:firstLineChars="200"/>
        <w:rPr>
          <w:rFonts w:hint="eastAsia" w:ascii="宋体" w:hAnsi="宋体" w:eastAsia="宋体" w:cs="Arial"/>
          <w:color w:val="auto"/>
          <w:sz w:val="22"/>
          <w:szCs w:val="22"/>
        </w:rPr>
      </w:pPr>
      <w:r>
        <w:rPr>
          <w:rFonts w:ascii="宋体" w:hAnsi="宋体" w:eastAsia="宋体" w:cs="Arial"/>
          <w:color w:val="auto"/>
          <w:sz w:val="22"/>
          <w:szCs w:val="22"/>
        </w:rPr>
        <w:t>7.2</w:t>
      </w:r>
      <w:r>
        <w:rPr>
          <w:rFonts w:hint="eastAsia" w:ascii="宋体" w:hAnsi="宋体" w:eastAsia="宋体" w:cs="Arial"/>
          <w:color w:val="auto"/>
          <w:sz w:val="22"/>
          <w:szCs w:val="22"/>
        </w:rPr>
        <w:t>磋商响应文件的份数</w:t>
      </w:r>
    </w:p>
    <w:p w14:paraId="4A251494">
      <w:pPr>
        <w:pStyle w:val="21"/>
        <w:adjustRightInd w:val="0"/>
        <w:snapToGrid w:val="0"/>
        <w:spacing w:line="440" w:lineRule="atLeast"/>
        <w:ind w:firstLine="442" w:firstLineChars="200"/>
        <w:rPr>
          <w:rFonts w:hint="eastAsia" w:ascii="宋体" w:hAnsi="宋体" w:eastAsia="宋体" w:cs="Arial"/>
          <w:color w:val="auto"/>
          <w:sz w:val="22"/>
          <w:szCs w:val="22"/>
        </w:rPr>
      </w:pPr>
      <w:r>
        <w:rPr>
          <w:rFonts w:hint="eastAsia" w:ascii="宋体" w:hAnsi="宋体" w:eastAsia="宋体" w:cs="Arial"/>
          <w:color w:val="auto"/>
          <w:sz w:val="22"/>
          <w:szCs w:val="22"/>
        </w:rPr>
        <w:t>1）“电子加密投标文件”：在线上传递交（一份）。</w:t>
      </w:r>
    </w:p>
    <w:p w14:paraId="470D9B2C">
      <w:pPr>
        <w:pStyle w:val="21"/>
        <w:adjustRightInd w:val="0"/>
        <w:snapToGrid w:val="0"/>
        <w:spacing w:line="440" w:lineRule="atLeast"/>
        <w:ind w:firstLine="442" w:firstLineChars="200"/>
        <w:rPr>
          <w:rFonts w:hint="eastAsia" w:ascii="宋体" w:hAnsi="宋体" w:eastAsia="宋体" w:cs="Arial"/>
          <w:color w:val="auto"/>
          <w:sz w:val="22"/>
          <w:szCs w:val="22"/>
        </w:rPr>
      </w:pPr>
      <w:r>
        <w:rPr>
          <w:rFonts w:hint="eastAsia" w:ascii="宋体" w:hAnsi="宋体" w:eastAsia="宋体" w:cs="Arial"/>
          <w:color w:val="auto"/>
          <w:sz w:val="22"/>
          <w:szCs w:val="22"/>
        </w:rPr>
        <w:t>2）“备份投标文件”：密封包装后（如采用邮寄方式建议用EMS邮寄或顺丰邮寄形式）投标截止时间前递交（一份），以签收时间为准。（收件地址：龙港市海港路1283号后幢一单元202室；收件人：温州超然招标代理有限公司 洪世铭收 联系电话：</w:t>
      </w:r>
      <w:r>
        <w:rPr>
          <w:rFonts w:ascii="宋体" w:hAnsi="宋体" w:eastAsia="宋体" w:cs="Arial"/>
          <w:color w:val="auto"/>
          <w:sz w:val="22"/>
          <w:szCs w:val="22"/>
        </w:rPr>
        <w:t>18267789396</w:t>
      </w:r>
      <w:r>
        <w:rPr>
          <w:rFonts w:hint="eastAsia" w:ascii="宋体" w:hAnsi="宋体" w:eastAsia="宋体" w:cs="Arial"/>
          <w:color w:val="auto"/>
          <w:sz w:val="22"/>
          <w:szCs w:val="22"/>
        </w:rPr>
        <w:t>）。</w:t>
      </w:r>
    </w:p>
    <w:p w14:paraId="405FC6FF">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8</w:t>
      </w:r>
      <w:r>
        <w:rPr>
          <w:rFonts w:hint="eastAsia" w:ascii="宋体" w:hAnsi="宋体" w:eastAsia="宋体" w:cs="Arial"/>
          <w:b w:val="0"/>
          <w:color w:val="auto"/>
          <w:sz w:val="22"/>
          <w:szCs w:val="22"/>
        </w:rPr>
        <w:t>、投标文件的修改和撤回</w:t>
      </w:r>
    </w:p>
    <w:p w14:paraId="573FD50E">
      <w:pPr>
        <w:pStyle w:val="21"/>
        <w:adjustRightInd w:val="0"/>
        <w:snapToGrid w:val="0"/>
        <w:spacing w:line="440" w:lineRule="atLeast"/>
        <w:ind w:firstLine="442" w:firstLineChars="200"/>
        <w:rPr>
          <w:rFonts w:hint="eastAsia" w:ascii="宋体" w:hAnsi="宋体" w:eastAsia="宋体" w:cs="Arial"/>
          <w:color w:val="auto"/>
          <w:sz w:val="22"/>
          <w:szCs w:val="22"/>
        </w:rPr>
      </w:pPr>
      <w:bookmarkStart w:id="16" w:name="_Toc132123547"/>
      <w:bookmarkStart w:id="17" w:name="_Toc132125151"/>
      <w:bookmarkStart w:id="18" w:name="_Toc132122119"/>
      <w:bookmarkStart w:id="19" w:name="_Toc132126154"/>
      <w:bookmarkStart w:id="20" w:name="_Toc132123439"/>
      <w:bookmarkStart w:id="21" w:name="_Toc132123838"/>
      <w:bookmarkStart w:id="22" w:name="_Toc132125983"/>
      <w:bookmarkStart w:id="23" w:name="_Toc132122416"/>
      <w:bookmarkStart w:id="24" w:name="_Toc132124594"/>
      <w:bookmarkStart w:id="25" w:name="_Toc132125574"/>
      <w:bookmarkStart w:id="26" w:name="_Toc132125095"/>
      <w:bookmarkStart w:id="27" w:name="_Toc132123881"/>
      <w:bookmarkStart w:id="28" w:name="_Toc132655776"/>
      <w:bookmarkStart w:id="29" w:name="_Toc132125037"/>
      <w:bookmarkStart w:id="30" w:name="_Toc132123634"/>
      <w:r>
        <w:rPr>
          <w:rFonts w:hint="eastAsia" w:ascii="宋体" w:hAnsi="宋体" w:eastAsia="宋体" w:cs="Arial"/>
          <w:color w:val="auto"/>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乐采云平台”将予以拒收。</w:t>
      </w:r>
      <w:r>
        <w:rPr>
          <w:rFonts w:ascii="宋体" w:hAnsi="宋体" w:eastAsia="宋体" w:cs="Arial"/>
          <w:color w:val="auto"/>
          <w:sz w:val="22"/>
          <w:szCs w:val="22"/>
        </w:rPr>
        <w:t>投标截止时间后，投标供应商不得撤回、修改《投标文件》</w:t>
      </w:r>
      <w:r>
        <w:rPr>
          <w:rFonts w:hint="eastAsia" w:ascii="宋体" w:hAnsi="宋体" w:eastAsia="宋体" w:cs="Arial"/>
          <w:color w:val="auto"/>
          <w:sz w:val="22"/>
          <w:szCs w:val="22"/>
        </w:rPr>
        <w:t>。四、投标文件的密封与递交</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4C3A228">
      <w:pPr>
        <w:pStyle w:val="21"/>
        <w:adjustRightInd w:val="0"/>
        <w:snapToGrid w:val="0"/>
        <w:spacing w:line="440" w:lineRule="atLeast"/>
        <w:rPr>
          <w:rFonts w:hint="eastAsia" w:ascii="宋体" w:hAnsi="宋体" w:eastAsia="宋体" w:cs="Arial"/>
          <w:b w:val="0"/>
          <w:bCs w:val="0"/>
          <w:color w:val="auto"/>
          <w:sz w:val="22"/>
          <w:szCs w:val="22"/>
        </w:rPr>
      </w:pPr>
      <w:r>
        <w:rPr>
          <w:rFonts w:hint="eastAsia" w:ascii="宋体" w:hAnsi="宋体" w:eastAsia="宋体" w:cs="Arial"/>
          <w:b w:val="0"/>
          <w:bCs w:val="0"/>
          <w:color w:val="auto"/>
          <w:sz w:val="22"/>
          <w:szCs w:val="22"/>
        </w:rPr>
        <w:t>1、投标文件的上传与递交</w:t>
      </w:r>
    </w:p>
    <w:p w14:paraId="5107A5B9">
      <w:pPr>
        <w:pStyle w:val="21"/>
        <w:adjustRightInd w:val="0"/>
        <w:snapToGrid w:val="0"/>
        <w:spacing w:line="440" w:lineRule="atLeast"/>
        <w:ind w:firstLine="450"/>
        <w:rPr>
          <w:rFonts w:hint="eastAsia" w:ascii="宋体" w:hAnsi="宋体" w:eastAsia="宋体" w:cs="Arial"/>
          <w:color w:val="auto"/>
          <w:sz w:val="22"/>
          <w:szCs w:val="22"/>
        </w:rPr>
      </w:pPr>
      <w:r>
        <w:rPr>
          <w:rFonts w:hint="eastAsia" w:ascii="宋体" w:hAnsi="宋体" w:eastAsia="宋体" w:cs="Arial"/>
          <w:color w:val="auto"/>
          <w:sz w:val="22"/>
          <w:szCs w:val="22"/>
        </w:rPr>
        <w:t>（1）“电子加密投标文件”的上传、递交：</w:t>
      </w:r>
    </w:p>
    <w:p w14:paraId="6CC83C25">
      <w:pPr>
        <w:pStyle w:val="21"/>
        <w:adjustRightInd w:val="0"/>
        <w:snapToGrid w:val="0"/>
        <w:spacing w:line="440" w:lineRule="atLeast"/>
        <w:ind w:firstLine="450"/>
        <w:rPr>
          <w:rFonts w:hint="eastAsia" w:ascii="宋体" w:hAnsi="宋体" w:eastAsia="宋体" w:cs="Arial"/>
          <w:color w:val="auto"/>
          <w:sz w:val="22"/>
          <w:szCs w:val="22"/>
        </w:rPr>
      </w:pPr>
      <w:r>
        <w:rPr>
          <w:rFonts w:hint="eastAsia" w:ascii="宋体" w:hAnsi="宋体" w:eastAsia="宋体" w:cs="Arial"/>
          <w:color w:val="auto"/>
          <w:sz w:val="22"/>
          <w:szCs w:val="22"/>
        </w:rPr>
        <w:t>a.投标供应商应在投标截止时间前将“电子加密投标文件”成功上传递交至“乐采云平台”，否则投标无效。</w:t>
      </w:r>
    </w:p>
    <w:p w14:paraId="41B5851A">
      <w:pPr>
        <w:pStyle w:val="21"/>
        <w:adjustRightInd w:val="0"/>
        <w:snapToGrid w:val="0"/>
        <w:spacing w:line="440" w:lineRule="atLeast"/>
        <w:ind w:firstLine="450"/>
        <w:rPr>
          <w:rFonts w:hint="eastAsia" w:ascii="宋体" w:hAnsi="宋体" w:eastAsia="宋体" w:cs="Arial"/>
          <w:color w:val="auto"/>
          <w:sz w:val="22"/>
          <w:szCs w:val="22"/>
        </w:rPr>
      </w:pPr>
      <w:r>
        <w:rPr>
          <w:rFonts w:hint="eastAsia" w:ascii="宋体" w:hAnsi="宋体" w:eastAsia="宋体" w:cs="Arial"/>
          <w:color w:val="auto"/>
          <w:sz w:val="22"/>
          <w:szCs w:val="22"/>
        </w:rPr>
        <w:t>b.“电子加密投标文件”成功上传递交后，供应商可自行打印投标文件接收回执。</w:t>
      </w:r>
    </w:p>
    <w:p w14:paraId="71C95126">
      <w:pPr>
        <w:pStyle w:val="21"/>
        <w:adjustRightInd w:val="0"/>
        <w:snapToGrid w:val="0"/>
        <w:spacing w:line="440" w:lineRule="atLeast"/>
        <w:ind w:firstLine="450"/>
        <w:rPr>
          <w:rFonts w:hint="eastAsia" w:ascii="宋体" w:hAnsi="宋体" w:eastAsia="宋体" w:cs="Arial"/>
          <w:color w:val="auto"/>
          <w:sz w:val="22"/>
          <w:szCs w:val="22"/>
        </w:rPr>
      </w:pPr>
      <w:r>
        <w:rPr>
          <w:rFonts w:hint="eastAsia" w:ascii="宋体" w:hAnsi="宋体" w:eastAsia="宋体" w:cs="Arial"/>
          <w:color w:val="auto"/>
          <w:sz w:val="22"/>
          <w:szCs w:val="22"/>
        </w:rPr>
        <w:t>（2）“备份投标文件”的密封包装、递交：</w:t>
      </w:r>
    </w:p>
    <w:p w14:paraId="701D166B">
      <w:pPr>
        <w:pStyle w:val="21"/>
        <w:adjustRightInd w:val="0"/>
        <w:snapToGrid w:val="0"/>
        <w:spacing w:line="440" w:lineRule="atLeast"/>
        <w:ind w:firstLine="450"/>
        <w:rPr>
          <w:rFonts w:hint="eastAsia" w:ascii="宋体" w:hAnsi="宋体" w:eastAsia="宋体" w:cs="Arial"/>
          <w:color w:val="auto"/>
          <w:sz w:val="22"/>
          <w:szCs w:val="22"/>
        </w:rPr>
      </w:pPr>
      <w:r>
        <w:rPr>
          <w:rFonts w:hint="eastAsia" w:ascii="宋体" w:hAnsi="宋体" w:eastAsia="宋体" w:cs="Arial"/>
          <w:color w:val="auto"/>
          <w:sz w:val="22"/>
          <w:szCs w:val="22"/>
        </w:rPr>
        <w:t>a.投标供应商在“乐采云平台”完成“电子加密投标文件”的上传递交后，还可以（如采用邮寄方式建议用EMS邮寄或顺丰邮寄形式）在投标截止时间前递交以介质（U盘）存储的 “备份投标文件”（一份）；</w:t>
      </w:r>
    </w:p>
    <w:p w14:paraId="3266676D">
      <w:pPr>
        <w:pStyle w:val="21"/>
        <w:adjustRightInd w:val="0"/>
        <w:snapToGrid w:val="0"/>
        <w:spacing w:line="440" w:lineRule="atLeast"/>
        <w:ind w:firstLine="450"/>
        <w:rPr>
          <w:rFonts w:hint="eastAsia" w:ascii="宋体" w:hAnsi="宋体" w:eastAsia="宋体" w:cs="Arial"/>
          <w:color w:val="auto"/>
          <w:sz w:val="22"/>
          <w:szCs w:val="22"/>
        </w:rPr>
      </w:pPr>
      <w:r>
        <w:rPr>
          <w:rFonts w:hint="eastAsia" w:ascii="宋体" w:hAnsi="宋体" w:eastAsia="宋体" w:cs="Arial"/>
          <w:color w:val="auto"/>
          <w:sz w:val="22"/>
          <w:szCs w:val="22"/>
        </w:rPr>
        <w:t>b.“备份投标文件”应当密封包装，并在包装上标注投标项目名称、投标单位名称并加盖公章。没有密封包装或者逾期送达至投标地点的“备份投标文件”将不予接收；</w:t>
      </w:r>
    </w:p>
    <w:p w14:paraId="2A225894">
      <w:pPr>
        <w:pStyle w:val="21"/>
        <w:adjustRightInd w:val="0"/>
        <w:snapToGrid w:val="0"/>
        <w:spacing w:line="440" w:lineRule="atLeast"/>
        <w:ind w:firstLine="450"/>
        <w:rPr>
          <w:rFonts w:hint="eastAsia" w:ascii="宋体" w:hAnsi="宋体" w:eastAsia="宋体" w:cs="Arial"/>
          <w:color w:val="auto"/>
          <w:sz w:val="22"/>
          <w:szCs w:val="22"/>
        </w:rPr>
      </w:pPr>
      <w:r>
        <w:rPr>
          <w:rFonts w:hint="eastAsia" w:ascii="宋体" w:hAnsi="宋体" w:eastAsia="宋体" w:cs="Arial"/>
          <w:color w:val="auto"/>
          <w:sz w:val="22"/>
          <w:szCs w:val="22"/>
        </w:rPr>
        <w:t>c.通过“乐采云平台”成功上传递交的“电子加密投标文件”已按时解密的，“备份投标文件”自动失效。投标截止时间前，投标供应商仅递交了“备份投标文件”而未将“电子加密投标文件”成功上传至“乐采云平台”的，投标无效。</w:t>
      </w:r>
    </w:p>
    <w:p w14:paraId="4BE701C2">
      <w:pPr>
        <w:pStyle w:val="21"/>
        <w:adjustRightInd w:val="0"/>
        <w:snapToGrid w:val="0"/>
        <w:spacing w:line="440" w:lineRule="atLeast"/>
        <w:ind w:firstLine="220" w:firstLineChars="100"/>
        <w:rPr>
          <w:rFonts w:hint="eastAsia" w:ascii="宋体" w:hAnsi="宋体" w:eastAsia="宋体" w:cs="Arial"/>
          <w:b w:val="0"/>
          <w:color w:val="auto"/>
          <w:sz w:val="22"/>
          <w:szCs w:val="22"/>
        </w:rPr>
      </w:pPr>
      <w:r>
        <w:rPr>
          <w:rFonts w:hint="eastAsia" w:ascii="宋体" w:hAnsi="宋体" w:eastAsia="宋体" w:cs="Arial"/>
          <w:b w:val="0"/>
          <w:color w:val="auto"/>
          <w:sz w:val="22"/>
          <w:szCs w:val="22"/>
        </w:rPr>
        <w:t>2、投标截止时间</w:t>
      </w:r>
    </w:p>
    <w:p w14:paraId="137B3A76">
      <w:pPr>
        <w:pStyle w:val="21"/>
        <w:spacing w:line="440" w:lineRule="atLeast"/>
        <w:ind w:firstLine="660" w:firstLineChars="300"/>
        <w:rPr>
          <w:rFonts w:hint="eastAsia" w:ascii="宋体" w:hAnsi="宋体" w:eastAsia="宋体" w:cs="Arial"/>
          <w:b w:val="0"/>
          <w:color w:val="auto"/>
          <w:sz w:val="22"/>
          <w:szCs w:val="22"/>
        </w:rPr>
      </w:pPr>
      <w:r>
        <w:rPr>
          <w:rFonts w:hint="eastAsia" w:ascii="宋体" w:hAnsi="宋体" w:eastAsia="宋体" w:cs="Arial"/>
          <w:b w:val="0"/>
          <w:color w:val="auto"/>
          <w:sz w:val="22"/>
          <w:szCs w:val="22"/>
        </w:rPr>
        <w:t>2.1投标文件必须在投标文件递交截止时间前成功上传递交至“乐采云平台”，否则投标无效。</w:t>
      </w:r>
    </w:p>
    <w:p w14:paraId="5720428A">
      <w:pPr>
        <w:pStyle w:val="21"/>
        <w:adjustRightInd w:val="0"/>
        <w:snapToGrid w:val="0"/>
        <w:spacing w:line="440" w:lineRule="atLeast"/>
        <w:ind w:firstLine="220" w:firstLineChars="100"/>
        <w:rPr>
          <w:rFonts w:hint="eastAsia" w:ascii="宋体" w:hAnsi="宋体" w:eastAsia="宋体" w:cs="Arial"/>
          <w:b w:val="0"/>
          <w:color w:val="auto"/>
          <w:sz w:val="22"/>
          <w:szCs w:val="22"/>
        </w:rPr>
      </w:pPr>
      <w:r>
        <w:rPr>
          <w:rFonts w:hint="eastAsia" w:ascii="宋体" w:hAnsi="宋体" w:eastAsia="宋体" w:cs="Arial"/>
          <w:b w:val="0"/>
          <w:color w:val="auto"/>
          <w:sz w:val="22"/>
          <w:szCs w:val="22"/>
        </w:rPr>
        <w:t xml:space="preserve">    2.2采购机构如因故推迟投标截止时间，应通知所有供应商。在这种情况下，供应商的权利和义务将受到新的截止时间的约束。</w:t>
      </w:r>
    </w:p>
    <w:p w14:paraId="6DC94F67">
      <w:pPr>
        <w:pStyle w:val="4"/>
        <w:tabs>
          <w:tab w:val="clear" w:pos="720"/>
        </w:tabs>
        <w:spacing w:before="0" w:after="120" w:line="700" w:lineRule="exact"/>
        <w:ind w:left="0" w:firstLine="0"/>
        <w:rPr>
          <w:rFonts w:hint="eastAsia" w:ascii="宋体" w:hAnsi="宋体" w:eastAsia="宋体"/>
          <w:b/>
          <w:color w:val="auto"/>
          <w:sz w:val="22"/>
          <w:szCs w:val="22"/>
        </w:rPr>
      </w:pPr>
      <w:bookmarkStart w:id="31" w:name="_Toc132125575"/>
      <w:bookmarkStart w:id="32" w:name="_Toc132123548"/>
      <w:bookmarkStart w:id="33" w:name="_Toc132655777"/>
      <w:bookmarkStart w:id="34" w:name="_Toc132122120"/>
      <w:bookmarkStart w:id="35" w:name="_Toc132124595"/>
      <w:bookmarkStart w:id="36" w:name="_Toc132123839"/>
      <w:bookmarkStart w:id="37" w:name="_Toc132125984"/>
      <w:bookmarkStart w:id="38" w:name="_Toc132125152"/>
      <w:bookmarkStart w:id="39" w:name="_Toc132123440"/>
      <w:bookmarkStart w:id="40" w:name="_Toc132123882"/>
      <w:bookmarkStart w:id="41" w:name="_Toc132123635"/>
      <w:bookmarkStart w:id="42" w:name="_Toc132122417"/>
      <w:bookmarkStart w:id="43" w:name="_Toc132126155"/>
      <w:bookmarkStart w:id="44" w:name="_Toc132125038"/>
      <w:bookmarkStart w:id="45" w:name="_Toc132125096"/>
      <w:r>
        <w:rPr>
          <w:rFonts w:hint="eastAsia" w:ascii="宋体" w:hAnsi="宋体" w:eastAsia="宋体"/>
          <w:b/>
          <w:color w:val="auto"/>
          <w:sz w:val="22"/>
          <w:szCs w:val="22"/>
        </w:rPr>
        <w:t>五、开标和评标</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4FA304A">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1、开标</w:t>
      </w:r>
    </w:p>
    <w:p w14:paraId="5E08D35D">
      <w:pPr>
        <w:pStyle w:val="21"/>
        <w:spacing w:line="440" w:lineRule="atLeast"/>
        <w:ind w:firstLine="442" w:firstLineChars="200"/>
        <w:rPr>
          <w:rFonts w:hint="eastAsia" w:ascii="宋体" w:hAnsi="宋体" w:eastAsia="宋体" w:cs="Arial"/>
          <w:color w:val="auto"/>
          <w:sz w:val="22"/>
          <w:szCs w:val="22"/>
        </w:rPr>
      </w:pPr>
      <w:r>
        <w:rPr>
          <w:rFonts w:hint="eastAsia" w:ascii="宋体" w:hAnsi="宋体" w:eastAsia="宋体" w:cs="Arial"/>
          <w:color w:val="auto"/>
          <w:sz w:val="22"/>
          <w:szCs w:val="22"/>
        </w:rPr>
        <w:t>1.1采购组织机构将按照招标文件规定的时间通过“乐采云平台”组织开标、开启投标文件，所有供应商均应当准时在线参加。</w:t>
      </w:r>
    </w:p>
    <w:p w14:paraId="27D919F7">
      <w:pPr>
        <w:pStyle w:val="21"/>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1</w:t>
      </w:r>
      <w:r>
        <w:rPr>
          <w:rFonts w:hint="eastAsia" w:ascii="宋体" w:hAnsi="宋体" w:eastAsia="宋体" w:cs="Arial"/>
          <w:b w:val="0"/>
          <w:color w:val="auto"/>
          <w:sz w:val="22"/>
          <w:szCs w:val="22"/>
        </w:rPr>
        <w:t>.</w:t>
      </w:r>
      <w:r>
        <w:rPr>
          <w:rFonts w:ascii="宋体" w:hAnsi="宋体" w:eastAsia="宋体" w:cs="Arial"/>
          <w:b w:val="0"/>
          <w:color w:val="auto"/>
          <w:sz w:val="22"/>
          <w:szCs w:val="22"/>
        </w:rPr>
        <w:t>2</w:t>
      </w:r>
      <w:r>
        <w:rPr>
          <w:rFonts w:hint="eastAsia" w:ascii="宋体" w:hAnsi="宋体" w:eastAsia="宋体" w:cs="Arial"/>
          <w:b w:val="0"/>
          <w:color w:val="auto"/>
          <w:sz w:val="22"/>
          <w:szCs w:val="22"/>
        </w:rPr>
        <w:t>开标的准备工作由采购组织机构负责落实；</w:t>
      </w:r>
    </w:p>
    <w:p w14:paraId="147FEDE3">
      <w:pPr>
        <w:pStyle w:val="21"/>
        <w:spacing w:line="440" w:lineRule="atLeast"/>
        <w:ind w:firstLine="442" w:firstLineChars="200"/>
        <w:rPr>
          <w:rFonts w:hint="eastAsia" w:ascii="宋体" w:hAnsi="宋体" w:eastAsia="宋体" w:cs="Arial"/>
          <w:color w:val="auto"/>
          <w:sz w:val="22"/>
          <w:szCs w:val="22"/>
        </w:rPr>
      </w:pPr>
      <w:r>
        <w:rPr>
          <w:rFonts w:ascii="宋体" w:hAnsi="宋体" w:eastAsia="宋体" w:cs="Arial"/>
          <w:color w:val="auto"/>
          <w:sz w:val="22"/>
          <w:szCs w:val="22"/>
        </w:rPr>
        <w:t>1</w:t>
      </w:r>
      <w:r>
        <w:rPr>
          <w:rFonts w:hint="eastAsia" w:ascii="宋体" w:hAnsi="宋体" w:eastAsia="宋体" w:cs="Arial"/>
          <w:color w:val="auto"/>
          <w:sz w:val="22"/>
          <w:szCs w:val="22"/>
        </w:rPr>
        <w:t>.</w:t>
      </w:r>
      <w:r>
        <w:rPr>
          <w:rFonts w:ascii="宋体" w:hAnsi="宋体" w:eastAsia="宋体" w:cs="Arial"/>
          <w:color w:val="auto"/>
          <w:sz w:val="22"/>
          <w:szCs w:val="22"/>
        </w:rPr>
        <w:t>3</w:t>
      </w:r>
      <w:r>
        <w:rPr>
          <w:rFonts w:hint="eastAsia" w:ascii="宋体" w:hAnsi="宋体" w:eastAsia="宋体" w:cs="Arial"/>
          <w:color w:val="auto"/>
          <w:sz w:val="22"/>
          <w:szCs w:val="22"/>
        </w:rPr>
        <w:t>采购组织机构将按照招标文件规定的时间通过“乐采云平台”组织开标、开启投标文件，所有供应商均应当准时在线参加。投标供应商</w:t>
      </w:r>
      <w:r>
        <w:rPr>
          <w:rFonts w:ascii="宋体" w:hAnsi="宋体" w:eastAsia="宋体" w:cs="Arial"/>
          <w:color w:val="auto"/>
          <w:sz w:val="22"/>
          <w:szCs w:val="22"/>
        </w:rPr>
        <w:t>如不</w:t>
      </w:r>
      <w:r>
        <w:rPr>
          <w:rFonts w:hint="eastAsia" w:ascii="宋体" w:hAnsi="宋体" w:eastAsia="宋体" w:cs="Arial"/>
          <w:color w:val="auto"/>
          <w:sz w:val="22"/>
          <w:szCs w:val="22"/>
        </w:rPr>
        <w:t>参加</w:t>
      </w:r>
      <w:r>
        <w:rPr>
          <w:rFonts w:ascii="宋体" w:hAnsi="宋体" w:eastAsia="宋体" w:cs="Arial"/>
          <w:color w:val="auto"/>
          <w:sz w:val="22"/>
          <w:szCs w:val="22"/>
        </w:rPr>
        <w:t>开标大会的，</w:t>
      </w:r>
      <w:r>
        <w:rPr>
          <w:rFonts w:hint="eastAsia" w:ascii="宋体" w:hAnsi="宋体" w:eastAsia="宋体" w:cs="Arial"/>
          <w:color w:val="auto"/>
          <w:sz w:val="22"/>
          <w:szCs w:val="22"/>
        </w:rPr>
        <w:t>视同认可开标结果，</w:t>
      </w:r>
      <w:r>
        <w:rPr>
          <w:rFonts w:ascii="宋体" w:hAnsi="宋体" w:eastAsia="宋体" w:cs="Arial"/>
          <w:color w:val="auto"/>
          <w:sz w:val="22"/>
          <w:szCs w:val="22"/>
        </w:rPr>
        <w:t>事后不得对采购相关人员、开标过程和开标结果提出异议</w:t>
      </w:r>
      <w:r>
        <w:rPr>
          <w:rFonts w:hint="eastAsia" w:ascii="宋体" w:hAnsi="宋体" w:eastAsia="宋体" w:cs="Arial"/>
          <w:color w:val="auto"/>
          <w:sz w:val="22"/>
          <w:szCs w:val="22"/>
        </w:rPr>
        <w:t>，同时投标供应商因未在线参加开标而导致投标文件无法按时解密等一切后果由供应商自己承担。</w:t>
      </w:r>
    </w:p>
    <w:p w14:paraId="462A7DB4">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2、开标程序</w:t>
      </w:r>
    </w:p>
    <w:p w14:paraId="14F284FF">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w:t>
      </w:r>
      <w:r>
        <w:rPr>
          <w:rFonts w:ascii="宋体" w:hAnsi="宋体" w:eastAsia="宋体" w:cs="Arial"/>
          <w:b w:val="0"/>
          <w:color w:val="auto"/>
          <w:sz w:val="22"/>
          <w:szCs w:val="22"/>
        </w:rPr>
        <w:t>1</w:t>
      </w:r>
      <w:r>
        <w:rPr>
          <w:rFonts w:hint="eastAsia" w:ascii="宋体" w:hAnsi="宋体" w:eastAsia="宋体" w:cs="Arial"/>
          <w:b w:val="0"/>
          <w:color w:val="auto"/>
          <w:sz w:val="22"/>
          <w:szCs w:val="22"/>
        </w:rPr>
        <w:t>）采购代理机构向各投标供应商发出电子加密投标文件【开始解密】通知，由供应商在30分钟内自行进行投标文件解密。投标供应商在规定的时间内无法完成已递交的“电子加密投标文件”解密的，如已按规定递交了备份投标文件的，将由采购组织机构按“乐采云平台”操作规范将备份投标文件上传至“乐采云平台”，上传成功后，“电子加密投标文件”自动失效；</w:t>
      </w:r>
    </w:p>
    <w:p w14:paraId="021EA4EF">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w:t>
      </w:r>
      <w:r>
        <w:rPr>
          <w:rFonts w:ascii="宋体" w:hAnsi="宋体" w:eastAsia="宋体" w:cs="Arial"/>
          <w:b w:val="0"/>
          <w:color w:val="auto"/>
          <w:sz w:val="22"/>
          <w:szCs w:val="22"/>
        </w:rPr>
        <w:t>2</w:t>
      </w:r>
      <w:r>
        <w:rPr>
          <w:rFonts w:hint="eastAsia" w:ascii="宋体" w:hAnsi="宋体" w:eastAsia="宋体" w:cs="Arial"/>
          <w:b w:val="0"/>
          <w:color w:val="auto"/>
          <w:sz w:val="22"/>
          <w:szCs w:val="22"/>
        </w:rPr>
        <w:t>）在所有投标文件解密成功后，采购代理机构向各投标供应商发起在线询标确认是否存在影响公平竞争情况；如各投标供应商对采购活动现场情况无异议，须在</w:t>
      </w:r>
      <w:r>
        <w:rPr>
          <w:rFonts w:ascii="宋体" w:hAnsi="宋体" w:eastAsia="宋体" w:cs="Arial"/>
          <w:b w:val="0"/>
          <w:color w:val="auto"/>
          <w:sz w:val="22"/>
          <w:szCs w:val="22"/>
        </w:rPr>
        <w:t>2</w:t>
      </w:r>
      <w:r>
        <w:rPr>
          <w:rFonts w:hint="eastAsia" w:ascii="宋体" w:hAnsi="宋体" w:eastAsia="宋体" w:cs="Arial"/>
          <w:b w:val="0"/>
          <w:color w:val="auto"/>
          <w:sz w:val="22"/>
          <w:szCs w:val="22"/>
        </w:rPr>
        <w:t>0分钟内填写（签章）完成《国企采购活动现场确认声明书》并在询标确认中作为附件上传至“乐采云平台”或发送至采购组织机构邮箱：</w:t>
      </w:r>
      <w:r>
        <w:rPr>
          <w:rFonts w:ascii="宋体" w:hAnsi="宋体" w:eastAsia="宋体" w:cs="Arial"/>
          <w:color w:val="auto"/>
        </w:rPr>
        <w:t>376169591@qq.com</w:t>
      </w:r>
      <w:r>
        <w:rPr>
          <w:rFonts w:hint="eastAsia" w:ascii="宋体" w:hAnsi="宋体" w:eastAsia="宋体" w:cs="Arial"/>
          <w:b w:val="0"/>
          <w:color w:val="auto"/>
          <w:sz w:val="22"/>
          <w:szCs w:val="22"/>
        </w:rPr>
        <w:t>，否则按投标供应商默认处理；</w:t>
      </w:r>
    </w:p>
    <w:p w14:paraId="202A8E2A">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注：格式详见“</w:t>
      </w:r>
      <w:r>
        <w:rPr>
          <w:rFonts w:hint="eastAsia" w:ascii="宋体" w:hAnsi="宋体" w:eastAsia="宋体"/>
          <w:color w:val="auto"/>
        </w:rPr>
        <w:t xml:space="preserve"> </w:t>
      </w:r>
      <w:r>
        <w:rPr>
          <w:rFonts w:hint="eastAsia" w:ascii="宋体" w:hAnsi="宋体" w:eastAsia="宋体" w:cs="Arial"/>
          <w:b w:val="0"/>
          <w:color w:val="auto"/>
          <w:sz w:val="22"/>
          <w:szCs w:val="22"/>
        </w:rPr>
        <w:t>第五部分</w:t>
      </w:r>
      <w:r>
        <w:rPr>
          <w:rFonts w:ascii="宋体" w:hAnsi="宋体" w:eastAsia="宋体" w:cs="Arial"/>
          <w:b w:val="0"/>
          <w:color w:val="auto"/>
          <w:sz w:val="22"/>
          <w:szCs w:val="22"/>
        </w:rPr>
        <w:t xml:space="preserve"> 投标文件格式</w:t>
      </w:r>
      <w:r>
        <w:rPr>
          <w:rFonts w:hint="eastAsia" w:ascii="宋体" w:hAnsi="宋体" w:eastAsia="宋体" w:cs="Arial"/>
          <w:b w:val="0"/>
          <w:color w:val="auto"/>
          <w:sz w:val="22"/>
          <w:szCs w:val="22"/>
        </w:rPr>
        <w:t>”中的“三、采购活动现场确认声明书格式”。</w:t>
      </w:r>
    </w:p>
    <w:p w14:paraId="72F14454">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w:t>
      </w:r>
      <w:r>
        <w:rPr>
          <w:rFonts w:ascii="宋体" w:hAnsi="宋体" w:eastAsia="宋体" w:cs="Arial"/>
          <w:b w:val="0"/>
          <w:color w:val="auto"/>
          <w:sz w:val="22"/>
          <w:szCs w:val="22"/>
        </w:rPr>
        <w:t>3</w:t>
      </w:r>
      <w:r>
        <w:rPr>
          <w:rFonts w:hint="eastAsia" w:ascii="宋体" w:hAnsi="宋体" w:eastAsia="宋体" w:cs="Arial"/>
          <w:b w:val="0"/>
          <w:color w:val="auto"/>
          <w:sz w:val="22"/>
          <w:szCs w:val="22"/>
        </w:rPr>
        <w:t>）开启技术资信文件，进入资格审查；</w:t>
      </w:r>
    </w:p>
    <w:p w14:paraId="4B14DC2D">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w:t>
      </w:r>
      <w:r>
        <w:rPr>
          <w:rFonts w:ascii="宋体" w:hAnsi="宋体" w:eastAsia="宋体" w:cs="Arial"/>
          <w:b w:val="0"/>
          <w:color w:val="auto"/>
          <w:sz w:val="22"/>
          <w:szCs w:val="22"/>
        </w:rPr>
        <w:t>4</w:t>
      </w:r>
      <w:r>
        <w:rPr>
          <w:rFonts w:hint="eastAsia" w:ascii="宋体" w:hAnsi="宋体" w:eastAsia="宋体" w:cs="Arial"/>
          <w:b w:val="0"/>
          <w:color w:val="auto"/>
          <w:sz w:val="22"/>
          <w:szCs w:val="22"/>
        </w:rPr>
        <w:t>）资格审查未通过的供应商将通过邮件形式告知；资格审查通过的投标供应商进入技术资信评审；</w:t>
      </w:r>
    </w:p>
    <w:p w14:paraId="5C5B1F56">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（6）技术资信评审结束后，通过发送邮件形式</w:t>
      </w:r>
      <w:r>
        <w:rPr>
          <w:rFonts w:ascii="宋体" w:hAnsi="宋体" w:eastAsia="宋体" w:cs="Arial"/>
          <w:b w:val="0"/>
          <w:color w:val="auto"/>
          <w:sz w:val="22"/>
          <w:szCs w:val="22"/>
        </w:rPr>
        <w:t>公布</w:t>
      </w:r>
      <w:r>
        <w:rPr>
          <w:rFonts w:hint="eastAsia" w:ascii="宋体" w:hAnsi="宋体" w:eastAsia="宋体" w:cs="Arial"/>
          <w:b w:val="0"/>
          <w:color w:val="auto"/>
          <w:sz w:val="22"/>
          <w:szCs w:val="22"/>
        </w:rPr>
        <w:t>供应</w:t>
      </w:r>
      <w:r>
        <w:rPr>
          <w:rFonts w:ascii="宋体" w:hAnsi="宋体" w:eastAsia="宋体" w:cs="Arial"/>
          <w:b w:val="0"/>
          <w:color w:val="auto"/>
          <w:sz w:val="22"/>
          <w:szCs w:val="22"/>
        </w:rPr>
        <w:t>技术</w:t>
      </w:r>
      <w:r>
        <w:rPr>
          <w:rFonts w:hint="eastAsia" w:ascii="宋体" w:hAnsi="宋体" w:eastAsia="宋体" w:cs="Arial"/>
          <w:b w:val="0"/>
          <w:color w:val="auto"/>
          <w:sz w:val="22"/>
          <w:szCs w:val="22"/>
        </w:rPr>
        <w:t>资信</w:t>
      </w:r>
      <w:r>
        <w:rPr>
          <w:rFonts w:ascii="宋体" w:hAnsi="宋体" w:eastAsia="宋体" w:cs="Arial"/>
          <w:b w:val="0"/>
          <w:color w:val="auto"/>
          <w:sz w:val="22"/>
          <w:szCs w:val="22"/>
        </w:rPr>
        <w:t>评审</w:t>
      </w:r>
      <w:r>
        <w:rPr>
          <w:rFonts w:hint="eastAsia" w:ascii="宋体" w:hAnsi="宋体" w:eastAsia="宋体" w:cs="Arial"/>
          <w:b w:val="0"/>
          <w:color w:val="auto"/>
          <w:sz w:val="22"/>
          <w:szCs w:val="22"/>
        </w:rPr>
        <w:t>后有效投标</w:t>
      </w:r>
      <w:r>
        <w:rPr>
          <w:rFonts w:ascii="宋体" w:hAnsi="宋体" w:eastAsia="宋体" w:cs="Arial"/>
          <w:b w:val="0"/>
          <w:color w:val="auto"/>
          <w:sz w:val="22"/>
          <w:szCs w:val="22"/>
        </w:rPr>
        <w:t>供应商</w:t>
      </w:r>
      <w:r>
        <w:rPr>
          <w:rFonts w:hint="eastAsia" w:ascii="宋体" w:hAnsi="宋体" w:eastAsia="宋体" w:cs="Arial"/>
          <w:b w:val="0"/>
          <w:color w:val="auto"/>
          <w:sz w:val="22"/>
          <w:szCs w:val="22"/>
        </w:rPr>
        <w:t>的</w:t>
      </w:r>
      <w:r>
        <w:rPr>
          <w:rFonts w:ascii="宋体" w:hAnsi="宋体" w:eastAsia="宋体" w:cs="Arial"/>
          <w:b w:val="0"/>
          <w:color w:val="auto"/>
          <w:sz w:val="22"/>
          <w:szCs w:val="22"/>
        </w:rPr>
        <w:t>名单及各供应商得分情况</w:t>
      </w:r>
      <w:r>
        <w:rPr>
          <w:rFonts w:hint="eastAsia" w:ascii="宋体" w:hAnsi="宋体" w:eastAsia="宋体" w:cs="Arial"/>
          <w:b w:val="0"/>
          <w:color w:val="auto"/>
          <w:sz w:val="22"/>
          <w:szCs w:val="22"/>
        </w:rPr>
        <w:t>。随后开启商务报价投标文件，通过发送邮件形式</w:t>
      </w:r>
      <w:r>
        <w:rPr>
          <w:rFonts w:ascii="宋体" w:hAnsi="宋体" w:eastAsia="宋体" w:cs="Arial"/>
          <w:b w:val="0"/>
          <w:color w:val="auto"/>
          <w:sz w:val="22"/>
          <w:szCs w:val="22"/>
        </w:rPr>
        <w:t>公布</w:t>
      </w:r>
      <w:r>
        <w:rPr>
          <w:rFonts w:hint="eastAsia" w:ascii="宋体" w:hAnsi="宋体" w:eastAsia="宋体" w:cs="Arial"/>
          <w:b w:val="0"/>
          <w:color w:val="auto"/>
          <w:sz w:val="22"/>
          <w:szCs w:val="22"/>
        </w:rPr>
        <w:t>供应商</w:t>
      </w:r>
      <w:r>
        <w:rPr>
          <w:rFonts w:ascii="宋体" w:hAnsi="宋体" w:eastAsia="宋体" w:cs="Arial"/>
          <w:b w:val="0"/>
          <w:color w:val="auto"/>
          <w:sz w:val="22"/>
          <w:szCs w:val="22"/>
        </w:rPr>
        <w:t>务</w:t>
      </w:r>
      <w:r>
        <w:rPr>
          <w:rFonts w:hint="eastAsia" w:ascii="宋体" w:hAnsi="宋体" w:eastAsia="宋体" w:cs="Arial"/>
          <w:b w:val="0"/>
          <w:color w:val="auto"/>
          <w:sz w:val="22"/>
          <w:szCs w:val="22"/>
        </w:rPr>
        <w:t>报价</w:t>
      </w:r>
      <w:r>
        <w:rPr>
          <w:rFonts w:ascii="宋体" w:hAnsi="宋体" w:eastAsia="宋体" w:cs="Arial"/>
          <w:b w:val="0"/>
          <w:color w:val="auto"/>
          <w:sz w:val="22"/>
          <w:szCs w:val="22"/>
        </w:rPr>
        <w:t>评审</w:t>
      </w:r>
      <w:r>
        <w:rPr>
          <w:rFonts w:hint="eastAsia" w:ascii="宋体" w:hAnsi="宋体" w:eastAsia="宋体" w:cs="Arial"/>
          <w:b w:val="0"/>
          <w:color w:val="auto"/>
          <w:sz w:val="22"/>
          <w:szCs w:val="22"/>
        </w:rPr>
        <w:t>后有效投标</w:t>
      </w:r>
      <w:r>
        <w:rPr>
          <w:rFonts w:ascii="宋体" w:hAnsi="宋体" w:eastAsia="宋体" w:cs="Arial"/>
          <w:b w:val="0"/>
          <w:color w:val="auto"/>
          <w:sz w:val="22"/>
          <w:szCs w:val="22"/>
        </w:rPr>
        <w:t>供应商</w:t>
      </w:r>
      <w:r>
        <w:rPr>
          <w:rFonts w:hint="eastAsia" w:ascii="宋体" w:hAnsi="宋体" w:eastAsia="宋体" w:cs="Arial"/>
          <w:b w:val="0"/>
          <w:color w:val="auto"/>
          <w:sz w:val="22"/>
          <w:szCs w:val="22"/>
        </w:rPr>
        <w:t>的</w:t>
      </w:r>
      <w:r>
        <w:rPr>
          <w:rFonts w:ascii="宋体" w:hAnsi="宋体" w:eastAsia="宋体" w:cs="Arial"/>
          <w:b w:val="0"/>
          <w:color w:val="auto"/>
          <w:sz w:val="22"/>
          <w:szCs w:val="22"/>
        </w:rPr>
        <w:t>名单及各供应商得分情况</w:t>
      </w:r>
      <w:r>
        <w:rPr>
          <w:rFonts w:hint="eastAsia" w:ascii="宋体" w:hAnsi="宋体" w:eastAsia="宋体" w:cs="Arial"/>
          <w:b w:val="0"/>
          <w:color w:val="auto"/>
          <w:sz w:val="22"/>
          <w:szCs w:val="22"/>
        </w:rPr>
        <w:t>。</w:t>
      </w:r>
    </w:p>
    <w:p w14:paraId="1D074654">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（7）评审结束后，通过发送邮件形式公布中标（成交）候选供应商名单，及采购人最终确定中标或成交供应商名单的时间和公告方式等。</w:t>
      </w:r>
    </w:p>
    <w:p w14:paraId="26010898">
      <w:pPr>
        <w:pStyle w:val="21"/>
        <w:spacing w:line="440" w:lineRule="atLeast"/>
        <w:ind w:firstLine="442" w:firstLineChars="200"/>
        <w:rPr>
          <w:rFonts w:hint="eastAsia" w:ascii="宋体" w:hAnsi="宋体" w:eastAsia="宋体" w:cs="Arial"/>
          <w:b w:val="0"/>
          <w:color w:val="auto"/>
          <w:sz w:val="22"/>
          <w:szCs w:val="22"/>
        </w:rPr>
      </w:pPr>
      <w:r>
        <w:rPr>
          <w:rFonts w:hint="eastAsia" w:ascii="宋体" w:hAnsi="宋体" w:eastAsia="宋体" w:cs="Arial"/>
          <w:color w:val="auto"/>
          <w:sz w:val="22"/>
          <w:szCs w:val="22"/>
        </w:rPr>
        <w:t>特别说明：如遇“乐采云平台”电子化开标或评审程序调整的，按调整后程序执行。</w:t>
      </w:r>
    </w:p>
    <w:p w14:paraId="10CDF3E4">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3、评标</w:t>
      </w:r>
    </w:p>
    <w:p w14:paraId="5873457F">
      <w:pPr>
        <w:pStyle w:val="21"/>
        <w:adjustRightInd w:val="0"/>
        <w:snapToGrid w:val="0"/>
        <w:spacing w:line="440" w:lineRule="atLeast"/>
        <w:ind w:firstLine="440" w:firstLineChars="200"/>
        <w:rPr>
          <w:rFonts w:hint="eastAsia" w:ascii="宋体" w:hAnsi="宋体" w:eastAsia="宋体"/>
          <w:b w:val="0"/>
          <w:color w:val="auto"/>
          <w:sz w:val="22"/>
          <w:szCs w:val="22"/>
        </w:rPr>
      </w:pPr>
      <w:r>
        <w:rPr>
          <w:rFonts w:hint="eastAsia" w:ascii="宋体" w:hAnsi="宋体" w:eastAsia="宋体" w:cs="Arial"/>
          <w:b w:val="0"/>
          <w:color w:val="auto"/>
          <w:sz w:val="22"/>
          <w:szCs w:val="22"/>
        </w:rPr>
        <w:t>3.1评标由采购人依法组建的评标委员会负责</w:t>
      </w:r>
      <w:r>
        <w:rPr>
          <w:rFonts w:hint="eastAsia" w:ascii="宋体" w:hAnsi="宋体" w:eastAsia="宋体"/>
          <w:b w:val="0"/>
          <w:color w:val="auto"/>
          <w:sz w:val="22"/>
          <w:szCs w:val="22"/>
        </w:rPr>
        <w:t>，并独立履行下列职责：</w:t>
      </w:r>
    </w:p>
    <w:p w14:paraId="4C90A19C">
      <w:pPr>
        <w:snapToGrid w:val="0"/>
        <w:spacing w:line="440" w:lineRule="atLeast"/>
        <w:ind w:firstLine="431" w:firstLineChars="196"/>
        <w:rPr>
          <w:rFonts w:hint="eastAsia" w:ascii="宋体" w:hAnsi="宋体"/>
          <w:b w:val="0"/>
          <w:color w:val="auto"/>
          <w:sz w:val="22"/>
          <w:szCs w:val="22"/>
        </w:rPr>
      </w:pPr>
      <w:r>
        <w:rPr>
          <w:rFonts w:hint="eastAsia" w:ascii="宋体" w:hAnsi="宋体"/>
          <w:b w:val="0"/>
          <w:color w:val="auto"/>
          <w:sz w:val="22"/>
          <w:szCs w:val="22"/>
        </w:rPr>
        <w:t>1）审查投标文件是否符合招标文件要求，并作出评价；</w:t>
      </w:r>
    </w:p>
    <w:p w14:paraId="016CD25A">
      <w:pPr>
        <w:snapToGrid w:val="0"/>
        <w:spacing w:line="440" w:lineRule="atLeast"/>
        <w:ind w:firstLine="440" w:firstLineChars="200"/>
        <w:rPr>
          <w:rFonts w:hint="eastAsia" w:ascii="宋体" w:hAnsi="宋体"/>
          <w:b w:val="0"/>
          <w:color w:val="auto"/>
          <w:sz w:val="22"/>
          <w:szCs w:val="22"/>
        </w:rPr>
      </w:pPr>
      <w:r>
        <w:rPr>
          <w:rFonts w:hint="eastAsia" w:ascii="宋体" w:hAnsi="宋体"/>
          <w:b w:val="0"/>
          <w:color w:val="auto"/>
          <w:sz w:val="22"/>
          <w:szCs w:val="22"/>
        </w:rPr>
        <w:t>2）要求投标供应商对投标文件有关事项作出解释或者澄清；</w:t>
      </w:r>
    </w:p>
    <w:p w14:paraId="31365F60">
      <w:pPr>
        <w:snapToGrid w:val="0"/>
        <w:spacing w:line="440" w:lineRule="atLeast"/>
        <w:ind w:firstLine="440" w:firstLineChars="200"/>
        <w:rPr>
          <w:rFonts w:hint="eastAsia" w:ascii="宋体" w:hAnsi="宋体"/>
          <w:b w:val="0"/>
          <w:color w:val="auto"/>
          <w:sz w:val="22"/>
          <w:szCs w:val="22"/>
        </w:rPr>
      </w:pPr>
      <w:r>
        <w:rPr>
          <w:rFonts w:hint="eastAsia" w:ascii="宋体" w:hAnsi="宋体"/>
          <w:b w:val="0"/>
          <w:color w:val="auto"/>
          <w:sz w:val="22"/>
          <w:szCs w:val="22"/>
        </w:rPr>
        <w:t>3）按照招标文件确定的评标办法向采购人推荐中标候选人；</w:t>
      </w:r>
    </w:p>
    <w:p w14:paraId="7A97C8D8">
      <w:pPr>
        <w:pStyle w:val="21"/>
        <w:adjustRightInd w:val="0"/>
        <w:snapToGrid w:val="0"/>
        <w:spacing w:line="440" w:lineRule="atLeast"/>
        <w:ind w:firstLine="431" w:firstLineChars="196"/>
        <w:rPr>
          <w:rFonts w:hint="eastAsia" w:ascii="宋体" w:hAnsi="宋体" w:eastAsia="宋体"/>
          <w:b w:val="0"/>
          <w:color w:val="auto"/>
          <w:sz w:val="22"/>
          <w:szCs w:val="22"/>
        </w:rPr>
      </w:pPr>
      <w:r>
        <w:rPr>
          <w:rFonts w:hint="eastAsia" w:ascii="宋体" w:hAnsi="宋体" w:eastAsia="宋体"/>
          <w:b w:val="0"/>
          <w:color w:val="auto"/>
          <w:sz w:val="22"/>
          <w:szCs w:val="22"/>
        </w:rPr>
        <w:t>4）向采购机构或者有关部门报告非法干预评标工作的行为。</w:t>
      </w:r>
    </w:p>
    <w:p w14:paraId="2FC7121B">
      <w:pPr>
        <w:snapToGrid w:val="0"/>
        <w:spacing w:line="440" w:lineRule="atLeast"/>
        <w:ind w:firstLine="431" w:firstLineChars="196"/>
        <w:rPr>
          <w:rFonts w:hint="eastAsia" w:ascii="宋体" w:hAnsi="宋体"/>
          <w:b w:val="0"/>
          <w:color w:val="auto"/>
          <w:sz w:val="22"/>
          <w:szCs w:val="22"/>
        </w:rPr>
      </w:pPr>
      <w:r>
        <w:rPr>
          <w:rFonts w:hint="eastAsia" w:ascii="宋体" w:hAnsi="宋体"/>
          <w:b w:val="0"/>
          <w:color w:val="auto"/>
          <w:sz w:val="22"/>
          <w:szCs w:val="22"/>
        </w:rPr>
        <w:t>3.2评标应当遵循下列工作程序：</w:t>
      </w:r>
    </w:p>
    <w:p w14:paraId="4C736243">
      <w:pPr>
        <w:snapToGrid w:val="0"/>
        <w:spacing w:line="440" w:lineRule="atLeast"/>
        <w:ind w:firstLine="440" w:firstLineChars="200"/>
        <w:rPr>
          <w:rFonts w:hint="eastAsia" w:ascii="宋体" w:hAnsi="宋体"/>
          <w:b w:val="0"/>
          <w:color w:val="auto"/>
          <w:sz w:val="22"/>
          <w:szCs w:val="22"/>
        </w:rPr>
      </w:pPr>
      <w:r>
        <w:rPr>
          <w:rFonts w:hint="eastAsia" w:ascii="宋体" w:hAnsi="宋体"/>
          <w:b w:val="0"/>
          <w:color w:val="auto"/>
          <w:sz w:val="22"/>
          <w:szCs w:val="22"/>
        </w:rPr>
        <w:t>1）投标文件初审。初审分为资格性检查和符合性检查。</w:t>
      </w:r>
    </w:p>
    <w:p w14:paraId="62CCA825">
      <w:pPr>
        <w:snapToGrid w:val="0"/>
        <w:spacing w:line="440" w:lineRule="atLeast"/>
        <w:ind w:firstLine="440" w:firstLineChars="200"/>
        <w:rPr>
          <w:rFonts w:hint="eastAsia" w:ascii="宋体" w:hAnsi="宋体"/>
          <w:b w:val="0"/>
          <w:color w:val="auto"/>
          <w:sz w:val="22"/>
          <w:szCs w:val="22"/>
        </w:rPr>
      </w:pPr>
      <w:r>
        <w:rPr>
          <w:rFonts w:hint="eastAsia" w:ascii="宋体" w:hAnsi="宋体"/>
          <w:b w:val="0"/>
          <w:color w:val="auto"/>
          <w:sz w:val="22"/>
          <w:szCs w:val="22"/>
        </w:rPr>
        <w:t>（1）资格性检查。依据法律法规和招标文件的规定，对投标文件中的资格证明等进行审查，以确定投标供应商是否具备投标资格。</w:t>
      </w:r>
    </w:p>
    <w:p w14:paraId="1554027A">
      <w:pPr>
        <w:snapToGrid w:val="0"/>
        <w:spacing w:line="440" w:lineRule="atLeast"/>
        <w:ind w:firstLine="440" w:firstLineChars="200"/>
        <w:rPr>
          <w:rFonts w:hint="eastAsia" w:ascii="宋体" w:hAnsi="宋体"/>
          <w:b w:val="0"/>
          <w:color w:val="auto"/>
          <w:sz w:val="22"/>
          <w:szCs w:val="22"/>
        </w:rPr>
      </w:pPr>
      <w:r>
        <w:rPr>
          <w:rFonts w:hint="eastAsia" w:ascii="宋体" w:hAnsi="宋体"/>
          <w:b w:val="0"/>
          <w:color w:val="auto"/>
          <w:sz w:val="22"/>
          <w:szCs w:val="22"/>
        </w:rPr>
        <w:t>（2）符合性检查。依据招标文件的规定，从投标文件的有效性、完整性和对招标文件的响应程度进行审查，以确定是否对招标文件的实质性要求作出响应。</w:t>
      </w:r>
    </w:p>
    <w:p w14:paraId="11E1327D">
      <w:pPr>
        <w:snapToGrid w:val="0"/>
        <w:spacing w:line="440" w:lineRule="atLeast"/>
        <w:ind w:firstLine="440" w:firstLineChars="200"/>
        <w:rPr>
          <w:rFonts w:hint="eastAsia" w:ascii="宋体" w:hAnsi="宋体"/>
          <w:b w:val="0"/>
          <w:color w:val="auto"/>
          <w:sz w:val="22"/>
          <w:szCs w:val="22"/>
        </w:rPr>
      </w:pPr>
      <w:r>
        <w:rPr>
          <w:rFonts w:ascii="宋体" w:hAnsi="宋体"/>
          <w:b w:val="0"/>
          <w:color w:val="auto"/>
          <w:sz w:val="22"/>
          <w:szCs w:val="22"/>
        </w:rPr>
        <w:t>2</w:t>
      </w:r>
      <w:r>
        <w:rPr>
          <w:rFonts w:hint="eastAsia" w:ascii="宋体" w:hAnsi="宋体"/>
          <w:b w:val="0"/>
          <w:color w:val="auto"/>
          <w:sz w:val="22"/>
          <w:szCs w:val="22"/>
        </w:rPr>
        <w:t>）比较与评价。按招标文件中规定的评标方法和标准，对资格性检查和符合性检查合格的投标文件进行商务和技术评估，综合比较与评价。</w:t>
      </w:r>
    </w:p>
    <w:p w14:paraId="1C789068">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3.3、</w:t>
      </w:r>
      <w:r>
        <w:rPr>
          <w:rFonts w:hint="eastAsia" w:ascii="宋体" w:hAnsi="宋体" w:eastAsia="宋体" w:cs="Arial"/>
          <w:color w:val="auto"/>
          <w:sz w:val="22"/>
          <w:szCs w:val="22"/>
        </w:rPr>
        <w:t>评标时发现投标文件有下列情形之一的属于重大偏差(评标委员会按少数服从多数原则认定),按照无效投标处理：</w:t>
      </w:r>
    </w:p>
    <w:p w14:paraId="10CAB016">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1）未按招标文件要求编制或字迹模糊、辨认不清的投标文件；</w:t>
      </w:r>
    </w:p>
    <w:p w14:paraId="43C013CA">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2）供应商递交两份或两份以上内容不同的投标文件，未声明其中一份为有效的或同一投标文件中出现有选择性的报价，未声明以其中一个报价为准的；</w:t>
      </w:r>
    </w:p>
    <w:p w14:paraId="7FEA1C87">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3）投标文件中投标函、法定代表人授权委托书、开标一览表中没有加盖有效公章；</w:t>
      </w:r>
    </w:p>
    <w:p w14:paraId="45A9BCE1">
      <w:pPr>
        <w:pStyle w:val="21"/>
        <w:adjustRightInd w:val="0"/>
        <w:snapToGrid w:val="0"/>
        <w:spacing w:line="440" w:lineRule="atLeast"/>
        <w:ind w:firstLine="440" w:firstLineChars="200"/>
        <w:rPr>
          <w:rFonts w:hint="eastAsia" w:ascii="宋体" w:hAnsi="宋体" w:eastAsia="宋体"/>
          <w:b w:val="0"/>
          <w:color w:val="auto"/>
          <w:sz w:val="22"/>
        </w:rPr>
      </w:pPr>
      <w:r>
        <w:rPr>
          <w:rFonts w:hint="eastAsia" w:ascii="宋体" w:hAnsi="宋体" w:eastAsia="宋体"/>
          <w:b w:val="0"/>
          <w:color w:val="auto"/>
          <w:sz w:val="22"/>
        </w:rPr>
        <w:t>5）</w:t>
      </w:r>
      <w:r>
        <w:rPr>
          <w:rFonts w:hint="eastAsia" w:ascii="宋体" w:hAnsi="宋体" w:eastAsia="宋体" w:cs="Arial"/>
          <w:b w:val="0"/>
          <w:color w:val="auto"/>
          <w:sz w:val="22"/>
          <w:szCs w:val="22"/>
        </w:rPr>
        <w:t>投标文件中未提供</w:t>
      </w:r>
      <w:r>
        <w:rPr>
          <w:rFonts w:hint="eastAsia" w:ascii="宋体" w:hAnsi="宋体" w:eastAsia="宋体"/>
          <w:b w:val="0"/>
          <w:color w:val="auto"/>
          <w:sz w:val="22"/>
        </w:rPr>
        <w:t>供应商营业执照（或事业单位法人证书）、税务登记证或三（五）证合一证照的（复印件加盖投标人公章）；</w:t>
      </w:r>
    </w:p>
    <w:p w14:paraId="1FD9EC83">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b w:val="0"/>
          <w:color w:val="auto"/>
          <w:sz w:val="22"/>
        </w:rPr>
        <w:t>6）</w:t>
      </w:r>
      <w:r>
        <w:rPr>
          <w:rFonts w:hint="eastAsia" w:ascii="宋体" w:hAnsi="宋体" w:eastAsia="宋体" w:cs="Arial"/>
          <w:b w:val="0"/>
          <w:color w:val="auto"/>
          <w:sz w:val="22"/>
          <w:szCs w:val="22"/>
        </w:rPr>
        <w:t>供应商技术资信投标文件中出现投标产品的商务报价；</w:t>
      </w:r>
    </w:p>
    <w:p w14:paraId="6B055BFD">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7</w:t>
      </w:r>
      <w:r>
        <w:rPr>
          <w:rFonts w:hint="eastAsia" w:ascii="宋体" w:hAnsi="宋体" w:eastAsia="宋体" w:cs="Arial"/>
          <w:b w:val="0"/>
          <w:color w:val="auto"/>
          <w:sz w:val="22"/>
          <w:szCs w:val="22"/>
        </w:rPr>
        <w:t>）明显不符合技术规格、技术标准的要求或不满足招标文件技术的主要参数或提出的偏离采购人不予接受的投标文件；</w:t>
      </w:r>
    </w:p>
    <w:p w14:paraId="6F696FBA">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8</w:t>
      </w:r>
      <w:r>
        <w:rPr>
          <w:rFonts w:hint="eastAsia" w:ascii="宋体" w:hAnsi="宋体" w:eastAsia="宋体" w:cs="Arial"/>
          <w:b w:val="0"/>
          <w:color w:val="auto"/>
          <w:sz w:val="22"/>
          <w:szCs w:val="22"/>
        </w:rPr>
        <w:t>）不符合招标文件中规定的其他实质性要求的投标文件(是否为实质性偏离由评标委员会按少数服从多数原则认定)；</w:t>
      </w:r>
    </w:p>
    <w:p w14:paraId="41FCC3AE">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9</w:t>
      </w:r>
      <w:r>
        <w:rPr>
          <w:rFonts w:hint="eastAsia" w:ascii="宋体" w:hAnsi="宋体" w:eastAsia="宋体" w:cs="Arial"/>
          <w:b w:val="0"/>
          <w:color w:val="auto"/>
          <w:sz w:val="22"/>
          <w:szCs w:val="22"/>
        </w:rPr>
        <w:t>）供应商的</w:t>
      </w:r>
      <w:r>
        <w:rPr>
          <w:rFonts w:hint="eastAsia" w:ascii="宋体" w:hAnsi="宋体" w:eastAsia="宋体"/>
          <w:b w:val="0"/>
          <w:color w:val="auto"/>
          <w:sz w:val="22"/>
          <w:szCs w:val="22"/>
        </w:rPr>
        <w:t>投标文件</w:t>
      </w:r>
      <w:r>
        <w:rPr>
          <w:rFonts w:hint="eastAsia" w:ascii="宋体" w:hAnsi="宋体" w:eastAsia="宋体" w:cs="Arial"/>
          <w:b w:val="0"/>
          <w:color w:val="auto"/>
          <w:sz w:val="22"/>
          <w:szCs w:val="22"/>
        </w:rPr>
        <w:t>中有不明确的问题或其报价明显不合理且又不能合理说明（解释清楚）或者不能提供相关证明材料的；</w:t>
      </w:r>
    </w:p>
    <w:p w14:paraId="28F9B538">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1</w:t>
      </w:r>
      <w:r>
        <w:rPr>
          <w:rFonts w:ascii="宋体" w:hAnsi="宋体" w:eastAsia="宋体" w:cs="Arial"/>
          <w:b w:val="0"/>
          <w:color w:val="auto"/>
          <w:sz w:val="22"/>
          <w:szCs w:val="22"/>
        </w:rPr>
        <w:t>0</w:t>
      </w:r>
      <w:r>
        <w:rPr>
          <w:rFonts w:hint="eastAsia" w:ascii="宋体" w:hAnsi="宋体" w:eastAsia="宋体" w:cs="Arial"/>
          <w:b w:val="0"/>
          <w:color w:val="auto"/>
          <w:sz w:val="22"/>
          <w:szCs w:val="22"/>
        </w:rPr>
        <w:t>）</w:t>
      </w:r>
      <w:r>
        <w:rPr>
          <w:rFonts w:ascii="宋体" w:hAnsi="宋体" w:eastAsia="宋体" w:cs="Arial"/>
          <w:b w:val="0"/>
          <w:color w:val="auto"/>
          <w:sz w:val="22"/>
          <w:szCs w:val="22"/>
        </w:rPr>
        <w:t>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p>
    <w:p w14:paraId="0FC95143">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1</w:t>
      </w:r>
      <w:r>
        <w:rPr>
          <w:rFonts w:ascii="宋体" w:hAnsi="宋体" w:eastAsia="宋体" w:cs="Arial"/>
          <w:b w:val="0"/>
          <w:color w:val="auto"/>
          <w:sz w:val="22"/>
          <w:szCs w:val="22"/>
        </w:rPr>
        <w:t>1</w:t>
      </w:r>
      <w:r>
        <w:rPr>
          <w:rFonts w:hint="eastAsia" w:ascii="宋体" w:hAnsi="宋体" w:eastAsia="宋体" w:cs="Arial"/>
          <w:b w:val="0"/>
          <w:color w:val="auto"/>
          <w:sz w:val="22"/>
          <w:szCs w:val="22"/>
        </w:rPr>
        <w:t>）存在串标、抬标或弄虚作假情况的</w:t>
      </w:r>
    </w:p>
    <w:p w14:paraId="6B1576BF">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1</w:t>
      </w:r>
      <w:r>
        <w:rPr>
          <w:rFonts w:ascii="宋体" w:hAnsi="宋体" w:eastAsia="宋体" w:cs="Arial"/>
          <w:b w:val="0"/>
          <w:color w:val="auto"/>
          <w:sz w:val="22"/>
          <w:szCs w:val="22"/>
        </w:rPr>
        <w:t>2</w:t>
      </w:r>
      <w:r>
        <w:rPr>
          <w:rFonts w:hint="eastAsia" w:ascii="宋体" w:hAnsi="宋体" w:eastAsia="宋体" w:cs="Arial"/>
          <w:b w:val="0"/>
          <w:color w:val="auto"/>
          <w:sz w:val="22"/>
          <w:szCs w:val="22"/>
        </w:rPr>
        <w:t>）对关键条文的偏离、保留或反对，例如关于适用法律、税及关税、质量保证期等其他内容</w:t>
      </w:r>
    </w:p>
    <w:p w14:paraId="75EE89F2">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1</w:t>
      </w:r>
      <w:r>
        <w:rPr>
          <w:rFonts w:ascii="宋体" w:hAnsi="宋体" w:eastAsia="宋体" w:cs="Arial"/>
          <w:b w:val="0"/>
          <w:color w:val="auto"/>
          <w:sz w:val="22"/>
          <w:szCs w:val="22"/>
        </w:rPr>
        <w:t>3</w:t>
      </w:r>
      <w:r>
        <w:rPr>
          <w:rFonts w:hint="eastAsia" w:ascii="宋体" w:hAnsi="宋体" w:eastAsia="宋体" w:cs="Arial"/>
          <w:b w:val="0"/>
          <w:color w:val="auto"/>
          <w:sz w:val="22"/>
          <w:szCs w:val="22"/>
        </w:rPr>
        <w:t>）仅提交“备份投标文件”的；</w:t>
      </w:r>
    </w:p>
    <w:p w14:paraId="1404B135">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1</w:t>
      </w:r>
      <w:r>
        <w:rPr>
          <w:rFonts w:ascii="宋体" w:hAnsi="宋体" w:eastAsia="宋体" w:cs="Arial"/>
          <w:b w:val="0"/>
          <w:color w:val="auto"/>
          <w:sz w:val="22"/>
          <w:szCs w:val="22"/>
        </w:rPr>
        <w:t>4</w:t>
      </w:r>
      <w:r>
        <w:rPr>
          <w:rFonts w:hint="eastAsia" w:ascii="宋体" w:hAnsi="宋体" w:eastAsia="宋体" w:cs="Arial"/>
          <w:b w:val="0"/>
          <w:color w:val="auto"/>
          <w:sz w:val="22"/>
          <w:szCs w:val="22"/>
        </w:rPr>
        <w:t>)其他经评标委员会认定的未能在实质上响应的或违反国家有关规定的投标文件。</w:t>
      </w:r>
    </w:p>
    <w:p w14:paraId="37FDAB7A">
      <w:pPr>
        <w:pStyle w:val="21"/>
        <w:adjustRightInd w:val="0"/>
        <w:snapToGrid w:val="0"/>
        <w:spacing w:line="460" w:lineRule="atLeast"/>
        <w:ind w:firstLine="330" w:firstLineChars="150"/>
        <w:rPr>
          <w:rFonts w:hint="eastAsia" w:ascii="宋体" w:hAnsi="宋体" w:eastAsia="宋体"/>
          <w:b w:val="0"/>
          <w:color w:val="auto"/>
          <w:sz w:val="22"/>
          <w:szCs w:val="22"/>
        </w:rPr>
      </w:pPr>
      <w:r>
        <w:rPr>
          <w:rFonts w:hint="eastAsia" w:ascii="宋体" w:hAnsi="宋体" w:eastAsia="宋体"/>
          <w:b w:val="0"/>
          <w:color w:val="auto"/>
          <w:sz w:val="22"/>
          <w:szCs w:val="22"/>
        </w:rPr>
        <w:t>3.4、开启供应商商务报价文件后发现价格、数量有误，其投标价将按下述原则处理：</w:t>
      </w:r>
    </w:p>
    <w:p w14:paraId="1848A99A">
      <w:pPr>
        <w:adjustRightInd w:val="0"/>
        <w:snapToGrid w:val="0"/>
        <w:spacing w:line="460" w:lineRule="atLeast"/>
        <w:ind w:firstLine="440" w:firstLineChars="200"/>
        <w:rPr>
          <w:rFonts w:hint="eastAsia" w:ascii="宋体" w:hAnsi="宋体"/>
          <w:b w:val="0"/>
          <w:color w:val="auto"/>
          <w:sz w:val="22"/>
          <w:szCs w:val="22"/>
        </w:rPr>
      </w:pPr>
      <w:r>
        <w:rPr>
          <w:rFonts w:hint="eastAsia" w:ascii="宋体" w:hAnsi="宋体"/>
          <w:b w:val="0"/>
          <w:color w:val="auto"/>
          <w:sz w:val="22"/>
          <w:szCs w:val="22"/>
        </w:rPr>
        <w:t>1)任何有漏去一些小项货物或服务的将被视为其费用已包含在投标总价中，投标价格不予调整。如果供应商不接受上述处理方式，将做为无效投标。</w:t>
      </w:r>
    </w:p>
    <w:p w14:paraId="581D86CD">
      <w:pPr>
        <w:adjustRightInd w:val="0"/>
        <w:snapToGrid w:val="0"/>
        <w:spacing w:line="460" w:lineRule="atLeast"/>
        <w:ind w:firstLine="440" w:firstLineChars="200"/>
        <w:rPr>
          <w:rFonts w:hint="eastAsia" w:ascii="宋体" w:hAnsi="宋体"/>
          <w:b w:val="0"/>
          <w:color w:val="auto"/>
          <w:sz w:val="22"/>
          <w:szCs w:val="22"/>
        </w:rPr>
      </w:pPr>
      <w:r>
        <w:rPr>
          <w:rFonts w:hint="eastAsia" w:ascii="宋体" w:hAnsi="宋体"/>
          <w:b w:val="0"/>
          <w:color w:val="auto"/>
          <w:sz w:val="22"/>
          <w:szCs w:val="22"/>
        </w:rPr>
        <w:t>2)任何有多报一些小项工程或货物的其投标价不予调整，如果该供应商中标，则合同价格必须为核减掉多报的一些小项工程或货物后的价格。如果供应商不接受上述处理方式，将做为无效投标。</w:t>
      </w:r>
    </w:p>
    <w:p w14:paraId="0B3A2ACD">
      <w:pPr>
        <w:adjustRightInd w:val="0"/>
        <w:snapToGrid w:val="0"/>
        <w:spacing w:line="460" w:lineRule="atLeast"/>
        <w:ind w:firstLine="440" w:firstLineChars="200"/>
        <w:rPr>
          <w:rFonts w:hint="eastAsia" w:ascii="宋体" w:hAnsi="宋体"/>
          <w:b w:val="0"/>
          <w:color w:val="auto"/>
          <w:sz w:val="22"/>
          <w:szCs w:val="22"/>
        </w:rPr>
      </w:pPr>
      <w:r>
        <w:rPr>
          <w:rFonts w:hint="eastAsia" w:ascii="宋体" w:hAnsi="宋体"/>
          <w:b w:val="0"/>
          <w:color w:val="auto"/>
          <w:sz w:val="22"/>
          <w:szCs w:val="22"/>
        </w:rPr>
        <w:t>3）对于计算错误的其投标价不予调整，如果该供应商中标，如其投标价格计算错误导致实际价格增加，则合同价格必须为计算正确的实际价格。如果供应商不接受上述处理方式，将做为无效投标。</w:t>
      </w:r>
    </w:p>
    <w:p w14:paraId="42AA9D48">
      <w:pPr>
        <w:adjustRightInd w:val="0"/>
        <w:snapToGrid w:val="0"/>
        <w:spacing w:line="460" w:lineRule="atLeast"/>
        <w:ind w:firstLine="440" w:firstLineChars="200"/>
        <w:rPr>
          <w:rFonts w:hint="eastAsia" w:ascii="宋体" w:hAnsi="宋体"/>
          <w:b w:val="0"/>
          <w:color w:val="auto"/>
          <w:sz w:val="22"/>
          <w:szCs w:val="22"/>
        </w:rPr>
      </w:pPr>
      <w:r>
        <w:rPr>
          <w:rFonts w:hint="eastAsia" w:ascii="宋体" w:hAnsi="宋体"/>
          <w:b w:val="0"/>
          <w:color w:val="auto"/>
          <w:sz w:val="22"/>
          <w:szCs w:val="22"/>
        </w:rPr>
        <w:t>4）对于计算错误，多报或漏报的一些小项工程或货物、服务的仅仅为非实质性重大偏差范围内的偏离，并经过评标委员会按少数服从多数原则认定为细微偏差，评审时其投标价不予调整。如评标委员会按少数服从多数原则认定为重大偏差的，其投标做无效投标处理。</w:t>
      </w:r>
    </w:p>
    <w:p w14:paraId="7DABF47C">
      <w:pPr>
        <w:adjustRightInd w:val="0"/>
        <w:snapToGrid w:val="0"/>
        <w:spacing w:line="440" w:lineRule="atLeast"/>
        <w:ind w:firstLine="440" w:firstLineChars="200"/>
        <w:rPr>
          <w:rFonts w:hint="eastAsia" w:ascii="宋体" w:hAnsi="宋体" w:cs="Arial"/>
          <w:b w:val="0"/>
          <w:color w:val="auto"/>
          <w:sz w:val="22"/>
          <w:szCs w:val="22"/>
        </w:rPr>
      </w:pPr>
      <w:r>
        <w:rPr>
          <w:rFonts w:hint="eastAsia" w:ascii="宋体" w:hAnsi="宋体" w:cs="Arial"/>
          <w:b w:val="0"/>
          <w:color w:val="auto"/>
          <w:sz w:val="22"/>
          <w:szCs w:val="22"/>
        </w:rPr>
        <w:t>3.5、实质上没有响应招标文件要求的投标将被拒绝。评标委员会不得通过询标使供应商修正或撤消不合要求的偏离从而使其投标成为实质上响应的投标。</w:t>
      </w:r>
    </w:p>
    <w:p w14:paraId="26575341">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3.6、评标委员会对投标文件的判定，只依据投标内容本身，不依靠开标后的任何外来证明。</w:t>
      </w:r>
    </w:p>
    <w:p w14:paraId="4E382C0D">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3.7、评标委员会</w:t>
      </w:r>
      <w:r>
        <w:rPr>
          <w:rFonts w:hint="eastAsia" w:ascii="宋体" w:hAnsi="宋体" w:eastAsia="宋体"/>
          <w:b w:val="0"/>
          <w:color w:val="auto"/>
          <w:sz w:val="22"/>
          <w:szCs w:val="22"/>
        </w:rPr>
        <w:t>在评标中，不得改变招标文件中规定的评标标准、方法和中标条件。</w:t>
      </w:r>
    </w:p>
    <w:p w14:paraId="5D8AEC2F">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4、投标文件的澄清</w:t>
      </w:r>
    </w:p>
    <w:p w14:paraId="34B15558">
      <w:pPr>
        <w:snapToGrid w:val="0"/>
        <w:spacing w:line="440" w:lineRule="atLeast"/>
        <w:ind w:firstLine="433" w:firstLineChars="196"/>
        <w:rPr>
          <w:rFonts w:hint="eastAsia" w:ascii="宋体" w:hAnsi="宋体" w:cs="Arial"/>
          <w:color w:val="auto"/>
          <w:sz w:val="22"/>
          <w:szCs w:val="22"/>
        </w:rPr>
      </w:pPr>
      <w:r>
        <w:rPr>
          <w:rFonts w:hint="eastAsia" w:ascii="宋体" w:hAnsi="宋体" w:cs="Arial"/>
          <w:color w:val="auto"/>
          <w:sz w:val="22"/>
          <w:szCs w:val="22"/>
        </w:rPr>
        <w:t>（1）对于投标文件中含义不明确、同类问题表述不一致或者有明显文字和计算错误的内容，评标委员会将以书面形式（或通过“乐采云平台”在线询标）的形式要求</w:t>
      </w:r>
      <w:r>
        <w:rPr>
          <w:rFonts w:ascii="宋体" w:hAnsi="宋体" w:cs="Arial"/>
          <w:color w:val="auto"/>
          <w:sz w:val="22"/>
          <w:szCs w:val="22"/>
        </w:rPr>
        <w:t>投标供应商</w:t>
      </w:r>
      <w:r>
        <w:rPr>
          <w:rFonts w:hint="eastAsia" w:ascii="宋体" w:hAnsi="宋体" w:cs="Arial"/>
          <w:color w:val="auto"/>
          <w:sz w:val="22"/>
          <w:szCs w:val="22"/>
        </w:rPr>
        <w:t>在规定的时间内作出必要的澄清、说明或者补正，投标供应商澄清、说明或补正时间为30分钟。</w:t>
      </w:r>
    </w:p>
    <w:p w14:paraId="7857AB99">
      <w:pPr>
        <w:snapToGrid w:val="0"/>
        <w:spacing w:line="440" w:lineRule="atLeast"/>
        <w:ind w:firstLine="433" w:firstLineChars="196"/>
        <w:rPr>
          <w:rFonts w:hint="eastAsia" w:ascii="宋体" w:hAnsi="宋体" w:cs="Arial"/>
          <w:b w:val="0"/>
          <w:color w:val="auto"/>
          <w:sz w:val="22"/>
          <w:szCs w:val="22"/>
        </w:rPr>
      </w:pPr>
      <w:r>
        <w:rPr>
          <w:rFonts w:ascii="宋体" w:hAnsi="宋体" w:cs="Arial"/>
          <w:color w:val="auto"/>
          <w:sz w:val="22"/>
          <w:szCs w:val="22"/>
        </w:rPr>
        <w:t>（</w:t>
      </w:r>
      <w:r>
        <w:rPr>
          <w:rFonts w:hint="eastAsia" w:ascii="宋体" w:hAnsi="宋体" w:cs="Arial"/>
          <w:color w:val="auto"/>
          <w:sz w:val="22"/>
          <w:szCs w:val="22"/>
        </w:rPr>
        <w:t>2</w:t>
      </w:r>
      <w:r>
        <w:rPr>
          <w:rFonts w:ascii="宋体" w:hAnsi="宋体" w:cs="Arial"/>
          <w:color w:val="auto"/>
          <w:sz w:val="22"/>
          <w:szCs w:val="22"/>
        </w:rPr>
        <w:t>）投标供应商</w:t>
      </w:r>
      <w:r>
        <w:rPr>
          <w:rFonts w:hint="eastAsia" w:ascii="宋体" w:hAnsi="宋体" w:cs="Arial"/>
          <w:color w:val="auto"/>
          <w:sz w:val="22"/>
          <w:szCs w:val="22"/>
        </w:rPr>
        <w:t>的澄清、说明或者补正应当采用书面（或通过“乐采云平台”在线答复）形式提交，并加盖公章，或者由法定代表人或其授权的代表签字。</w:t>
      </w:r>
      <w:r>
        <w:rPr>
          <w:rFonts w:ascii="宋体" w:hAnsi="宋体" w:cs="Arial"/>
          <w:color w:val="auto"/>
          <w:sz w:val="22"/>
          <w:szCs w:val="22"/>
        </w:rPr>
        <w:t>投标供应商</w:t>
      </w:r>
      <w:r>
        <w:rPr>
          <w:rFonts w:hint="eastAsia" w:ascii="宋体" w:hAnsi="宋体" w:cs="Arial"/>
          <w:color w:val="auto"/>
          <w:sz w:val="22"/>
          <w:szCs w:val="22"/>
        </w:rPr>
        <w:t>的澄清、说明或者补正不得超出投标文件的范围或者改变投标文件的实质性内容。</w:t>
      </w:r>
    </w:p>
    <w:p w14:paraId="2E321399">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b w:val="0"/>
          <w:color w:val="auto"/>
          <w:sz w:val="22"/>
          <w:szCs w:val="22"/>
        </w:rPr>
        <w:t>5、</w:t>
      </w:r>
      <w:r>
        <w:rPr>
          <w:rFonts w:hint="eastAsia" w:ascii="宋体" w:hAnsi="宋体" w:eastAsia="宋体" w:cs="Arial"/>
          <w:b w:val="0"/>
          <w:color w:val="auto"/>
          <w:sz w:val="22"/>
          <w:szCs w:val="22"/>
        </w:rPr>
        <w:t>评标原则</w:t>
      </w:r>
    </w:p>
    <w:p w14:paraId="37B4C94E">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评标委员会按照招标文件的要求和条件对投标文件进行商务和技术评估，综合比较与评价。</w:t>
      </w:r>
    </w:p>
    <w:p w14:paraId="4A63D1B0">
      <w:pPr>
        <w:pStyle w:val="21"/>
        <w:adjustRightInd w:val="0"/>
        <w:snapToGrid w:val="0"/>
        <w:spacing w:line="440" w:lineRule="atLeast"/>
        <w:ind w:firstLine="421" w:firstLineChars="162"/>
        <w:rPr>
          <w:rFonts w:hint="eastAsia" w:ascii="宋体" w:hAnsi="宋体" w:eastAsia="宋体" w:cs="Arial"/>
          <w:b w:val="0"/>
          <w:color w:val="auto"/>
          <w:sz w:val="22"/>
          <w:szCs w:val="22"/>
        </w:rPr>
      </w:pPr>
      <w:r>
        <w:rPr>
          <w:rFonts w:hint="eastAsia" w:ascii="宋体" w:hAnsi="宋体" w:eastAsia="宋体" w:cs="Arial"/>
          <w:b w:val="0"/>
          <w:color w:val="auto"/>
          <w:spacing w:val="20"/>
          <w:sz w:val="22"/>
          <w:szCs w:val="22"/>
        </w:rPr>
        <w:t>评标办法：</w:t>
      </w:r>
      <w:r>
        <w:rPr>
          <w:rFonts w:hint="eastAsia" w:ascii="宋体" w:hAnsi="宋体" w:eastAsia="宋体" w:cs="Arial"/>
          <w:b w:val="0"/>
          <w:color w:val="auto"/>
          <w:sz w:val="22"/>
          <w:szCs w:val="22"/>
        </w:rPr>
        <w:t>采用综合评分法,将最大限度地满足招标文件中规定的各项综合评价标准第一名的供应商,推荐为中标候选人（附后）。</w:t>
      </w:r>
    </w:p>
    <w:p w14:paraId="3E3C244A">
      <w:pPr>
        <w:pStyle w:val="4"/>
        <w:tabs>
          <w:tab w:val="clear" w:pos="720"/>
        </w:tabs>
        <w:spacing w:before="0" w:after="120" w:line="700" w:lineRule="exact"/>
        <w:ind w:left="0" w:firstLine="0"/>
        <w:rPr>
          <w:rFonts w:hint="eastAsia" w:ascii="宋体" w:hAnsi="宋体" w:eastAsia="宋体"/>
          <w:b/>
          <w:color w:val="auto"/>
          <w:sz w:val="22"/>
          <w:szCs w:val="22"/>
        </w:rPr>
      </w:pPr>
      <w:bookmarkStart w:id="46" w:name="_Toc132123636"/>
      <w:bookmarkStart w:id="47" w:name="_Toc132122121"/>
      <w:bookmarkStart w:id="48" w:name="_Toc132126156"/>
      <w:bookmarkStart w:id="49" w:name="_Toc132123549"/>
      <w:bookmarkStart w:id="50" w:name="_Toc132124596"/>
      <w:bookmarkStart w:id="51" w:name="_Toc132125985"/>
      <w:bookmarkStart w:id="52" w:name="_Toc132125039"/>
      <w:bookmarkStart w:id="53" w:name="_Toc132123441"/>
      <w:bookmarkStart w:id="54" w:name="_Toc132122418"/>
      <w:bookmarkStart w:id="55" w:name="_Toc132123840"/>
      <w:bookmarkStart w:id="56" w:name="_Toc132125153"/>
      <w:bookmarkStart w:id="57" w:name="_Toc132125097"/>
      <w:bookmarkStart w:id="58" w:name="_Toc132123883"/>
      <w:bookmarkStart w:id="59" w:name="_Toc132125576"/>
      <w:bookmarkStart w:id="60" w:name="_Toc132655778"/>
      <w:r>
        <w:rPr>
          <w:rFonts w:hint="eastAsia" w:ascii="宋体" w:hAnsi="宋体" w:eastAsia="宋体"/>
          <w:b/>
          <w:color w:val="auto"/>
          <w:sz w:val="22"/>
          <w:szCs w:val="22"/>
        </w:rPr>
        <w:t>六、授予合同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86B2DA7">
      <w:pPr>
        <w:pStyle w:val="21"/>
        <w:adjustRightInd w:val="0"/>
        <w:snapToGrid w:val="0"/>
        <w:spacing w:line="440" w:lineRule="atLeast"/>
        <w:ind w:firstLine="440" w:firstLineChars="200"/>
        <w:outlineLvl w:val="1"/>
        <w:rPr>
          <w:rFonts w:hint="eastAsia" w:ascii="宋体" w:hAnsi="宋体" w:eastAsia="宋体" w:cs="Arial"/>
          <w:b w:val="0"/>
          <w:color w:val="auto"/>
          <w:sz w:val="22"/>
          <w:szCs w:val="22"/>
        </w:rPr>
      </w:pPr>
      <w:r>
        <w:rPr>
          <w:rFonts w:hint="eastAsia" w:ascii="宋体" w:hAnsi="宋体" w:eastAsia="宋体" w:cs="Arial"/>
          <w:b w:val="0"/>
          <w:color w:val="auto"/>
          <w:sz w:val="22"/>
          <w:szCs w:val="22"/>
        </w:rPr>
        <w:t>1、中标条件</w:t>
      </w:r>
    </w:p>
    <w:p w14:paraId="4CDCD186">
      <w:pPr>
        <w:adjustRightInd w:val="0"/>
        <w:snapToGrid w:val="0"/>
        <w:spacing w:line="440" w:lineRule="atLeast"/>
        <w:ind w:firstLine="440" w:firstLineChars="200"/>
        <w:rPr>
          <w:rFonts w:hint="eastAsia" w:ascii="宋体" w:hAnsi="宋体" w:cs="Arial"/>
          <w:b w:val="0"/>
          <w:color w:val="auto"/>
          <w:sz w:val="22"/>
          <w:szCs w:val="22"/>
        </w:rPr>
      </w:pPr>
      <w:r>
        <w:rPr>
          <w:rFonts w:hint="eastAsia" w:ascii="宋体" w:hAnsi="宋体" w:cs="Arial"/>
          <w:b w:val="0"/>
          <w:color w:val="auto"/>
          <w:sz w:val="22"/>
          <w:szCs w:val="22"/>
        </w:rPr>
        <w:t>1)投标文件基本符合招标文件要求，能够最大限度满足招标文件中规定的各项综合评价标准</w:t>
      </w:r>
    </w:p>
    <w:p w14:paraId="7A8518FF">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2)供应商有很好的执行合同的能力</w:t>
      </w:r>
    </w:p>
    <w:p w14:paraId="6C945B8F">
      <w:pPr>
        <w:pStyle w:val="21"/>
        <w:adjustRightInd w:val="0"/>
        <w:snapToGrid w:val="0"/>
        <w:spacing w:line="440" w:lineRule="atLeast"/>
        <w:ind w:firstLine="440" w:firstLineChars="200"/>
        <w:rPr>
          <w:rFonts w:hint="eastAsia" w:ascii="宋体" w:hAnsi="宋体" w:eastAsia="宋体" w:cs="Arial"/>
          <w:b w:val="0"/>
          <w:color w:val="auto"/>
          <w:sz w:val="22"/>
          <w:szCs w:val="22"/>
        </w:rPr>
      </w:pPr>
      <w:bookmarkStart w:id="61" w:name="_Toc132122122"/>
      <w:bookmarkStart w:id="62" w:name="_Toc132122419"/>
      <w:r>
        <w:rPr>
          <w:rFonts w:hint="eastAsia" w:ascii="宋体" w:hAnsi="宋体" w:eastAsia="宋体" w:cs="Arial"/>
          <w:b w:val="0"/>
          <w:color w:val="auto"/>
          <w:sz w:val="22"/>
          <w:szCs w:val="22"/>
        </w:rPr>
        <w:t>3)供应商能够提供质量技术、商务经济占综合优势的产品及服务</w:t>
      </w:r>
      <w:bookmarkEnd w:id="61"/>
      <w:bookmarkEnd w:id="62"/>
    </w:p>
    <w:p w14:paraId="068866CC">
      <w:pPr>
        <w:pStyle w:val="21"/>
        <w:adjustRightInd w:val="0"/>
        <w:snapToGrid w:val="0"/>
        <w:spacing w:line="440" w:lineRule="atLeast"/>
        <w:ind w:firstLine="433" w:firstLineChars="196"/>
        <w:rPr>
          <w:rFonts w:hint="eastAsia" w:ascii="宋体" w:hAnsi="宋体" w:eastAsia="宋体" w:cs="Arial"/>
          <w:bCs w:val="0"/>
          <w:color w:val="auto"/>
          <w:sz w:val="22"/>
          <w:szCs w:val="22"/>
          <w:u w:val="single"/>
        </w:rPr>
      </w:pPr>
      <w:r>
        <w:rPr>
          <w:rFonts w:hint="eastAsia" w:ascii="宋体" w:hAnsi="宋体" w:eastAsia="宋体" w:cs="Arial"/>
          <w:bCs w:val="0"/>
          <w:color w:val="auto"/>
          <w:sz w:val="22"/>
          <w:szCs w:val="22"/>
          <w:u w:val="single"/>
        </w:rPr>
        <w:t>采购机构将把中标通知书授予综合得分第一名投标者，但最低报价不是中标的唯一保证。</w:t>
      </w:r>
    </w:p>
    <w:p w14:paraId="122F2C68">
      <w:pPr>
        <w:pStyle w:val="21"/>
        <w:adjustRightInd w:val="0"/>
        <w:snapToGrid w:val="0"/>
        <w:spacing w:line="440" w:lineRule="atLeast"/>
        <w:ind w:firstLine="440" w:firstLineChars="200"/>
        <w:rPr>
          <w:rFonts w:hint="eastAsia" w:ascii="宋体" w:hAnsi="宋体" w:eastAsia="宋体" w:cs="Arial"/>
          <w:b w:val="0"/>
          <w:color w:val="auto"/>
          <w:sz w:val="22"/>
          <w:szCs w:val="22"/>
        </w:rPr>
      </w:pPr>
      <w:bookmarkStart w:id="63" w:name="_Toc132122420"/>
      <w:bookmarkStart w:id="64" w:name="_Toc132122123"/>
      <w:r>
        <w:rPr>
          <w:rFonts w:hint="eastAsia" w:ascii="宋体" w:hAnsi="宋体" w:eastAsia="宋体" w:cs="Arial"/>
          <w:b w:val="0"/>
          <w:color w:val="auto"/>
          <w:sz w:val="22"/>
          <w:szCs w:val="22"/>
        </w:rPr>
        <w:t>2、中标通知</w:t>
      </w:r>
      <w:bookmarkEnd w:id="63"/>
      <w:bookmarkEnd w:id="64"/>
    </w:p>
    <w:p w14:paraId="4F9DEA2A">
      <w:pPr>
        <w:adjustRightInd w:val="0"/>
        <w:snapToGrid w:val="0"/>
        <w:spacing w:line="440" w:lineRule="atLeast"/>
        <w:ind w:firstLine="440" w:firstLineChars="200"/>
        <w:rPr>
          <w:rFonts w:hint="eastAsia" w:ascii="宋体" w:hAnsi="宋体"/>
          <w:b w:val="0"/>
          <w:color w:val="auto"/>
          <w:sz w:val="22"/>
          <w:szCs w:val="22"/>
        </w:rPr>
      </w:pPr>
      <w:r>
        <w:rPr>
          <w:rFonts w:hint="eastAsia" w:ascii="宋体" w:hAnsi="宋体" w:cs="Arial"/>
          <w:b w:val="0"/>
          <w:color w:val="auto"/>
          <w:sz w:val="22"/>
          <w:szCs w:val="22"/>
        </w:rPr>
        <w:t>2.1、</w:t>
      </w:r>
      <w:r>
        <w:rPr>
          <w:rFonts w:ascii="宋体" w:hAnsi="宋体" w:cs="Arial"/>
          <w:b w:val="0"/>
          <w:color w:val="auto"/>
          <w:sz w:val="22"/>
          <w:szCs w:val="22"/>
        </w:rPr>
        <w:t>采购组织机构在评标结束后</w:t>
      </w:r>
      <w:r>
        <w:rPr>
          <w:rFonts w:hint="eastAsia" w:ascii="宋体" w:hAnsi="宋体" w:cs="Arial"/>
          <w:b w:val="0"/>
          <w:color w:val="auto"/>
          <w:sz w:val="22"/>
          <w:szCs w:val="22"/>
        </w:rPr>
        <w:t>的2</w:t>
      </w:r>
      <w:r>
        <w:rPr>
          <w:rFonts w:ascii="宋体" w:hAnsi="宋体" w:cs="Arial"/>
          <w:b w:val="0"/>
          <w:color w:val="auto"/>
          <w:sz w:val="22"/>
          <w:szCs w:val="22"/>
        </w:rPr>
        <w:t>个工作日内将《评审报告》</w:t>
      </w:r>
      <w:r>
        <w:rPr>
          <w:rFonts w:hint="eastAsia" w:ascii="宋体" w:hAnsi="宋体" w:cs="Arial"/>
          <w:b w:val="0"/>
          <w:color w:val="auto"/>
          <w:sz w:val="22"/>
          <w:szCs w:val="22"/>
        </w:rPr>
        <w:t>交给采购人</w:t>
      </w:r>
      <w:r>
        <w:rPr>
          <w:rFonts w:ascii="宋体" w:hAnsi="宋体" w:cs="Arial"/>
          <w:b w:val="0"/>
          <w:color w:val="auto"/>
          <w:sz w:val="22"/>
          <w:szCs w:val="22"/>
        </w:rPr>
        <w:t>确认。</w:t>
      </w:r>
      <w:r>
        <w:rPr>
          <w:rFonts w:hint="eastAsia" w:ascii="宋体" w:hAnsi="宋体" w:cs="Arial"/>
          <w:b w:val="0"/>
          <w:color w:val="auto"/>
          <w:sz w:val="22"/>
          <w:szCs w:val="22"/>
        </w:rPr>
        <w:t>采购人将在收到评审报告后的5个工作日内确定中标成交供应商，并将确认意见以书面形式回复采购代理机构。</w:t>
      </w:r>
    </w:p>
    <w:p w14:paraId="14BD0ACF">
      <w:pPr>
        <w:adjustRightInd w:val="0"/>
        <w:snapToGrid w:val="0"/>
        <w:spacing w:line="440" w:lineRule="atLeast"/>
        <w:ind w:firstLine="440" w:firstLineChars="200"/>
        <w:rPr>
          <w:rFonts w:hint="eastAsia" w:ascii="宋体" w:hAnsi="宋体" w:cs="Arial"/>
          <w:b w:val="0"/>
          <w:color w:val="auto"/>
          <w:sz w:val="22"/>
          <w:szCs w:val="22"/>
        </w:rPr>
      </w:pPr>
      <w:r>
        <w:rPr>
          <w:rFonts w:hint="eastAsia" w:ascii="宋体" w:hAnsi="宋体" w:cs="Arial"/>
          <w:b w:val="0"/>
          <w:color w:val="auto"/>
          <w:sz w:val="22"/>
          <w:szCs w:val="22"/>
        </w:rPr>
        <w:t>采购结果经采购人确认后2个工作日内，采购代理机构将对外发布中标成交公告和中标通知书</w:t>
      </w:r>
    </w:p>
    <w:p w14:paraId="22A41E73">
      <w:pPr>
        <w:adjustRightInd w:val="0"/>
        <w:snapToGrid w:val="0"/>
        <w:spacing w:line="440" w:lineRule="atLeast"/>
        <w:ind w:firstLine="440" w:firstLineChars="200"/>
        <w:rPr>
          <w:rFonts w:hint="eastAsia" w:ascii="宋体" w:hAnsi="宋体" w:cs="Arial"/>
          <w:b w:val="0"/>
          <w:color w:val="auto"/>
          <w:sz w:val="22"/>
          <w:szCs w:val="22"/>
        </w:rPr>
      </w:pPr>
      <w:r>
        <w:rPr>
          <w:rFonts w:hint="eastAsia" w:ascii="宋体" w:hAnsi="宋体" w:cs="Arial"/>
          <w:b w:val="0"/>
          <w:color w:val="auto"/>
          <w:sz w:val="22"/>
          <w:szCs w:val="22"/>
        </w:rPr>
        <w:t>2.2、评标委员会对评标结果不负责解释。</w:t>
      </w:r>
    </w:p>
    <w:p w14:paraId="1F944C99">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3、询问、质疑和投诉</w:t>
      </w:r>
    </w:p>
    <w:p w14:paraId="0B3E9261">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3.1</w:t>
      </w:r>
      <w:r>
        <w:rPr>
          <w:rFonts w:ascii="宋体" w:hAnsi="宋体" w:eastAsia="宋体" w:cs="Arial"/>
          <w:b w:val="0"/>
          <w:color w:val="auto"/>
          <w:sz w:val="22"/>
          <w:szCs w:val="22"/>
        </w:rPr>
        <w:t>询问：在采购活动中供应商可以就某一事项向采购组织机构发出“询问”，采购组织机构将在收到供应商“询问”后三个工作日内予以答复，但规定不予答复的内容除外。</w:t>
      </w:r>
    </w:p>
    <w:p w14:paraId="36B07576">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3.2</w:t>
      </w:r>
      <w:r>
        <w:rPr>
          <w:rFonts w:ascii="宋体" w:hAnsi="宋体" w:eastAsia="宋体" w:cs="Arial"/>
          <w:b w:val="0"/>
          <w:color w:val="auto"/>
          <w:sz w:val="22"/>
          <w:szCs w:val="22"/>
        </w:rPr>
        <w:t>质疑：投标供应商认为采购文件、采购过程和采购结果使自己的合法权益受到损害的，应当在知道或者应知其权益受到损害之日起七个工作日内，以书面形式向采购组织机构提出质疑。</w:t>
      </w:r>
      <w:r>
        <w:rPr>
          <w:rFonts w:hint="eastAsia" w:ascii="宋体" w:hAnsi="宋体" w:eastAsia="宋体" w:cs="Arial"/>
          <w:b w:val="0"/>
          <w:color w:val="auto"/>
          <w:sz w:val="22"/>
          <w:szCs w:val="22"/>
        </w:rPr>
        <w:t>对采购文件提出质疑的，应在规定的时间内提出，</w:t>
      </w:r>
      <w:r>
        <w:rPr>
          <w:rFonts w:ascii="宋体" w:hAnsi="宋体" w:eastAsia="宋体" w:cs="Arial"/>
          <w:b w:val="0"/>
          <w:color w:val="auto"/>
          <w:sz w:val="22"/>
          <w:szCs w:val="22"/>
        </w:rPr>
        <w:t>否则采购组织机构可以不予答复。</w:t>
      </w:r>
    </w:p>
    <w:p w14:paraId="30C7C38F">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3.2.1上述所指“供应商应知其权益受到损害之日”，是指：</w:t>
      </w:r>
    </w:p>
    <w:p w14:paraId="59319E48">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（一）</w:t>
      </w:r>
      <w:r>
        <w:rPr>
          <w:rFonts w:ascii="宋体" w:hAnsi="宋体" w:eastAsia="宋体" w:cs="Wingdings"/>
          <w:b w:val="0"/>
          <w:color w:val="auto"/>
          <w:sz w:val="22"/>
          <w:szCs w:val="22"/>
        </w:rPr>
        <w:t>对采购文件提出质疑的，为</w:t>
      </w:r>
      <w:r>
        <w:rPr>
          <w:rFonts w:hint="eastAsia" w:ascii="宋体" w:hAnsi="宋体" w:eastAsia="宋体" w:cs="Wingdings"/>
          <w:b w:val="0"/>
          <w:color w:val="auto"/>
          <w:sz w:val="22"/>
          <w:szCs w:val="22"/>
        </w:rPr>
        <w:t>获取采购文件之日或者采购文件公告期限届满之日（公告期限届满后获取采购文件的，以公告期限届满之日为准）起</w:t>
      </w:r>
      <w:r>
        <w:rPr>
          <w:rFonts w:ascii="宋体" w:hAnsi="宋体" w:eastAsia="宋体" w:cs="Wingdings"/>
          <w:b w:val="0"/>
          <w:color w:val="auto"/>
          <w:sz w:val="22"/>
          <w:szCs w:val="22"/>
        </w:rPr>
        <w:t>7</w:t>
      </w:r>
      <w:r>
        <w:rPr>
          <w:rFonts w:hint="eastAsia" w:ascii="宋体" w:hAnsi="宋体" w:eastAsia="宋体" w:cs="Wingdings"/>
          <w:b w:val="0"/>
          <w:color w:val="auto"/>
          <w:sz w:val="22"/>
          <w:szCs w:val="22"/>
        </w:rPr>
        <w:t>个工作日内</w:t>
      </w:r>
      <w:r>
        <w:rPr>
          <w:rFonts w:ascii="宋体" w:hAnsi="宋体" w:eastAsia="宋体" w:cs="Arial"/>
          <w:b w:val="0"/>
          <w:color w:val="auto"/>
          <w:sz w:val="22"/>
          <w:szCs w:val="22"/>
        </w:rPr>
        <w:t>；</w:t>
      </w:r>
    </w:p>
    <w:p w14:paraId="6F80973E">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（二）对采购过程提出质疑的，为各采购程序环节结束之日；</w:t>
      </w:r>
    </w:p>
    <w:p w14:paraId="238767B4">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（三）对中标或者成交结果提出质疑的，为中标或者成交结果公告期限届满之日。</w:t>
      </w:r>
    </w:p>
    <w:p w14:paraId="6087724B">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3.2.2</w:t>
      </w:r>
      <w:r>
        <w:rPr>
          <w:rFonts w:ascii="宋体" w:hAnsi="宋体" w:eastAsia="宋体" w:cs="Arial"/>
          <w:b w:val="0"/>
          <w:color w:val="auto"/>
          <w:sz w:val="22"/>
          <w:szCs w:val="22"/>
        </w:rPr>
        <w:t>质疑书须包括以下内容：</w:t>
      </w:r>
    </w:p>
    <w:p w14:paraId="7BCEDA06">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（一）质疑人的名称、地址、邮政编码、联系人、联系电话、法定代表人签字或盖章；</w:t>
      </w:r>
    </w:p>
    <w:p w14:paraId="181BEB0A">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（二）被质疑采购项目名称、编号及采购内容；</w:t>
      </w:r>
    </w:p>
    <w:p w14:paraId="1D1E9FC6">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（三）具体的质疑事项及事实依据；</w:t>
      </w:r>
    </w:p>
    <w:p w14:paraId="4641DA53">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（四）认为自己合法权益受到损害或可能受到损害的相关证据材料；</w:t>
      </w:r>
    </w:p>
    <w:p w14:paraId="787BA84B">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ascii="宋体" w:hAnsi="宋体" w:eastAsia="宋体" w:cs="Arial"/>
          <w:b w:val="0"/>
          <w:color w:val="auto"/>
          <w:sz w:val="22"/>
          <w:szCs w:val="22"/>
        </w:rPr>
        <w:t>（五）提出质疑的日期。</w:t>
      </w:r>
    </w:p>
    <w:p w14:paraId="1D741026">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3.2.3</w:t>
      </w:r>
      <w:r>
        <w:rPr>
          <w:rFonts w:ascii="宋体" w:hAnsi="宋体" w:eastAsia="宋体" w:cs="Arial"/>
          <w:b w:val="0"/>
          <w:color w:val="auto"/>
          <w:sz w:val="22"/>
          <w:szCs w:val="22"/>
        </w:rPr>
        <w:t>投标供应商认可采购组织机构在质疑答复程序中启用的调查和重新评审等程序，在该程序操作过程未明显违反法律禁止性规定时，不得再提出异议。</w:t>
      </w:r>
    </w:p>
    <w:p w14:paraId="65CAB6B5">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3.2.4质疑、投诉应当采用书面形式，经法定代表人或其授权代表签署后加盖单位公章，质疑书、投诉书均应明确阐述《招标文件》、招标过程和中标结果中使自己合法权益受到损害的实质性内容，供应商提出的质疑、投诉应当有明确的诉求（即通过质疑所要达到的具体目标）和必要的证明材料（即通过合法手段获得的能够证明供应商的诉求成立的必要材料）。</w:t>
      </w:r>
    </w:p>
    <w:p w14:paraId="046D1130">
      <w:pPr>
        <w:adjustRightInd w:val="0"/>
        <w:snapToGrid w:val="0"/>
        <w:spacing w:line="440" w:lineRule="atLeast"/>
        <w:ind w:firstLine="440" w:firstLineChars="200"/>
        <w:rPr>
          <w:rFonts w:hint="eastAsia" w:ascii="宋体" w:hAnsi="宋体" w:cs="Arial"/>
          <w:b w:val="0"/>
          <w:color w:val="auto"/>
          <w:sz w:val="22"/>
          <w:szCs w:val="22"/>
        </w:rPr>
      </w:pPr>
      <w:r>
        <w:rPr>
          <w:rFonts w:hint="eastAsia" w:ascii="宋体" w:hAnsi="宋体" w:cs="Arial"/>
          <w:b w:val="0"/>
          <w:color w:val="auto"/>
          <w:sz w:val="22"/>
          <w:szCs w:val="22"/>
        </w:rPr>
        <w:t>3</w:t>
      </w:r>
      <w:r>
        <w:rPr>
          <w:rFonts w:ascii="宋体" w:hAnsi="宋体" w:cs="Arial"/>
          <w:b w:val="0"/>
          <w:color w:val="auto"/>
          <w:sz w:val="22"/>
          <w:szCs w:val="22"/>
        </w:rPr>
        <w:t>.3 投诉：投标供应商对采购组织机构的质疑答复不满意或者采购组织机构未在规定时间内作出答复的，可以在答复期满后十五个工作日内向同级采购监管部门投诉。</w:t>
      </w:r>
    </w:p>
    <w:p w14:paraId="5A0577F7">
      <w:pPr>
        <w:pStyle w:val="21"/>
        <w:adjustRightInd w:val="0"/>
        <w:snapToGrid w:val="0"/>
        <w:spacing w:line="440" w:lineRule="atLeast"/>
        <w:ind w:firstLine="440" w:firstLineChars="200"/>
        <w:rPr>
          <w:rFonts w:hint="eastAsia" w:ascii="宋体" w:hAnsi="宋体" w:eastAsia="宋体" w:cs="Arial"/>
          <w:b w:val="0"/>
          <w:color w:val="auto"/>
          <w:sz w:val="22"/>
          <w:szCs w:val="22"/>
        </w:rPr>
      </w:pPr>
      <w:bookmarkStart w:id="65" w:name="_Toc132122421"/>
      <w:bookmarkStart w:id="66" w:name="_Toc132122124"/>
      <w:r>
        <w:rPr>
          <w:rFonts w:hint="eastAsia" w:ascii="宋体" w:hAnsi="宋体" w:eastAsia="宋体" w:cs="Arial"/>
          <w:b w:val="0"/>
          <w:color w:val="auto"/>
          <w:sz w:val="22"/>
          <w:szCs w:val="22"/>
        </w:rPr>
        <w:t>4、签订合同</w:t>
      </w:r>
      <w:bookmarkEnd w:id="65"/>
      <w:bookmarkEnd w:id="66"/>
    </w:p>
    <w:p w14:paraId="4859796D">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4.1、中标供应商在领取中标通知书后7工作日内与采购人签订合同。如中标供应商未经采购人许可，在规定的时间内未到采购人处签订合同的，视为拒签合同，在经监管部门同意后，可以向排名在其后的中标候选人发出中标通知书。</w:t>
      </w:r>
    </w:p>
    <w:p w14:paraId="538CA28E">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4.2、招标文件、中标人的投标文件及投标修改文件、评标过程中有关澄清文件及经双方签章的询标纪要和中标通知书均作为合同附件。</w:t>
      </w:r>
    </w:p>
    <w:p w14:paraId="2A487DB8">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4.3、拒签合同的责任</w:t>
      </w:r>
    </w:p>
    <w:p w14:paraId="425316D0">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中标供应商接到中标通知书后，在规定时间内借故否认已经承诺的条件、拒签合同者，以投标违约处理，并赔偿采购人由此造成的直接经济损失。</w:t>
      </w:r>
    </w:p>
    <w:p w14:paraId="6D73544E">
      <w:pPr>
        <w:pStyle w:val="21"/>
        <w:adjustRightInd w:val="0"/>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cs="Arial"/>
          <w:b w:val="0"/>
          <w:color w:val="auto"/>
          <w:sz w:val="22"/>
          <w:szCs w:val="22"/>
        </w:rPr>
        <w:t>采购人重新组织招标的，所需费用由原中标供应商承担。</w:t>
      </w:r>
    </w:p>
    <w:p w14:paraId="2AD8B753">
      <w:pPr>
        <w:pStyle w:val="21"/>
        <w:snapToGrid w:val="0"/>
        <w:spacing w:line="440" w:lineRule="atLeast"/>
        <w:ind w:firstLine="440" w:firstLineChars="200"/>
        <w:rPr>
          <w:rFonts w:hint="eastAsia" w:ascii="宋体" w:hAnsi="宋体" w:eastAsia="宋体" w:cs="Arial"/>
          <w:b w:val="0"/>
          <w:color w:val="auto"/>
          <w:sz w:val="22"/>
          <w:szCs w:val="22"/>
        </w:rPr>
      </w:pPr>
      <w:r>
        <w:rPr>
          <w:rFonts w:hint="eastAsia" w:ascii="宋体" w:hAnsi="宋体" w:eastAsia="宋体"/>
          <w:b w:val="0"/>
          <w:color w:val="auto"/>
          <w:sz w:val="22"/>
          <w:szCs w:val="22"/>
        </w:rPr>
        <w:t>5</w:t>
      </w:r>
      <w:r>
        <w:rPr>
          <w:rFonts w:hint="eastAsia" w:ascii="宋体" w:hAnsi="宋体" w:eastAsia="宋体" w:cs="Arial"/>
          <w:b w:val="0"/>
          <w:color w:val="auto"/>
          <w:sz w:val="22"/>
          <w:szCs w:val="22"/>
        </w:rPr>
        <w:t>、前期费用及招标代理服务费</w:t>
      </w:r>
    </w:p>
    <w:p w14:paraId="44669B43">
      <w:pPr>
        <w:autoSpaceDE w:val="0"/>
        <w:autoSpaceDN w:val="0"/>
        <w:adjustRightInd w:val="0"/>
        <w:snapToGrid w:val="0"/>
        <w:spacing w:line="440" w:lineRule="atLeast"/>
        <w:ind w:firstLine="440" w:firstLineChars="200"/>
        <w:textAlignment w:val="bottom"/>
        <w:rPr>
          <w:rFonts w:hint="eastAsia" w:ascii="宋体" w:hAnsi="宋体"/>
          <w:b w:val="0"/>
          <w:color w:val="auto"/>
          <w:sz w:val="22"/>
          <w:szCs w:val="22"/>
        </w:rPr>
      </w:pPr>
      <w:r>
        <w:rPr>
          <w:rFonts w:hint="eastAsia" w:ascii="宋体" w:hAnsi="宋体"/>
          <w:b w:val="0"/>
          <w:color w:val="auto"/>
          <w:sz w:val="22"/>
          <w:szCs w:val="22"/>
        </w:rPr>
        <w:t>5.1、</w:t>
      </w:r>
      <w:r>
        <w:rPr>
          <w:rFonts w:ascii="宋体" w:hAnsi="宋体"/>
          <w:b w:val="0"/>
          <w:color w:val="auto"/>
          <w:sz w:val="22"/>
          <w:szCs w:val="22"/>
        </w:rPr>
        <w:t>中标</w:t>
      </w:r>
      <w:r>
        <w:rPr>
          <w:rFonts w:hint="eastAsia" w:ascii="宋体" w:hAnsi="宋体"/>
          <w:b w:val="0"/>
          <w:color w:val="auto"/>
          <w:sz w:val="22"/>
          <w:szCs w:val="22"/>
        </w:rPr>
        <w:t>供应商</w:t>
      </w:r>
      <w:r>
        <w:rPr>
          <w:rFonts w:ascii="宋体" w:hAnsi="宋体"/>
          <w:b w:val="0"/>
          <w:color w:val="auto"/>
          <w:sz w:val="22"/>
          <w:szCs w:val="22"/>
        </w:rPr>
        <w:t>向招标代理机构支付招标代理服务费</w:t>
      </w:r>
      <w:r>
        <w:rPr>
          <w:rFonts w:hint="eastAsia" w:ascii="宋体" w:hAnsi="宋体"/>
          <w:b w:val="0"/>
          <w:color w:val="auto"/>
          <w:sz w:val="22"/>
          <w:szCs w:val="22"/>
        </w:rPr>
        <w:t>，招标代理服务费</w:t>
      </w:r>
      <w:r>
        <w:rPr>
          <w:rFonts w:hint="eastAsia" w:ascii="宋体" w:hAnsi="宋体"/>
          <w:b w:val="0"/>
          <w:bCs w:val="0"/>
          <w:color w:val="auto"/>
          <w:sz w:val="22"/>
          <w:szCs w:val="22"/>
        </w:rPr>
        <w:t>以预算金额为收费基准</w:t>
      </w:r>
      <w:r>
        <w:rPr>
          <w:rFonts w:hint="eastAsia" w:ascii="宋体" w:hAnsi="宋体"/>
          <w:b w:val="0"/>
          <w:color w:val="auto"/>
          <w:sz w:val="22"/>
          <w:szCs w:val="22"/>
        </w:rPr>
        <w:t>按</w:t>
      </w:r>
      <w:r>
        <w:rPr>
          <w:rFonts w:hint="eastAsia" w:ascii="宋体" w:hAnsi="宋体"/>
          <w:b w:val="0"/>
          <w:bCs w:val="0"/>
          <w:color w:val="auto"/>
          <w:sz w:val="22"/>
          <w:szCs w:val="22"/>
        </w:rPr>
        <w:t>计价格[2002]1980号文件规定收取</w:t>
      </w:r>
      <w:r>
        <w:rPr>
          <w:rFonts w:hint="eastAsia" w:ascii="宋体" w:hAnsi="宋体"/>
          <w:b w:val="0"/>
          <w:color w:val="auto"/>
          <w:sz w:val="22"/>
          <w:szCs w:val="22"/>
        </w:rPr>
        <w:t>。招标代理服务费汇入以下帐号：</w:t>
      </w:r>
    </w:p>
    <w:p w14:paraId="5FDD40B6">
      <w:pPr>
        <w:autoSpaceDE w:val="0"/>
        <w:autoSpaceDN w:val="0"/>
        <w:adjustRightInd w:val="0"/>
        <w:snapToGrid w:val="0"/>
        <w:spacing w:line="440" w:lineRule="atLeast"/>
        <w:ind w:firstLine="440" w:firstLineChars="200"/>
        <w:textAlignment w:val="bottom"/>
        <w:rPr>
          <w:rFonts w:hint="eastAsia" w:ascii="宋体" w:hAnsi="宋体"/>
          <w:b w:val="0"/>
          <w:color w:val="auto"/>
          <w:sz w:val="22"/>
          <w:szCs w:val="22"/>
        </w:rPr>
      </w:pPr>
      <w:r>
        <w:rPr>
          <w:rFonts w:ascii="宋体" w:hAnsi="宋体"/>
          <w:b w:val="0"/>
          <w:color w:val="auto"/>
          <w:sz w:val="22"/>
          <w:szCs w:val="22"/>
        </w:rPr>
        <w:t>户  名：</w:t>
      </w:r>
      <w:r>
        <w:rPr>
          <w:rFonts w:hint="eastAsia" w:ascii="宋体" w:hAnsi="宋体"/>
          <w:b w:val="0"/>
          <w:color w:val="auto"/>
          <w:sz w:val="22"/>
          <w:szCs w:val="22"/>
        </w:rPr>
        <w:t>温州超然招标代理有限公司</w:t>
      </w:r>
    </w:p>
    <w:p w14:paraId="1AEAE96F">
      <w:pPr>
        <w:autoSpaceDE w:val="0"/>
        <w:autoSpaceDN w:val="0"/>
        <w:adjustRightInd w:val="0"/>
        <w:snapToGrid w:val="0"/>
        <w:spacing w:line="440" w:lineRule="atLeast"/>
        <w:ind w:firstLine="440" w:firstLineChars="200"/>
        <w:textAlignment w:val="bottom"/>
        <w:rPr>
          <w:rFonts w:hint="eastAsia" w:ascii="宋体" w:hAnsi="宋体"/>
          <w:b w:val="0"/>
          <w:color w:val="auto"/>
          <w:sz w:val="22"/>
          <w:szCs w:val="22"/>
        </w:rPr>
      </w:pPr>
      <w:r>
        <w:rPr>
          <w:rFonts w:ascii="宋体" w:hAnsi="宋体"/>
          <w:b w:val="0"/>
          <w:color w:val="auto"/>
          <w:sz w:val="22"/>
          <w:szCs w:val="22"/>
        </w:rPr>
        <w:t>帐  号：</w:t>
      </w:r>
      <w:r>
        <w:rPr>
          <w:rFonts w:hint="eastAsia" w:ascii="宋体" w:hAnsi="宋体"/>
          <w:b w:val="0"/>
          <w:color w:val="auto"/>
          <w:sz w:val="22"/>
          <w:szCs w:val="22"/>
        </w:rPr>
        <w:t>9330 0901 0011 1188 92</w:t>
      </w:r>
    </w:p>
    <w:p w14:paraId="28A26270">
      <w:pPr>
        <w:autoSpaceDE w:val="0"/>
        <w:autoSpaceDN w:val="0"/>
        <w:adjustRightInd w:val="0"/>
        <w:snapToGrid w:val="0"/>
        <w:spacing w:line="440" w:lineRule="atLeast"/>
        <w:ind w:firstLine="440" w:firstLineChars="200"/>
        <w:textAlignment w:val="bottom"/>
        <w:rPr>
          <w:rFonts w:hint="eastAsia" w:ascii="宋体" w:hAnsi="宋体"/>
          <w:b w:val="0"/>
          <w:color w:val="auto"/>
          <w:sz w:val="22"/>
          <w:szCs w:val="22"/>
        </w:rPr>
      </w:pPr>
      <w:r>
        <w:rPr>
          <w:rFonts w:ascii="宋体" w:hAnsi="宋体"/>
          <w:b w:val="0"/>
          <w:color w:val="auto"/>
          <w:sz w:val="22"/>
          <w:szCs w:val="22"/>
        </w:rPr>
        <w:t>开户行：</w:t>
      </w:r>
      <w:r>
        <w:rPr>
          <w:rFonts w:hint="eastAsia" w:ascii="宋体" w:hAnsi="宋体"/>
          <w:b w:val="0"/>
          <w:color w:val="auto"/>
          <w:sz w:val="22"/>
          <w:szCs w:val="22"/>
        </w:rPr>
        <w:t>中国邮政储蓄银行股份有限公司苍南县支行</w:t>
      </w:r>
    </w:p>
    <w:p w14:paraId="36E75E04">
      <w:pPr>
        <w:adjustRightInd w:val="0"/>
        <w:snapToGrid w:val="0"/>
        <w:spacing w:line="440" w:lineRule="atLeast"/>
        <w:ind w:firstLine="440" w:firstLineChars="200"/>
        <w:rPr>
          <w:rFonts w:hint="eastAsia" w:ascii="宋体" w:hAnsi="宋体" w:cs="宋体"/>
          <w:b w:val="0"/>
          <w:bCs w:val="0"/>
          <w:sz w:val="22"/>
          <w:szCs w:val="22"/>
        </w:rPr>
      </w:pPr>
    </w:p>
    <w:p w14:paraId="4971D3E5">
      <w:pPr>
        <w:autoSpaceDE w:val="0"/>
        <w:autoSpaceDN w:val="0"/>
        <w:adjustRightInd w:val="0"/>
        <w:snapToGrid w:val="0"/>
        <w:spacing w:line="440" w:lineRule="atLeast"/>
        <w:ind w:firstLine="440" w:firstLineChars="200"/>
        <w:textAlignment w:val="bottom"/>
        <w:rPr>
          <w:rFonts w:hint="eastAsia" w:ascii="宋体" w:hAnsi="宋体"/>
          <w:b w:val="0"/>
          <w:color w:val="auto"/>
          <w:sz w:val="22"/>
          <w:szCs w:val="22"/>
        </w:rPr>
      </w:pPr>
    </w:p>
    <w:p w14:paraId="7790AB6F">
      <w:pPr>
        <w:pStyle w:val="5"/>
        <w:ind w:firstLine="0" w:firstLineChars="0"/>
        <w:rPr>
          <w:rFonts w:ascii="Cambria Math" w:hAnsi="Cambria Math" w:eastAsia="Cambria Math"/>
          <w:color w:val="auto"/>
        </w:rPr>
      </w:pPr>
    </w:p>
    <w:p w14:paraId="0814AEAF">
      <w:pPr>
        <w:pStyle w:val="5"/>
        <w:ind w:firstLine="0" w:firstLineChars="0"/>
        <w:rPr>
          <w:rFonts w:ascii="Cambria Math" w:hAnsi="Cambria Math" w:eastAsia="宋体"/>
          <w:color w:val="auto"/>
        </w:rPr>
      </w:pPr>
    </w:p>
    <w:p w14:paraId="23F934D7">
      <w:pPr>
        <w:pStyle w:val="4"/>
        <w:spacing w:before="0" w:after="120" w:line="700" w:lineRule="exact"/>
        <w:ind w:left="0" w:firstLine="0"/>
        <w:jc w:val="center"/>
        <w:rPr>
          <w:rFonts w:ascii="Cambria Math" w:hAnsi="Cambria Math" w:eastAsia="Cambria Math"/>
          <w:b/>
          <w:color w:val="auto"/>
          <w:sz w:val="32"/>
        </w:rPr>
      </w:pPr>
      <w:r>
        <w:rPr>
          <w:rFonts w:hint="eastAsia" w:ascii="Cambria Math" w:hAnsi="Cambria Math" w:eastAsia="Cambria Math"/>
          <w:b/>
          <w:color w:val="auto"/>
          <w:sz w:val="32"/>
        </w:rPr>
        <w:t>第四部分、合同格式（仅供参考）</w:t>
      </w:r>
    </w:p>
    <w:p w14:paraId="455DAB37">
      <w:pPr>
        <w:wordWrap w:val="0"/>
        <w:overflowPunct w:val="0"/>
        <w:spacing w:line="360" w:lineRule="auto"/>
        <w:ind w:firstLine="422" w:firstLineChars="200"/>
        <w:jc w:val="right"/>
        <w:rPr>
          <w:rFonts w:hint="eastAsia" w:ascii="Arial" w:hAnsi="新宋体" w:eastAsia="新宋体" w:cs="Arial"/>
          <w:bCs w:val="0"/>
        </w:rPr>
      </w:pPr>
      <w:r>
        <w:rPr>
          <w:rFonts w:hint="eastAsia" w:ascii="Arial" w:hAnsi="新宋体" w:eastAsia="新宋体" w:cs="Arial"/>
          <w:bCs w:val="0"/>
        </w:rPr>
        <w:t xml:space="preserve">合同编号：       </w:t>
      </w:r>
    </w:p>
    <w:p w14:paraId="4F2D2818">
      <w:pPr>
        <w:pStyle w:val="17"/>
        <w:spacing w:before="78" w:line="347" w:lineRule="auto"/>
        <w:ind w:left="507" w:right="4120" w:hanging="5"/>
        <w:rPr>
          <w:rFonts w:hint="eastAsia" w:ascii="宋体" w:hAnsi="宋体" w:eastAsia="宋体" w:cs="宋体"/>
          <w:spacing w:val="17"/>
          <w:sz w:val="22"/>
          <w:szCs w:val="22"/>
        </w:rPr>
      </w:pPr>
      <w:r>
        <w:rPr>
          <w:rFonts w:hint="eastAsia" w:ascii="宋体" w:hAnsi="宋体" w:eastAsia="宋体" w:cs="宋体"/>
          <w:spacing w:val="-1"/>
          <w:sz w:val="22"/>
          <w:szCs w:val="22"/>
        </w:rPr>
        <w:t>委托方：</w:t>
      </w:r>
      <w:r>
        <w:rPr>
          <w:rFonts w:hint="eastAsia" w:ascii="宋体" w:hAnsi="宋体" w:eastAsia="宋体" w:cs="宋体"/>
          <w:spacing w:val="-1"/>
          <w:sz w:val="22"/>
          <w:szCs w:val="22"/>
          <w:u w:val="single"/>
        </w:rPr>
        <w:t xml:space="preserve">                       </w:t>
      </w:r>
      <w:r>
        <w:rPr>
          <w:rFonts w:hint="eastAsia" w:ascii="宋体" w:hAnsi="宋体" w:eastAsia="宋体" w:cs="宋体"/>
          <w:spacing w:val="17"/>
          <w:sz w:val="22"/>
          <w:szCs w:val="22"/>
        </w:rPr>
        <w:t xml:space="preserve"> </w:t>
      </w:r>
    </w:p>
    <w:p w14:paraId="49745E15">
      <w:pPr>
        <w:pStyle w:val="17"/>
        <w:spacing w:before="78" w:line="347" w:lineRule="auto"/>
        <w:ind w:left="507" w:right="4120" w:hanging="5"/>
        <w:rPr>
          <w:rFonts w:hint="eastAsia" w:ascii="宋体" w:hAnsi="宋体" w:eastAsia="宋体" w:cs="宋体"/>
          <w:sz w:val="22"/>
          <w:szCs w:val="22"/>
        </w:rPr>
      </w:pPr>
      <w:r>
        <w:rPr>
          <w:rFonts w:hint="eastAsia" w:ascii="宋体" w:hAnsi="宋体" w:eastAsia="宋体" w:cs="宋体"/>
          <w:spacing w:val="-4"/>
          <w:sz w:val="22"/>
          <w:szCs w:val="22"/>
        </w:rPr>
        <w:t>受托方：</w:t>
      </w:r>
      <w:r>
        <w:rPr>
          <w:rFonts w:hint="eastAsia" w:ascii="宋体" w:hAnsi="宋体" w:eastAsia="宋体" w:cs="宋体"/>
          <w:sz w:val="22"/>
          <w:szCs w:val="22"/>
          <w:u w:val="single"/>
        </w:rPr>
        <w:t xml:space="preserve">                       </w:t>
      </w:r>
    </w:p>
    <w:p w14:paraId="62844AAA">
      <w:pPr>
        <w:pStyle w:val="17"/>
        <w:spacing w:before="33" w:line="351" w:lineRule="auto"/>
        <w:ind w:left="22" w:right="13" w:firstLine="483"/>
        <w:rPr>
          <w:rFonts w:hint="eastAsia" w:ascii="宋体" w:hAnsi="宋体" w:eastAsia="宋体" w:cs="宋体"/>
          <w:sz w:val="22"/>
          <w:szCs w:val="22"/>
        </w:rPr>
      </w:pPr>
      <w:r>
        <w:rPr>
          <w:rFonts w:hint="eastAsia" w:ascii="宋体" w:hAnsi="宋体" w:eastAsia="宋体" w:cs="宋体"/>
          <w:spacing w:val="-3"/>
          <w:sz w:val="22"/>
          <w:szCs w:val="22"/>
        </w:rPr>
        <w:t>为了明确甲、乙双方的权利和义务，履行各自的职责，高</w:t>
      </w:r>
      <w:r>
        <w:rPr>
          <w:rFonts w:hint="eastAsia" w:ascii="宋体" w:hAnsi="宋体" w:eastAsia="宋体" w:cs="宋体"/>
          <w:spacing w:val="-4"/>
          <w:sz w:val="22"/>
          <w:szCs w:val="22"/>
        </w:rPr>
        <w:t>效优质地完成本项</w:t>
      </w:r>
      <w:r>
        <w:rPr>
          <w:rFonts w:hint="eastAsia" w:ascii="宋体" w:hAnsi="宋体" w:eastAsia="宋体" w:cs="宋体"/>
          <w:sz w:val="22"/>
          <w:szCs w:val="22"/>
        </w:rPr>
        <w:t xml:space="preserve"> </w:t>
      </w:r>
      <w:r>
        <w:rPr>
          <w:rFonts w:hint="eastAsia" w:ascii="宋体" w:hAnsi="宋体" w:eastAsia="宋体" w:cs="宋体"/>
          <w:spacing w:val="-3"/>
          <w:sz w:val="22"/>
          <w:szCs w:val="22"/>
        </w:rPr>
        <w:t>目。按照《中华人民共和国民法典》的有关规定，经甲乙双方在平等、自愿的基</w:t>
      </w:r>
      <w:r>
        <w:rPr>
          <w:rFonts w:hint="eastAsia" w:ascii="宋体" w:hAnsi="宋体" w:eastAsia="宋体" w:cs="宋体"/>
          <w:spacing w:val="1"/>
          <w:sz w:val="22"/>
          <w:szCs w:val="22"/>
        </w:rPr>
        <w:t xml:space="preserve"> </w:t>
      </w:r>
      <w:r>
        <w:rPr>
          <w:rFonts w:hint="eastAsia" w:ascii="宋体" w:hAnsi="宋体" w:eastAsia="宋体" w:cs="宋体"/>
          <w:spacing w:val="-1"/>
          <w:sz w:val="22"/>
          <w:szCs w:val="22"/>
        </w:rPr>
        <w:t>础上共同协商一致，现签订合同如下。</w:t>
      </w:r>
    </w:p>
    <w:p w14:paraId="11C4402A">
      <w:pPr>
        <w:pStyle w:val="17"/>
        <w:spacing w:before="34" w:line="219" w:lineRule="auto"/>
        <w:ind w:left="27"/>
        <w:rPr>
          <w:rFonts w:hint="eastAsia" w:ascii="宋体" w:hAnsi="宋体" w:eastAsia="宋体" w:cs="宋体"/>
          <w:sz w:val="22"/>
          <w:szCs w:val="22"/>
        </w:rPr>
      </w:pPr>
      <w:r>
        <w:rPr>
          <w:rFonts w:hint="eastAsia" w:ascii="宋体" w:hAnsi="宋体" w:eastAsia="宋体" w:cs="宋体"/>
          <w:b/>
          <w:bCs/>
          <w:spacing w:val="-4"/>
          <w:sz w:val="22"/>
          <w:szCs w:val="22"/>
        </w:rPr>
        <w:t>一、项目概况：</w:t>
      </w:r>
    </w:p>
    <w:p w14:paraId="5C179289">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本项目为，范围为甲方指定的供水管道的外壁清理、除锈、刷高分子防腐涂料IPN8710-</w:t>
      </w:r>
      <w:r>
        <w:rPr>
          <w:rFonts w:hint="eastAsia" w:ascii="宋体" w:hAnsi="宋体" w:eastAsia="宋体" w:cs="宋体"/>
          <w:spacing w:val="-3"/>
          <w:sz w:val="22"/>
          <w:szCs w:val="22"/>
          <w:lang w:val="en-US" w:eastAsia="zh-CN"/>
        </w:rPr>
        <w:t>1</w:t>
      </w:r>
      <w:r>
        <w:rPr>
          <w:rFonts w:hint="eastAsia" w:ascii="宋体" w:hAnsi="宋体" w:eastAsia="宋体" w:cs="宋体"/>
          <w:spacing w:val="-3"/>
          <w:sz w:val="22"/>
          <w:szCs w:val="22"/>
        </w:rPr>
        <w:t>底漆</w:t>
      </w:r>
      <w:r>
        <w:rPr>
          <w:rFonts w:hint="eastAsia" w:ascii="宋体" w:hAnsi="宋体" w:eastAsia="宋体" w:cs="宋体"/>
          <w:spacing w:val="-3"/>
          <w:sz w:val="22"/>
          <w:szCs w:val="22"/>
          <w:lang w:val="en-US" w:eastAsia="zh-CN"/>
        </w:rPr>
        <w:t>、</w:t>
      </w:r>
      <w:r>
        <w:rPr>
          <w:rFonts w:hint="eastAsia" w:ascii="宋体" w:hAnsi="宋体" w:eastAsia="宋体" w:cs="宋体"/>
          <w:spacing w:val="-3"/>
          <w:sz w:val="22"/>
          <w:szCs w:val="22"/>
        </w:rPr>
        <w:t>IPN8710-2C面漆（或 Yutep841 底漆、Yutep8420 面漆）等内容。</w:t>
      </w:r>
    </w:p>
    <w:p w14:paraId="5E057CAB">
      <w:pPr>
        <w:pStyle w:val="17"/>
        <w:spacing w:before="41" w:line="219" w:lineRule="auto"/>
        <w:ind w:left="27"/>
        <w:rPr>
          <w:rFonts w:hint="eastAsia" w:ascii="宋体" w:hAnsi="宋体" w:eastAsia="宋体" w:cs="宋体"/>
          <w:sz w:val="22"/>
          <w:szCs w:val="22"/>
        </w:rPr>
      </w:pPr>
      <w:r>
        <w:rPr>
          <w:rFonts w:hint="eastAsia" w:ascii="宋体" w:hAnsi="宋体" w:eastAsia="宋体" w:cs="宋体"/>
          <w:b/>
          <w:bCs/>
          <w:spacing w:val="-4"/>
          <w:sz w:val="22"/>
          <w:szCs w:val="22"/>
        </w:rPr>
        <w:t>二、有关事项说明</w:t>
      </w:r>
    </w:p>
    <w:p w14:paraId="53C1B23E">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1、本项目钢管防腐面积约5000 ㎡ ，结算时按实调整。</w:t>
      </w:r>
    </w:p>
    <w:p w14:paraId="14F7EA79">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2、由于钢管防腐施工位置的不同，发生的人员、施工配件等转运产生的费 用以及租赁的吊篮或船舶等设备费用已综合考虑在钢管防腐的工作内容中，不再 另外计算。</w:t>
      </w:r>
    </w:p>
    <w:p w14:paraId="74A3EDC2">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3、钢管防爬刺、管托的清理除锈刷防腐涂料和排气阀阀门、螺丝打黄油等</w:t>
      </w:r>
    </w:p>
    <w:p w14:paraId="79ECD373">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工作内容已包含在主钢管的清理除锈刷防腐涂料工作内，不再另外计算。</w:t>
      </w:r>
    </w:p>
    <w:p w14:paraId="686CEEBE">
      <w:pPr>
        <w:pStyle w:val="17"/>
        <w:spacing w:before="133" w:line="219" w:lineRule="auto"/>
        <w:ind w:left="23"/>
        <w:rPr>
          <w:rFonts w:hint="eastAsia" w:ascii="宋体" w:hAnsi="宋体" w:eastAsia="宋体" w:cs="宋体"/>
          <w:sz w:val="22"/>
          <w:szCs w:val="22"/>
        </w:rPr>
      </w:pPr>
      <w:r>
        <w:rPr>
          <w:rFonts w:hint="eastAsia" w:ascii="宋体" w:hAnsi="宋体" w:eastAsia="宋体" w:cs="宋体"/>
          <w:b/>
          <w:bCs/>
          <w:spacing w:val="-3"/>
          <w:sz w:val="22"/>
          <w:szCs w:val="22"/>
        </w:rPr>
        <w:t>三、项目负责人资质等级：</w:t>
      </w:r>
    </w:p>
    <w:p w14:paraId="1CF73706">
      <w:pPr>
        <w:pStyle w:val="17"/>
        <w:spacing w:before="182" w:line="347" w:lineRule="auto"/>
        <w:ind w:left="22" w:right="13" w:firstLine="484"/>
        <w:rPr>
          <w:rFonts w:hint="eastAsia" w:ascii="宋体" w:hAnsi="宋体" w:eastAsia="宋体" w:cs="宋体"/>
          <w:sz w:val="22"/>
          <w:szCs w:val="22"/>
        </w:rPr>
      </w:pPr>
      <w:r>
        <w:rPr>
          <w:rFonts w:hint="eastAsia" w:ascii="宋体" w:hAnsi="宋体" w:eastAsia="宋体" w:cs="宋体"/>
          <w:spacing w:val="4"/>
          <w:sz w:val="22"/>
          <w:szCs w:val="22"/>
        </w:rPr>
        <w:t>项目负责人须具备市政公用工程专业二级及以上或机电安装工程专业二级</w:t>
      </w:r>
      <w:r>
        <w:rPr>
          <w:rFonts w:hint="eastAsia" w:ascii="宋体" w:hAnsi="宋体" w:eastAsia="宋体" w:cs="宋体"/>
          <w:spacing w:val="-1"/>
          <w:sz w:val="22"/>
          <w:szCs w:val="22"/>
        </w:rPr>
        <w:t>及以上注册建造师资格。</w:t>
      </w:r>
    </w:p>
    <w:p w14:paraId="6E70A2F8">
      <w:pPr>
        <w:pStyle w:val="17"/>
        <w:spacing w:before="34" w:line="219" w:lineRule="auto"/>
        <w:ind w:left="46"/>
        <w:rPr>
          <w:rFonts w:hint="eastAsia" w:ascii="宋体" w:hAnsi="宋体" w:eastAsia="宋体" w:cs="宋体"/>
          <w:sz w:val="22"/>
          <w:szCs w:val="22"/>
        </w:rPr>
      </w:pPr>
      <w:r>
        <w:rPr>
          <w:rFonts w:hint="eastAsia" w:ascii="宋体" w:hAnsi="宋体" w:eastAsia="宋体" w:cs="宋体"/>
          <w:b/>
          <w:bCs/>
          <w:spacing w:val="-3"/>
          <w:sz w:val="22"/>
          <w:szCs w:val="22"/>
        </w:rPr>
        <w:t>四、本项目施工时必须按现行规范及下列技术要求执行：</w:t>
      </w:r>
    </w:p>
    <w:p w14:paraId="0EA61CBE">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1、供水管道外防腐采用高分子防腐涂料 IPN8710-</w:t>
      </w:r>
      <w:r>
        <w:rPr>
          <w:rFonts w:hint="eastAsia" w:ascii="宋体" w:hAnsi="宋体" w:eastAsia="宋体" w:cs="宋体"/>
          <w:spacing w:val="-3"/>
          <w:sz w:val="22"/>
          <w:szCs w:val="22"/>
          <w:lang w:val="en-US" w:eastAsia="zh-CN"/>
        </w:rPr>
        <w:t>1</w:t>
      </w:r>
      <w:r>
        <w:rPr>
          <w:rFonts w:hint="eastAsia" w:ascii="宋体" w:hAnsi="宋体" w:eastAsia="宋体" w:cs="宋体"/>
          <w:spacing w:val="-3"/>
          <w:sz w:val="22"/>
          <w:szCs w:val="22"/>
        </w:rPr>
        <w:t>底漆</w:t>
      </w:r>
      <w:r>
        <w:rPr>
          <w:rFonts w:hint="eastAsia" w:ascii="宋体" w:hAnsi="宋体" w:eastAsia="宋体" w:cs="宋体"/>
          <w:spacing w:val="-3"/>
          <w:sz w:val="22"/>
          <w:szCs w:val="22"/>
          <w:lang w:val="en-US" w:eastAsia="zh-CN"/>
        </w:rPr>
        <w:t>、</w:t>
      </w:r>
      <w:r>
        <w:rPr>
          <w:rFonts w:hint="eastAsia" w:ascii="宋体" w:hAnsi="宋体" w:eastAsia="宋体" w:cs="宋体"/>
          <w:spacing w:val="-3"/>
          <w:sz w:val="22"/>
          <w:szCs w:val="22"/>
        </w:rPr>
        <w:t>IPN8710-2C面漆（或 Yutep841 底漆、 Yutep8420 面漆），要求二油涂刷，即底漆两道、面漆两道，底漆与面漆均采用 同一品牌漆。四道漆均为不同颜色，第二道面漆颜色为海蓝色。</w:t>
      </w:r>
    </w:p>
    <w:p w14:paraId="44E379BC">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2、涂漆后，漆厚应≥0.2mm。</w:t>
      </w:r>
    </w:p>
    <w:p w14:paraId="0CC91F7C">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3、漆底漆前管子表面应清除油、灰渣、铁锈、氧化铁皮；采用喷射石英砂 除锈时，其质量标准应达到St3 级；St3 级应符合国家现行最新标准《涂装前刚</w:t>
      </w:r>
    </w:p>
    <w:p w14:paraId="77D5C85B">
      <w:pPr>
        <w:pStyle w:val="17"/>
        <w:spacing w:before="33" w:line="351" w:lineRule="auto"/>
        <w:ind w:left="22" w:right="13" w:firstLine="483"/>
        <w:rPr>
          <w:rFonts w:hint="eastAsia" w:ascii="宋体" w:hAnsi="宋体" w:eastAsia="宋体" w:cs="宋体"/>
          <w:spacing w:val="-3"/>
          <w:sz w:val="22"/>
          <w:szCs w:val="22"/>
        </w:rPr>
        <w:sectPr>
          <w:footerReference r:id="rId4" w:type="default"/>
          <w:pgSz w:w="11906" w:h="16839"/>
          <w:pgMar w:top="1431" w:right="1785" w:bottom="1171" w:left="1785" w:header="0" w:footer="992" w:gutter="0"/>
          <w:pgNumType w:start="1"/>
          <w:cols w:space="720" w:num="1"/>
        </w:sectPr>
      </w:pPr>
    </w:p>
    <w:p w14:paraId="5C623380">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才表面处理规范》的规定。</w:t>
      </w:r>
    </w:p>
    <w:p w14:paraId="1FDB1C52">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4、乙方将过桥钢管除锈后须通知发把人现场施工管理人员进行验收，验收 合格后方可进行防腐施工。</w:t>
      </w:r>
    </w:p>
    <w:p w14:paraId="43CFE0FE">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5、涂底漆时基面应干燥，基面除锈后与涂底漆的间隔时候不得超过 8 小时， 且应涂刷均匀、饱满，不得有凝块、气泡现象。</w:t>
      </w:r>
    </w:p>
    <w:p w14:paraId="279DF380">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6、面漆应涂刷在洁净、干燥的底漆上，常温下刷面漆应涂底漆后 24 小时内 实施。</w:t>
      </w:r>
    </w:p>
    <w:p w14:paraId="65763C67">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7、涂刷应均匀，不漏刷、不起泡、不脱落。</w:t>
      </w:r>
    </w:p>
    <w:p w14:paraId="35A99E03">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8、面漆涂刷应在底漆表干后进行，底漆与第一道面漆涂刷的间隔时间不超过24小时。</w:t>
      </w:r>
    </w:p>
    <w:p w14:paraId="04D9B763">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9、不得在雨、雪或 5 级及以上大风中露天施工。</w:t>
      </w:r>
    </w:p>
    <w:p w14:paraId="3C33AE35">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10、已涂漆管道，炎热天气下，不宜直接受阳光照射，直至涂层干燥。</w:t>
      </w:r>
    </w:p>
    <w:p w14:paraId="27748B06">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11、本项目质保期 2 年，质保期内表面光泽，无锈点。</w:t>
      </w:r>
    </w:p>
    <w:p w14:paraId="5748B8C7">
      <w:pPr>
        <w:pStyle w:val="17"/>
        <w:spacing w:before="33" w:line="351" w:lineRule="auto"/>
        <w:ind w:left="22" w:right="13" w:firstLine="483"/>
        <w:rPr>
          <w:rFonts w:hint="eastAsia" w:ascii="宋体" w:hAnsi="宋体" w:eastAsia="宋体" w:cs="宋体"/>
          <w:spacing w:val="-3"/>
          <w:sz w:val="22"/>
          <w:szCs w:val="22"/>
        </w:rPr>
      </w:pPr>
      <w:r>
        <w:rPr>
          <w:rFonts w:hint="eastAsia" w:ascii="宋体" w:hAnsi="宋体" w:eastAsia="宋体" w:cs="宋体"/>
          <w:spacing w:val="-3"/>
          <w:sz w:val="22"/>
          <w:szCs w:val="22"/>
        </w:rPr>
        <w:t xml:space="preserve">12、本项目所使用的漆需提供合格证、质保证、检测报告书。 </w:t>
      </w:r>
    </w:p>
    <w:p w14:paraId="05B95523">
      <w:pPr>
        <w:pStyle w:val="17"/>
        <w:spacing w:before="184" w:line="290" w:lineRule="auto"/>
        <w:ind w:right="1447"/>
        <w:rPr>
          <w:rFonts w:hint="eastAsia" w:ascii="宋体" w:hAnsi="宋体" w:eastAsia="宋体" w:cs="宋体"/>
          <w:sz w:val="22"/>
          <w:szCs w:val="22"/>
        </w:rPr>
      </w:pPr>
      <w:r>
        <w:rPr>
          <w:rFonts w:hint="eastAsia" w:ascii="宋体" w:hAnsi="宋体" w:eastAsia="宋体" w:cs="宋体"/>
          <w:b/>
          <w:bCs/>
          <w:spacing w:val="-7"/>
          <w:sz w:val="22"/>
          <w:szCs w:val="22"/>
        </w:rPr>
        <w:t>五、工期要求：</w:t>
      </w:r>
      <w:r>
        <w:rPr>
          <w:rFonts w:hint="eastAsia" w:ascii="宋体" w:hAnsi="宋体" w:eastAsia="宋体" w:cs="宋体"/>
          <w:spacing w:val="-7"/>
          <w:sz w:val="22"/>
          <w:szCs w:val="22"/>
          <w:lang w:val="en-US" w:eastAsia="zh-CN"/>
        </w:rPr>
        <w:t>9</w:t>
      </w:r>
      <w:r>
        <w:rPr>
          <w:rFonts w:hint="eastAsia" w:ascii="宋体" w:hAnsi="宋体" w:eastAsia="宋体" w:cs="宋体"/>
          <w:spacing w:val="-7"/>
          <w:sz w:val="22"/>
          <w:szCs w:val="22"/>
        </w:rPr>
        <w:t>0 日历天。</w:t>
      </w:r>
    </w:p>
    <w:p w14:paraId="6F6FFA74">
      <w:pPr>
        <w:pStyle w:val="17"/>
        <w:spacing w:before="181" w:line="347" w:lineRule="auto"/>
        <w:ind w:left="24" w:right="56"/>
        <w:rPr>
          <w:rFonts w:hint="eastAsia" w:ascii="宋体" w:hAnsi="宋体" w:eastAsia="宋体" w:cs="宋体"/>
          <w:sz w:val="22"/>
          <w:szCs w:val="22"/>
        </w:rPr>
      </w:pPr>
      <w:r>
        <w:rPr>
          <w:rFonts w:hint="eastAsia" w:ascii="宋体" w:hAnsi="宋体" w:eastAsia="宋体" w:cs="宋体"/>
          <w:b/>
          <w:bCs/>
          <w:spacing w:val="-2"/>
          <w:sz w:val="22"/>
          <w:szCs w:val="22"/>
        </w:rPr>
        <w:t>六、履约保证金：</w:t>
      </w:r>
      <w:r>
        <w:rPr>
          <w:rFonts w:hint="eastAsia" w:ascii="宋体" w:hAnsi="宋体" w:eastAsia="宋体" w:cs="宋体"/>
          <w:spacing w:val="-2"/>
          <w:sz w:val="22"/>
          <w:szCs w:val="22"/>
        </w:rPr>
        <w:t>中标单位在合同签订前向采购单位交纳</w:t>
      </w:r>
      <w:r>
        <w:rPr>
          <w:rFonts w:hint="eastAsia" w:ascii="宋体" w:hAnsi="宋体" w:eastAsia="宋体" w:cs="宋体"/>
          <w:spacing w:val="-46"/>
          <w:sz w:val="22"/>
          <w:szCs w:val="22"/>
        </w:rPr>
        <w:t xml:space="preserve"> </w:t>
      </w:r>
      <w:r>
        <w:rPr>
          <w:rFonts w:hint="eastAsia" w:ascii="宋体" w:hAnsi="宋体" w:eastAsia="宋体" w:cs="宋体"/>
          <w:spacing w:val="-2"/>
          <w:sz w:val="22"/>
          <w:szCs w:val="22"/>
        </w:rPr>
        <w:t>5%履约保证金</w:t>
      </w:r>
      <w:r>
        <w:rPr>
          <w:rFonts w:hint="eastAsia" w:ascii="宋体" w:hAnsi="宋体" w:eastAsia="宋体" w:cs="宋体"/>
          <w:spacing w:val="-3"/>
          <w:sz w:val="22"/>
          <w:szCs w:val="22"/>
        </w:rPr>
        <w:t>,项目通过验收后</w:t>
      </w:r>
      <w:r>
        <w:rPr>
          <w:rFonts w:hint="eastAsia" w:ascii="宋体" w:hAnsi="宋体" w:eastAsia="宋体" w:cs="宋体"/>
          <w:spacing w:val="-5"/>
          <w:sz w:val="22"/>
          <w:szCs w:val="22"/>
        </w:rPr>
        <w:t>30 日内无息退还。</w:t>
      </w:r>
    </w:p>
    <w:p w14:paraId="6F04875F">
      <w:pPr>
        <w:pStyle w:val="17"/>
        <w:spacing w:before="35" w:line="218" w:lineRule="auto"/>
        <w:ind w:left="22"/>
        <w:rPr>
          <w:rFonts w:hint="eastAsia" w:ascii="宋体" w:hAnsi="宋体" w:eastAsia="宋体" w:cs="宋体"/>
          <w:sz w:val="22"/>
          <w:szCs w:val="22"/>
        </w:rPr>
      </w:pPr>
      <w:r>
        <w:rPr>
          <w:rFonts w:hint="eastAsia" w:ascii="宋体" w:hAnsi="宋体" w:eastAsia="宋体" w:cs="宋体"/>
          <w:b/>
          <w:bCs/>
          <w:spacing w:val="-3"/>
          <w:sz w:val="22"/>
          <w:szCs w:val="22"/>
        </w:rPr>
        <w:t>七、合同价款及付款方式：</w:t>
      </w:r>
    </w:p>
    <w:p w14:paraId="28A1C3B8">
      <w:pPr>
        <w:pStyle w:val="17"/>
        <w:spacing w:before="189" w:line="355" w:lineRule="auto"/>
        <w:ind w:left="24" w:right="7" w:firstLine="480"/>
        <w:rPr>
          <w:rFonts w:hint="eastAsia" w:ascii="宋体" w:hAnsi="宋体" w:eastAsia="宋体" w:cs="宋体"/>
          <w:spacing w:val="-2"/>
          <w:sz w:val="22"/>
          <w:szCs w:val="22"/>
        </w:rPr>
      </w:pPr>
      <w:r>
        <w:rPr>
          <w:rFonts w:hint="eastAsia" w:ascii="宋体" w:hAnsi="宋体" w:eastAsia="宋体" w:cs="宋体"/>
          <w:spacing w:val="-2"/>
          <w:sz w:val="22"/>
          <w:szCs w:val="22"/>
        </w:rPr>
        <w:t>合同金额为</w:t>
      </w:r>
      <w:r>
        <w:rPr>
          <w:rFonts w:hint="eastAsia" w:ascii="宋体" w:hAnsi="宋体" w:eastAsia="宋体" w:cs="宋体"/>
          <w:spacing w:val="-2"/>
          <w:sz w:val="22"/>
          <w:szCs w:val="22"/>
          <w:u w:val="single"/>
        </w:rPr>
        <w:t xml:space="preserve">        </w:t>
      </w:r>
      <w:r>
        <w:rPr>
          <w:rFonts w:hint="eastAsia" w:ascii="宋体" w:hAnsi="宋体" w:eastAsia="宋体" w:cs="宋体"/>
          <w:spacing w:val="-2"/>
          <w:sz w:val="22"/>
          <w:szCs w:val="22"/>
        </w:rPr>
        <w:t>元/平方</w:t>
      </w:r>
    </w:p>
    <w:p w14:paraId="220F8ABE">
      <w:pPr>
        <w:pStyle w:val="17"/>
        <w:spacing w:before="189" w:line="355" w:lineRule="auto"/>
        <w:ind w:left="24" w:right="7" w:firstLine="480"/>
        <w:rPr>
          <w:rFonts w:hint="eastAsia" w:ascii="宋体" w:hAnsi="宋体" w:eastAsia="宋体" w:cs="宋体"/>
          <w:spacing w:val="-2"/>
          <w:sz w:val="22"/>
          <w:szCs w:val="22"/>
        </w:rPr>
      </w:pPr>
      <w:r>
        <w:rPr>
          <w:rFonts w:hint="eastAsia" w:ascii="宋体" w:hAnsi="宋体" w:eastAsia="宋体" w:cs="宋体"/>
          <w:spacing w:val="-2"/>
          <w:sz w:val="22"/>
          <w:szCs w:val="22"/>
        </w:rPr>
        <w:t>（1）中标供应商应提供合同总金额5%的履约保证金（允许以保函形式提交），履约保证金在项目通过验收后30日历天内无息退还。</w:t>
      </w:r>
    </w:p>
    <w:p w14:paraId="1E9B4DEA">
      <w:pPr>
        <w:pStyle w:val="17"/>
        <w:spacing w:before="189" w:line="355" w:lineRule="auto"/>
        <w:ind w:left="24" w:right="7" w:firstLine="480"/>
        <w:rPr>
          <w:rFonts w:hint="eastAsia" w:ascii="宋体" w:hAnsi="宋体" w:eastAsia="宋体" w:cs="宋体"/>
          <w:spacing w:val="-2"/>
          <w:sz w:val="22"/>
          <w:szCs w:val="22"/>
        </w:rPr>
      </w:pPr>
      <w:r>
        <w:rPr>
          <w:rFonts w:hint="eastAsia" w:ascii="宋体" w:hAnsi="宋体" w:eastAsia="宋体" w:cs="宋体"/>
          <w:spacing w:val="-2"/>
          <w:sz w:val="22"/>
          <w:szCs w:val="22"/>
        </w:rPr>
        <w:t>（2）</w:t>
      </w:r>
      <w:r>
        <w:rPr>
          <w:rFonts w:hint="eastAsia" w:ascii="宋体" w:hAnsi="宋体" w:eastAsia="宋体" w:cs="宋体"/>
          <w:spacing w:val="-2"/>
          <w:sz w:val="22"/>
          <w:szCs w:val="22"/>
          <w:lang w:val="en-US" w:eastAsia="zh-CN"/>
        </w:rPr>
        <w:t>合同签订后支付合同总价30%的预付款，项目竣工验收合格后进行结算，</w:t>
      </w:r>
      <w:r>
        <w:rPr>
          <w:rFonts w:hint="eastAsia" w:ascii="宋体" w:hAnsi="宋体" w:eastAsia="宋体" w:cs="宋体"/>
          <w:spacing w:val="-2"/>
          <w:sz w:val="22"/>
          <w:szCs w:val="22"/>
        </w:rPr>
        <w:t>结算合同价款时以实际面积为准，合同总价款不高于</w:t>
      </w:r>
      <w:r>
        <w:rPr>
          <w:rFonts w:hint="eastAsia" w:ascii="宋体" w:hAnsi="宋体" w:eastAsia="宋体" w:cs="宋体"/>
          <w:spacing w:val="-2"/>
          <w:sz w:val="22"/>
          <w:szCs w:val="22"/>
          <w:lang w:val="en-US" w:eastAsia="zh-CN"/>
        </w:rPr>
        <w:t>预算金额</w:t>
      </w:r>
      <w:r>
        <w:rPr>
          <w:rFonts w:hint="eastAsia" w:ascii="宋体" w:hAnsi="宋体" w:eastAsia="宋体" w:cs="宋体"/>
          <w:spacing w:val="-2"/>
          <w:sz w:val="22"/>
          <w:szCs w:val="22"/>
        </w:rPr>
        <w:t>。</w:t>
      </w:r>
    </w:p>
    <w:p w14:paraId="1DD9824D">
      <w:pPr>
        <w:pStyle w:val="17"/>
        <w:spacing w:before="189" w:line="355" w:lineRule="auto"/>
        <w:ind w:left="24" w:right="7" w:firstLine="480"/>
        <w:rPr>
          <w:rFonts w:hint="eastAsia" w:ascii="宋体" w:hAnsi="宋体" w:eastAsia="宋体" w:cs="宋体"/>
          <w:spacing w:val="-2"/>
          <w:sz w:val="22"/>
          <w:szCs w:val="22"/>
        </w:rPr>
      </w:pPr>
      <w:r>
        <w:rPr>
          <w:rFonts w:hint="eastAsia" w:ascii="宋体" w:hAnsi="宋体" w:eastAsia="宋体" w:cs="宋体"/>
          <w:spacing w:val="-2"/>
          <w:sz w:val="22"/>
          <w:szCs w:val="22"/>
        </w:rPr>
        <w:t>合同价为完成本项目所有采购内容并完成合同约定的相应服务应支付的各项金额总和，包括对人员培训、运输、保险、税金、配合措施费、利润、税金、技术措施费、风险费、人身意外保险费、施工遇到的如过桥钢管等情况采用的吊篮或船舶等设备租赁费等相关服务的所有费用。凡乙方在报价中未列明但又为本次采购所必备的项目或遗漏项目，甲方将一律视为已包括在合同价中，在合同执行中将不予考虑。</w:t>
      </w:r>
    </w:p>
    <w:p w14:paraId="7F4F4C70">
      <w:pPr>
        <w:pStyle w:val="17"/>
        <w:spacing w:before="36" w:line="219" w:lineRule="auto"/>
        <w:ind w:left="27"/>
        <w:rPr>
          <w:rFonts w:hint="eastAsia" w:ascii="宋体" w:hAnsi="宋体" w:eastAsia="宋体" w:cs="宋体"/>
          <w:sz w:val="22"/>
          <w:szCs w:val="22"/>
        </w:rPr>
      </w:pPr>
      <w:r>
        <w:rPr>
          <w:rFonts w:hint="eastAsia" w:ascii="宋体" w:hAnsi="宋体" w:eastAsia="宋体" w:cs="宋体"/>
          <w:b/>
          <w:bCs/>
          <w:spacing w:val="-4"/>
          <w:sz w:val="22"/>
          <w:szCs w:val="22"/>
        </w:rPr>
        <w:t>八、结算方法：</w:t>
      </w:r>
    </w:p>
    <w:p w14:paraId="17427E06">
      <w:pPr>
        <w:pStyle w:val="17"/>
        <w:spacing w:before="182" w:line="218" w:lineRule="auto"/>
        <w:ind w:left="501"/>
        <w:rPr>
          <w:rFonts w:hint="eastAsia" w:ascii="宋体" w:hAnsi="宋体" w:eastAsia="宋体" w:cs="宋体"/>
          <w:sz w:val="22"/>
          <w:szCs w:val="22"/>
        </w:rPr>
      </w:pPr>
      <w:r>
        <w:rPr>
          <w:rFonts w:hint="eastAsia" w:ascii="宋体" w:hAnsi="宋体" w:eastAsia="宋体" w:cs="宋体"/>
          <w:sz w:val="22"/>
          <w:szCs w:val="22"/>
        </w:rPr>
        <w:t>钢管防腐面积如有增减，按实际发生面积结算</w:t>
      </w:r>
      <w:r>
        <w:rPr>
          <w:rFonts w:hint="eastAsia" w:ascii="宋体" w:hAnsi="宋体" w:eastAsia="宋体" w:cs="宋体"/>
          <w:spacing w:val="-1"/>
          <w:sz w:val="22"/>
          <w:szCs w:val="22"/>
        </w:rPr>
        <w:t>，单价按投标报价。</w:t>
      </w:r>
    </w:p>
    <w:p w14:paraId="7EE5814B">
      <w:pPr>
        <w:pStyle w:val="17"/>
        <w:spacing w:before="186" w:line="219" w:lineRule="auto"/>
        <w:ind w:left="29"/>
        <w:rPr>
          <w:rFonts w:hint="eastAsia" w:ascii="宋体" w:hAnsi="宋体" w:eastAsia="宋体" w:cs="宋体"/>
          <w:sz w:val="22"/>
          <w:szCs w:val="22"/>
        </w:rPr>
      </w:pPr>
      <w:r>
        <w:rPr>
          <w:rFonts w:hint="eastAsia" w:ascii="宋体" w:hAnsi="宋体" w:eastAsia="宋体" w:cs="宋体"/>
          <w:b/>
          <w:bCs/>
          <w:spacing w:val="-4"/>
          <w:sz w:val="22"/>
          <w:szCs w:val="22"/>
        </w:rPr>
        <w:t>九、安全文明施工：</w:t>
      </w:r>
    </w:p>
    <w:p w14:paraId="41319068">
      <w:pPr>
        <w:pStyle w:val="17"/>
        <w:spacing w:before="123" w:line="313" w:lineRule="auto"/>
        <w:ind w:left="22" w:right="66" w:firstLine="498"/>
        <w:rPr>
          <w:rFonts w:hint="eastAsia" w:ascii="宋体" w:hAnsi="宋体" w:eastAsia="宋体" w:cs="宋体"/>
          <w:sz w:val="22"/>
          <w:szCs w:val="22"/>
        </w:rPr>
      </w:pPr>
      <w:r>
        <w:rPr>
          <w:rFonts w:hint="eastAsia" w:ascii="宋体" w:hAnsi="宋体" w:eastAsia="宋体" w:cs="宋体"/>
          <w:sz w:val="22"/>
          <w:szCs w:val="22"/>
        </w:rPr>
        <w:t>1、乙方必须安全文明施工，做好工程施工所需的维护、安全等</w:t>
      </w:r>
      <w:r>
        <w:rPr>
          <w:rFonts w:hint="eastAsia" w:ascii="宋体" w:hAnsi="宋体" w:eastAsia="宋体" w:cs="宋体"/>
          <w:spacing w:val="-1"/>
          <w:sz w:val="22"/>
          <w:szCs w:val="22"/>
        </w:rPr>
        <w:t>工作，乙方</w:t>
      </w:r>
      <w:r>
        <w:rPr>
          <w:rFonts w:hint="eastAsia" w:ascii="宋体" w:hAnsi="宋体" w:eastAsia="宋体" w:cs="宋体"/>
          <w:sz w:val="22"/>
          <w:szCs w:val="22"/>
        </w:rPr>
        <w:t xml:space="preserve"> </w:t>
      </w:r>
      <w:r>
        <w:rPr>
          <w:rFonts w:hint="eastAsia" w:ascii="宋体" w:hAnsi="宋体" w:eastAsia="宋体" w:cs="宋体"/>
          <w:spacing w:val="-3"/>
          <w:sz w:val="22"/>
          <w:szCs w:val="22"/>
        </w:rPr>
        <w:t>在施工期间因安全设施不到位经建设行政主管部门安全生产检查不合格的，扣除</w:t>
      </w:r>
      <w:r>
        <w:rPr>
          <w:rFonts w:hint="eastAsia" w:ascii="宋体" w:hAnsi="宋体" w:eastAsia="宋体" w:cs="宋体"/>
          <w:spacing w:val="1"/>
          <w:sz w:val="22"/>
          <w:szCs w:val="22"/>
        </w:rPr>
        <w:t xml:space="preserve"> </w:t>
      </w:r>
      <w:r>
        <w:rPr>
          <w:rFonts w:hint="eastAsia" w:ascii="宋体" w:hAnsi="宋体" w:eastAsia="宋体" w:cs="宋体"/>
          <w:spacing w:val="-1"/>
          <w:sz w:val="22"/>
          <w:szCs w:val="22"/>
        </w:rPr>
        <w:t>50%履约保证金，并承担相应责任。</w:t>
      </w:r>
    </w:p>
    <w:p w14:paraId="095CE245">
      <w:pPr>
        <w:pStyle w:val="17"/>
        <w:spacing w:before="183" w:line="313" w:lineRule="auto"/>
        <w:ind w:left="22" w:right="66" w:firstLine="483"/>
        <w:rPr>
          <w:rFonts w:hint="eastAsia" w:ascii="宋体" w:hAnsi="宋体" w:eastAsia="宋体" w:cs="宋体"/>
          <w:sz w:val="22"/>
          <w:szCs w:val="22"/>
        </w:rPr>
      </w:pPr>
      <w:r>
        <w:rPr>
          <w:rFonts w:hint="eastAsia" w:ascii="宋体" w:hAnsi="宋体" w:eastAsia="宋体" w:cs="宋体"/>
          <w:sz w:val="22"/>
          <w:szCs w:val="22"/>
        </w:rPr>
        <w:t>2、乙方须做工程施工所需的维护、安全等工作，应加强设置安全防护网、</w:t>
      </w:r>
      <w:r>
        <w:rPr>
          <w:rFonts w:hint="eastAsia" w:ascii="宋体" w:hAnsi="宋体" w:eastAsia="宋体" w:cs="宋体"/>
          <w:spacing w:val="13"/>
          <w:sz w:val="22"/>
          <w:szCs w:val="22"/>
        </w:rPr>
        <w:t xml:space="preserve"> </w:t>
      </w:r>
      <w:r>
        <w:rPr>
          <w:rFonts w:hint="eastAsia" w:ascii="宋体" w:hAnsi="宋体" w:eastAsia="宋体" w:cs="宋体"/>
          <w:spacing w:val="-3"/>
          <w:sz w:val="22"/>
          <w:szCs w:val="22"/>
        </w:rPr>
        <w:t>围栏等工作。如乙方未履行上述义务造成工程、财产和人身伤害，由乙方承担责</w:t>
      </w:r>
      <w:r>
        <w:rPr>
          <w:rFonts w:hint="eastAsia" w:ascii="宋体" w:hAnsi="宋体" w:eastAsia="宋体" w:cs="宋体"/>
          <w:spacing w:val="1"/>
          <w:sz w:val="22"/>
          <w:szCs w:val="22"/>
        </w:rPr>
        <w:t xml:space="preserve"> </w:t>
      </w:r>
      <w:r>
        <w:rPr>
          <w:rFonts w:hint="eastAsia" w:ascii="宋体" w:hAnsi="宋体" w:eastAsia="宋体" w:cs="宋体"/>
          <w:spacing w:val="-2"/>
          <w:sz w:val="22"/>
          <w:szCs w:val="22"/>
        </w:rPr>
        <w:t>任及所发生费用。</w:t>
      </w:r>
    </w:p>
    <w:p w14:paraId="0DC355DA">
      <w:pPr>
        <w:pStyle w:val="17"/>
        <w:spacing w:before="181" w:line="290" w:lineRule="auto"/>
        <w:ind w:left="23" w:right="69" w:firstLine="484"/>
        <w:rPr>
          <w:rFonts w:hint="eastAsia" w:ascii="宋体" w:hAnsi="宋体" w:eastAsia="宋体" w:cs="宋体"/>
          <w:sz w:val="22"/>
          <w:szCs w:val="22"/>
        </w:rPr>
      </w:pPr>
      <w:r>
        <w:rPr>
          <w:rFonts w:hint="eastAsia" w:ascii="宋体" w:hAnsi="宋体" w:eastAsia="宋体" w:cs="宋体"/>
          <w:sz w:val="22"/>
          <w:szCs w:val="22"/>
        </w:rPr>
        <w:t>3、甲方根据实际情况随时删减工程量，乙方不得因此向甲方要求追加任何</w:t>
      </w:r>
      <w:r>
        <w:rPr>
          <w:rFonts w:hint="eastAsia" w:ascii="宋体" w:hAnsi="宋体" w:eastAsia="宋体" w:cs="宋体"/>
          <w:spacing w:val="8"/>
          <w:sz w:val="22"/>
          <w:szCs w:val="22"/>
        </w:rPr>
        <w:t xml:space="preserve"> </w:t>
      </w:r>
      <w:r>
        <w:rPr>
          <w:rFonts w:hint="eastAsia" w:ascii="宋体" w:hAnsi="宋体" w:eastAsia="宋体" w:cs="宋体"/>
          <w:spacing w:val="-2"/>
          <w:sz w:val="22"/>
          <w:szCs w:val="22"/>
        </w:rPr>
        <w:t>额外费用。</w:t>
      </w:r>
    </w:p>
    <w:p w14:paraId="32221571">
      <w:pPr>
        <w:pStyle w:val="17"/>
        <w:spacing w:before="182" w:line="290" w:lineRule="auto"/>
        <w:ind w:left="42" w:right="5" w:firstLine="460"/>
        <w:rPr>
          <w:rFonts w:hint="eastAsia" w:ascii="宋体" w:hAnsi="宋体" w:eastAsia="宋体" w:cs="宋体"/>
          <w:sz w:val="22"/>
          <w:szCs w:val="22"/>
        </w:rPr>
      </w:pPr>
      <w:r>
        <w:rPr>
          <w:rFonts w:hint="eastAsia" w:ascii="宋体" w:hAnsi="宋体" w:eastAsia="宋体" w:cs="宋体"/>
          <w:spacing w:val="-5"/>
          <w:sz w:val="22"/>
          <w:szCs w:val="22"/>
        </w:rPr>
        <w:t>4、本工程乙方需自备发电机组。因停水、停电原因的工期延长将不予批准，</w:t>
      </w:r>
      <w:r>
        <w:rPr>
          <w:rFonts w:hint="eastAsia" w:ascii="宋体" w:hAnsi="宋体" w:eastAsia="宋体" w:cs="宋体"/>
          <w:spacing w:val="8"/>
          <w:sz w:val="22"/>
          <w:szCs w:val="22"/>
        </w:rPr>
        <w:t xml:space="preserve"> </w:t>
      </w:r>
      <w:r>
        <w:rPr>
          <w:rFonts w:hint="eastAsia" w:ascii="宋体" w:hAnsi="宋体" w:eastAsia="宋体" w:cs="宋体"/>
          <w:spacing w:val="-2"/>
          <w:sz w:val="22"/>
          <w:szCs w:val="22"/>
        </w:rPr>
        <w:t>因此发生的相关费用不再另行增加。</w:t>
      </w:r>
    </w:p>
    <w:p w14:paraId="4864DCE3">
      <w:pPr>
        <w:pStyle w:val="17"/>
        <w:spacing w:before="182" w:line="290" w:lineRule="auto"/>
        <w:ind w:left="24" w:right="69" w:firstLine="483"/>
        <w:rPr>
          <w:rFonts w:hint="eastAsia" w:ascii="宋体" w:hAnsi="宋体" w:eastAsia="宋体" w:cs="宋体"/>
          <w:sz w:val="22"/>
          <w:szCs w:val="22"/>
        </w:rPr>
      </w:pPr>
      <w:r>
        <w:rPr>
          <w:rFonts w:hint="eastAsia" w:ascii="宋体" w:hAnsi="宋体" w:eastAsia="宋体" w:cs="宋体"/>
          <w:sz w:val="22"/>
          <w:szCs w:val="22"/>
        </w:rPr>
        <w:t>5、工程施工中必须考虑一切因素影响，乙方应自行负责有关技术保障措施</w:t>
      </w:r>
      <w:r>
        <w:rPr>
          <w:rFonts w:hint="eastAsia" w:ascii="宋体" w:hAnsi="宋体" w:eastAsia="宋体" w:cs="宋体"/>
          <w:spacing w:val="8"/>
          <w:sz w:val="22"/>
          <w:szCs w:val="22"/>
        </w:rPr>
        <w:t xml:space="preserve"> </w:t>
      </w:r>
      <w:r>
        <w:rPr>
          <w:rFonts w:hint="eastAsia" w:ascii="宋体" w:hAnsi="宋体" w:eastAsia="宋体" w:cs="宋体"/>
          <w:spacing w:val="-1"/>
          <w:sz w:val="22"/>
          <w:szCs w:val="22"/>
        </w:rPr>
        <w:t>方案及其发生的相关费用。</w:t>
      </w:r>
    </w:p>
    <w:p w14:paraId="523DEE86">
      <w:pPr>
        <w:pStyle w:val="17"/>
        <w:spacing w:before="182" w:line="219" w:lineRule="auto"/>
        <w:ind w:left="24"/>
        <w:rPr>
          <w:rFonts w:hint="eastAsia" w:ascii="宋体" w:hAnsi="宋体" w:eastAsia="宋体" w:cs="宋体"/>
          <w:sz w:val="22"/>
          <w:szCs w:val="22"/>
        </w:rPr>
      </w:pPr>
      <w:r>
        <w:rPr>
          <w:rFonts w:hint="eastAsia" w:ascii="宋体" w:hAnsi="宋体" w:eastAsia="宋体" w:cs="宋体"/>
          <w:b/>
          <w:bCs/>
          <w:spacing w:val="-4"/>
          <w:sz w:val="22"/>
          <w:szCs w:val="22"/>
        </w:rPr>
        <w:t>十、违约责任：</w:t>
      </w:r>
    </w:p>
    <w:p w14:paraId="40FFACB1">
      <w:pPr>
        <w:pStyle w:val="17"/>
        <w:spacing w:before="184" w:line="219" w:lineRule="auto"/>
        <w:ind w:left="534"/>
        <w:rPr>
          <w:rFonts w:hint="eastAsia" w:ascii="宋体" w:hAnsi="宋体" w:eastAsia="宋体" w:cs="宋体"/>
          <w:sz w:val="22"/>
          <w:szCs w:val="22"/>
        </w:rPr>
      </w:pPr>
      <w:r>
        <w:rPr>
          <w:rFonts w:hint="eastAsia" w:ascii="宋体" w:hAnsi="宋体" w:eastAsia="宋体" w:cs="宋体"/>
          <w:spacing w:val="-7"/>
          <w:sz w:val="22"/>
          <w:szCs w:val="22"/>
        </w:rPr>
        <w:t>甲方违约责任</w:t>
      </w:r>
    </w:p>
    <w:p w14:paraId="21A341FA">
      <w:pPr>
        <w:pStyle w:val="17"/>
        <w:spacing w:before="182" w:line="290" w:lineRule="auto"/>
        <w:ind w:left="24" w:right="91" w:firstLine="496"/>
        <w:rPr>
          <w:rFonts w:hint="eastAsia" w:ascii="宋体" w:hAnsi="宋体" w:eastAsia="宋体" w:cs="宋体"/>
          <w:sz w:val="22"/>
          <w:szCs w:val="22"/>
        </w:rPr>
      </w:pPr>
      <w:r>
        <w:rPr>
          <w:rFonts w:hint="eastAsia" w:ascii="宋体" w:hAnsi="宋体" w:eastAsia="宋体" w:cs="宋体"/>
          <w:spacing w:val="-3"/>
          <w:sz w:val="22"/>
          <w:szCs w:val="22"/>
        </w:rPr>
        <w:t>1、在合同生效后，甲方要求停止服务的，应向乙方偿付合同总价款的</w:t>
      </w:r>
      <w:r>
        <w:rPr>
          <w:rFonts w:hint="eastAsia" w:ascii="宋体" w:hAnsi="宋体" w:eastAsia="宋体" w:cs="宋体"/>
          <w:spacing w:val="-45"/>
          <w:sz w:val="22"/>
          <w:szCs w:val="22"/>
        </w:rPr>
        <w:t xml:space="preserve"> </w:t>
      </w:r>
      <w:r>
        <w:rPr>
          <w:rFonts w:hint="eastAsia" w:ascii="宋体" w:hAnsi="宋体" w:eastAsia="宋体" w:cs="宋体"/>
          <w:spacing w:val="-3"/>
          <w:sz w:val="22"/>
          <w:szCs w:val="22"/>
        </w:rPr>
        <w:t>5%，</w:t>
      </w:r>
      <w:r>
        <w:rPr>
          <w:rFonts w:hint="eastAsia" w:ascii="宋体" w:hAnsi="宋体" w:eastAsia="宋体" w:cs="宋体"/>
          <w:spacing w:val="-1"/>
          <w:sz w:val="22"/>
          <w:szCs w:val="22"/>
        </w:rPr>
        <w:t>作为违约金，违约金不足以补偿损失的，乙方有权要求甲方补足。</w:t>
      </w:r>
    </w:p>
    <w:p w14:paraId="5C6E1B07">
      <w:pPr>
        <w:pStyle w:val="17"/>
        <w:spacing w:before="183" w:line="292" w:lineRule="auto"/>
        <w:ind w:left="23" w:right="69" w:firstLine="482"/>
        <w:rPr>
          <w:rFonts w:hint="eastAsia" w:ascii="宋体" w:hAnsi="宋体" w:eastAsia="宋体" w:cs="宋体"/>
          <w:sz w:val="22"/>
          <w:szCs w:val="22"/>
        </w:rPr>
      </w:pPr>
      <w:r>
        <w:rPr>
          <w:rFonts w:hint="eastAsia" w:ascii="宋体" w:hAnsi="宋体" w:eastAsia="宋体" w:cs="宋体"/>
          <w:sz w:val="22"/>
          <w:szCs w:val="22"/>
        </w:rPr>
        <w:t>2、甲方逾期支付款项的应按照逾期付款金额的每天万分之四支付逾期付款</w:t>
      </w:r>
      <w:r>
        <w:rPr>
          <w:rFonts w:hint="eastAsia" w:ascii="宋体" w:hAnsi="宋体" w:eastAsia="宋体" w:cs="宋体"/>
          <w:spacing w:val="10"/>
          <w:sz w:val="22"/>
          <w:szCs w:val="22"/>
        </w:rPr>
        <w:t xml:space="preserve"> </w:t>
      </w:r>
      <w:r>
        <w:rPr>
          <w:rFonts w:hint="eastAsia" w:ascii="宋体" w:hAnsi="宋体" w:eastAsia="宋体" w:cs="宋体"/>
          <w:spacing w:val="-3"/>
          <w:sz w:val="22"/>
          <w:szCs w:val="22"/>
        </w:rPr>
        <w:t>违约金。</w:t>
      </w:r>
    </w:p>
    <w:p w14:paraId="57B822E5">
      <w:pPr>
        <w:pStyle w:val="17"/>
        <w:spacing w:before="177" w:line="219" w:lineRule="auto"/>
        <w:ind w:left="526"/>
        <w:rPr>
          <w:rFonts w:hint="eastAsia" w:ascii="宋体" w:hAnsi="宋体" w:eastAsia="宋体" w:cs="宋体"/>
          <w:sz w:val="22"/>
          <w:szCs w:val="22"/>
        </w:rPr>
      </w:pPr>
      <w:r>
        <w:rPr>
          <w:rFonts w:hint="eastAsia" w:ascii="宋体" w:hAnsi="宋体" w:eastAsia="宋体" w:cs="宋体"/>
          <w:spacing w:val="-6"/>
          <w:sz w:val="22"/>
          <w:szCs w:val="22"/>
        </w:rPr>
        <w:t>乙方违约责任</w:t>
      </w:r>
    </w:p>
    <w:p w14:paraId="0F59655A">
      <w:pPr>
        <w:pStyle w:val="17"/>
        <w:spacing w:before="183" w:line="313" w:lineRule="auto"/>
        <w:ind w:left="24" w:right="67" w:firstLine="496"/>
        <w:rPr>
          <w:rFonts w:hint="eastAsia" w:ascii="宋体" w:hAnsi="宋体" w:eastAsia="宋体" w:cs="宋体"/>
          <w:sz w:val="22"/>
          <w:szCs w:val="22"/>
        </w:rPr>
      </w:pPr>
      <w:r>
        <w:rPr>
          <w:rFonts w:hint="eastAsia" w:ascii="宋体" w:hAnsi="宋体" w:eastAsia="宋体" w:cs="宋体"/>
          <w:spacing w:val="-1"/>
          <w:sz w:val="22"/>
          <w:szCs w:val="22"/>
        </w:rPr>
        <w:t>1、乙方不能完工（超过完工期限的，视为不能完工</w:t>
      </w:r>
      <w:r>
        <w:rPr>
          <w:rFonts w:hint="eastAsia" w:ascii="宋体" w:hAnsi="宋体" w:eastAsia="宋体" w:cs="宋体"/>
          <w:spacing w:val="13"/>
          <w:sz w:val="22"/>
          <w:szCs w:val="22"/>
        </w:rPr>
        <w:t>），</w:t>
      </w:r>
      <w:r>
        <w:rPr>
          <w:rFonts w:hint="eastAsia" w:ascii="宋体" w:hAnsi="宋体" w:eastAsia="宋体" w:cs="宋体"/>
          <w:spacing w:val="-1"/>
          <w:sz w:val="22"/>
          <w:szCs w:val="22"/>
        </w:rPr>
        <w:t>或未按采购要求完</w:t>
      </w:r>
      <w:r>
        <w:rPr>
          <w:rFonts w:hint="eastAsia" w:ascii="宋体" w:hAnsi="宋体" w:eastAsia="宋体" w:cs="宋体"/>
          <w:spacing w:val="2"/>
          <w:sz w:val="22"/>
          <w:szCs w:val="22"/>
        </w:rPr>
        <w:t>工的，应向甲方偿付合同总价款</w:t>
      </w:r>
      <w:r>
        <w:rPr>
          <w:rFonts w:hint="eastAsia" w:ascii="宋体" w:hAnsi="宋体" w:eastAsia="宋体" w:cs="宋体"/>
          <w:spacing w:val="-44"/>
          <w:sz w:val="22"/>
          <w:szCs w:val="22"/>
        </w:rPr>
        <w:t xml:space="preserve"> </w:t>
      </w:r>
      <w:r>
        <w:rPr>
          <w:rFonts w:hint="eastAsia" w:ascii="宋体" w:hAnsi="宋体" w:eastAsia="宋体" w:cs="宋体"/>
          <w:spacing w:val="2"/>
          <w:sz w:val="22"/>
          <w:szCs w:val="22"/>
        </w:rPr>
        <w:t>5%的违约金，违约</w:t>
      </w:r>
      <w:r>
        <w:rPr>
          <w:rFonts w:hint="eastAsia" w:ascii="宋体" w:hAnsi="宋体" w:eastAsia="宋体" w:cs="宋体"/>
          <w:spacing w:val="1"/>
          <w:sz w:val="22"/>
          <w:szCs w:val="22"/>
        </w:rPr>
        <w:t>金不足以补偿损失的，甲方</w:t>
      </w:r>
      <w:r>
        <w:rPr>
          <w:rFonts w:hint="eastAsia" w:ascii="宋体" w:hAnsi="宋体" w:eastAsia="宋体" w:cs="宋体"/>
          <w:sz w:val="22"/>
          <w:szCs w:val="22"/>
        </w:rPr>
        <w:t xml:space="preserve"> </w:t>
      </w:r>
      <w:r>
        <w:rPr>
          <w:rFonts w:hint="eastAsia" w:ascii="宋体" w:hAnsi="宋体" w:eastAsia="宋体" w:cs="宋体"/>
          <w:spacing w:val="-2"/>
          <w:sz w:val="22"/>
          <w:szCs w:val="22"/>
        </w:rPr>
        <w:t>有权要求乙方补足。</w:t>
      </w:r>
    </w:p>
    <w:p w14:paraId="4D81130F">
      <w:pPr>
        <w:pStyle w:val="17"/>
        <w:spacing w:before="184" w:line="313" w:lineRule="auto"/>
        <w:ind w:left="24" w:right="66" w:firstLine="481"/>
        <w:rPr>
          <w:rFonts w:hint="eastAsia" w:ascii="宋体" w:hAnsi="宋体" w:eastAsia="宋体" w:cs="宋体"/>
          <w:sz w:val="22"/>
          <w:szCs w:val="22"/>
        </w:rPr>
      </w:pPr>
      <w:r>
        <w:rPr>
          <w:rFonts w:hint="eastAsia" w:ascii="宋体" w:hAnsi="宋体" w:eastAsia="宋体" w:cs="宋体"/>
          <w:sz w:val="22"/>
          <w:szCs w:val="22"/>
        </w:rPr>
        <w:t>2、乙方逾期完工的，应在完工前与甲方协商，甲方仍需求的，乙方应立即</w:t>
      </w:r>
      <w:r>
        <w:rPr>
          <w:rFonts w:hint="eastAsia" w:ascii="宋体" w:hAnsi="宋体" w:eastAsia="宋体" w:cs="宋体"/>
          <w:spacing w:val="10"/>
          <w:sz w:val="22"/>
          <w:szCs w:val="22"/>
        </w:rPr>
        <w:t xml:space="preserve"> </w:t>
      </w:r>
      <w:r>
        <w:rPr>
          <w:rFonts w:hint="eastAsia" w:ascii="宋体" w:hAnsi="宋体" w:eastAsia="宋体" w:cs="宋体"/>
          <w:spacing w:val="-3"/>
          <w:sz w:val="22"/>
          <w:szCs w:val="22"/>
        </w:rPr>
        <w:t>完工，按照逾期完工部分价款的每天万分之五支付逾期完工违约金，同时承担甲</w:t>
      </w:r>
      <w:r>
        <w:rPr>
          <w:rFonts w:hint="eastAsia" w:ascii="宋体" w:hAnsi="宋体" w:eastAsia="宋体" w:cs="宋体"/>
          <w:sz w:val="22"/>
          <w:szCs w:val="22"/>
        </w:rPr>
        <w:t xml:space="preserve"> </w:t>
      </w:r>
      <w:r>
        <w:rPr>
          <w:rFonts w:hint="eastAsia" w:ascii="宋体" w:hAnsi="宋体" w:eastAsia="宋体" w:cs="宋体"/>
          <w:spacing w:val="-1"/>
          <w:sz w:val="22"/>
          <w:szCs w:val="22"/>
        </w:rPr>
        <w:t>方因此遭致的损失费用。</w:t>
      </w:r>
    </w:p>
    <w:p w14:paraId="5390CBAE">
      <w:pPr>
        <w:pStyle w:val="17"/>
        <w:spacing w:before="183" w:line="219" w:lineRule="auto"/>
        <w:ind w:left="24"/>
        <w:rPr>
          <w:rFonts w:hint="eastAsia" w:ascii="宋体" w:hAnsi="宋体" w:eastAsia="宋体" w:cs="宋体"/>
          <w:sz w:val="22"/>
          <w:szCs w:val="22"/>
        </w:rPr>
      </w:pPr>
      <w:r>
        <w:rPr>
          <w:rFonts w:hint="eastAsia" w:ascii="宋体" w:hAnsi="宋体" w:eastAsia="宋体" w:cs="宋体"/>
          <w:b/>
          <w:bCs/>
          <w:spacing w:val="-4"/>
          <w:sz w:val="22"/>
          <w:szCs w:val="22"/>
        </w:rPr>
        <w:t>十一、合同争议：</w:t>
      </w:r>
    </w:p>
    <w:p w14:paraId="48018C5A">
      <w:pPr>
        <w:pStyle w:val="17"/>
        <w:spacing w:before="183" w:line="289" w:lineRule="auto"/>
        <w:ind w:left="24" w:firstLine="496"/>
        <w:rPr>
          <w:rFonts w:hint="eastAsia" w:ascii="宋体" w:hAnsi="宋体" w:eastAsia="宋体" w:cs="宋体"/>
          <w:sz w:val="22"/>
          <w:szCs w:val="22"/>
        </w:rPr>
      </w:pPr>
      <w:r>
        <w:rPr>
          <w:rFonts w:hint="eastAsia" w:ascii="宋体" w:hAnsi="宋体" w:eastAsia="宋体" w:cs="宋体"/>
          <w:spacing w:val="2"/>
          <w:sz w:val="22"/>
          <w:szCs w:val="22"/>
        </w:rPr>
        <w:t>1、本合同的订立、效力、解释、履行及争议解决方式均受中华人民共和国</w:t>
      </w:r>
      <w:r>
        <w:rPr>
          <w:rFonts w:hint="eastAsia" w:ascii="宋体" w:hAnsi="宋体" w:eastAsia="宋体" w:cs="宋体"/>
          <w:sz w:val="22"/>
          <w:szCs w:val="22"/>
        </w:rPr>
        <w:t xml:space="preserve"> </w:t>
      </w:r>
      <w:r>
        <w:rPr>
          <w:rFonts w:hint="eastAsia" w:ascii="宋体" w:hAnsi="宋体" w:eastAsia="宋体" w:cs="宋体"/>
          <w:spacing w:val="-2"/>
          <w:sz w:val="22"/>
          <w:szCs w:val="22"/>
        </w:rPr>
        <w:t>法律的保护和管辖。</w:t>
      </w:r>
    </w:p>
    <w:p w14:paraId="06B80118">
      <w:pPr>
        <w:pStyle w:val="17"/>
        <w:spacing w:before="184" w:line="219" w:lineRule="auto"/>
        <w:jc w:val="center"/>
        <w:rPr>
          <w:rFonts w:hint="eastAsia" w:ascii="宋体" w:hAnsi="宋体" w:eastAsia="宋体" w:cs="宋体"/>
          <w:sz w:val="22"/>
          <w:szCs w:val="22"/>
        </w:rPr>
      </w:pPr>
      <w:r>
        <w:rPr>
          <w:rFonts w:hint="eastAsia" w:ascii="宋体" w:hAnsi="宋体" w:eastAsia="宋体" w:cs="宋体"/>
          <w:spacing w:val="2"/>
          <w:sz w:val="22"/>
          <w:szCs w:val="22"/>
        </w:rPr>
        <w:t xml:space="preserve">    2、因执行本合同发生争议，双方协商解决，协商不能解决的，可依法提起</w:t>
      </w:r>
      <w:r>
        <w:rPr>
          <w:rFonts w:hint="eastAsia" w:ascii="宋体" w:hAnsi="宋体" w:eastAsia="宋体" w:cs="宋体"/>
          <w:spacing w:val="-3"/>
          <w:sz w:val="22"/>
          <w:szCs w:val="22"/>
        </w:rPr>
        <w:t>诉讼。</w:t>
      </w:r>
    </w:p>
    <w:p w14:paraId="2E7AC869">
      <w:pPr>
        <w:pStyle w:val="17"/>
        <w:spacing w:before="181" w:line="221" w:lineRule="auto"/>
        <w:ind w:left="24"/>
        <w:rPr>
          <w:rFonts w:hint="eastAsia" w:ascii="宋体" w:hAnsi="宋体" w:eastAsia="宋体" w:cs="宋体"/>
          <w:sz w:val="22"/>
          <w:szCs w:val="22"/>
        </w:rPr>
      </w:pPr>
      <w:r>
        <w:rPr>
          <w:rFonts w:hint="eastAsia" w:ascii="宋体" w:hAnsi="宋体" w:eastAsia="宋体" w:cs="宋体"/>
          <w:b/>
          <w:bCs/>
          <w:spacing w:val="-4"/>
          <w:sz w:val="22"/>
          <w:szCs w:val="22"/>
        </w:rPr>
        <w:t>十二、合同变更：</w:t>
      </w:r>
    </w:p>
    <w:p w14:paraId="43EAED3E">
      <w:pPr>
        <w:pStyle w:val="17"/>
        <w:spacing w:before="180" w:line="347" w:lineRule="auto"/>
        <w:ind w:left="30" w:firstLine="473"/>
        <w:rPr>
          <w:rFonts w:hint="eastAsia" w:ascii="宋体" w:hAnsi="宋体" w:eastAsia="宋体" w:cs="宋体"/>
          <w:sz w:val="22"/>
          <w:szCs w:val="22"/>
        </w:rPr>
      </w:pPr>
      <w:r>
        <w:rPr>
          <w:rFonts w:hint="eastAsia" w:ascii="宋体" w:hAnsi="宋体" w:eastAsia="宋体" w:cs="宋体"/>
          <w:spacing w:val="-3"/>
          <w:sz w:val="22"/>
          <w:szCs w:val="22"/>
        </w:rPr>
        <w:t>合同履行中，甲方需追加与合同标的相同服务，在不变合同其</w:t>
      </w:r>
      <w:r>
        <w:rPr>
          <w:rFonts w:hint="eastAsia" w:ascii="宋体" w:hAnsi="宋体" w:eastAsia="宋体" w:cs="宋体"/>
          <w:spacing w:val="-4"/>
          <w:sz w:val="22"/>
          <w:szCs w:val="22"/>
        </w:rPr>
        <w:t>他条款的前提</w:t>
      </w:r>
      <w:r>
        <w:rPr>
          <w:rFonts w:hint="eastAsia" w:ascii="宋体" w:hAnsi="宋体" w:eastAsia="宋体" w:cs="宋体"/>
          <w:spacing w:val="-2"/>
          <w:sz w:val="22"/>
          <w:szCs w:val="22"/>
        </w:rPr>
        <w:t>下，可以与乙方协商签订补充合同（甲方在谈判过程中作出优惠承诺的除外）。</w:t>
      </w:r>
    </w:p>
    <w:p w14:paraId="0604ADCC">
      <w:pPr>
        <w:pStyle w:val="17"/>
        <w:spacing w:before="34" w:line="220" w:lineRule="auto"/>
        <w:ind w:left="24"/>
        <w:rPr>
          <w:rFonts w:hint="eastAsia" w:ascii="宋体" w:hAnsi="宋体" w:eastAsia="宋体" w:cs="宋体"/>
          <w:sz w:val="22"/>
          <w:szCs w:val="22"/>
        </w:rPr>
      </w:pPr>
      <w:r>
        <w:rPr>
          <w:rFonts w:hint="eastAsia" w:ascii="宋体" w:hAnsi="宋体" w:eastAsia="宋体" w:cs="宋体"/>
          <w:b/>
          <w:bCs/>
          <w:spacing w:val="-4"/>
          <w:sz w:val="22"/>
          <w:szCs w:val="22"/>
        </w:rPr>
        <w:t>十三、转让和分包：</w:t>
      </w:r>
    </w:p>
    <w:p w14:paraId="161B0E05">
      <w:pPr>
        <w:pStyle w:val="17"/>
        <w:spacing w:before="181" w:line="347" w:lineRule="auto"/>
        <w:ind w:left="25" w:right="53" w:firstLine="481"/>
        <w:rPr>
          <w:rFonts w:hint="eastAsia" w:ascii="宋体" w:hAnsi="宋体" w:eastAsia="宋体" w:cs="宋体"/>
          <w:sz w:val="22"/>
          <w:szCs w:val="22"/>
        </w:rPr>
      </w:pPr>
      <w:r>
        <w:rPr>
          <w:rFonts w:hint="eastAsia" w:ascii="宋体" w:hAnsi="宋体" w:eastAsia="宋体" w:cs="宋体"/>
          <w:spacing w:val="4"/>
          <w:sz w:val="22"/>
          <w:szCs w:val="22"/>
        </w:rPr>
        <w:t xml:space="preserve">未经甲方事先书面同意，乙方不得部分转让或全部转让其应履行的合同义 </w:t>
      </w:r>
      <w:r>
        <w:rPr>
          <w:rFonts w:hint="eastAsia" w:ascii="宋体" w:hAnsi="宋体" w:eastAsia="宋体" w:cs="宋体"/>
          <w:spacing w:val="-6"/>
          <w:sz w:val="22"/>
          <w:szCs w:val="22"/>
        </w:rPr>
        <w:t>务。</w:t>
      </w:r>
    </w:p>
    <w:p w14:paraId="5005C8A1">
      <w:pPr>
        <w:pStyle w:val="17"/>
        <w:spacing w:before="35" w:line="220" w:lineRule="auto"/>
        <w:ind w:left="24"/>
        <w:rPr>
          <w:rFonts w:hint="eastAsia" w:ascii="宋体" w:hAnsi="宋体" w:eastAsia="宋体" w:cs="宋体"/>
          <w:sz w:val="22"/>
          <w:szCs w:val="22"/>
        </w:rPr>
      </w:pPr>
      <w:r>
        <w:rPr>
          <w:rFonts w:hint="eastAsia" w:ascii="宋体" w:hAnsi="宋体" w:eastAsia="宋体" w:cs="宋体"/>
          <w:b/>
          <w:bCs/>
          <w:spacing w:val="-3"/>
          <w:sz w:val="22"/>
          <w:szCs w:val="22"/>
        </w:rPr>
        <w:t>十四、合同的签订和生效：</w:t>
      </w:r>
    </w:p>
    <w:p w14:paraId="52552FDF">
      <w:pPr>
        <w:pStyle w:val="17"/>
        <w:spacing w:before="181" w:line="219" w:lineRule="auto"/>
        <w:ind w:left="504"/>
        <w:rPr>
          <w:rFonts w:hint="eastAsia" w:ascii="宋体" w:hAnsi="宋体" w:eastAsia="宋体" w:cs="宋体"/>
          <w:sz w:val="22"/>
          <w:szCs w:val="22"/>
        </w:rPr>
      </w:pPr>
      <w:r>
        <w:rPr>
          <w:rFonts w:hint="eastAsia" w:ascii="宋体" w:hAnsi="宋体" w:eastAsia="宋体" w:cs="宋体"/>
          <w:sz w:val="22"/>
          <w:szCs w:val="22"/>
        </w:rPr>
        <w:t>本合同经甲乙双方法定代表人或法人授权委托</w:t>
      </w:r>
      <w:r>
        <w:rPr>
          <w:rFonts w:hint="eastAsia" w:ascii="宋体" w:hAnsi="宋体" w:eastAsia="宋体" w:cs="宋体"/>
          <w:spacing w:val="-1"/>
          <w:sz w:val="22"/>
          <w:szCs w:val="22"/>
        </w:rPr>
        <w:t>人签字并加盖公章后生效。</w:t>
      </w:r>
    </w:p>
    <w:p w14:paraId="3674AF07">
      <w:pPr>
        <w:pStyle w:val="17"/>
        <w:spacing w:before="184" w:line="219" w:lineRule="auto"/>
        <w:ind w:left="24"/>
        <w:rPr>
          <w:rFonts w:hint="eastAsia" w:ascii="宋体" w:hAnsi="宋体" w:eastAsia="宋体" w:cs="宋体"/>
          <w:sz w:val="22"/>
          <w:szCs w:val="22"/>
        </w:rPr>
      </w:pPr>
      <w:r>
        <w:rPr>
          <w:rFonts w:hint="eastAsia" w:ascii="宋体" w:hAnsi="宋体" w:eastAsia="宋体" w:cs="宋体"/>
          <w:b/>
          <w:bCs/>
          <w:spacing w:val="-4"/>
          <w:sz w:val="22"/>
          <w:szCs w:val="22"/>
        </w:rPr>
        <w:t>十五、合同份数：</w:t>
      </w:r>
    </w:p>
    <w:p w14:paraId="4EE5DB87">
      <w:pPr>
        <w:pStyle w:val="17"/>
        <w:spacing w:before="183" w:line="219" w:lineRule="auto"/>
        <w:ind w:left="504"/>
        <w:rPr>
          <w:rFonts w:hint="eastAsia" w:ascii="宋体" w:hAnsi="宋体" w:eastAsia="宋体" w:cs="宋体"/>
          <w:sz w:val="22"/>
          <w:szCs w:val="22"/>
        </w:rPr>
      </w:pPr>
      <w:r>
        <w:rPr>
          <w:rFonts w:hint="eastAsia" w:ascii="宋体" w:hAnsi="宋体" w:eastAsia="宋体" w:cs="宋体"/>
          <w:spacing w:val="-1"/>
          <w:sz w:val="22"/>
          <w:szCs w:val="22"/>
        </w:rPr>
        <w:t>本合同一式肆份，甲方、乙方各执贰份。</w:t>
      </w:r>
    </w:p>
    <w:p w14:paraId="704C9716">
      <w:pPr>
        <w:spacing w:line="258" w:lineRule="auto"/>
        <w:rPr>
          <w:rFonts w:hint="eastAsia" w:ascii="宋体" w:hAnsi="宋体" w:cs="宋体"/>
          <w:sz w:val="22"/>
          <w:szCs w:val="22"/>
        </w:rPr>
      </w:pPr>
    </w:p>
    <w:p w14:paraId="11E5EBDC">
      <w:pPr>
        <w:spacing w:line="258" w:lineRule="auto"/>
        <w:rPr>
          <w:rFonts w:hint="eastAsia" w:ascii="宋体" w:hAnsi="宋体" w:cs="宋体"/>
          <w:sz w:val="22"/>
          <w:szCs w:val="22"/>
        </w:rPr>
      </w:pPr>
    </w:p>
    <w:p w14:paraId="7E617EB4">
      <w:pPr>
        <w:spacing w:line="259" w:lineRule="auto"/>
        <w:rPr>
          <w:rFonts w:hint="eastAsia" w:ascii="宋体" w:hAnsi="宋体" w:cs="宋体"/>
          <w:sz w:val="22"/>
          <w:szCs w:val="22"/>
        </w:rPr>
      </w:pPr>
    </w:p>
    <w:p w14:paraId="3BEC6AF5">
      <w:pPr>
        <w:spacing w:line="259" w:lineRule="auto"/>
        <w:rPr>
          <w:rFonts w:hint="eastAsia" w:ascii="宋体" w:hAnsi="宋体" w:cs="宋体"/>
          <w:sz w:val="22"/>
          <w:szCs w:val="22"/>
        </w:rPr>
      </w:pPr>
    </w:p>
    <w:p w14:paraId="1371E7FD">
      <w:pPr>
        <w:pStyle w:val="17"/>
        <w:spacing w:before="79" w:line="219" w:lineRule="auto"/>
        <w:ind w:left="534"/>
        <w:rPr>
          <w:rFonts w:hint="eastAsia" w:ascii="宋体" w:hAnsi="宋体" w:eastAsia="宋体" w:cs="宋体"/>
          <w:sz w:val="22"/>
          <w:szCs w:val="22"/>
        </w:rPr>
      </w:pPr>
      <w:r>
        <w:rPr>
          <w:rFonts w:hint="eastAsia" w:ascii="宋体" w:hAnsi="宋体" w:eastAsia="宋体" w:cs="宋体"/>
          <w:spacing w:val="-7"/>
          <w:sz w:val="22"/>
          <w:szCs w:val="22"/>
        </w:rPr>
        <w:t>甲方（公章）</w:t>
      </w:r>
      <w:r>
        <w:rPr>
          <w:rFonts w:hint="eastAsia" w:ascii="宋体" w:hAnsi="宋体" w:eastAsia="宋体" w:cs="宋体"/>
          <w:spacing w:val="1"/>
          <w:sz w:val="22"/>
          <w:szCs w:val="22"/>
        </w:rPr>
        <w:t xml:space="preserve">                        </w:t>
      </w:r>
      <w:r>
        <w:rPr>
          <w:rFonts w:hint="eastAsia" w:ascii="宋体" w:hAnsi="宋体" w:eastAsia="宋体" w:cs="宋体"/>
          <w:spacing w:val="-7"/>
          <w:sz w:val="22"/>
          <w:szCs w:val="22"/>
        </w:rPr>
        <w:t>乙方（公章）</w:t>
      </w:r>
    </w:p>
    <w:p w14:paraId="7DDDB966">
      <w:pPr>
        <w:pStyle w:val="17"/>
        <w:spacing w:before="184" w:line="219" w:lineRule="auto"/>
        <w:ind w:left="504"/>
        <w:rPr>
          <w:rFonts w:hint="eastAsia" w:ascii="宋体" w:hAnsi="宋体" w:eastAsia="宋体" w:cs="宋体"/>
          <w:sz w:val="22"/>
          <w:szCs w:val="22"/>
        </w:rPr>
      </w:pPr>
      <w:r>
        <w:rPr>
          <w:rFonts w:hint="eastAsia" w:ascii="宋体" w:hAnsi="宋体" w:eastAsia="宋体" w:cs="宋体"/>
          <w:sz w:val="22"/>
          <w:szCs w:val="22"/>
        </w:rPr>
        <w:t xml:space="preserve">法人或授权委托人签字：             </w:t>
      </w:r>
      <w:r>
        <w:rPr>
          <w:rFonts w:hint="eastAsia" w:ascii="宋体" w:hAnsi="宋体" w:eastAsia="宋体" w:cs="宋体"/>
          <w:spacing w:val="-1"/>
          <w:sz w:val="22"/>
          <w:szCs w:val="22"/>
        </w:rPr>
        <w:t xml:space="preserve"> 法人或授权委托人签字：</w:t>
      </w:r>
    </w:p>
    <w:p w14:paraId="083EAC42">
      <w:pPr>
        <w:pStyle w:val="17"/>
        <w:spacing w:before="183" w:line="221" w:lineRule="auto"/>
        <w:ind w:left="504"/>
        <w:rPr>
          <w:rFonts w:hint="eastAsia"/>
          <w:sz w:val="24"/>
        </w:rPr>
        <w:sectPr>
          <w:footerReference r:id="rId5" w:type="default"/>
          <w:pgSz w:w="11906" w:h="16839"/>
          <w:pgMar w:top="1431" w:right="1745" w:bottom="1171" w:left="1785" w:header="0" w:footer="992" w:gutter="0"/>
          <w:cols w:space="720" w:num="1"/>
        </w:sectPr>
      </w:pPr>
      <w:r>
        <w:rPr>
          <w:rFonts w:hint="eastAsia" w:ascii="宋体" w:hAnsi="宋体" w:eastAsia="宋体" w:cs="宋体"/>
          <w:sz w:val="22"/>
          <w:szCs w:val="22"/>
        </w:rPr>
        <w:t xml:space="preserve">联系人：                    </w:t>
      </w:r>
      <w:r>
        <w:rPr>
          <w:rFonts w:hint="eastAsia" w:ascii="宋体" w:hAnsi="宋体" w:eastAsia="宋体" w:cs="宋体"/>
          <w:spacing w:val="-1"/>
          <w:sz w:val="22"/>
          <w:szCs w:val="22"/>
        </w:rPr>
        <w:t xml:space="preserve">        联系人：</w:t>
      </w:r>
    </w:p>
    <w:p w14:paraId="4B32FC33">
      <w:pPr>
        <w:pStyle w:val="79"/>
        <w:tabs>
          <w:tab w:val="left" w:pos="699"/>
        </w:tabs>
        <w:spacing w:line="360" w:lineRule="auto"/>
        <w:ind w:right="537" w:firstLine="0" w:firstLineChars="0"/>
        <w:rPr>
          <w:rFonts w:ascii="Cambria Math" w:hAnsi="Cambria Math" w:eastAsiaTheme="minorEastAsia"/>
          <w:b/>
          <w:sz w:val="22"/>
          <w:szCs w:val="22"/>
        </w:rPr>
      </w:pPr>
    </w:p>
    <w:p w14:paraId="39C12997">
      <w:pPr>
        <w:pStyle w:val="79"/>
        <w:tabs>
          <w:tab w:val="left" w:pos="699"/>
        </w:tabs>
        <w:spacing w:line="360" w:lineRule="auto"/>
        <w:ind w:right="537" w:firstLine="0" w:firstLineChars="0"/>
        <w:jc w:val="both"/>
        <w:rPr>
          <w:rFonts w:ascii="Cambria Math" w:hAnsi="Cambria Math" w:eastAsia="Cambria Math"/>
          <w:b/>
          <w:sz w:val="22"/>
          <w:szCs w:val="22"/>
        </w:rPr>
      </w:pPr>
      <w:r>
        <w:rPr>
          <w:rFonts w:ascii="Cambria Math" w:hAnsi="Cambria Math" w:eastAsia="Cambria Math"/>
          <w:b/>
          <w:sz w:val="22"/>
          <w:szCs w:val="22"/>
        </w:rPr>
        <w:t xml:space="preserve"> </w:t>
      </w:r>
    </w:p>
    <w:p w14:paraId="09ECA247">
      <w:pPr>
        <w:pStyle w:val="4"/>
        <w:spacing w:before="0" w:after="120" w:line="700" w:lineRule="exact"/>
        <w:ind w:left="0" w:firstLine="0"/>
        <w:jc w:val="center"/>
        <w:rPr>
          <w:rFonts w:ascii="Cambria Math" w:hAnsi="Cambria Math" w:eastAsia="Cambria Math"/>
          <w:b/>
          <w:color w:val="auto"/>
          <w:sz w:val="44"/>
          <w:szCs w:val="44"/>
        </w:rPr>
      </w:pPr>
      <w:r>
        <w:rPr>
          <w:rFonts w:hint="eastAsia" w:ascii="Cambria Math" w:hAnsi="Cambria Math" w:eastAsia="Cambria Math"/>
          <w:b/>
          <w:color w:val="auto"/>
          <w:sz w:val="44"/>
          <w:szCs w:val="44"/>
        </w:rPr>
        <w:t>第五部分   投标文件格式</w:t>
      </w:r>
    </w:p>
    <w:p w14:paraId="70DE9198">
      <w:pPr>
        <w:pStyle w:val="4"/>
        <w:spacing w:before="0" w:after="120" w:line="700" w:lineRule="exact"/>
        <w:ind w:left="0" w:firstLine="0"/>
        <w:rPr>
          <w:rFonts w:ascii="Cambria Math" w:hAnsi="Cambria Math" w:eastAsia="Cambria Math"/>
          <w:b/>
          <w:color w:val="auto"/>
          <w:sz w:val="32"/>
        </w:rPr>
      </w:pPr>
      <w:r>
        <w:rPr>
          <w:rFonts w:hint="eastAsia" w:ascii="Cambria Math" w:hAnsi="Cambria Math" w:eastAsia="Cambria Math"/>
          <w:b/>
          <w:color w:val="auto"/>
          <w:sz w:val="32"/>
        </w:rPr>
        <w:t>商务部分</w:t>
      </w:r>
    </w:p>
    <w:p w14:paraId="649EA047">
      <w:pPr>
        <w:adjustRightInd w:val="0"/>
        <w:snapToGrid w:val="0"/>
        <w:spacing w:line="460" w:lineRule="atLeast"/>
        <w:ind w:left="360" w:hanging="360" w:hangingChars="100"/>
        <w:rPr>
          <w:rFonts w:ascii="Cambria Math" w:hAnsi="Cambria Math" w:eastAsia="Cambria Math"/>
          <w:b w:val="0"/>
          <w:color w:val="auto"/>
          <w:spacing w:val="20"/>
          <w:sz w:val="32"/>
          <w:szCs w:val="32"/>
        </w:rPr>
      </w:pPr>
      <w:r>
        <w:rPr>
          <w:rFonts w:hint="eastAsia" w:ascii="Cambria Math" w:hAnsi="Cambria Math" w:eastAsia="Cambria Math"/>
          <w:b w:val="0"/>
          <w:color w:val="auto"/>
          <w:spacing w:val="20"/>
          <w:sz w:val="32"/>
          <w:szCs w:val="32"/>
        </w:rPr>
        <w:t>（密封封面格式）（仅供参考）</w:t>
      </w:r>
    </w:p>
    <w:p w14:paraId="63182AF3">
      <w:pPr>
        <w:adjustRightInd w:val="0"/>
        <w:snapToGrid w:val="0"/>
        <w:spacing w:line="460" w:lineRule="atLeast"/>
        <w:ind w:left="360" w:hanging="360" w:hangingChars="100"/>
        <w:jc w:val="right"/>
        <w:rPr>
          <w:rFonts w:ascii="Cambria Math" w:hAnsi="Cambria Math"/>
          <w:b w:val="0"/>
          <w:color w:val="auto"/>
          <w:spacing w:val="20"/>
          <w:sz w:val="32"/>
          <w:szCs w:val="32"/>
        </w:rPr>
      </w:pPr>
      <w:r>
        <w:rPr>
          <w:rFonts w:hint="eastAsia" w:ascii="Cambria Math" w:hAnsi="Cambria Math" w:eastAsia="Cambria Math"/>
          <w:b w:val="0"/>
          <w:color w:val="FF0000"/>
          <w:spacing w:val="20"/>
          <w:sz w:val="32"/>
          <w:szCs w:val="32"/>
        </w:rPr>
        <w:t>正本</w:t>
      </w:r>
      <w:r>
        <w:rPr>
          <w:rFonts w:hint="eastAsia" w:ascii="Cambria Math" w:hAnsi="Cambria Math"/>
          <w:b w:val="0"/>
          <w:color w:val="auto"/>
          <w:spacing w:val="20"/>
          <w:sz w:val="32"/>
          <w:szCs w:val="32"/>
        </w:rPr>
        <w:t>/副本</w:t>
      </w:r>
    </w:p>
    <w:p w14:paraId="710AC5F6">
      <w:pPr>
        <w:adjustRightInd w:val="0"/>
        <w:snapToGrid w:val="0"/>
        <w:spacing w:line="460" w:lineRule="atLeast"/>
        <w:ind w:left="360" w:hanging="360" w:hangingChars="100"/>
        <w:rPr>
          <w:rFonts w:ascii="Cambria Math" w:hAnsi="Cambria Math" w:eastAsia="Cambria Math"/>
          <w:b w:val="0"/>
          <w:color w:val="auto"/>
          <w:spacing w:val="20"/>
          <w:sz w:val="32"/>
          <w:szCs w:val="32"/>
        </w:rPr>
      </w:pPr>
    </w:p>
    <w:p w14:paraId="653CD933">
      <w:pPr>
        <w:adjustRightInd w:val="0"/>
        <w:snapToGrid w:val="0"/>
        <w:spacing w:line="460" w:lineRule="atLeast"/>
        <w:rPr>
          <w:rFonts w:ascii="Cambria Math" w:hAnsi="Cambria Math" w:eastAsia="Cambria Math"/>
          <w:b w:val="0"/>
          <w:color w:val="auto"/>
          <w:spacing w:val="20"/>
          <w:sz w:val="36"/>
          <w:szCs w:val="36"/>
        </w:rPr>
      </w:pPr>
    </w:p>
    <w:p w14:paraId="6F5FA8EE">
      <w:pPr>
        <w:spacing w:line="360" w:lineRule="auto"/>
        <w:jc w:val="center"/>
        <w:rPr>
          <w:rFonts w:ascii="Cambria Math" w:hAnsi="Cambria Math" w:eastAsia="Cambria Math"/>
          <w:b w:val="0"/>
          <w:color w:val="auto"/>
          <w:sz w:val="96"/>
          <w:szCs w:val="22"/>
        </w:rPr>
      </w:pPr>
      <w:r>
        <w:rPr>
          <w:rFonts w:hint="eastAsia" w:ascii="Cambria Math" w:hAnsi="Cambria Math" w:eastAsia="Cambria Math"/>
          <w:b w:val="0"/>
          <w:color w:val="auto"/>
          <w:sz w:val="96"/>
          <w:szCs w:val="22"/>
        </w:rPr>
        <w:t>商务报价投标文件</w:t>
      </w:r>
    </w:p>
    <w:p w14:paraId="3326439F">
      <w:pPr>
        <w:spacing w:line="360" w:lineRule="auto"/>
        <w:jc w:val="center"/>
        <w:rPr>
          <w:rFonts w:ascii="Cambria Math" w:hAnsi="Cambria Math" w:eastAsia="Cambria Math"/>
          <w:b w:val="0"/>
          <w:color w:val="auto"/>
          <w:sz w:val="44"/>
          <w:szCs w:val="44"/>
        </w:rPr>
      </w:pPr>
      <w:r>
        <w:rPr>
          <w:rFonts w:hint="eastAsia" w:ascii="Cambria Math" w:hAnsi="Cambria Math" w:eastAsia="Cambria Math"/>
          <w:b w:val="0"/>
          <w:color w:val="auto"/>
          <w:sz w:val="44"/>
          <w:szCs w:val="44"/>
        </w:rPr>
        <w:t>开标时启封</w:t>
      </w:r>
    </w:p>
    <w:p w14:paraId="42FF6BBD">
      <w:pPr>
        <w:spacing w:line="360" w:lineRule="auto"/>
        <w:jc w:val="center"/>
        <w:rPr>
          <w:rFonts w:ascii="Cambria Math" w:hAnsi="Cambria Math" w:eastAsia="Cambria Math"/>
          <w:b w:val="0"/>
          <w:color w:val="auto"/>
          <w:sz w:val="44"/>
          <w:szCs w:val="44"/>
        </w:rPr>
      </w:pPr>
    </w:p>
    <w:p w14:paraId="1E20E087">
      <w:pPr>
        <w:spacing w:line="360" w:lineRule="auto"/>
        <w:ind w:firstLine="1271" w:firstLineChars="454"/>
        <w:rPr>
          <w:rFonts w:ascii="Cambria Math" w:hAnsi="Cambria Math" w:eastAsia="Cambria Math"/>
          <w:b w:val="0"/>
          <w:color w:val="auto"/>
          <w:sz w:val="36"/>
          <w:szCs w:val="22"/>
          <w:u w:val="single"/>
        </w:rPr>
      </w:pPr>
      <w:r>
        <w:rPr>
          <w:rFonts w:hint="eastAsia" w:ascii="Cambria Math" w:hAnsi="Cambria Math" w:eastAsia="Cambria Math"/>
          <w:b w:val="0"/>
          <w:color w:val="auto"/>
          <w:sz w:val="28"/>
          <w:szCs w:val="22"/>
        </w:rPr>
        <w:t>项目名称：</w:t>
      </w:r>
    </w:p>
    <w:p w14:paraId="23543962">
      <w:pPr>
        <w:spacing w:line="360" w:lineRule="auto"/>
        <w:ind w:firstLine="1271" w:firstLineChars="454"/>
        <w:rPr>
          <w:rFonts w:ascii="Cambria Math" w:hAnsi="Cambria Math" w:eastAsia="Cambria Math"/>
          <w:b w:val="0"/>
          <w:color w:val="auto"/>
          <w:sz w:val="28"/>
          <w:szCs w:val="22"/>
          <w:u w:val="single"/>
        </w:rPr>
      </w:pPr>
      <w:r>
        <w:rPr>
          <w:rFonts w:hint="eastAsia" w:ascii="Cambria Math" w:hAnsi="Cambria Math" w:eastAsia="Cambria Math"/>
          <w:b w:val="0"/>
          <w:color w:val="auto"/>
          <w:sz w:val="28"/>
          <w:szCs w:val="22"/>
        </w:rPr>
        <w:t>项目编号：</w:t>
      </w:r>
    </w:p>
    <w:p w14:paraId="631A1F65">
      <w:pPr>
        <w:spacing w:line="360" w:lineRule="auto"/>
        <w:ind w:firstLine="1271" w:firstLineChars="454"/>
        <w:rPr>
          <w:rFonts w:ascii="Cambria Math" w:hAnsi="Cambria Math" w:eastAsia="Cambria Math"/>
          <w:b w:val="0"/>
          <w:color w:val="auto"/>
          <w:sz w:val="28"/>
          <w:szCs w:val="22"/>
        </w:rPr>
      </w:pPr>
      <w:r>
        <w:rPr>
          <w:rFonts w:hint="eastAsia" w:ascii="Cambria Math" w:hAnsi="Cambria Math" w:eastAsia="Cambria Math"/>
          <w:b w:val="0"/>
          <w:color w:val="auto"/>
          <w:sz w:val="28"/>
          <w:szCs w:val="22"/>
        </w:rPr>
        <w:t>采 购 人：</w:t>
      </w:r>
    </w:p>
    <w:p w14:paraId="47912779">
      <w:pPr>
        <w:spacing w:line="360" w:lineRule="auto"/>
        <w:ind w:firstLine="1271" w:firstLineChars="454"/>
        <w:rPr>
          <w:rFonts w:ascii="Cambria Math" w:hAnsi="Cambria Math" w:eastAsia="Cambria Math"/>
          <w:b w:val="0"/>
          <w:color w:val="auto"/>
          <w:sz w:val="28"/>
          <w:szCs w:val="22"/>
          <w:u w:val="single"/>
        </w:rPr>
      </w:pPr>
      <w:r>
        <w:rPr>
          <w:rFonts w:hint="eastAsia" w:ascii="Cambria Math" w:hAnsi="Cambria Math" w:eastAsia="Cambria Math"/>
          <w:b w:val="0"/>
          <w:color w:val="auto"/>
          <w:sz w:val="28"/>
          <w:szCs w:val="22"/>
        </w:rPr>
        <w:t>投标单位（盖章）：</w:t>
      </w:r>
    </w:p>
    <w:p w14:paraId="446429FF">
      <w:pPr>
        <w:spacing w:line="360" w:lineRule="auto"/>
        <w:ind w:firstLine="1271" w:firstLineChars="454"/>
        <w:rPr>
          <w:rFonts w:ascii="Cambria Math" w:hAnsi="Cambria Math" w:eastAsia="Cambria Math"/>
          <w:b w:val="0"/>
          <w:color w:val="auto"/>
          <w:sz w:val="28"/>
          <w:szCs w:val="22"/>
          <w:u w:val="single"/>
        </w:rPr>
      </w:pPr>
      <w:r>
        <w:rPr>
          <w:rFonts w:hint="eastAsia" w:ascii="Cambria Math" w:hAnsi="Cambria Math" w:eastAsia="Cambria Math"/>
          <w:b w:val="0"/>
          <w:color w:val="auto"/>
          <w:sz w:val="28"/>
          <w:szCs w:val="22"/>
        </w:rPr>
        <w:t>投标人地址：</w:t>
      </w:r>
    </w:p>
    <w:p w14:paraId="53A179C9">
      <w:pPr>
        <w:spacing w:line="360" w:lineRule="auto"/>
        <w:ind w:firstLine="1271" w:firstLineChars="454"/>
        <w:rPr>
          <w:rFonts w:ascii="Cambria Math" w:hAnsi="Cambria Math" w:eastAsia="Cambria Math"/>
          <w:b w:val="0"/>
          <w:color w:val="auto"/>
          <w:sz w:val="28"/>
          <w:szCs w:val="22"/>
          <w:u w:val="single"/>
        </w:rPr>
      </w:pPr>
      <w:r>
        <w:rPr>
          <w:rFonts w:hint="eastAsia" w:ascii="Cambria Math" w:hAnsi="Cambria Math" w:eastAsia="Cambria Math"/>
          <w:b w:val="0"/>
          <w:color w:val="auto"/>
          <w:sz w:val="28"/>
          <w:szCs w:val="22"/>
        </w:rPr>
        <w:t>授权代表（签字或盖章）：</w:t>
      </w:r>
    </w:p>
    <w:p w14:paraId="4E5C7782">
      <w:pPr>
        <w:spacing w:line="360" w:lineRule="auto"/>
        <w:ind w:firstLine="1271" w:firstLineChars="454"/>
        <w:rPr>
          <w:rFonts w:ascii="Cambria Math" w:hAnsi="Cambria Math" w:eastAsia="Cambria Math"/>
          <w:b w:val="0"/>
          <w:color w:val="auto"/>
          <w:sz w:val="28"/>
          <w:szCs w:val="22"/>
          <w:u w:val="single"/>
        </w:rPr>
      </w:pPr>
      <w:r>
        <w:rPr>
          <w:rFonts w:hint="eastAsia" w:ascii="Cambria Math" w:hAnsi="Cambria Math" w:eastAsia="Cambria Math"/>
          <w:b w:val="0"/>
          <w:color w:val="auto"/>
          <w:sz w:val="28"/>
          <w:szCs w:val="22"/>
        </w:rPr>
        <w:t>日期：</w:t>
      </w:r>
    </w:p>
    <w:p w14:paraId="481D20A3">
      <w:pPr>
        <w:adjustRightInd w:val="0"/>
        <w:snapToGrid w:val="0"/>
        <w:spacing w:line="460" w:lineRule="atLeast"/>
        <w:rPr>
          <w:rFonts w:ascii="Cambria Math" w:hAnsi="Cambria Math" w:eastAsia="Cambria Math"/>
          <w:b w:val="0"/>
          <w:color w:val="auto"/>
          <w:spacing w:val="20"/>
          <w:sz w:val="36"/>
          <w:szCs w:val="36"/>
        </w:rPr>
      </w:pPr>
    </w:p>
    <w:p w14:paraId="33D1AA66">
      <w:pPr>
        <w:adjustRightInd w:val="0"/>
        <w:snapToGrid w:val="0"/>
        <w:spacing w:line="460" w:lineRule="atLeast"/>
        <w:rPr>
          <w:rFonts w:ascii="Cambria Math" w:hAnsi="Cambria Math" w:eastAsia="Cambria Math"/>
          <w:b w:val="0"/>
          <w:color w:val="auto"/>
          <w:spacing w:val="20"/>
          <w:sz w:val="36"/>
          <w:szCs w:val="36"/>
        </w:rPr>
      </w:pPr>
    </w:p>
    <w:p w14:paraId="0B3DF301">
      <w:pPr>
        <w:pStyle w:val="4"/>
        <w:spacing w:before="0" w:after="120" w:line="700" w:lineRule="exact"/>
        <w:ind w:left="0" w:firstLine="0"/>
        <w:rPr>
          <w:rFonts w:ascii="Cambria Math" w:hAnsi="Cambria Math" w:eastAsia="Cambria Math"/>
          <w:b/>
          <w:color w:val="auto"/>
          <w:sz w:val="32"/>
        </w:rPr>
      </w:pPr>
    </w:p>
    <w:p w14:paraId="50AEE1EC">
      <w:pPr>
        <w:rPr>
          <w:rFonts w:ascii="Cambria Math" w:hAnsi="Cambria Math"/>
          <w:color w:val="auto"/>
          <w:sz w:val="32"/>
          <w:szCs w:val="32"/>
        </w:rPr>
      </w:pPr>
    </w:p>
    <w:p w14:paraId="5EAD04D1">
      <w:pPr>
        <w:rPr>
          <w:rFonts w:ascii="Cambria Math" w:hAnsi="Cambria Math" w:eastAsia="等线"/>
          <w:color w:val="auto"/>
          <w:sz w:val="32"/>
          <w:szCs w:val="32"/>
        </w:rPr>
      </w:pPr>
      <w:r>
        <w:rPr>
          <w:rFonts w:hint="eastAsia" w:ascii="Cambria Math" w:hAnsi="Cambria Math" w:eastAsia="Cambria Math"/>
          <w:color w:val="auto"/>
          <w:sz w:val="32"/>
          <w:szCs w:val="32"/>
        </w:rPr>
        <w:t>附件</w:t>
      </w:r>
      <w:r>
        <w:rPr>
          <w:rFonts w:hint="eastAsia" w:ascii="Cambria Math" w:hAnsi="Cambria Math" w:eastAsia="等线"/>
          <w:color w:val="auto"/>
          <w:sz w:val="32"/>
          <w:szCs w:val="32"/>
        </w:rPr>
        <w:t>1-</w:t>
      </w:r>
      <w:r>
        <w:rPr>
          <w:rFonts w:ascii="Cambria Math" w:hAnsi="Cambria Math" w:eastAsia="等线"/>
          <w:color w:val="auto"/>
          <w:sz w:val="32"/>
          <w:szCs w:val="32"/>
        </w:rPr>
        <w:t>1</w:t>
      </w:r>
    </w:p>
    <w:p w14:paraId="5611DCBD">
      <w:pPr>
        <w:autoSpaceDE w:val="0"/>
        <w:autoSpaceDN w:val="0"/>
        <w:adjustRightInd w:val="0"/>
        <w:jc w:val="center"/>
        <w:rPr>
          <w:rFonts w:ascii="Cambria Math" w:hAnsi="Cambria Math" w:eastAsia="Cambria Math"/>
          <w:b w:val="0"/>
          <w:bCs w:val="0"/>
          <w:color w:val="auto"/>
          <w:sz w:val="44"/>
          <w:szCs w:val="44"/>
          <w:lang w:val="zh-CN"/>
        </w:rPr>
      </w:pPr>
      <w:r>
        <w:rPr>
          <w:rFonts w:hint="eastAsia" w:ascii="Cambria Math" w:hAnsi="Cambria Math" w:eastAsia="Cambria Math"/>
          <w:b w:val="0"/>
          <w:bCs w:val="0"/>
          <w:color w:val="auto"/>
          <w:sz w:val="44"/>
          <w:szCs w:val="44"/>
          <w:lang w:val="zh-CN"/>
        </w:rPr>
        <w:t>开标一览表</w:t>
      </w:r>
    </w:p>
    <w:p w14:paraId="25029135">
      <w:pPr>
        <w:autoSpaceDE w:val="0"/>
        <w:autoSpaceDN w:val="0"/>
        <w:adjustRightInd w:val="0"/>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项目名称：招标编号：报价单位：人民币元</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6347"/>
      </w:tblGrid>
      <w:tr w14:paraId="680A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3062" w:type="dxa"/>
            <w:vAlign w:val="center"/>
          </w:tcPr>
          <w:p w14:paraId="53E6E5C1">
            <w:pPr>
              <w:pStyle w:val="21"/>
              <w:snapToGrid w:val="0"/>
              <w:spacing w:line="460" w:lineRule="atLeast"/>
              <w:jc w:val="center"/>
              <w:rPr>
                <w:rFonts w:hint="eastAsia" w:ascii="宋体" w:hAnsi="宋体" w:eastAsia="宋体" w:cs="Yu Mincho Light"/>
                <w:b w:val="0"/>
                <w:sz w:val="22"/>
                <w:szCs w:val="22"/>
              </w:rPr>
            </w:pPr>
            <w:r>
              <w:rPr>
                <w:rFonts w:hint="eastAsia" w:ascii="宋体" w:hAnsi="宋体" w:eastAsia="宋体" w:cs="Yu Mincho Light"/>
                <w:b w:val="0"/>
                <w:sz w:val="22"/>
                <w:szCs w:val="22"/>
              </w:rPr>
              <w:t>名称</w:t>
            </w:r>
          </w:p>
        </w:tc>
        <w:tc>
          <w:tcPr>
            <w:tcW w:w="6347" w:type="dxa"/>
            <w:vAlign w:val="center"/>
          </w:tcPr>
          <w:p w14:paraId="7ED9E544">
            <w:pPr>
              <w:pStyle w:val="21"/>
              <w:snapToGrid w:val="0"/>
              <w:spacing w:line="460" w:lineRule="atLeast"/>
              <w:jc w:val="center"/>
              <w:rPr>
                <w:rFonts w:hint="eastAsia" w:ascii="宋体" w:hAnsi="宋体" w:eastAsia="宋体" w:cs="Yu Mincho Light"/>
                <w:b w:val="0"/>
                <w:sz w:val="22"/>
                <w:szCs w:val="22"/>
              </w:rPr>
            </w:pPr>
            <w:bookmarkStart w:id="67" w:name="_Hlk33642857"/>
            <w:r>
              <w:rPr>
                <w:rFonts w:hint="eastAsia" w:ascii="宋体" w:hAnsi="宋体" w:eastAsia="宋体" w:cs="Yu Mincho Light"/>
                <w:b w:val="0"/>
                <w:sz w:val="22"/>
                <w:szCs w:val="22"/>
              </w:rPr>
              <w:t>投标</w:t>
            </w:r>
            <w:bookmarkEnd w:id="67"/>
            <w:r>
              <w:rPr>
                <w:rFonts w:hint="eastAsia" w:ascii="宋体" w:hAnsi="宋体" w:eastAsia="宋体" w:cs="Yu Mincho Light"/>
                <w:b w:val="0"/>
                <w:sz w:val="22"/>
                <w:szCs w:val="22"/>
              </w:rPr>
              <w:t>单价</w:t>
            </w:r>
          </w:p>
        </w:tc>
      </w:tr>
      <w:tr w14:paraId="4ADD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3062" w:type="dxa"/>
            <w:vAlign w:val="center"/>
          </w:tcPr>
          <w:p w14:paraId="0336CDBD">
            <w:pPr>
              <w:pStyle w:val="21"/>
              <w:spacing w:line="460" w:lineRule="atLeast"/>
              <w:jc w:val="center"/>
              <w:rPr>
                <w:rFonts w:hint="eastAsia" w:ascii="宋体" w:hAnsi="宋体" w:eastAsia="宋体" w:cs="Yu Mincho Light"/>
                <w:b w:val="0"/>
                <w:sz w:val="24"/>
                <w:szCs w:val="24"/>
                <w:lang w:eastAsia="zh-CN"/>
              </w:rPr>
            </w:pPr>
            <w:r>
              <w:rPr>
                <w:rFonts w:hint="eastAsia" w:ascii="宋体" w:hAnsi="宋体" w:eastAsia="宋体" w:cs="Yu Mincho Light"/>
                <w:b w:val="0"/>
                <w:sz w:val="24"/>
                <w:szCs w:val="24"/>
                <w:lang w:eastAsia="zh-CN"/>
              </w:rPr>
              <w:t>龙港水务供水桥管维养服务项目</w:t>
            </w:r>
          </w:p>
        </w:tc>
        <w:tc>
          <w:tcPr>
            <w:tcW w:w="6347" w:type="dxa"/>
            <w:vAlign w:val="center"/>
          </w:tcPr>
          <w:p w14:paraId="3E1987D5">
            <w:pPr>
              <w:jc w:val="left"/>
              <w:rPr>
                <w:rFonts w:hint="eastAsia" w:ascii="宋体" w:hAnsi="宋体" w:cs="Yu Mincho Light"/>
                <w:b w:val="0"/>
                <w:sz w:val="24"/>
                <w:szCs w:val="24"/>
                <w:u w:val="single"/>
              </w:rPr>
            </w:pPr>
            <w:r>
              <w:rPr>
                <w:rFonts w:hint="eastAsia" w:ascii="新宋体" w:hAnsi="新宋体" w:eastAsia="新宋体"/>
                <w:b w:val="0"/>
                <w:sz w:val="24"/>
                <w:szCs w:val="22"/>
              </w:rPr>
              <w:t xml:space="preserve"> </w:t>
            </w:r>
            <w:r>
              <w:rPr>
                <w:rFonts w:hint="eastAsia" w:ascii="新宋体" w:hAnsi="新宋体" w:eastAsia="新宋体"/>
                <w:b w:val="0"/>
                <w:sz w:val="24"/>
                <w:szCs w:val="22"/>
                <w:u w:val="single"/>
              </w:rPr>
              <w:t xml:space="preserve">      </w:t>
            </w:r>
            <w:r>
              <w:rPr>
                <w:rFonts w:hint="eastAsia" w:ascii="宋体" w:hAnsi="宋体" w:cs="Yu Mincho Light"/>
                <w:b w:val="0"/>
                <w:sz w:val="22"/>
                <w:szCs w:val="22"/>
              </w:rPr>
              <w:t>元/㎡</w:t>
            </w:r>
          </w:p>
        </w:tc>
      </w:tr>
      <w:tr w14:paraId="3B0A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62" w:type="dxa"/>
            <w:vAlign w:val="center"/>
          </w:tcPr>
          <w:p w14:paraId="391B1735">
            <w:pPr>
              <w:pStyle w:val="21"/>
              <w:spacing w:line="460" w:lineRule="atLeast"/>
              <w:jc w:val="center"/>
              <w:rPr>
                <w:rFonts w:hint="eastAsia" w:ascii="宋体" w:hAnsi="宋体" w:eastAsia="宋体" w:cs="Yu Mincho Light"/>
                <w:b w:val="0"/>
                <w:sz w:val="24"/>
                <w:szCs w:val="24"/>
              </w:rPr>
            </w:pPr>
            <w:r>
              <w:rPr>
                <w:rFonts w:hint="eastAsia" w:ascii="宋体" w:hAnsi="宋体" w:eastAsia="宋体" w:cs="Yu Mincho Light"/>
                <w:b w:val="0"/>
                <w:sz w:val="24"/>
                <w:szCs w:val="24"/>
              </w:rPr>
              <w:t>服务期限</w:t>
            </w:r>
          </w:p>
        </w:tc>
        <w:tc>
          <w:tcPr>
            <w:tcW w:w="6347" w:type="dxa"/>
            <w:vAlign w:val="center"/>
          </w:tcPr>
          <w:p w14:paraId="49495434">
            <w:pPr>
              <w:pStyle w:val="21"/>
              <w:spacing w:line="460" w:lineRule="atLeast"/>
              <w:jc w:val="center"/>
              <w:rPr>
                <w:rFonts w:hint="default" w:ascii="宋体" w:hAnsi="宋体" w:eastAsia="宋体" w:cs="Yu Mincho Light"/>
                <w:b w:val="0"/>
                <w:sz w:val="22"/>
                <w:szCs w:val="22"/>
                <w:lang w:val="en-US" w:eastAsia="zh-CN"/>
              </w:rPr>
            </w:pPr>
            <w:r>
              <w:rPr>
                <w:rFonts w:hint="eastAsia" w:ascii="宋体" w:hAnsi="宋体" w:eastAsia="宋体" w:cs="Yu Mincho Light"/>
                <w:b w:val="0"/>
                <w:sz w:val="22"/>
                <w:szCs w:val="22"/>
                <w:lang w:val="en-US" w:eastAsia="zh-CN"/>
              </w:rPr>
              <w:t>90日历天</w:t>
            </w:r>
          </w:p>
        </w:tc>
      </w:tr>
      <w:tr w14:paraId="4D6C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62" w:type="dxa"/>
            <w:vAlign w:val="center"/>
          </w:tcPr>
          <w:p w14:paraId="3F6D089E">
            <w:pPr>
              <w:pStyle w:val="21"/>
              <w:spacing w:line="460" w:lineRule="atLeast"/>
              <w:jc w:val="center"/>
              <w:rPr>
                <w:rFonts w:hint="eastAsia" w:ascii="宋体" w:hAnsi="宋体" w:eastAsia="宋体" w:cs="Yu Mincho Light"/>
                <w:b w:val="0"/>
                <w:sz w:val="24"/>
                <w:szCs w:val="24"/>
              </w:rPr>
            </w:pPr>
            <w:r>
              <w:rPr>
                <w:rFonts w:hint="eastAsia" w:ascii="宋体" w:hAnsi="宋体" w:eastAsia="宋体" w:cs="Yu Mincho Light"/>
                <w:b w:val="0"/>
                <w:sz w:val="24"/>
                <w:szCs w:val="24"/>
              </w:rPr>
              <w:t>项目负责人</w:t>
            </w:r>
          </w:p>
        </w:tc>
        <w:tc>
          <w:tcPr>
            <w:tcW w:w="6347" w:type="dxa"/>
            <w:vAlign w:val="center"/>
          </w:tcPr>
          <w:p w14:paraId="5F414B66">
            <w:pPr>
              <w:pStyle w:val="21"/>
              <w:spacing w:line="460" w:lineRule="atLeast"/>
              <w:jc w:val="center"/>
              <w:rPr>
                <w:rFonts w:hint="eastAsia" w:ascii="宋体" w:hAnsi="宋体" w:eastAsia="宋体" w:cs="Yu Mincho Light"/>
                <w:b w:val="0"/>
                <w:sz w:val="22"/>
                <w:szCs w:val="22"/>
              </w:rPr>
            </w:pPr>
          </w:p>
        </w:tc>
      </w:tr>
      <w:tr w14:paraId="6083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62" w:type="dxa"/>
            <w:vAlign w:val="center"/>
          </w:tcPr>
          <w:p w14:paraId="0BE6F480">
            <w:pPr>
              <w:pStyle w:val="21"/>
              <w:spacing w:line="460" w:lineRule="atLeast"/>
              <w:jc w:val="center"/>
              <w:rPr>
                <w:rFonts w:hint="eastAsia" w:ascii="宋体" w:hAnsi="宋体" w:eastAsia="宋体" w:cs="Yu Mincho Light"/>
                <w:b w:val="0"/>
                <w:sz w:val="24"/>
                <w:szCs w:val="24"/>
              </w:rPr>
            </w:pPr>
            <w:r>
              <w:rPr>
                <w:rFonts w:hint="eastAsia" w:ascii="宋体" w:hAnsi="宋体" w:eastAsia="宋体" w:cs="Yu Mincho Light"/>
                <w:b w:val="0"/>
                <w:sz w:val="24"/>
                <w:szCs w:val="24"/>
              </w:rPr>
              <w:t>备注</w:t>
            </w:r>
          </w:p>
        </w:tc>
        <w:tc>
          <w:tcPr>
            <w:tcW w:w="6347" w:type="dxa"/>
            <w:vAlign w:val="center"/>
          </w:tcPr>
          <w:p w14:paraId="603E23B2">
            <w:pPr>
              <w:pStyle w:val="21"/>
              <w:spacing w:line="460" w:lineRule="atLeast"/>
              <w:rPr>
                <w:rFonts w:hint="eastAsia" w:ascii="宋体" w:hAnsi="宋体" w:eastAsia="宋体" w:cs="Yu Mincho Light"/>
                <w:b w:val="0"/>
                <w:sz w:val="22"/>
                <w:szCs w:val="22"/>
              </w:rPr>
            </w:pPr>
            <w:r>
              <w:rPr>
                <w:rFonts w:hint="eastAsia" w:ascii="宋体" w:hAnsi="宋体" w:eastAsia="宋体" w:cs="Yu Mincho Light"/>
                <w:bCs w:val="0"/>
                <w:sz w:val="22"/>
                <w:szCs w:val="22"/>
                <w:u w:val="single"/>
              </w:rPr>
              <w:t>投标单价不得超出1</w:t>
            </w:r>
            <w:r>
              <w:rPr>
                <w:rFonts w:hint="eastAsia" w:ascii="宋体" w:hAnsi="宋体" w:eastAsia="宋体" w:cs="Yu Mincho Light"/>
                <w:bCs w:val="0"/>
                <w:sz w:val="22"/>
                <w:szCs w:val="22"/>
                <w:u w:val="single"/>
                <w:lang w:val="en-US" w:eastAsia="zh-CN"/>
              </w:rPr>
              <w:t>1</w:t>
            </w:r>
            <w:r>
              <w:rPr>
                <w:rFonts w:hint="eastAsia" w:ascii="宋体" w:hAnsi="宋体" w:eastAsia="宋体" w:cs="Yu Mincho Light"/>
                <w:bCs w:val="0"/>
                <w:sz w:val="22"/>
                <w:szCs w:val="22"/>
                <w:u w:val="single"/>
              </w:rPr>
              <w:t>0元/㎡，如超出做无效标处理。</w:t>
            </w:r>
          </w:p>
        </w:tc>
      </w:tr>
    </w:tbl>
    <w:p w14:paraId="2B3A1EC8">
      <w:pPr>
        <w:pStyle w:val="21"/>
        <w:spacing w:line="460" w:lineRule="atLeast"/>
        <w:rPr>
          <w:rFonts w:ascii="Cambria Math" w:hAnsi="Cambria Math" w:eastAsia="Cambria Math"/>
          <w:b w:val="0"/>
          <w:color w:val="auto"/>
          <w:sz w:val="22"/>
          <w:szCs w:val="22"/>
        </w:rPr>
      </w:pPr>
      <w:r>
        <w:rPr>
          <w:rFonts w:hint="eastAsia" w:ascii="Cambria Math" w:hAnsi="Cambria Math" w:eastAsia="Cambria Math"/>
          <w:b w:val="0"/>
          <w:color w:val="auto"/>
          <w:sz w:val="22"/>
          <w:szCs w:val="22"/>
        </w:rPr>
        <w:t>注：▲不提供此表格将被视为没有实质性响应招标文件，其投标文件将被拒绝。</w:t>
      </w:r>
    </w:p>
    <w:p w14:paraId="064FE18F">
      <w:pPr>
        <w:adjustRightInd w:val="0"/>
        <w:snapToGrid w:val="0"/>
        <w:spacing w:line="460" w:lineRule="atLeast"/>
        <w:rPr>
          <w:rFonts w:ascii="Cambria Math" w:hAnsi="Cambria Math" w:eastAsia="Cambria Math"/>
          <w:b w:val="0"/>
          <w:color w:val="auto"/>
          <w:sz w:val="22"/>
          <w:szCs w:val="22"/>
        </w:rPr>
      </w:pPr>
    </w:p>
    <w:p w14:paraId="2E5CA9A5">
      <w:pPr>
        <w:autoSpaceDE w:val="0"/>
        <w:autoSpaceDN w:val="0"/>
        <w:adjustRightInd w:val="0"/>
        <w:spacing w:line="460" w:lineRule="atLeast"/>
        <w:rPr>
          <w:rFonts w:ascii="Cambria Math" w:hAnsi="Cambria Math" w:eastAsia="Cambria Math"/>
          <w:b w:val="0"/>
          <w:color w:val="auto"/>
          <w:sz w:val="22"/>
          <w:szCs w:val="22"/>
          <w:lang w:val="zh-CN"/>
        </w:rPr>
      </w:pPr>
      <w:r>
        <w:rPr>
          <w:rFonts w:ascii="Cambria Math" w:hAnsi="Cambria Math" w:eastAsia="Cambria Math"/>
          <w:b w:val="0"/>
          <w:color w:val="auto"/>
          <w:sz w:val="22"/>
          <w:szCs w:val="22"/>
        </w:rPr>
        <w:t>投标单位</w:t>
      </w:r>
      <w:r>
        <w:rPr>
          <w:rFonts w:hint="eastAsia" w:ascii="Cambria Math" w:hAnsi="Cambria Math" w:eastAsia="Cambria Math"/>
          <w:b w:val="0"/>
          <w:color w:val="auto"/>
          <w:sz w:val="22"/>
          <w:szCs w:val="22"/>
          <w:lang w:val="zh-CN"/>
        </w:rPr>
        <w:t>（盖章）：</w:t>
      </w:r>
    </w:p>
    <w:p w14:paraId="1C8118E6">
      <w:pPr>
        <w:autoSpaceDE w:val="0"/>
        <w:autoSpaceDN w:val="0"/>
        <w:adjustRightInd w:val="0"/>
        <w:spacing w:line="460" w:lineRule="atLeast"/>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rPr>
        <w:t>授权代表</w:t>
      </w:r>
      <w:r>
        <w:rPr>
          <w:rFonts w:hint="eastAsia" w:ascii="Cambria Math" w:hAnsi="Cambria Math" w:eastAsia="Cambria Math"/>
          <w:b w:val="0"/>
          <w:color w:val="auto"/>
          <w:sz w:val="22"/>
          <w:szCs w:val="22"/>
          <w:lang w:val="zh-CN"/>
        </w:rPr>
        <w:t>（签字）：</w:t>
      </w:r>
    </w:p>
    <w:p w14:paraId="07D9D0EB">
      <w:pPr>
        <w:autoSpaceDE w:val="0"/>
        <w:autoSpaceDN w:val="0"/>
        <w:adjustRightInd w:val="0"/>
        <w:spacing w:line="460" w:lineRule="atLeast"/>
        <w:rPr>
          <w:rFonts w:ascii="Cambria Math" w:hAnsi="Cambria Math"/>
          <w:b w:val="0"/>
          <w:color w:val="auto"/>
          <w:sz w:val="22"/>
          <w:szCs w:val="22"/>
          <w:lang w:val="zh-CN"/>
        </w:rPr>
      </w:pPr>
      <w:r>
        <w:rPr>
          <w:rFonts w:hint="eastAsia" w:ascii="Cambria Math" w:hAnsi="Cambria Math" w:eastAsia="Cambria Math"/>
          <w:b w:val="0"/>
          <w:color w:val="auto"/>
          <w:sz w:val="22"/>
          <w:szCs w:val="22"/>
          <w:lang w:val="zh-CN"/>
        </w:rPr>
        <w:t>日期：</w:t>
      </w:r>
    </w:p>
    <w:p w14:paraId="7D5BC5FF">
      <w:pPr>
        <w:autoSpaceDE w:val="0"/>
        <w:autoSpaceDN w:val="0"/>
        <w:adjustRightInd w:val="0"/>
        <w:spacing w:line="460" w:lineRule="atLeast"/>
        <w:rPr>
          <w:rFonts w:ascii="Cambria Math" w:hAnsi="Cambria Math"/>
          <w:b w:val="0"/>
          <w:color w:val="auto"/>
          <w:sz w:val="22"/>
          <w:szCs w:val="22"/>
          <w:lang w:val="zh-CN"/>
        </w:rPr>
      </w:pPr>
    </w:p>
    <w:p w14:paraId="48B3DAD9">
      <w:pPr>
        <w:autoSpaceDE w:val="0"/>
        <w:autoSpaceDN w:val="0"/>
        <w:adjustRightInd w:val="0"/>
        <w:spacing w:line="460" w:lineRule="atLeast"/>
        <w:rPr>
          <w:rFonts w:ascii="Cambria Math" w:hAnsi="Cambria Math"/>
          <w:b w:val="0"/>
          <w:color w:val="auto"/>
          <w:sz w:val="22"/>
          <w:szCs w:val="22"/>
          <w:lang w:val="zh-CN"/>
        </w:rPr>
      </w:pPr>
    </w:p>
    <w:p w14:paraId="7C225D75">
      <w:pPr>
        <w:autoSpaceDE w:val="0"/>
        <w:autoSpaceDN w:val="0"/>
        <w:adjustRightInd w:val="0"/>
        <w:spacing w:line="460" w:lineRule="atLeast"/>
        <w:rPr>
          <w:rFonts w:ascii="Cambria Math" w:hAnsi="Cambria Math"/>
          <w:b w:val="0"/>
          <w:color w:val="auto"/>
          <w:sz w:val="22"/>
          <w:szCs w:val="22"/>
          <w:lang w:val="zh-CN"/>
        </w:rPr>
      </w:pPr>
    </w:p>
    <w:p w14:paraId="0CA443CD">
      <w:pPr>
        <w:autoSpaceDE w:val="0"/>
        <w:autoSpaceDN w:val="0"/>
        <w:adjustRightInd w:val="0"/>
        <w:spacing w:line="460" w:lineRule="atLeast"/>
        <w:rPr>
          <w:rFonts w:ascii="Cambria Math" w:hAnsi="Cambria Math"/>
          <w:b w:val="0"/>
          <w:color w:val="auto"/>
          <w:sz w:val="22"/>
          <w:szCs w:val="22"/>
          <w:lang w:val="zh-CN"/>
        </w:rPr>
      </w:pPr>
    </w:p>
    <w:p w14:paraId="19D3B4EF">
      <w:pPr>
        <w:autoSpaceDE w:val="0"/>
        <w:autoSpaceDN w:val="0"/>
        <w:adjustRightInd w:val="0"/>
        <w:spacing w:line="460" w:lineRule="atLeast"/>
        <w:rPr>
          <w:rFonts w:ascii="Cambria Math" w:hAnsi="Cambria Math"/>
          <w:b w:val="0"/>
          <w:color w:val="auto"/>
          <w:sz w:val="22"/>
          <w:szCs w:val="22"/>
          <w:lang w:val="zh-CN"/>
        </w:rPr>
      </w:pPr>
    </w:p>
    <w:p w14:paraId="2A7E632B">
      <w:pPr>
        <w:autoSpaceDE w:val="0"/>
        <w:autoSpaceDN w:val="0"/>
        <w:adjustRightInd w:val="0"/>
        <w:spacing w:line="460" w:lineRule="atLeast"/>
        <w:rPr>
          <w:rFonts w:ascii="Cambria Math" w:hAnsi="Cambria Math"/>
          <w:b w:val="0"/>
          <w:color w:val="auto"/>
          <w:sz w:val="22"/>
          <w:szCs w:val="22"/>
          <w:lang w:val="zh-CN"/>
        </w:rPr>
      </w:pPr>
    </w:p>
    <w:p w14:paraId="69077EB2">
      <w:pPr>
        <w:autoSpaceDE w:val="0"/>
        <w:autoSpaceDN w:val="0"/>
        <w:adjustRightInd w:val="0"/>
        <w:spacing w:line="460" w:lineRule="atLeast"/>
        <w:rPr>
          <w:rFonts w:ascii="Cambria Math" w:hAnsi="Cambria Math"/>
          <w:b w:val="0"/>
          <w:color w:val="auto"/>
          <w:sz w:val="22"/>
          <w:szCs w:val="22"/>
          <w:lang w:val="zh-CN"/>
        </w:rPr>
      </w:pPr>
    </w:p>
    <w:p w14:paraId="43417616">
      <w:pPr>
        <w:autoSpaceDE w:val="0"/>
        <w:autoSpaceDN w:val="0"/>
        <w:adjustRightInd w:val="0"/>
        <w:spacing w:line="460" w:lineRule="atLeast"/>
        <w:rPr>
          <w:rFonts w:ascii="Cambria Math" w:hAnsi="Cambria Math"/>
          <w:b w:val="0"/>
          <w:color w:val="auto"/>
          <w:sz w:val="22"/>
          <w:szCs w:val="22"/>
          <w:lang w:val="zh-CN"/>
        </w:rPr>
      </w:pPr>
    </w:p>
    <w:p w14:paraId="55591942">
      <w:pPr>
        <w:autoSpaceDE w:val="0"/>
        <w:autoSpaceDN w:val="0"/>
        <w:adjustRightInd w:val="0"/>
        <w:spacing w:line="460" w:lineRule="atLeast"/>
        <w:rPr>
          <w:rFonts w:ascii="Cambria Math" w:hAnsi="Cambria Math"/>
          <w:b w:val="0"/>
          <w:color w:val="auto"/>
          <w:sz w:val="22"/>
          <w:szCs w:val="22"/>
          <w:lang w:val="zh-CN"/>
        </w:rPr>
      </w:pPr>
    </w:p>
    <w:p w14:paraId="47D21E49">
      <w:pPr>
        <w:autoSpaceDE w:val="0"/>
        <w:autoSpaceDN w:val="0"/>
        <w:adjustRightInd w:val="0"/>
        <w:spacing w:line="460" w:lineRule="atLeast"/>
        <w:rPr>
          <w:rFonts w:ascii="Cambria Math" w:hAnsi="Cambria Math"/>
          <w:b w:val="0"/>
          <w:color w:val="auto"/>
          <w:sz w:val="22"/>
          <w:szCs w:val="22"/>
          <w:lang w:val="zh-CN"/>
        </w:rPr>
      </w:pPr>
    </w:p>
    <w:p w14:paraId="2D26ADA2">
      <w:pPr>
        <w:autoSpaceDE w:val="0"/>
        <w:autoSpaceDN w:val="0"/>
        <w:adjustRightInd w:val="0"/>
        <w:spacing w:line="460" w:lineRule="atLeast"/>
        <w:rPr>
          <w:rFonts w:ascii="Cambria Math" w:hAnsi="Cambria Math"/>
          <w:b w:val="0"/>
          <w:color w:val="auto"/>
          <w:sz w:val="22"/>
          <w:szCs w:val="22"/>
          <w:lang w:val="zh-CN"/>
        </w:rPr>
      </w:pPr>
    </w:p>
    <w:p w14:paraId="220233DF">
      <w:pPr>
        <w:autoSpaceDE w:val="0"/>
        <w:autoSpaceDN w:val="0"/>
        <w:adjustRightInd w:val="0"/>
        <w:spacing w:line="460" w:lineRule="atLeast"/>
        <w:rPr>
          <w:rFonts w:ascii="Cambria Math" w:hAnsi="Cambria Math"/>
          <w:b w:val="0"/>
          <w:color w:val="auto"/>
          <w:sz w:val="22"/>
          <w:szCs w:val="22"/>
          <w:lang w:val="zh-CN"/>
        </w:rPr>
      </w:pPr>
    </w:p>
    <w:p w14:paraId="28A6640F">
      <w:pPr>
        <w:autoSpaceDE w:val="0"/>
        <w:autoSpaceDN w:val="0"/>
        <w:adjustRightInd w:val="0"/>
        <w:spacing w:line="460" w:lineRule="atLeast"/>
        <w:rPr>
          <w:rFonts w:ascii="Cambria Math" w:hAnsi="Cambria Math"/>
          <w:b w:val="0"/>
          <w:color w:val="auto"/>
          <w:sz w:val="22"/>
          <w:szCs w:val="22"/>
          <w:lang w:val="zh-CN"/>
        </w:rPr>
      </w:pPr>
    </w:p>
    <w:p w14:paraId="6D60AF16">
      <w:pPr>
        <w:pStyle w:val="4"/>
        <w:spacing w:before="0" w:after="120" w:line="700" w:lineRule="exact"/>
        <w:ind w:left="0" w:firstLine="0"/>
        <w:rPr>
          <w:rFonts w:ascii="Cambria Math" w:hAnsi="Cambria Math" w:eastAsia="Cambria Math"/>
          <w:b/>
          <w:color w:val="auto"/>
          <w:sz w:val="32"/>
        </w:rPr>
      </w:pPr>
      <w:r>
        <w:rPr>
          <w:rFonts w:hint="eastAsia" w:ascii="Cambria Math" w:hAnsi="Cambria Math" w:eastAsia="Cambria Math"/>
          <w:b/>
          <w:color w:val="auto"/>
          <w:sz w:val="32"/>
        </w:rPr>
        <w:t>技术部分</w:t>
      </w:r>
    </w:p>
    <w:p w14:paraId="0462C083">
      <w:pPr>
        <w:adjustRightInd w:val="0"/>
        <w:snapToGrid w:val="0"/>
        <w:spacing w:line="460" w:lineRule="atLeast"/>
        <w:ind w:left="360" w:hanging="360" w:hangingChars="100"/>
        <w:rPr>
          <w:rFonts w:ascii="Cambria Math" w:hAnsi="Cambria Math" w:eastAsia="Cambria Math"/>
          <w:b w:val="0"/>
          <w:color w:val="auto"/>
          <w:spacing w:val="20"/>
          <w:sz w:val="32"/>
          <w:szCs w:val="32"/>
        </w:rPr>
      </w:pPr>
      <w:r>
        <w:rPr>
          <w:rFonts w:hint="eastAsia" w:ascii="Cambria Math" w:hAnsi="Cambria Math" w:eastAsia="Cambria Math"/>
          <w:b w:val="0"/>
          <w:color w:val="auto"/>
          <w:spacing w:val="20"/>
          <w:sz w:val="32"/>
          <w:szCs w:val="32"/>
        </w:rPr>
        <w:t>（密封封面格式）（仅供参考）</w:t>
      </w:r>
    </w:p>
    <w:p w14:paraId="7AEFAA8F">
      <w:pPr>
        <w:adjustRightInd w:val="0"/>
        <w:snapToGrid w:val="0"/>
        <w:spacing w:line="460" w:lineRule="atLeast"/>
        <w:ind w:left="360" w:hanging="360" w:hangingChars="100"/>
        <w:jc w:val="right"/>
        <w:rPr>
          <w:rFonts w:ascii="Cambria Math" w:hAnsi="Cambria Math"/>
          <w:b w:val="0"/>
          <w:color w:val="auto"/>
          <w:spacing w:val="20"/>
          <w:sz w:val="32"/>
          <w:szCs w:val="32"/>
        </w:rPr>
      </w:pPr>
      <w:r>
        <w:rPr>
          <w:rFonts w:hint="eastAsia" w:ascii="Cambria Math" w:hAnsi="Cambria Math" w:eastAsia="Cambria Math"/>
          <w:b w:val="0"/>
          <w:color w:val="FF0000"/>
          <w:spacing w:val="20"/>
          <w:sz w:val="32"/>
          <w:szCs w:val="32"/>
        </w:rPr>
        <w:t>正本</w:t>
      </w:r>
      <w:r>
        <w:rPr>
          <w:rFonts w:hint="eastAsia" w:ascii="Cambria Math" w:hAnsi="Cambria Math"/>
          <w:b w:val="0"/>
          <w:color w:val="auto"/>
          <w:spacing w:val="20"/>
          <w:sz w:val="32"/>
          <w:szCs w:val="32"/>
        </w:rPr>
        <w:t>/副本</w:t>
      </w:r>
    </w:p>
    <w:p w14:paraId="1BD0A5CA">
      <w:pPr>
        <w:adjustRightInd w:val="0"/>
        <w:snapToGrid w:val="0"/>
        <w:spacing w:line="460" w:lineRule="atLeast"/>
        <w:ind w:left="360" w:hanging="360" w:hangingChars="100"/>
        <w:rPr>
          <w:rFonts w:ascii="Cambria Math" w:hAnsi="Cambria Math" w:eastAsia="Cambria Math"/>
          <w:b w:val="0"/>
          <w:color w:val="auto"/>
          <w:spacing w:val="20"/>
          <w:sz w:val="32"/>
          <w:szCs w:val="32"/>
        </w:rPr>
      </w:pPr>
    </w:p>
    <w:p w14:paraId="76D28004">
      <w:pPr>
        <w:adjustRightInd w:val="0"/>
        <w:snapToGrid w:val="0"/>
        <w:spacing w:line="460" w:lineRule="atLeast"/>
        <w:ind w:left="400" w:hanging="400" w:hangingChars="100"/>
        <w:rPr>
          <w:rFonts w:ascii="Cambria Math" w:hAnsi="Cambria Math" w:eastAsia="Cambria Math"/>
          <w:b w:val="0"/>
          <w:color w:val="auto"/>
          <w:spacing w:val="20"/>
          <w:sz w:val="36"/>
          <w:szCs w:val="36"/>
        </w:rPr>
      </w:pPr>
    </w:p>
    <w:p w14:paraId="5CCCB809">
      <w:pPr>
        <w:spacing w:line="360" w:lineRule="auto"/>
        <w:jc w:val="center"/>
        <w:rPr>
          <w:rFonts w:ascii="Cambria Math" w:hAnsi="Cambria Math" w:eastAsia="Cambria Math"/>
          <w:b w:val="0"/>
          <w:color w:val="auto"/>
          <w:sz w:val="96"/>
          <w:szCs w:val="22"/>
        </w:rPr>
      </w:pPr>
      <w:r>
        <w:rPr>
          <w:rFonts w:hint="eastAsia" w:ascii="Cambria Math" w:hAnsi="Cambria Math" w:eastAsia="Cambria Math"/>
          <w:b w:val="0"/>
          <w:color w:val="auto"/>
          <w:sz w:val="96"/>
          <w:szCs w:val="22"/>
        </w:rPr>
        <w:t>技术资信投标文件</w:t>
      </w:r>
    </w:p>
    <w:p w14:paraId="5669B89D">
      <w:pPr>
        <w:spacing w:line="360" w:lineRule="auto"/>
        <w:jc w:val="center"/>
        <w:rPr>
          <w:rFonts w:ascii="Cambria Math" w:hAnsi="Cambria Math" w:eastAsia="Cambria Math"/>
          <w:b w:val="0"/>
          <w:color w:val="auto"/>
          <w:sz w:val="44"/>
          <w:szCs w:val="44"/>
        </w:rPr>
      </w:pPr>
      <w:r>
        <w:rPr>
          <w:rFonts w:hint="eastAsia" w:ascii="Cambria Math" w:hAnsi="Cambria Math" w:eastAsia="Cambria Math"/>
          <w:b w:val="0"/>
          <w:color w:val="auto"/>
          <w:sz w:val="44"/>
          <w:szCs w:val="44"/>
        </w:rPr>
        <w:t>开标时启封</w:t>
      </w:r>
    </w:p>
    <w:p w14:paraId="1C263C67">
      <w:pPr>
        <w:spacing w:line="360" w:lineRule="auto"/>
        <w:rPr>
          <w:rFonts w:ascii="Cambria Math" w:hAnsi="Cambria Math" w:eastAsia="Cambria Math"/>
          <w:b w:val="0"/>
          <w:color w:val="auto"/>
          <w:szCs w:val="22"/>
        </w:rPr>
      </w:pPr>
    </w:p>
    <w:p w14:paraId="1AABDC17">
      <w:pPr>
        <w:spacing w:line="360" w:lineRule="auto"/>
        <w:ind w:firstLine="1271" w:firstLineChars="454"/>
        <w:rPr>
          <w:rFonts w:ascii="Cambria Math" w:hAnsi="Cambria Math" w:eastAsia="Cambria Math"/>
          <w:b w:val="0"/>
          <w:color w:val="auto"/>
          <w:sz w:val="36"/>
          <w:szCs w:val="22"/>
          <w:u w:val="single"/>
        </w:rPr>
      </w:pPr>
      <w:r>
        <w:rPr>
          <w:rFonts w:hint="eastAsia" w:ascii="Cambria Math" w:hAnsi="Cambria Math" w:eastAsia="Cambria Math"/>
          <w:b w:val="0"/>
          <w:color w:val="auto"/>
          <w:sz w:val="28"/>
          <w:szCs w:val="22"/>
        </w:rPr>
        <w:t>项目名称：</w:t>
      </w:r>
    </w:p>
    <w:p w14:paraId="7F358A31">
      <w:pPr>
        <w:spacing w:line="360" w:lineRule="auto"/>
        <w:ind w:firstLine="1271" w:firstLineChars="454"/>
        <w:rPr>
          <w:rFonts w:ascii="Cambria Math" w:hAnsi="Cambria Math" w:eastAsia="Cambria Math"/>
          <w:b w:val="0"/>
          <w:color w:val="auto"/>
          <w:sz w:val="28"/>
          <w:szCs w:val="22"/>
          <w:u w:val="single"/>
        </w:rPr>
      </w:pPr>
      <w:r>
        <w:rPr>
          <w:rFonts w:hint="eastAsia" w:ascii="Cambria Math" w:hAnsi="Cambria Math" w:eastAsia="Cambria Math"/>
          <w:b w:val="0"/>
          <w:color w:val="auto"/>
          <w:sz w:val="28"/>
          <w:szCs w:val="22"/>
        </w:rPr>
        <w:t>项目编号：</w:t>
      </w:r>
    </w:p>
    <w:p w14:paraId="5B020574">
      <w:pPr>
        <w:spacing w:line="360" w:lineRule="auto"/>
        <w:ind w:firstLine="1271" w:firstLineChars="454"/>
        <w:rPr>
          <w:rFonts w:ascii="Cambria Math" w:hAnsi="Cambria Math" w:eastAsia="Cambria Math"/>
          <w:b w:val="0"/>
          <w:color w:val="auto"/>
          <w:sz w:val="28"/>
          <w:szCs w:val="22"/>
        </w:rPr>
      </w:pPr>
      <w:r>
        <w:rPr>
          <w:rFonts w:hint="eastAsia" w:ascii="Cambria Math" w:hAnsi="Cambria Math" w:eastAsia="Cambria Math"/>
          <w:b w:val="0"/>
          <w:color w:val="auto"/>
          <w:sz w:val="28"/>
          <w:szCs w:val="22"/>
        </w:rPr>
        <w:t>采 购 人：</w:t>
      </w:r>
    </w:p>
    <w:p w14:paraId="4766F69F">
      <w:pPr>
        <w:spacing w:line="360" w:lineRule="auto"/>
        <w:ind w:firstLine="1271" w:firstLineChars="454"/>
        <w:rPr>
          <w:rFonts w:ascii="Cambria Math" w:hAnsi="Cambria Math" w:eastAsia="Cambria Math"/>
          <w:b w:val="0"/>
          <w:color w:val="auto"/>
          <w:sz w:val="28"/>
          <w:szCs w:val="22"/>
          <w:u w:val="single"/>
        </w:rPr>
      </w:pPr>
      <w:r>
        <w:rPr>
          <w:rFonts w:hint="eastAsia" w:ascii="Cambria Math" w:hAnsi="Cambria Math" w:eastAsia="Cambria Math"/>
          <w:b w:val="0"/>
          <w:color w:val="auto"/>
          <w:sz w:val="28"/>
          <w:szCs w:val="22"/>
        </w:rPr>
        <w:t>投标单位（盖章）：</w:t>
      </w:r>
    </w:p>
    <w:p w14:paraId="7D533CEC">
      <w:pPr>
        <w:spacing w:line="360" w:lineRule="auto"/>
        <w:ind w:firstLine="1271" w:firstLineChars="454"/>
        <w:rPr>
          <w:rFonts w:ascii="Cambria Math" w:hAnsi="Cambria Math" w:eastAsia="Cambria Math"/>
          <w:b w:val="0"/>
          <w:color w:val="auto"/>
          <w:sz w:val="28"/>
          <w:szCs w:val="22"/>
          <w:u w:val="single"/>
        </w:rPr>
      </w:pPr>
      <w:r>
        <w:rPr>
          <w:rFonts w:hint="eastAsia" w:ascii="Cambria Math" w:hAnsi="Cambria Math" w:eastAsia="Cambria Math"/>
          <w:b w:val="0"/>
          <w:color w:val="auto"/>
          <w:sz w:val="28"/>
          <w:szCs w:val="22"/>
        </w:rPr>
        <w:t>投标人地址：</w:t>
      </w:r>
    </w:p>
    <w:p w14:paraId="22C4B4F1">
      <w:pPr>
        <w:spacing w:line="360" w:lineRule="auto"/>
        <w:ind w:firstLine="1271" w:firstLineChars="454"/>
        <w:rPr>
          <w:rFonts w:ascii="Cambria Math" w:hAnsi="Cambria Math" w:eastAsia="Cambria Math"/>
          <w:b w:val="0"/>
          <w:color w:val="auto"/>
          <w:sz w:val="28"/>
          <w:szCs w:val="22"/>
          <w:u w:val="single"/>
        </w:rPr>
      </w:pPr>
      <w:r>
        <w:rPr>
          <w:rFonts w:hint="eastAsia" w:ascii="Cambria Math" w:hAnsi="Cambria Math" w:eastAsia="Cambria Math"/>
          <w:b w:val="0"/>
          <w:color w:val="auto"/>
          <w:sz w:val="28"/>
          <w:szCs w:val="22"/>
        </w:rPr>
        <w:t>授权代表（签字或盖章）：</w:t>
      </w:r>
    </w:p>
    <w:p w14:paraId="0C935FCA">
      <w:pPr>
        <w:spacing w:line="360" w:lineRule="auto"/>
        <w:ind w:firstLine="1271" w:firstLineChars="454"/>
        <w:rPr>
          <w:rFonts w:ascii="Cambria Math" w:hAnsi="Cambria Math" w:eastAsia="Cambria Math"/>
          <w:b w:val="0"/>
          <w:color w:val="auto"/>
          <w:sz w:val="28"/>
          <w:szCs w:val="22"/>
          <w:u w:val="single"/>
        </w:rPr>
      </w:pPr>
      <w:r>
        <w:rPr>
          <w:rFonts w:hint="eastAsia" w:ascii="Cambria Math" w:hAnsi="Cambria Math" w:eastAsia="Cambria Math"/>
          <w:b w:val="0"/>
          <w:color w:val="auto"/>
          <w:sz w:val="28"/>
          <w:szCs w:val="22"/>
        </w:rPr>
        <w:t>日期：</w:t>
      </w:r>
    </w:p>
    <w:p w14:paraId="6CA8716F">
      <w:pPr>
        <w:adjustRightInd w:val="0"/>
        <w:snapToGrid w:val="0"/>
        <w:spacing w:line="460" w:lineRule="atLeast"/>
        <w:ind w:left="280" w:hanging="280" w:hangingChars="100"/>
        <w:rPr>
          <w:rFonts w:ascii="Cambria Math" w:hAnsi="Cambria Math" w:eastAsia="Cambria Math"/>
          <w:b w:val="0"/>
          <w:color w:val="auto"/>
          <w:sz w:val="28"/>
          <w:szCs w:val="22"/>
          <w:u w:val="single"/>
        </w:rPr>
      </w:pPr>
    </w:p>
    <w:p w14:paraId="351571C4">
      <w:pPr>
        <w:adjustRightInd w:val="0"/>
        <w:snapToGrid w:val="0"/>
        <w:spacing w:line="460" w:lineRule="atLeast"/>
        <w:ind w:left="400" w:hanging="400" w:hangingChars="100"/>
        <w:rPr>
          <w:rFonts w:ascii="Cambria Math" w:hAnsi="Cambria Math" w:eastAsia="Cambria Math"/>
          <w:b w:val="0"/>
          <w:color w:val="auto"/>
          <w:spacing w:val="20"/>
          <w:sz w:val="36"/>
          <w:szCs w:val="36"/>
        </w:rPr>
      </w:pPr>
    </w:p>
    <w:p w14:paraId="372EAAD5">
      <w:pPr>
        <w:adjustRightInd w:val="0"/>
        <w:snapToGrid w:val="0"/>
        <w:spacing w:line="460" w:lineRule="atLeast"/>
        <w:ind w:left="400" w:hanging="400" w:hangingChars="100"/>
        <w:rPr>
          <w:rFonts w:ascii="Cambria Math" w:hAnsi="Cambria Math" w:eastAsia="Cambria Math"/>
          <w:b w:val="0"/>
          <w:color w:val="auto"/>
          <w:spacing w:val="20"/>
          <w:sz w:val="36"/>
          <w:szCs w:val="36"/>
        </w:rPr>
      </w:pPr>
    </w:p>
    <w:p w14:paraId="0560277F">
      <w:pPr>
        <w:adjustRightInd w:val="0"/>
        <w:snapToGrid w:val="0"/>
        <w:spacing w:line="460" w:lineRule="atLeast"/>
        <w:rPr>
          <w:rFonts w:ascii="Cambria Math" w:hAnsi="Cambria Math" w:eastAsia="Cambria Math"/>
          <w:b w:val="0"/>
          <w:color w:val="auto"/>
          <w:spacing w:val="20"/>
          <w:sz w:val="36"/>
          <w:szCs w:val="36"/>
        </w:rPr>
      </w:pPr>
    </w:p>
    <w:p w14:paraId="58B14C0D">
      <w:pPr>
        <w:adjustRightInd w:val="0"/>
        <w:snapToGrid w:val="0"/>
        <w:spacing w:line="460" w:lineRule="atLeast"/>
        <w:rPr>
          <w:rFonts w:ascii="Cambria Math" w:hAnsi="Cambria Math" w:eastAsia="Cambria Math"/>
          <w:b w:val="0"/>
          <w:color w:val="auto"/>
          <w:spacing w:val="20"/>
          <w:sz w:val="36"/>
          <w:szCs w:val="36"/>
        </w:rPr>
      </w:pPr>
    </w:p>
    <w:p w14:paraId="437CA15A">
      <w:pPr>
        <w:rPr>
          <w:rFonts w:ascii="Cambria Math" w:hAnsi="Cambria Math" w:eastAsia="Cambria Math"/>
          <w:color w:val="auto"/>
        </w:rPr>
      </w:pPr>
    </w:p>
    <w:p w14:paraId="08B5BE86">
      <w:pPr>
        <w:rPr>
          <w:rFonts w:ascii="Cambria Math" w:hAnsi="Cambria Math" w:eastAsia="Cambria Math"/>
          <w:color w:val="auto"/>
        </w:rPr>
      </w:pPr>
    </w:p>
    <w:p w14:paraId="7CFC2DC3">
      <w:pPr>
        <w:rPr>
          <w:rFonts w:ascii="Cambria Math" w:hAnsi="Cambria Math" w:eastAsia="Cambria Math"/>
          <w:color w:val="auto"/>
        </w:rPr>
      </w:pPr>
    </w:p>
    <w:p w14:paraId="2E798FA4">
      <w:pPr>
        <w:rPr>
          <w:rFonts w:ascii="Cambria Math" w:hAnsi="Cambria Math" w:eastAsia="Cambria Math"/>
          <w:color w:val="auto"/>
        </w:rPr>
      </w:pPr>
    </w:p>
    <w:p w14:paraId="26EE5EC6">
      <w:pPr>
        <w:rPr>
          <w:rFonts w:ascii="Cambria Math" w:hAnsi="Cambria Math" w:eastAsia="Cambria Math"/>
          <w:color w:val="auto"/>
        </w:rPr>
      </w:pPr>
    </w:p>
    <w:p w14:paraId="3B658EE6">
      <w:pPr>
        <w:rPr>
          <w:rFonts w:ascii="Cambria Math" w:hAnsi="Cambria Math" w:eastAsia="Cambria Math"/>
          <w:color w:val="auto"/>
        </w:rPr>
      </w:pPr>
    </w:p>
    <w:p w14:paraId="337E4E2D">
      <w:pPr>
        <w:rPr>
          <w:rFonts w:ascii="Cambria Math" w:hAnsi="Cambria Math" w:eastAsia="Cambria Math"/>
          <w:color w:val="auto"/>
        </w:rPr>
      </w:pPr>
    </w:p>
    <w:p w14:paraId="14BC139A">
      <w:pPr>
        <w:rPr>
          <w:rFonts w:ascii="Cambria Math" w:hAnsi="Cambria Math" w:eastAsia="等线"/>
          <w:color w:val="auto"/>
          <w:sz w:val="32"/>
          <w:szCs w:val="32"/>
        </w:rPr>
      </w:pPr>
      <w:r>
        <w:rPr>
          <w:rFonts w:hint="eastAsia" w:ascii="Cambria Math" w:hAnsi="Cambria Math" w:eastAsia="Cambria Math"/>
          <w:color w:val="auto"/>
          <w:sz w:val="32"/>
          <w:szCs w:val="32"/>
        </w:rPr>
        <w:t>附件</w:t>
      </w:r>
      <w:r>
        <w:rPr>
          <w:rFonts w:hint="eastAsia" w:ascii="Cambria Math" w:hAnsi="Cambria Math" w:eastAsia="等线"/>
          <w:color w:val="auto"/>
          <w:sz w:val="32"/>
          <w:szCs w:val="32"/>
        </w:rPr>
        <w:t>2-</w:t>
      </w:r>
      <w:r>
        <w:rPr>
          <w:rFonts w:ascii="Cambria Math" w:hAnsi="Cambria Math" w:eastAsia="等线"/>
          <w:color w:val="auto"/>
          <w:sz w:val="32"/>
          <w:szCs w:val="32"/>
        </w:rPr>
        <w:t>1</w:t>
      </w:r>
    </w:p>
    <w:p w14:paraId="0422AB58">
      <w:pPr>
        <w:autoSpaceDE w:val="0"/>
        <w:autoSpaceDN w:val="0"/>
        <w:adjustRightInd w:val="0"/>
        <w:spacing w:line="440" w:lineRule="atLeast"/>
        <w:ind w:firstLine="3960" w:firstLineChars="1100"/>
        <w:rPr>
          <w:rFonts w:ascii="Cambria Math" w:hAnsi="Cambria Math" w:eastAsia="Cambria Math"/>
          <w:b w:val="0"/>
          <w:color w:val="auto"/>
          <w:sz w:val="36"/>
          <w:szCs w:val="36"/>
          <w:lang w:val="zh-CN"/>
        </w:rPr>
      </w:pPr>
      <w:r>
        <w:rPr>
          <w:rFonts w:hint="eastAsia" w:ascii="Cambria Math" w:hAnsi="Cambria Math" w:eastAsia="Cambria Math"/>
          <w:b w:val="0"/>
          <w:color w:val="auto"/>
          <w:sz w:val="36"/>
          <w:szCs w:val="36"/>
          <w:lang w:val="zh-CN"/>
        </w:rPr>
        <w:t>投标函</w:t>
      </w:r>
    </w:p>
    <w:p w14:paraId="761C9CEF">
      <w:pPr>
        <w:autoSpaceDE w:val="0"/>
        <w:autoSpaceDN w:val="0"/>
        <w:adjustRightInd w:val="0"/>
        <w:spacing w:line="440" w:lineRule="atLeast"/>
        <w:rPr>
          <w:rFonts w:ascii="Cambria Math" w:hAnsi="Cambria Math" w:eastAsia="Cambria Math"/>
          <w:b w:val="0"/>
          <w:color w:val="auto"/>
          <w:sz w:val="22"/>
          <w:szCs w:val="22"/>
        </w:rPr>
      </w:pPr>
      <w:r>
        <w:rPr>
          <w:rFonts w:hint="eastAsia" w:ascii="宋体" w:hAnsi="宋体" w:cs="宋体"/>
          <w:b w:val="0"/>
          <w:color w:val="auto"/>
          <w:sz w:val="22"/>
          <w:szCs w:val="22"/>
          <w:u w:val="single"/>
        </w:rPr>
        <w:t>温州公用事业发展集团龙港水务有限公司</w:t>
      </w:r>
      <w:r>
        <w:rPr>
          <w:rFonts w:hint="eastAsia" w:ascii="Cambria Math" w:hAnsi="Cambria Math" w:eastAsia="Cambria Math"/>
          <w:b w:val="0"/>
          <w:color w:val="auto"/>
          <w:sz w:val="22"/>
          <w:szCs w:val="22"/>
        </w:rPr>
        <w:t>：</w:t>
      </w:r>
    </w:p>
    <w:p w14:paraId="26671064">
      <w:pPr>
        <w:autoSpaceDE w:val="0"/>
        <w:autoSpaceDN w:val="0"/>
        <w:adjustRightInd w:val="0"/>
        <w:spacing w:line="440" w:lineRule="atLeast"/>
        <w:ind w:firstLine="440" w:firstLineChars="200"/>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u w:val="single"/>
          <w:lang w:val="zh-CN"/>
        </w:rPr>
        <w:t>（供应商全称）</w:t>
      </w:r>
      <w:r>
        <w:rPr>
          <w:rFonts w:hint="eastAsia" w:ascii="Cambria Math" w:hAnsi="Cambria Math" w:eastAsia="Cambria Math"/>
          <w:b w:val="0"/>
          <w:color w:val="auto"/>
          <w:sz w:val="22"/>
          <w:szCs w:val="22"/>
          <w:lang w:val="zh-CN"/>
        </w:rPr>
        <w:t>授权（</w:t>
      </w:r>
      <w:r>
        <w:rPr>
          <w:rFonts w:hint="eastAsia" w:ascii="Cambria Math" w:hAnsi="Cambria Math" w:eastAsia="Cambria Math"/>
          <w:b w:val="0"/>
          <w:color w:val="auto"/>
          <w:sz w:val="22"/>
          <w:szCs w:val="22"/>
          <w:u w:val="single"/>
          <w:lang w:val="zh-CN"/>
        </w:rPr>
        <w:t>授权代表名称）（职务、职称）</w:t>
      </w:r>
      <w:r>
        <w:rPr>
          <w:rFonts w:hint="eastAsia" w:ascii="Cambria Math" w:hAnsi="Cambria Math" w:eastAsia="Cambria Math"/>
          <w:b w:val="0"/>
          <w:color w:val="auto"/>
          <w:sz w:val="22"/>
          <w:szCs w:val="22"/>
          <w:lang w:val="zh-CN"/>
        </w:rPr>
        <w:t>为授权代表，参加贵方组织的（</w:t>
      </w:r>
      <w:r>
        <w:rPr>
          <w:rFonts w:hint="eastAsia" w:ascii="Cambria Math" w:hAnsi="Cambria Math" w:eastAsia="Cambria Math"/>
          <w:b w:val="0"/>
          <w:color w:val="auto"/>
          <w:sz w:val="22"/>
          <w:szCs w:val="22"/>
          <w:u w:val="single"/>
          <w:lang w:val="zh-CN"/>
        </w:rPr>
        <w:t>招标项目名称）（括号内填投标编号）</w:t>
      </w:r>
      <w:r>
        <w:rPr>
          <w:rFonts w:hint="eastAsia" w:ascii="Cambria Math" w:hAnsi="Cambria Math" w:eastAsia="Cambria Math"/>
          <w:b w:val="0"/>
          <w:color w:val="auto"/>
          <w:sz w:val="22"/>
          <w:szCs w:val="22"/>
          <w:lang w:val="zh-CN"/>
        </w:rPr>
        <w:t>招标的有关活动，并对项目</w:t>
      </w:r>
      <w:r>
        <w:rPr>
          <w:rFonts w:hint="eastAsia" w:ascii="Cambria Math" w:hAnsi="Cambria Math" w:eastAsia="Cambria Math"/>
          <w:b w:val="0"/>
          <w:color w:val="auto"/>
          <w:sz w:val="22"/>
          <w:szCs w:val="22"/>
          <w:u w:val="single"/>
          <w:lang w:val="zh-CN"/>
        </w:rPr>
        <w:t>（招标项目名称）进</w:t>
      </w:r>
      <w:r>
        <w:rPr>
          <w:rFonts w:hint="eastAsia" w:ascii="Cambria Math" w:hAnsi="Cambria Math" w:eastAsia="Cambria Math"/>
          <w:b w:val="0"/>
          <w:color w:val="auto"/>
          <w:sz w:val="22"/>
          <w:szCs w:val="22"/>
          <w:lang w:val="zh-CN"/>
        </w:rPr>
        <w:t>行投标。为此：</w:t>
      </w:r>
    </w:p>
    <w:p w14:paraId="14A5D921">
      <w:pPr>
        <w:numPr>
          <w:ilvl w:val="0"/>
          <w:numId w:val="1"/>
        </w:numPr>
        <w:autoSpaceDE w:val="0"/>
        <w:autoSpaceDN w:val="0"/>
        <w:adjustRightInd w:val="0"/>
        <w:spacing w:line="440" w:lineRule="atLeast"/>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提供供应商须知规定的全部投标文件：</w:t>
      </w:r>
    </w:p>
    <w:p w14:paraId="09E7AD1C">
      <w:pPr>
        <w:autoSpaceDE w:val="0"/>
        <w:autoSpaceDN w:val="0"/>
        <w:adjustRightInd w:val="0"/>
        <w:spacing w:line="440" w:lineRule="atLeast"/>
        <w:ind w:firstLine="450"/>
        <w:rPr>
          <w:rFonts w:ascii="Cambria Math" w:hAnsi="Cambria Math" w:eastAsia="Cambria Math"/>
          <w:b w:val="0"/>
          <w:color w:val="auto"/>
          <w:sz w:val="22"/>
          <w:szCs w:val="22"/>
          <w:lang w:val="zh-CN"/>
        </w:rPr>
      </w:pPr>
      <w:r>
        <w:rPr>
          <w:rFonts w:ascii="Cambria Math" w:hAnsi="Cambria Math" w:eastAsia="Cambria Math"/>
          <w:b w:val="0"/>
          <w:color w:val="auto"/>
          <w:sz w:val="22"/>
          <w:szCs w:val="22"/>
          <w:lang w:val="zh-CN"/>
        </w:rPr>
        <w:t>2</w:t>
      </w:r>
      <w:r>
        <w:rPr>
          <w:rFonts w:hint="eastAsia" w:ascii="Cambria Math" w:hAnsi="Cambria Math" w:eastAsia="Cambria Math"/>
          <w:b w:val="0"/>
          <w:color w:val="auto"/>
          <w:sz w:val="22"/>
          <w:szCs w:val="22"/>
          <w:lang w:val="zh-CN"/>
        </w:rPr>
        <w:t>、保证遵守招标文件中的有关规定和收费标准。</w:t>
      </w:r>
    </w:p>
    <w:p w14:paraId="1722A728">
      <w:pPr>
        <w:autoSpaceDE w:val="0"/>
        <w:autoSpaceDN w:val="0"/>
        <w:adjustRightInd w:val="0"/>
        <w:spacing w:line="440" w:lineRule="atLeast"/>
        <w:ind w:firstLine="465"/>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3、保证忠实地执行采购人、中标人双方所签的合同，并承担合同规定的责任义务。</w:t>
      </w:r>
    </w:p>
    <w:p w14:paraId="7D9EE0E3">
      <w:pPr>
        <w:autoSpaceDE w:val="0"/>
        <w:autoSpaceDN w:val="0"/>
        <w:adjustRightInd w:val="0"/>
        <w:spacing w:line="440" w:lineRule="atLeast"/>
        <w:ind w:firstLine="465"/>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4、</w:t>
      </w:r>
      <w:r>
        <w:rPr>
          <w:rFonts w:hint="eastAsia" w:ascii="Cambria Math" w:hAnsi="Cambria Math" w:eastAsia="Cambria Math"/>
          <w:b w:val="0"/>
          <w:color w:val="auto"/>
          <w:sz w:val="22"/>
          <w:szCs w:val="20"/>
        </w:rPr>
        <w:t>我方承诺在合同生效后</w:t>
      </w:r>
      <w:r>
        <w:rPr>
          <w:rFonts w:hint="eastAsia" w:ascii="Cambria Math" w:hAnsi="Cambria Math" w:eastAsia="Cambria Math"/>
          <w:b w:val="0"/>
          <w:color w:val="auto"/>
          <w:sz w:val="22"/>
          <w:szCs w:val="20"/>
          <w:lang w:val="zh-CN"/>
        </w:rPr>
        <w:t>接到采购人供货通知后按招标文件规定交货</w:t>
      </w:r>
      <w:r>
        <w:rPr>
          <w:rFonts w:hint="eastAsia" w:ascii="Cambria Math" w:hAnsi="Cambria Math" w:eastAsia="Cambria Math"/>
          <w:b w:val="0"/>
          <w:color w:val="auto"/>
          <w:sz w:val="22"/>
          <w:szCs w:val="20"/>
        </w:rPr>
        <w:t>。</w:t>
      </w:r>
    </w:p>
    <w:p w14:paraId="0BE1602A">
      <w:pPr>
        <w:autoSpaceDE w:val="0"/>
        <w:autoSpaceDN w:val="0"/>
        <w:adjustRightInd w:val="0"/>
        <w:spacing w:line="440" w:lineRule="atLeast"/>
        <w:ind w:firstLine="465"/>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2736BAB6">
      <w:pPr>
        <w:spacing w:line="340" w:lineRule="exact"/>
        <w:ind w:firstLine="495" w:firstLineChars="225"/>
        <w:rPr>
          <w:rFonts w:ascii="Cambria Math" w:hAnsi="Cambria Math" w:eastAsia="Cambria Math"/>
          <w:b w:val="0"/>
          <w:color w:val="auto"/>
          <w:sz w:val="22"/>
          <w:szCs w:val="22"/>
        </w:rPr>
      </w:pPr>
      <w:r>
        <w:rPr>
          <w:rFonts w:hint="eastAsia" w:ascii="Cambria Math" w:hAnsi="Cambria Math" w:eastAsia="Cambria Math"/>
          <w:b w:val="0"/>
          <w:color w:val="auto"/>
          <w:sz w:val="22"/>
          <w:szCs w:val="22"/>
        </w:rPr>
        <w:t>6、利益冲突：近三年内直至目前，我公司与本项目的采购人、招标代理机构没有任何的隶属关系。</w:t>
      </w:r>
    </w:p>
    <w:p w14:paraId="4C2920F0">
      <w:pPr>
        <w:autoSpaceDE w:val="0"/>
        <w:autoSpaceDN w:val="0"/>
        <w:adjustRightInd w:val="0"/>
        <w:spacing w:line="440" w:lineRule="atLeast"/>
        <w:ind w:firstLine="465"/>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rPr>
        <w:t>7、</w:t>
      </w:r>
      <w:r>
        <w:rPr>
          <w:rFonts w:hint="eastAsia" w:ascii="Cambria Math" w:hAnsi="Cambria Math" w:eastAsia="Cambria Math"/>
          <w:b w:val="0"/>
          <w:bCs w:val="0"/>
          <w:color w:val="auto"/>
          <w:sz w:val="22"/>
          <w:szCs w:val="22"/>
        </w:rPr>
        <w:t>我公司没有被浙江省财政厅、温州市财政局及本项目所在地的采购管理部门限制参加投标。</w:t>
      </w:r>
    </w:p>
    <w:p w14:paraId="780B3704">
      <w:pPr>
        <w:autoSpaceDE w:val="0"/>
        <w:autoSpaceDN w:val="0"/>
        <w:adjustRightInd w:val="0"/>
        <w:spacing w:line="440" w:lineRule="atLeast"/>
        <w:ind w:firstLine="450"/>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8、愿意向贵方提供任何与该项投标有关的数据、情况和技术资料，完全理解贵方不一定接受最低价的投标或收到的任何投标。</w:t>
      </w:r>
    </w:p>
    <w:p w14:paraId="4A1F0DF7">
      <w:pPr>
        <w:autoSpaceDE w:val="0"/>
        <w:autoSpaceDN w:val="0"/>
        <w:adjustRightInd w:val="0"/>
        <w:spacing w:line="440" w:lineRule="atLeast"/>
        <w:ind w:firstLine="450"/>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9、本投标自开标之日起</w:t>
      </w:r>
      <w:r>
        <w:rPr>
          <w:rFonts w:ascii="Cambria Math" w:hAnsi="Cambria Math" w:eastAsia="Cambria Math"/>
          <w:b w:val="0"/>
          <w:color w:val="auto"/>
          <w:sz w:val="22"/>
          <w:szCs w:val="22"/>
          <w:lang w:val="zh-CN"/>
        </w:rPr>
        <w:t>120</w:t>
      </w:r>
      <w:r>
        <w:rPr>
          <w:rFonts w:hint="eastAsia" w:ascii="Cambria Math" w:hAnsi="Cambria Math" w:eastAsia="Cambria Math"/>
          <w:b w:val="0"/>
          <w:color w:val="auto"/>
          <w:sz w:val="22"/>
          <w:szCs w:val="22"/>
          <w:lang w:val="zh-CN"/>
        </w:rPr>
        <w:t>天内有效。</w:t>
      </w:r>
    </w:p>
    <w:p w14:paraId="44E86ABF">
      <w:pPr>
        <w:autoSpaceDE w:val="0"/>
        <w:autoSpaceDN w:val="0"/>
        <w:adjustRightInd w:val="0"/>
        <w:spacing w:line="440" w:lineRule="atLeast"/>
        <w:ind w:firstLine="450"/>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10、与本投标有关的一切往来通讯请寄：</w:t>
      </w:r>
    </w:p>
    <w:p w14:paraId="35EAB959">
      <w:pPr>
        <w:autoSpaceDE w:val="0"/>
        <w:autoSpaceDN w:val="0"/>
        <w:adjustRightInd w:val="0"/>
        <w:spacing w:line="440" w:lineRule="atLeast"/>
        <w:ind w:firstLine="660" w:firstLineChars="300"/>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地址：</w:t>
      </w:r>
    </w:p>
    <w:p w14:paraId="40A6A908">
      <w:pPr>
        <w:autoSpaceDE w:val="0"/>
        <w:autoSpaceDN w:val="0"/>
        <w:adjustRightInd w:val="0"/>
        <w:spacing w:line="440" w:lineRule="atLeast"/>
        <w:ind w:firstLine="660" w:firstLineChars="300"/>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邮编：               电话：                   传真：</w:t>
      </w:r>
    </w:p>
    <w:p w14:paraId="1D6E3265">
      <w:pPr>
        <w:autoSpaceDE w:val="0"/>
        <w:autoSpaceDN w:val="0"/>
        <w:adjustRightInd w:val="0"/>
        <w:spacing w:line="440" w:lineRule="atLeast"/>
        <w:ind w:firstLine="1980" w:firstLineChars="900"/>
        <w:jc w:val="center"/>
        <w:rPr>
          <w:rFonts w:ascii="Cambria Math" w:hAnsi="Cambria Math" w:eastAsia="Cambria Math"/>
          <w:b w:val="0"/>
          <w:color w:val="auto"/>
          <w:sz w:val="22"/>
          <w:szCs w:val="22"/>
          <w:lang w:val="zh-CN"/>
        </w:rPr>
      </w:pPr>
    </w:p>
    <w:p w14:paraId="0E67F132">
      <w:pPr>
        <w:autoSpaceDE w:val="0"/>
        <w:autoSpaceDN w:val="0"/>
        <w:adjustRightInd w:val="0"/>
        <w:spacing w:line="440" w:lineRule="atLeast"/>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投标单位（盖章）：</w:t>
      </w:r>
    </w:p>
    <w:p w14:paraId="1B1D9F01">
      <w:pPr>
        <w:autoSpaceDE w:val="0"/>
        <w:autoSpaceDN w:val="0"/>
        <w:adjustRightInd w:val="0"/>
        <w:spacing w:line="440" w:lineRule="atLeast"/>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授权代表（签字）：</w:t>
      </w:r>
    </w:p>
    <w:p w14:paraId="3FC6CDAF">
      <w:pPr>
        <w:adjustRightInd w:val="0"/>
        <w:snapToGrid w:val="0"/>
        <w:spacing w:line="460" w:lineRule="atLeast"/>
        <w:ind w:left="220" w:hanging="220" w:hangingChars="100"/>
        <w:rPr>
          <w:rFonts w:ascii="Cambria Math" w:hAnsi="Cambria Math" w:eastAsia="Cambria Math"/>
          <w:b w:val="0"/>
          <w:color w:val="auto"/>
          <w:spacing w:val="20"/>
          <w:sz w:val="36"/>
          <w:szCs w:val="36"/>
        </w:rPr>
      </w:pPr>
      <w:r>
        <w:rPr>
          <w:rFonts w:hint="eastAsia" w:ascii="Cambria Math" w:hAnsi="Cambria Math" w:eastAsia="Cambria Math"/>
          <w:b w:val="0"/>
          <w:color w:val="auto"/>
          <w:sz w:val="22"/>
          <w:szCs w:val="22"/>
          <w:lang w:val="zh-CN"/>
        </w:rPr>
        <w:t>日期：</w:t>
      </w:r>
    </w:p>
    <w:p w14:paraId="0F5068C1">
      <w:pPr>
        <w:autoSpaceDE w:val="0"/>
        <w:autoSpaceDN w:val="0"/>
        <w:adjustRightInd w:val="0"/>
        <w:spacing w:line="440" w:lineRule="atLeast"/>
        <w:ind w:firstLine="1980" w:firstLineChars="900"/>
        <w:jc w:val="center"/>
        <w:rPr>
          <w:rFonts w:ascii="Cambria Math" w:hAnsi="Cambria Math" w:eastAsia="Cambria Math"/>
          <w:b w:val="0"/>
          <w:color w:val="auto"/>
          <w:sz w:val="22"/>
          <w:szCs w:val="22"/>
          <w:lang w:val="zh-CN"/>
        </w:rPr>
      </w:pPr>
    </w:p>
    <w:p w14:paraId="0DDA498E">
      <w:pPr>
        <w:autoSpaceDE w:val="0"/>
        <w:autoSpaceDN w:val="0"/>
        <w:adjustRightInd w:val="0"/>
        <w:spacing w:line="440" w:lineRule="atLeast"/>
        <w:ind w:firstLine="1980" w:firstLineChars="900"/>
        <w:jc w:val="center"/>
        <w:rPr>
          <w:rFonts w:ascii="Cambria Math" w:hAnsi="Cambria Math" w:eastAsia="Cambria Math"/>
          <w:b w:val="0"/>
          <w:color w:val="auto"/>
          <w:sz w:val="22"/>
          <w:szCs w:val="22"/>
          <w:lang w:val="zh-CN"/>
        </w:rPr>
      </w:pPr>
    </w:p>
    <w:p w14:paraId="7A014656">
      <w:pPr>
        <w:autoSpaceDE w:val="0"/>
        <w:autoSpaceDN w:val="0"/>
        <w:adjustRightInd w:val="0"/>
        <w:spacing w:line="440" w:lineRule="atLeast"/>
        <w:ind w:firstLine="1980" w:firstLineChars="900"/>
        <w:jc w:val="center"/>
        <w:rPr>
          <w:rFonts w:ascii="Cambria Math" w:hAnsi="Cambria Math" w:eastAsia="Cambria Math"/>
          <w:b w:val="0"/>
          <w:color w:val="auto"/>
          <w:sz w:val="22"/>
          <w:szCs w:val="22"/>
          <w:lang w:val="zh-CN"/>
        </w:rPr>
      </w:pPr>
    </w:p>
    <w:p w14:paraId="17070D0E">
      <w:pPr>
        <w:rPr>
          <w:rFonts w:ascii="Cambria Math" w:hAnsi="Cambria Math" w:eastAsia="Cambria Math"/>
          <w:color w:val="auto"/>
        </w:rPr>
      </w:pPr>
    </w:p>
    <w:p w14:paraId="57AE9149">
      <w:pPr>
        <w:rPr>
          <w:rFonts w:ascii="Cambria Math" w:hAnsi="Cambria Math" w:eastAsia="Cambria Math"/>
          <w:color w:val="auto"/>
        </w:rPr>
      </w:pPr>
    </w:p>
    <w:p w14:paraId="4022E7CA">
      <w:pPr>
        <w:rPr>
          <w:rFonts w:ascii="Cambria Math" w:hAnsi="Cambria Math" w:eastAsia="Cambria Math"/>
          <w:color w:val="auto"/>
        </w:rPr>
      </w:pPr>
    </w:p>
    <w:p w14:paraId="0B272A95">
      <w:pPr>
        <w:rPr>
          <w:rFonts w:ascii="Cambria Math" w:hAnsi="Cambria Math" w:eastAsia="等线"/>
          <w:color w:val="auto"/>
          <w:sz w:val="36"/>
          <w:szCs w:val="36"/>
        </w:rPr>
      </w:pPr>
      <w:r>
        <w:rPr>
          <w:rFonts w:hint="eastAsia" w:ascii="Cambria Math" w:hAnsi="Cambria Math" w:eastAsia="Cambria Math"/>
          <w:color w:val="auto"/>
          <w:sz w:val="36"/>
          <w:szCs w:val="36"/>
        </w:rPr>
        <w:t>附件</w:t>
      </w:r>
      <w:r>
        <w:rPr>
          <w:rFonts w:hint="eastAsia" w:ascii="Cambria Math" w:hAnsi="Cambria Math" w:eastAsia="等线"/>
          <w:color w:val="auto"/>
          <w:sz w:val="36"/>
          <w:szCs w:val="36"/>
        </w:rPr>
        <w:t>2-</w:t>
      </w:r>
      <w:r>
        <w:rPr>
          <w:rFonts w:ascii="Cambria Math" w:hAnsi="Cambria Math" w:eastAsia="等线"/>
          <w:color w:val="auto"/>
          <w:sz w:val="36"/>
          <w:szCs w:val="36"/>
        </w:rPr>
        <w:t>2</w:t>
      </w:r>
    </w:p>
    <w:p w14:paraId="3A61ABF6">
      <w:pPr>
        <w:tabs>
          <w:tab w:val="left" w:pos="1080"/>
        </w:tabs>
        <w:autoSpaceDE w:val="0"/>
        <w:autoSpaceDN w:val="0"/>
        <w:adjustRightInd w:val="0"/>
        <w:spacing w:line="440" w:lineRule="atLeast"/>
        <w:jc w:val="center"/>
        <w:rPr>
          <w:rFonts w:ascii="Cambria Math" w:hAnsi="Cambria Math" w:eastAsia="Cambria Math"/>
          <w:b w:val="0"/>
          <w:color w:val="auto"/>
          <w:sz w:val="36"/>
          <w:szCs w:val="36"/>
          <w:lang w:val="zh-CN"/>
        </w:rPr>
      </w:pPr>
      <w:r>
        <w:rPr>
          <w:rFonts w:hint="eastAsia" w:ascii="Cambria Math" w:hAnsi="Cambria Math" w:eastAsia="Cambria Math"/>
          <w:b w:val="0"/>
          <w:color w:val="auto"/>
          <w:sz w:val="36"/>
          <w:szCs w:val="36"/>
          <w:lang w:val="zh-CN"/>
        </w:rPr>
        <w:t>法定代表人授权书</w:t>
      </w:r>
    </w:p>
    <w:p w14:paraId="617352C9">
      <w:pPr>
        <w:spacing w:line="360" w:lineRule="auto"/>
        <w:rPr>
          <w:rFonts w:ascii="Cambria Math" w:hAnsi="Cambria Math" w:eastAsia="Cambria Math"/>
          <w:b w:val="0"/>
          <w:color w:val="auto"/>
          <w:sz w:val="22"/>
          <w:szCs w:val="22"/>
        </w:rPr>
      </w:pPr>
      <w:r>
        <w:rPr>
          <w:rFonts w:hint="eastAsia" w:ascii="Cambria Math" w:hAnsi="Cambria Math" w:eastAsia="Cambria Math"/>
          <w:b w:val="0"/>
          <w:color w:val="auto"/>
          <w:sz w:val="22"/>
          <w:szCs w:val="22"/>
          <w:u w:val="single"/>
        </w:rPr>
        <w:t>（采购人名称）</w:t>
      </w:r>
      <w:r>
        <w:rPr>
          <w:rFonts w:hint="eastAsia" w:ascii="Cambria Math" w:hAnsi="Cambria Math" w:eastAsia="Cambria Math"/>
          <w:b w:val="0"/>
          <w:color w:val="auto"/>
          <w:sz w:val="22"/>
          <w:szCs w:val="22"/>
          <w:lang w:val="zh-CN"/>
        </w:rPr>
        <w:t>：</w:t>
      </w:r>
    </w:p>
    <w:p w14:paraId="514F9A11">
      <w:pPr>
        <w:spacing w:line="360" w:lineRule="auto"/>
        <w:ind w:firstLine="440" w:firstLineChars="200"/>
        <w:rPr>
          <w:rFonts w:ascii="Cambria Math" w:hAnsi="Cambria Math" w:eastAsia="Cambria Math"/>
          <w:b w:val="0"/>
          <w:color w:val="auto"/>
          <w:sz w:val="22"/>
          <w:szCs w:val="22"/>
        </w:rPr>
      </w:pPr>
      <w:r>
        <w:rPr>
          <w:rFonts w:hint="eastAsia" w:ascii="Cambria Math" w:hAnsi="Cambria Math" w:eastAsia="Cambria Math"/>
          <w:b w:val="0"/>
          <w:color w:val="auto"/>
          <w:sz w:val="22"/>
          <w:szCs w:val="22"/>
        </w:rPr>
        <w:t>本授权委托书声明：我</w:t>
      </w:r>
      <w:r>
        <w:rPr>
          <w:rFonts w:hint="eastAsia" w:ascii="Cambria Math" w:hAnsi="Cambria Math" w:eastAsia="Cambria Math"/>
          <w:b w:val="0"/>
          <w:color w:val="auto"/>
          <w:sz w:val="22"/>
          <w:szCs w:val="22"/>
          <w:u w:val="single"/>
        </w:rPr>
        <w:t xml:space="preserve">   （法定代表人姓名）   </w:t>
      </w:r>
      <w:r>
        <w:rPr>
          <w:rFonts w:hint="eastAsia" w:ascii="Cambria Math" w:hAnsi="Cambria Math" w:eastAsia="Cambria Math"/>
          <w:b w:val="0"/>
          <w:color w:val="auto"/>
          <w:sz w:val="22"/>
          <w:szCs w:val="22"/>
        </w:rPr>
        <w:t>系</w:t>
      </w:r>
      <w:r>
        <w:rPr>
          <w:rFonts w:hint="eastAsia" w:ascii="Cambria Math" w:hAnsi="Cambria Math" w:eastAsia="Cambria Math"/>
          <w:b w:val="0"/>
          <w:color w:val="auto"/>
          <w:sz w:val="22"/>
          <w:szCs w:val="22"/>
          <w:u w:val="single"/>
        </w:rPr>
        <w:t xml:space="preserve">   （供 应 商 名 称）  </w:t>
      </w:r>
      <w:r>
        <w:rPr>
          <w:rFonts w:hint="eastAsia" w:ascii="Cambria Math" w:hAnsi="Cambria Math" w:eastAsia="Cambria Math"/>
          <w:b w:val="0"/>
          <w:color w:val="auto"/>
          <w:sz w:val="22"/>
          <w:szCs w:val="22"/>
        </w:rPr>
        <w:t>的法定代表人，现授权委托</w:t>
      </w:r>
      <w:r>
        <w:rPr>
          <w:rFonts w:hint="eastAsia" w:ascii="Cambria Math" w:hAnsi="Cambria Math" w:eastAsia="Cambria Math"/>
          <w:b w:val="0"/>
          <w:color w:val="auto"/>
          <w:sz w:val="22"/>
          <w:szCs w:val="22"/>
          <w:u w:val="single"/>
        </w:rPr>
        <w:t xml:space="preserve">  （单 位 名 称）   </w:t>
      </w:r>
      <w:r>
        <w:rPr>
          <w:rFonts w:hint="eastAsia" w:ascii="Cambria Math" w:hAnsi="Cambria Math" w:eastAsia="Cambria Math"/>
          <w:b w:val="0"/>
          <w:color w:val="auto"/>
          <w:sz w:val="22"/>
          <w:szCs w:val="22"/>
        </w:rPr>
        <w:t>的</w:t>
      </w:r>
      <w:r>
        <w:rPr>
          <w:rFonts w:hint="eastAsia" w:ascii="Cambria Math" w:hAnsi="Cambria Math" w:eastAsia="Cambria Math"/>
          <w:b w:val="0"/>
          <w:color w:val="auto"/>
          <w:sz w:val="22"/>
          <w:szCs w:val="22"/>
          <w:u w:val="single"/>
        </w:rPr>
        <w:t xml:space="preserve">  （授权代表姓名）  </w:t>
      </w:r>
      <w:r>
        <w:rPr>
          <w:rFonts w:hint="eastAsia" w:ascii="Cambria Math" w:hAnsi="Cambria Math" w:eastAsia="Cambria Math"/>
          <w:b w:val="0"/>
          <w:color w:val="auto"/>
          <w:sz w:val="22"/>
          <w:szCs w:val="22"/>
        </w:rPr>
        <w:t>为我公司法定代表人授权代表，参加贵处组织的</w:t>
      </w:r>
      <w:r>
        <w:rPr>
          <w:rFonts w:hint="eastAsia" w:ascii="Cambria Math" w:hAnsi="Cambria Math" w:eastAsia="Cambria Math"/>
          <w:b w:val="0"/>
          <w:color w:val="auto"/>
          <w:sz w:val="22"/>
          <w:szCs w:val="22"/>
          <w:u w:val="single"/>
        </w:rPr>
        <w:t xml:space="preserve">  （招标项目名称，括号中填写项目编号）</w:t>
      </w:r>
      <w:r>
        <w:rPr>
          <w:rFonts w:hint="eastAsia" w:ascii="Cambria Math" w:hAnsi="Cambria Math" w:eastAsia="Cambria Math"/>
          <w:b w:val="0"/>
          <w:color w:val="auto"/>
          <w:sz w:val="22"/>
          <w:szCs w:val="22"/>
        </w:rPr>
        <w:t>投标，全权处理本次招投标活动中的一切事宜，我承认授权代表全权代表我所签署的本项目的投标文件的内容。</w:t>
      </w:r>
    </w:p>
    <w:p w14:paraId="7708827D">
      <w:pPr>
        <w:spacing w:line="360" w:lineRule="auto"/>
        <w:ind w:firstLine="440" w:firstLineChars="200"/>
        <w:rPr>
          <w:rFonts w:ascii="Cambria Math" w:hAnsi="Cambria Math" w:eastAsia="Cambria Math"/>
          <w:b w:val="0"/>
          <w:color w:val="auto"/>
          <w:sz w:val="22"/>
          <w:szCs w:val="22"/>
        </w:rPr>
      </w:pPr>
      <w:r>
        <w:rPr>
          <w:rFonts w:hint="eastAsia" w:ascii="Cambria Math" w:hAnsi="Cambria Math" w:eastAsia="Cambria Math"/>
          <w:b w:val="0"/>
          <w:color w:val="auto"/>
          <w:sz w:val="22"/>
          <w:szCs w:val="22"/>
        </w:rPr>
        <w:t>授权代表无转授权，特此授权</w:t>
      </w:r>
    </w:p>
    <w:p w14:paraId="23CFD1BC">
      <w:pPr>
        <w:spacing w:line="360" w:lineRule="auto"/>
        <w:ind w:left="1260"/>
        <w:rPr>
          <w:rFonts w:ascii="Cambria Math" w:hAnsi="Cambria Math" w:eastAsia="Cambria Math"/>
          <w:b w:val="0"/>
          <w:color w:val="auto"/>
          <w:sz w:val="22"/>
          <w:szCs w:val="22"/>
        </w:rPr>
      </w:pPr>
    </w:p>
    <w:p w14:paraId="2B5C2DE4">
      <w:pPr>
        <w:spacing w:line="360" w:lineRule="auto"/>
        <w:ind w:left="2100" w:right="440"/>
        <w:jc w:val="center"/>
        <w:rPr>
          <w:rFonts w:ascii="Cambria Math" w:hAnsi="Cambria Math" w:eastAsia="Cambria Math"/>
          <w:b w:val="0"/>
          <w:color w:val="auto"/>
          <w:sz w:val="22"/>
          <w:szCs w:val="22"/>
        </w:rPr>
      </w:pPr>
    </w:p>
    <w:p w14:paraId="1F444B37">
      <w:pPr>
        <w:spacing w:line="360" w:lineRule="auto"/>
        <w:ind w:left="2100" w:right="440"/>
        <w:jc w:val="center"/>
        <w:rPr>
          <w:rFonts w:ascii="Cambria Math" w:hAnsi="Cambria Math" w:eastAsia="Cambria Math"/>
          <w:b w:val="0"/>
          <w:color w:val="auto"/>
          <w:sz w:val="22"/>
          <w:szCs w:val="22"/>
        </w:rPr>
      </w:pPr>
    </w:p>
    <w:p w14:paraId="08B70CA5">
      <w:pPr>
        <w:spacing w:line="360" w:lineRule="auto"/>
        <w:ind w:left="2100" w:right="440"/>
        <w:jc w:val="center"/>
        <w:rPr>
          <w:rFonts w:ascii="Cambria Math" w:hAnsi="Cambria Math" w:eastAsia="Cambria Math"/>
          <w:b w:val="0"/>
          <w:color w:val="auto"/>
          <w:sz w:val="22"/>
          <w:szCs w:val="22"/>
        </w:rPr>
      </w:pPr>
    </w:p>
    <w:p w14:paraId="55591EF7">
      <w:pPr>
        <w:spacing w:line="360" w:lineRule="auto"/>
        <w:ind w:left="2100" w:right="440"/>
        <w:jc w:val="center"/>
        <w:rPr>
          <w:rFonts w:ascii="Cambria Math" w:hAnsi="Cambria Math" w:eastAsia="Cambria Math"/>
          <w:b w:val="0"/>
          <w:color w:val="auto"/>
          <w:sz w:val="22"/>
          <w:szCs w:val="22"/>
        </w:rPr>
      </w:pPr>
      <w:r>
        <w:rPr>
          <w:rFonts w:hint="eastAsia" w:ascii="Cambria Math" w:hAnsi="Cambria Math" w:eastAsia="Cambria Math"/>
          <w:b w:val="0"/>
          <w:color w:val="auto"/>
          <w:sz w:val="22"/>
          <w:szCs w:val="22"/>
        </w:rPr>
        <w:t xml:space="preserve">   投标单位：</w:t>
      </w:r>
      <w:r>
        <w:rPr>
          <w:rFonts w:hint="eastAsia" w:ascii="Cambria Math" w:hAnsi="Cambria Math" w:eastAsia="Cambria Math"/>
          <w:b w:val="0"/>
          <w:color w:val="auto"/>
          <w:sz w:val="22"/>
          <w:szCs w:val="22"/>
          <w:u w:val="single"/>
        </w:rPr>
        <w:t xml:space="preserve">                              （盖章）</w:t>
      </w:r>
    </w:p>
    <w:p w14:paraId="5176A9E0">
      <w:pPr>
        <w:spacing w:line="360" w:lineRule="auto"/>
        <w:ind w:left="2100" w:right="440"/>
        <w:jc w:val="center"/>
        <w:rPr>
          <w:rFonts w:ascii="Cambria Math" w:hAnsi="Cambria Math" w:eastAsia="Cambria Math"/>
          <w:b w:val="0"/>
          <w:color w:val="auto"/>
          <w:sz w:val="22"/>
          <w:szCs w:val="22"/>
        </w:rPr>
      </w:pPr>
      <w:r>
        <w:rPr>
          <w:rFonts w:hint="eastAsia" w:ascii="Cambria Math" w:hAnsi="Cambria Math" w:eastAsia="Cambria Math"/>
          <w:b w:val="0"/>
          <w:color w:val="auto"/>
          <w:sz w:val="22"/>
          <w:szCs w:val="22"/>
        </w:rPr>
        <w:t xml:space="preserve">  法定代表人：</w:t>
      </w:r>
      <w:r>
        <w:rPr>
          <w:rFonts w:hint="eastAsia" w:ascii="Cambria Math" w:hAnsi="Cambria Math" w:eastAsia="Cambria Math"/>
          <w:b w:val="0"/>
          <w:color w:val="auto"/>
          <w:sz w:val="22"/>
          <w:szCs w:val="22"/>
          <w:u w:val="single"/>
        </w:rPr>
        <w:t xml:space="preserve">                           （签字或盖章）</w:t>
      </w:r>
    </w:p>
    <w:p w14:paraId="41D10499">
      <w:pPr>
        <w:spacing w:line="360" w:lineRule="auto"/>
        <w:ind w:left="2833" w:leftChars="1349" w:firstLine="2200" w:firstLineChars="1000"/>
        <w:rPr>
          <w:rFonts w:ascii="Cambria Math" w:hAnsi="Cambria Math" w:eastAsia="Cambria Math"/>
          <w:b w:val="0"/>
          <w:color w:val="auto"/>
          <w:sz w:val="22"/>
          <w:szCs w:val="22"/>
        </w:rPr>
      </w:pPr>
    </w:p>
    <w:p w14:paraId="3C424536">
      <w:pPr>
        <w:spacing w:line="360" w:lineRule="auto"/>
        <w:ind w:right="330" w:firstLine="3300" w:firstLineChars="1500"/>
        <w:jc w:val="right"/>
        <w:rPr>
          <w:rFonts w:ascii="Cambria Math" w:hAnsi="Cambria Math" w:eastAsia="Cambria Math"/>
          <w:b w:val="0"/>
          <w:color w:val="auto"/>
          <w:sz w:val="22"/>
          <w:szCs w:val="22"/>
        </w:rPr>
      </w:pPr>
      <w:r>
        <w:rPr>
          <w:rFonts w:hint="eastAsia" w:ascii="Cambria Math" w:hAnsi="Cambria Math" w:eastAsia="Cambria Math"/>
          <w:b w:val="0"/>
          <w:color w:val="auto"/>
          <w:sz w:val="22"/>
          <w:szCs w:val="22"/>
        </w:rPr>
        <w:t>授权委托日期：年 月日</w:t>
      </w:r>
    </w:p>
    <w:tbl>
      <w:tblPr>
        <w:tblStyle w:val="35"/>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7"/>
      </w:tblGrid>
      <w:tr w14:paraId="191F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jc w:val="center"/>
        </w:trPr>
        <w:tc>
          <w:tcPr>
            <w:tcW w:w="8647" w:type="dxa"/>
          </w:tcPr>
          <w:p w14:paraId="76F1EE68">
            <w:pPr>
              <w:pStyle w:val="21"/>
              <w:spacing w:line="440" w:lineRule="atLeast"/>
              <w:ind w:firstLine="440"/>
              <w:jc w:val="center"/>
              <w:rPr>
                <w:rFonts w:ascii="Cambria Math" w:hAnsi="Cambria Math" w:eastAsia="Cambria Math" w:cs="Yu Mincho Light"/>
                <w:b w:val="0"/>
                <w:color w:val="auto"/>
                <w:sz w:val="22"/>
                <w:szCs w:val="22"/>
              </w:rPr>
            </w:pPr>
            <w:r>
              <w:rPr>
                <w:rFonts w:hint="eastAsia" w:ascii="Cambria Math" w:hAnsi="Cambria Math" w:eastAsia="Cambria Math" w:cs="Yu Mincho Light"/>
                <w:b w:val="0"/>
                <w:color w:val="auto"/>
                <w:sz w:val="22"/>
                <w:szCs w:val="22"/>
              </w:rPr>
              <w:t>授权代表身份证影印件或复印件</w:t>
            </w:r>
          </w:p>
        </w:tc>
      </w:tr>
    </w:tbl>
    <w:p w14:paraId="68A472D9">
      <w:pPr>
        <w:snapToGrid w:val="0"/>
        <w:spacing w:line="360" w:lineRule="atLeast"/>
        <w:outlineLvl w:val="0"/>
        <w:rPr>
          <w:rFonts w:ascii="Cambria Math" w:hAnsi="Cambria Math" w:eastAsia="Cambria Math"/>
          <w:b w:val="0"/>
          <w:color w:val="auto"/>
          <w:sz w:val="36"/>
          <w:szCs w:val="36"/>
          <w:lang w:val="zh-CN"/>
        </w:rPr>
      </w:pPr>
    </w:p>
    <w:p w14:paraId="70CDA9F3">
      <w:pPr>
        <w:snapToGrid w:val="0"/>
        <w:spacing w:line="360" w:lineRule="atLeast"/>
        <w:outlineLvl w:val="0"/>
        <w:rPr>
          <w:rFonts w:ascii="Cambria Math" w:hAnsi="Cambria Math" w:eastAsia="Cambria Math"/>
          <w:b w:val="0"/>
          <w:color w:val="auto"/>
          <w:sz w:val="36"/>
          <w:szCs w:val="36"/>
          <w:lang w:val="zh-CN"/>
        </w:rPr>
      </w:pPr>
    </w:p>
    <w:p w14:paraId="2CE55ACF">
      <w:pPr>
        <w:snapToGrid w:val="0"/>
        <w:spacing w:line="360" w:lineRule="atLeast"/>
        <w:outlineLvl w:val="0"/>
        <w:rPr>
          <w:rFonts w:ascii="Cambria Math" w:hAnsi="Cambria Math" w:eastAsia="Cambria Math"/>
          <w:b w:val="0"/>
          <w:color w:val="auto"/>
          <w:sz w:val="36"/>
          <w:szCs w:val="36"/>
          <w:lang w:val="zh-CN"/>
        </w:rPr>
      </w:pPr>
    </w:p>
    <w:p w14:paraId="1476E427">
      <w:pPr>
        <w:snapToGrid w:val="0"/>
        <w:spacing w:line="360" w:lineRule="atLeast"/>
        <w:outlineLvl w:val="0"/>
        <w:rPr>
          <w:rFonts w:ascii="Cambria Math" w:hAnsi="Cambria Math" w:eastAsia="Cambria Math"/>
          <w:b w:val="0"/>
          <w:color w:val="auto"/>
          <w:sz w:val="36"/>
          <w:szCs w:val="36"/>
          <w:lang w:val="zh-CN"/>
        </w:rPr>
      </w:pPr>
    </w:p>
    <w:p w14:paraId="421600F5">
      <w:pPr>
        <w:pStyle w:val="4"/>
        <w:spacing w:before="0" w:after="120" w:line="700" w:lineRule="exact"/>
        <w:ind w:left="0" w:firstLine="0"/>
        <w:rPr>
          <w:rFonts w:ascii="Cambria Math" w:hAnsi="Cambria Math" w:eastAsia="等线"/>
          <w:b/>
          <w:color w:val="auto"/>
          <w:sz w:val="32"/>
        </w:rPr>
      </w:pPr>
      <w:r>
        <w:rPr>
          <w:rFonts w:hint="eastAsia" w:ascii="Cambria Math" w:hAnsi="Cambria Math" w:eastAsia="Cambria Math"/>
          <w:b/>
          <w:color w:val="auto"/>
          <w:sz w:val="32"/>
        </w:rPr>
        <w:t>附件</w:t>
      </w:r>
      <w:r>
        <w:rPr>
          <w:rFonts w:hint="eastAsia" w:ascii="Cambria Math" w:hAnsi="Cambria Math" w:eastAsia="等线"/>
          <w:b/>
          <w:color w:val="auto"/>
          <w:sz w:val="32"/>
        </w:rPr>
        <w:t>2-</w:t>
      </w:r>
      <w:r>
        <w:rPr>
          <w:rFonts w:ascii="Cambria Math" w:hAnsi="Cambria Math" w:eastAsia="等线"/>
          <w:b/>
          <w:color w:val="auto"/>
          <w:sz w:val="32"/>
        </w:rPr>
        <w:t>3</w:t>
      </w:r>
    </w:p>
    <w:p w14:paraId="3BAD4F45">
      <w:pPr>
        <w:autoSpaceDE w:val="0"/>
        <w:autoSpaceDN w:val="0"/>
        <w:adjustRightInd w:val="0"/>
        <w:spacing w:line="440" w:lineRule="atLeast"/>
        <w:jc w:val="center"/>
        <w:rPr>
          <w:rFonts w:ascii="Cambria Math" w:hAnsi="Cambria Math" w:eastAsia="Cambria Math"/>
          <w:b w:val="0"/>
          <w:color w:val="auto"/>
          <w:sz w:val="36"/>
          <w:szCs w:val="36"/>
          <w:lang w:val="zh-CN"/>
        </w:rPr>
      </w:pPr>
      <w:r>
        <w:rPr>
          <w:rFonts w:hint="eastAsia" w:ascii="Cambria Math" w:hAnsi="Cambria Math" w:eastAsia="Cambria Math"/>
          <w:b w:val="0"/>
          <w:color w:val="auto"/>
          <w:sz w:val="36"/>
          <w:szCs w:val="36"/>
          <w:lang w:val="zh-CN"/>
        </w:rPr>
        <w:t>供应商情况声明</w:t>
      </w:r>
    </w:p>
    <w:p w14:paraId="38A20D56">
      <w:pPr>
        <w:autoSpaceDE w:val="0"/>
        <w:autoSpaceDN w:val="0"/>
        <w:adjustRightInd w:val="0"/>
        <w:spacing w:line="440" w:lineRule="atLeast"/>
        <w:jc w:val="center"/>
        <w:rPr>
          <w:rFonts w:ascii="Cambria Math" w:hAnsi="Cambria Math" w:eastAsia="Cambria Math"/>
          <w:b w:val="0"/>
          <w:color w:val="auto"/>
          <w:sz w:val="36"/>
          <w:szCs w:val="36"/>
          <w:lang w:val="zh-CN"/>
        </w:rPr>
      </w:pPr>
    </w:p>
    <w:p w14:paraId="16975971">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1、名称及概况：</w:t>
      </w:r>
    </w:p>
    <w:p w14:paraId="06B9BC96">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（1）投标供应商名称：</w:t>
      </w:r>
    </w:p>
    <w:p w14:paraId="792AB5E8">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（2）总部地址：</w:t>
      </w:r>
    </w:p>
    <w:p w14:paraId="29E313A4">
      <w:pPr>
        <w:spacing w:line="360" w:lineRule="auto"/>
        <w:rPr>
          <w:rFonts w:ascii="Cambria Math" w:hAnsi="Cambria Math" w:eastAsia="Cambria Math"/>
          <w:b w:val="0"/>
          <w:color w:val="auto"/>
          <w:sz w:val="22"/>
          <w:szCs w:val="22"/>
          <w:u w:val="single"/>
        </w:rPr>
      </w:pPr>
      <w:r>
        <w:rPr>
          <w:rFonts w:ascii="Cambria Math" w:hAnsi="Cambria Math" w:eastAsia="Cambria Math"/>
          <w:b w:val="0"/>
          <w:color w:val="auto"/>
          <w:sz w:val="22"/>
          <w:szCs w:val="22"/>
        </w:rPr>
        <w:t>传真/电话号码：</w:t>
      </w:r>
    </w:p>
    <w:p w14:paraId="68ADC4A5">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（3）成立或注册日期：</w:t>
      </w:r>
    </w:p>
    <w:p w14:paraId="16B536A2">
      <w:pPr>
        <w:spacing w:line="360" w:lineRule="auto"/>
        <w:rPr>
          <w:rFonts w:ascii="Cambria Math" w:hAnsi="Cambria Math" w:eastAsia="Cambria Math"/>
          <w:b w:val="0"/>
          <w:color w:val="auto"/>
          <w:sz w:val="22"/>
          <w:szCs w:val="22"/>
          <w:u w:val="single"/>
        </w:rPr>
      </w:pPr>
      <w:r>
        <w:rPr>
          <w:rFonts w:ascii="Cambria Math" w:hAnsi="Cambria Math" w:eastAsia="Cambria Math"/>
          <w:b w:val="0"/>
          <w:color w:val="auto"/>
          <w:sz w:val="22"/>
          <w:szCs w:val="22"/>
        </w:rPr>
        <w:t>（4）实收资本：</w:t>
      </w:r>
    </w:p>
    <w:p w14:paraId="3C84546E">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（5）近期资产负债表（</w:t>
      </w:r>
      <w:r>
        <w:rPr>
          <w:rFonts w:ascii="Cambria Math" w:hAnsi="Cambria Math" w:eastAsia="Cambria Math"/>
          <w:b w:val="0"/>
          <w:color w:val="auto"/>
          <w:sz w:val="22"/>
          <w:szCs w:val="22"/>
          <w:u w:val="single"/>
        </w:rPr>
        <w:t>到        年    月    日止</w:t>
      </w:r>
      <w:r>
        <w:rPr>
          <w:rFonts w:ascii="Cambria Math" w:hAnsi="Cambria Math" w:eastAsia="Cambria Math"/>
          <w:b w:val="0"/>
          <w:color w:val="auto"/>
          <w:sz w:val="22"/>
          <w:szCs w:val="22"/>
        </w:rPr>
        <w:t>）</w:t>
      </w:r>
    </w:p>
    <w:p w14:paraId="77737472">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1）固定资产：</w:t>
      </w:r>
    </w:p>
    <w:p w14:paraId="20F9156C">
      <w:pPr>
        <w:spacing w:line="360" w:lineRule="auto"/>
        <w:rPr>
          <w:rFonts w:ascii="Cambria Math" w:hAnsi="Cambria Math" w:eastAsia="Cambria Math"/>
          <w:b w:val="0"/>
          <w:color w:val="auto"/>
          <w:sz w:val="22"/>
          <w:szCs w:val="22"/>
          <w:u w:val="single"/>
        </w:rPr>
      </w:pPr>
      <w:r>
        <w:rPr>
          <w:rFonts w:ascii="Cambria Math" w:hAnsi="Cambria Math" w:eastAsia="Cambria Math"/>
          <w:b w:val="0"/>
          <w:color w:val="auto"/>
          <w:sz w:val="22"/>
          <w:szCs w:val="22"/>
        </w:rPr>
        <w:t>2）流动资产：</w:t>
      </w:r>
    </w:p>
    <w:p w14:paraId="12D1F56F">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3）长期负债：</w:t>
      </w:r>
    </w:p>
    <w:p w14:paraId="24767432">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4）流动负债：</w:t>
      </w:r>
    </w:p>
    <w:p w14:paraId="7BCB3B55">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5）净值：</w:t>
      </w:r>
    </w:p>
    <w:p w14:paraId="43E66298">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6）主要负责人姓名：</w:t>
      </w:r>
    </w:p>
    <w:p w14:paraId="1083821B">
      <w:pPr>
        <w:spacing w:line="360" w:lineRule="auto"/>
        <w:rPr>
          <w:rFonts w:ascii="Cambria Math" w:hAnsi="Cambria Math" w:eastAsia="Cambria Math"/>
          <w:b w:val="0"/>
          <w:color w:val="auto"/>
          <w:sz w:val="22"/>
          <w:szCs w:val="22"/>
          <w:u w:val="single"/>
        </w:rPr>
      </w:pPr>
      <w:r>
        <w:rPr>
          <w:rFonts w:ascii="Cambria Math" w:hAnsi="Cambria Math" w:eastAsia="Cambria Math"/>
          <w:b w:val="0"/>
          <w:color w:val="auto"/>
          <w:sz w:val="22"/>
          <w:szCs w:val="22"/>
        </w:rPr>
        <w:t>2、企业生产设备及规模：</w:t>
      </w:r>
    </w:p>
    <w:p w14:paraId="1CBD3079">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3、企业人员情况：职工（在职）人数人</w:t>
      </w:r>
    </w:p>
    <w:p w14:paraId="789E4F79">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 xml:space="preserve">4、近三年的年营业总额                       </w:t>
      </w:r>
    </w:p>
    <w:p w14:paraId="28AC8D26">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兹证明上述声明是真实、正确的、并提供了全部能提供的资料和数据，我们同意遵照贵方要求出示有关证明文件。</w:t>
      </w:r>
    </w:p>
    <w:p w14:paraId="5F8A9439">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投标人名称</w:t>
      </w:r>
      <w:r>
        <w:rPr>
          <w:rFonts w:ascii="Cambria Math" w:hAnsi="Cambria Math" w:eastAsia="Cambria Math"/>
          <w:b w:val="0"/>
          <w:color w:val="auto"/>
          <w:sz w:val="22"/>
          <w:szCs w:val="22"/>
          <w:u w:val="single"/>
        </w:rPr>
        <w:t xml:space="preserve">                （盖章）</w:t>
      </w:r>
    </w:p>
    <w:p w14:paraId="043F15F2">
      <w:pPr>
        <w:spacing w:line="360" w:lineRule="auto"/>
        <w:rPr>
          <w:rFonts w:ascii="Cambria Math" w:hAnsi="Cambria Math" w:eastAsia="Cambria Math"/>
          <w:b w:val="0"/>
          <w:color w:val="auto"/>
          <w:sz w:val="22"/>
          <w:szCs w:val="22"/>
          <w:u w:val="single"/>
        </w:rPr>
      </w:pPr>
      <w:r>
        <w:rPr>
          <w:rFonts w:ascii="Cambria Math" w:hAnsi="Cambria Math" w:eastAsia="Cambria Math"/>
          <w:b w:val="0"/>
          <w:color w:val="auto"/>
          <w:sz w:val="22"/>
          <w:szCs w:val="22"/>
        </w:rPr>
        <w:t>法定代表人姓名和职务</w:t>
      </w:r>
    </w:p>
    <w:p w14:paraId="0C566016">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授权代表人签字</w:t>
      </w:r>
    </w:p>
    <w:p w14:paraId="49BB16FA">
      <w:pPr>
        <w:spacing w:line="360" w:lineRule="auto"/>
        <w:rPr>
          <w:rFonts w:ascii="Cambria Math" w:hAnsi="Cambria Math" w:eastAsia="Cambria Math"/>
          <w:b w:val="0"/>
          <w:color w:val="auto"/>
          <w:sz w:val="22"/>
          <w:szCs w:val="22"/>
        </w:rPr>
      </w:pPr>
      <w:r>
        <w:rPr>
          <w:rFonts w:ascii="Cambria Math" w:hAnsi="Cambria Math" w:eastAsia="Cambria Math"/>
          <w:b w:val="0"/>
          <w:color w:val="auto"/>
          <w:sz w:val="22"/>
          <w:szCs w:val="22"/>
        </w:rPr>
        <w:t>签字日期</w:t>
      </w:r>
    </w:p>
    <w:p w14:paraId="721526F2">
      <w:pPr>
        <w:spacing w:line="360" w:lineRule="auto"/>
        <w:rPr>
          <w:rFonts w:ascii="Cambria Math" w:hAnsi="Cambria Math" w:eastAsia="Cambria Math"/>
          <w:color w:val="auto"/>
          <w:szCs w:val="22"/>
        </w:rPr>
      </w:pPr>
      <w:r>
        <w:rPr>
          <w:rFonts w:ascii="Cambria Math" w:hAnsi="Cambria Math" w:eastAsia="Cambria Math"/>
          <w:b w:val="0"/>
          <w:color w:val="auto"/>
          <w:sz w:val="22"/>
          <w:szCs w:val="22"/>
        </w:rPr>
        <w:t>电子邮件</w:t>
      </w:r>
    </w:p>
    <w:p w14:paraId="588135BC">
      <w:pPr>
        <w:spacing w:line="400" w:lineRule="exact"/>
        <w:rPr>
          <w:rFonts w:ascii="Cambria Math" w:hAnsi="Cambria Math" w:eastAsia="Cambria Math"/>
          <w:b w:val="0"/>
          <w:color w:val="auto"/>
          <w:sz w:val="22"/>
          <w:szCs w:val="22"/>
        </w:rPr>
      </w:pPr>
      <w:r>
        <w:rPr>
          <w:rFonts w:hint="eastAsia" w:ascii="Cambria Math" w:hAnsi="Cambria Math" w:eastAsia="Cambria Math"/>
          <w:b w:val="0"/>
          <w:color w:val="auto"/>
          <w:sz w:val="22"/>
          <w:szCs w:val="22"/>
        </w:rPr>
        <w:t xml:space="preserve">5.投标单位有效营业执照（或事业单位法人证书）副本和税务登记证或三（五）证合一证照（复印件，加盖单位公章） </w:t>
      </w:r>
    </w:p>
    <w:p w14:paraId="0525B5F2">
      <w:pPr>
        <w:snapToGrid w:val="0"/>
        <w:spacing w:line="360" w:lineRule="atLeast"/>
        <w:outlineLvl w:val="0"/>
        <w:rPr>
          <w:rFonts w:ascii="Cambria Math" w:hAnsi="Cambria Math" w:eastAsia="Cambria Math"/>
          <w:b w:val="0"/>
          <w:color w:val="auto"/>
          <w:sz w:val="22"/>
          <w:szCs w:val="22"/>
        </w:rPr>
      </w:pPr>
      <w:r>
        <w:rPr>
          <w:rFonts w:hint="eastAsia" w:ascii="Cambria Math" w:hAnsi="Cambria Math" w:eastAsia="Cambria Math"/>
          <w:b w:val="0"/>
          <w:color w:val="auto"/>
          <w:sz w:val="22"/>
          <w:szCs w:val="22"/>
        </w:rPr>
        <w:t>7．投标单位资格资质证书及招标文件要求提供的资格证明、证书（复印件加盖单位公章）</w:t>
      </w:r>
    </w:p>
    <w:p w14:paraId="09104215">
      <w:pPr>
        <w:snapToGrid w:val="0"/>
        <w:spacing w:line="360" w:lineRule="atLeast"/>
        <w:outlineLvl w:val="0"/>
        <w:rPr>
          <w:rFonts w:ascii="Cambria Math" w:hAnsi="Cambria Math" w:eastAsia="Cambria Math"/>
          <w:b w:val="0"/>
          <w:color w:val="auto"/>
          <w:sz w:val="22"/>
          <w:szCs w:val="22"/>
        </w:rPr>
      </w:pPr>
    </w:p>
    <w:p w14:paraId="08FB7D0B">
      <w:pPr>
        <w:pStyle w:val="4"/>
        <w:spacing w:before="0" w:after="120" w:line="700" w:lineRule="exact"/>
        <w:ind w:left="0" w:firstLine="0"/>
        <w:rPr>
          <w:rFonts w:ascii="Cambria Math" w:hAnsi="Cambria Math" w:eastAsia="等线"/>
          <w:b/>
          <w:color w:val="auto"/>
          <w:sz w:val="32"/>
        </w:rPr>
      </w:pPr>
      <w:r>
        <w:rPr>
          <w:rFonts w:hint="eastAsia" w:ascii="Cambria Math" w:hAnsi="Cambria Math" w:eastAsia="Cambria Math"/>
          <w:b/>
          <w:color w:val="auto"/>
          <w:sz w:val="32"/>
        </w:rPr>
        <w:t>附件</w:t>
      </w:r>
      <w:r>
        <w:rPr>
          <w:rFonts w:hint="eastAsia" w:ascii="Cambria Math" w:hAnsi="Cambria Math" w:eastAsia="等线"/>
          <w:b/>
          <w:color w:val="auto"/>
          <w:sz w:val="32"/>
        </w:rPr>
        <w:t>2-</w:t>
      </w:r>
      <w:r>
        <w:rPr>
          <w:rFonts w:ascii="Cambria Math" w:hAnsi="Cambria Math" w:eastAsia="等线"/>
          <w:b/>
          <w:color w:val="auto"/>
          <w:sz w:val="32"/>
        </w:rPr>
        <w:t>4</w:t>
      </w:r>
    </w:p>
    <w:p w14:paraId="129E77D6">
      <w:pPr>
        <w:spacing w:line="360" w:lineRule="auto"/>
        <w:rPr>
          <w:rFonts w:ascii="Cambria Math" w:hAnsi="Cambria Math" w:eastAsiaTheme="minorEastAsia"/>
          <w:b w:val="0"/>
          <w:color w:val="auto"/>
          <w:sz w:val="44"/>
          <w:szCs w:val="32"/>
        </w:rPr>
      </w:pPr>
    </w:p>
    <w:p w14:paraId="1AF85A46">
      <w:pPr>
        <w:pStyle w:val="23"/>
      </w:pPr>
    </w:p>
    <w:p w14:paraId="337765B9">
      <w:pPr>
        <w:spacing w:line="360" w:lineRule="auto"/>
        <w:jc w:val="center"/>
        <w:rPr>
          <w:rFonts w:ascii="Cambria Math" w:hAnsi="Cambria Math" w:eastAsia="Cambria Math"/>
          <w:b w:val="0"/>
          <w:color w:val="auto"/>
          <w:sz w:val="44"/>
          <w:szCs w:val="32"/>
        </w:rPr>
      </w:pPr>
      <w:r>
        <w:rPr>
          <w:rFonts w:hint="eastAsia" w:ascii="Cambria Math" w:hAnsi="Cambria Math" w:eastAsia="Cambria Math"/>
          <w:b w:val="0"/>
          <w:color w:val="auto"/>
          <w:sz w:val="44"/>
          <w:szCs w:val="32"/>
        </w:rPr>
        <w:t>近三年内在经营活动中没有重大违法记录的书面声明</w:t>
      </w:r>
    </w:p>
    <w:p w14:paraId="355A35AB">
      <w:pPr>
        <w:spacing w:line="360" w:lineRule="auto"/>
        <w:rPr>
          <w:rFonts w:hint="eastAsia" w:ascii="宋体" w:hAnsi="宋体" w:cs="宋体"/>
          <w:b w:val="0"/>
          <w:color w:val="auto"/>
          <w:sz w:val="28"/>
          <w:szCs w:val="28"/>
          <w:u w:val="single"/>
        </w:rPr>
      </w:pPr>
    </w:p>
    <w:p w14:paraId="4150DEF0">
      <w:pPr>
        <w:spacing w:line="360" w:lineRule="auto"/>
        <w:rPr>
          <w:rFonts w:hint="eastAsia" w:ascii="宋体" w:hAnsi="宋体" w:cs="宋体"/>
          <w:b w:val="0"/>
          <w:color w:val="auto"/>
          <w:sz w:val="28"/>
          <w:szCs w:val="28"/>
          <w:u w:val="single"/>
        </w:rPr>
      </w:pPr>
    </w:p>
    <w:p w14:paraId="68F4F8CC">
      <w:pPr>
        <w:spacing w:line="360" w:lineRule="auto"/>
        <w:rPr>
          <w:rFonts w:ascii="Cambria Math" w:hAnsi="Cambria Math" w:eastAsia="Cambria Math"/>
          <w:b w:val="0"/>
          <w:color w:val="auto"/>
          <w:sz w:val="28"/>
          <w:szCs w:val="28"/>
          <w:u w:val="single"/>
        </w:rPr>
      </w:pPr>
      <w:r>
        <w:rPr>
          <w:rFonts w:hint="eastAsia" w:ascii="宋体" w:hAnsi="宋体" w:cs="宋体"/>
          <w:b w:val="0"/>
          <w:color w:val="auto"/>
          <w:sz w:val="28"/>
          <w:szCs w:val="28"/>
          <w:u w:val="single"/>
        </w:rPr>
        <w:t>温州公用事业发展集团龙港水务有限公司</w:t>
      </w:r>
      <w:r>
        <w:rPr>
          <w:rFonts w:ascii="Cambria Math" w:hAnsi="Cambria Math" w:eastAsia="Cambria Math"/>
          <w:b w:val="0"/>
          <w:color w:val="auto"/>
          <w:sz w:val="28"/>
          <w:szCs w:val="28"/>
        </w:rPr>
        <w:t>：</w:t>
      </w:r>
    </w:p>
    <w:p w14:paraId="19C4D50E">
      <w:pPr>
        <w:spacing w:line="360" w:lineRule="auto"/>
        <w:ind w:firstLine="560" w:firstLineChars="200"/>
        <w:rPr>
          <w:rFonts w:ascii="Cambria Math" w:hAnsi="Cambria Math" w:eastAsia="Cambria Math"/>
          <w:b w:val="0"/>
          <w:color w:val="auto"/>
          <w:sz w:val="28"/>
          <w:szCs w:val="28"/>
        </w:rPr>
      </w:pPr>
    </w:p>
    <w:p w14:paraId="22A8D9BA">
      <w:pPr>
        <w:spacing w:line="360" w:lineRule="auto"/>
        <w:ind w:firstLine="560" w:firstLineChars="200"/>
        <w:rPr>
          <w:rFonts w:ascii="Cambria Math" w:hAnsi="Cambria Math" w:eastAsia="Cambria Math"/>
          <w:b w:val="0"/>
          <w:color w:val="auto"/>
          <w:sz w:val="28"/>
          <w:szCs w:val="28"/>
        </w:rPr>
      </w:pPr>
      <w:r>
        <w:rPr>
          <w:rFonts w:hint="eastAsia" w:ascii="Cambria Math" w:hAnsi="Cambria Math" w:eastAsia="Cambria Math"/>
          <w:b w:val="0"/>
          <w:color w:val="auto"/>
          <w:sz w:val="28"/>
          <w:szCs w:val="28"/>
        </w:rPr>
        <w:t>我公司参加本次采购活动前三年内在经营活动中没有重大违法记录</w:t>
      </w:r>
      <w:r>
        <w:rPr>
          <w:rFonts w:ascii="Cambria Math" w:hAnsi="Cambria Math" w:eastAsia="Cambria Math"/>
          <w:b w:val="0"/>
          <w:color w:val="auto"/>
          <w:sz w:val="28"/>
          <w:szCs w:val="28"/>
        </w:rPr>
        <w:t>,</w:t>
      </w:r>
      <w:r>
        <w:rPr>
          <w:rFonts w:hint="eastAsia" w:ascii="Cambria Math" w:hAnsi="Cambria Math" w:eastAsia="Cambria Math"/>
          <w:b w:val="0"/>
          <w:color w:val="auto"/>
          <w:sz w:val="28"/>
          <w:szCs w:val="28"/>
        </w:rPr>
        <w:t>特此声明。若在本次采购活动过程中发现我公司近三年内在经营活动中有重大违法记录</w:t>
      </w:r>
      <w:r>
        <w:rPr>
          <w:rFonts w:ascii="Cambria Math" w:hAnsi="Cambria Math" w:eastAsia="Cambria Math"/>
          <w:b w:val="0"/>
          <w:color w:val="auto"/>
          <w:sz w:val="28"/>
          <w:szCs w:val="28"/>
        </w:rPr>
        <w:t>,</w:t>
      </w:r>
      <w:r>
        <w:rPr>
          <w:rFonts w:hint="eastAsia" w:ascii="Cambria Math" w:hAnsi="Cambria Math" w:eastAsia="Cambria Math"/>
          <w:b w:val="0"/>
          <w:color w:val="auto"/>
          <w:sz w:val="28"/>
          <w:szCs w:val="28"/>
        </w:rPr>
        <w:t>我公司将无条件退出本项目的投标</w:t>
      </w:r>
      <w:r>
        <w:rPr>
          <w:rFonts w:ascii="Cambria Math" w:hAnsi="Cambria Math" w:eastAsia="Cambria Math"/>
          <w:b w:val="0"/>
          <w:color w:val="auto"/>
          <w:sz w:val="28"/>
          <w:szCs w:val="28"/>
        </w:rPr>
        <w:t>,</w:t>
      </w:r>
      <w:r>
        <w:rPr>
          <w:rFonts w:hint="eastAsia" w:ascii="Cambria Math" w:hAnsi="Cambria Math" w:eastAsia="Cambria Math"/>
          <w:b w:val="0"/>
          <w:color w:val="auto"/>
          <w:sz w:val="28"/>
          <w:szCs w:val="28"/>
        </w:rPr>
        <w:t>并承担因此引起的一切后果。</w:t>
      </w:r>
    </w:p>
    <w:p w14:paraId="00BB20E6">
      <w:pPr>
        <w:spacing w:line="360" w:lineRule="auto"/>
        <w:ind w:firstLine="420" w:firstLineChars="200"/>
        <w:rPr>
          <w:rFonts w:ascii="Cambria Math" w:hAnsi="Cambria Math" w:eastAsia="Cambria Math"/>
          <w:b w:val="0"/>
          <w:color w:val="auto"/>
          <w:szCs w:val="22"/>
        </w:rPr>
      </w:pPr>
    </w:p>
    <w:p w14:paraId="14B68A84">
      <w:pPr>
        <w:pStyle w:val="42"/>
        <w:rPr>
          <w:rFonts w:ascii="Cambria Math" w:hAnsi="Cambria Math" w:eastAsia="Cambria Math"/>
          <w:szCs w:val="22"/>
        </w:rPr>
      </w:pPr>
    </w:p>
    <w:p w14:paraId="69A48963">
      <w:pPr>
        <w:pStyle w:val="17"/>
        <w:rPr>
          <w:rFonts w:hint="eastAsia"/>
        </w:rPr>
      </w:pPr>
    </w:p>
    <w:p w14:paraId="05D15180">
      <w:pPr>
        <w:tabs>
          <w:tab w:val="left" w:pos="1410"/>
        </w:tabs>
        <w:spacing w:line="360" w:lineRule="auto"/>
        <w:ind w:firstLine="560" w:firstLineChars="200"/>
        <w:rPr>
          <w:rFonts w:ascii="Cambria Math" w:hAnsi="Cambria Math" w:eastAsia="Cambria Math"/>
          <w:color w:val="auto"/>
          <w:sz w:val="28"/>
          <w:szCs w:val="28"/>
          <w:u w:val="single"/>
        </w:rPr>
      </w:pPr>
      <w:r>
        <w:rPr>
          <w:rFonts w:hint="eastAsia" w:ascii="Cambria Math" w:hAnsi="Cambria Math" w:eastAsia="Cambria Math"/>
          <w:color w:val="auto"/>
          <w:sz w:val="28"/>
          <w:szCs w:val="28"/>
        </w:rPr>
        <w:t>投标单位（盖章）：</w:t>
      </w:r>
    </w:p>
    <w:p w14:paraId="35AA26AA">
      <w:pPr>
        <w:spacing w:line="360" w:lineRule="auto"/>
        <w:ind w:firstLine="560" w:firstLineChars="200"/>
        <w:rPr>
          <w:rFonts w:ascii="Cambria Math" w:hAnsi="Cambria Math" w:eastAsia="Cambria Math"/>
          <w:color w:val="auto"/>
          <w:sz w:val="28"/>
          <w:szCs w:val="28"/>
        </w:rPr>
      </w:pPr>
      <w:r>
        <w:rPr>
          <w:rFonts w:hint="eastAsia" w:ascii="Cambria Math" w:hAnsi="Cambria Math" w:eastAsia="Cambria Math"/>
          <w:color w:val="auto"/>
          <w:sz w:val="28"/>
          <w:szCs w:val="28"/>
        </w:rPr>
        <w:t xml:space="preserve">日     期：  </w:t>
      </w:r>
    </w:p>
    <w:p w14:paraId="2F70EA69">
      <w:pPr>
        <w:pStyle w:val="42"/>
        <w:rPr>
          <w:rFonts w:ascii="Cambria Math" w:hAnsi="Cambria Math" w:eastAsia="Cambria Math"/>
          <w:szCs w:val="22"/>
        </w:rPr>
      </w:pPr>
    </w:p>
    <w:p w14:paraId="57FC07AC">
      <w:pPr>
        <w:pStyle w:val="42"/>
        <w:rPr>
          <w:rFonts w:ascii="Cambria Math" w:hAnsi="Cambria Math" w:eastAsia="Cambria Math"/>
          <w:szCs w:val="22"/>
        </w:rPr>
      </w:pPr>
    </w:p>
    <w:p w14:paraId="05319BF8">
      <w:pPr>
        <w:pStyle w:val="42"/>
        <w:rPr>
          <w:rFonts w:ascii="Cambria Math" w:hAnsi="Cambria Math" w:eastAsia="Cambria Math"/>
          <w:szCs w:val="22"/>
        </w:rPr>
      </w:pPr>
    </w:p>
    <w:p w14:paraId="3B6140EC">
      <w:pPr>
        <w:pStyle w:val="42"/>
        <w:rPr>
          <w:rFonts w:ascii="Cambria Math" w:hAnsi="Cambria Math" w:eastAsia="Cambria Math"/>
          <w:szCs w:val="22"/>
        </w:rPr>
      </w:pPr>
    </w:p>
    <w:p w14:paraId="5CF551FC">
      <w:pPr>
        <w:pStyle w:val="42"/>
        <w:rPr>
          <w:rFonts w:ascii="Cambria Math" w:hAnsi="Cambria Math" w:eastAsiaTheme="minorEastAsia"/>
          <w:szCs w:val="22"/>
        </w:rPr>
      </w:pPr>
    </w:p>
    <w:p w14:paraId="29189E6E">
      <w:pPr>
        <w:pStyle w:val="17"/>
        <w:rPr>
          <w:rFonts w:hint="eastAsia" w:eastAsiaTheme="minorEastAsia"/>
        </w:rPr>
      </w:pPr>
    </w:p>
    <w:p w14:paraId="0FFF7FA6">
      <w:pPr>
        <w:pStyle w:val="34"/>
        <w:ind w:firstLine="211"/>
        <w:rPr>
          <w:rFonts w:hint="eastAsia"/>
        </w:rPr>
      </w:pPr>
    </w:p>
    <w:p w14:paraId="142A3E27">
      <w:pPr>
        <w:pStyle w:val="28"/>
      </w:pPr>
    </w:p>
    <w:p w14:paraId="4CE126B7"/>
    <w:p w14:paraId="11076080">
      <w:pPr>
        <w:pStyle w:val="42"/>
        <w:rPr>
          <w:rFonts w:ascii="Cambria Math" w:hAnsi="Cambria Math" w:eastAsia="Cambria Math"/>
          <w:szCs w:val="22"/>
        </w:rPr>
      </w:pPr>
    </w:p>
    <w:p w14:paraId="5235DE3E">
      <w:pPr>
        <w:pStyle w:val="4"/>
        <w:spacing w:before="0" w:after="120" w:line="700" w:lineRule="exact"/>
        <w:ind w:left="0" w:firstLine="0"/>
        <w:rPr>
          <w:rFonts w:ascii="Cambria Math" w:hAnsi="Cambria Math" w:eastAsia="等线"/>
          <w:b/>
          <w:color w:val="auto"/>
          <w:sz w:val="32"/>
        </w:rPr>
      </w:pPr>
      <w:r>
        <w:rPr>
          <w:rFonts w:hint="eastAsia" w:ascii="Cambria Math" w:hAnsi="Cambria Math" w:eastAsia="Cambria Math"/>
          <w:b/>
          <w:color w:val="auto"/>
          <w:sz w:val="32"/>
        </w:rPr>
        <w:t>附件</w:t>
      </w:r>
      <w:r>
        <w:rPr>
          <w:rFonts w:hint="eastAsia" w:ascii="Cambria Math" w:hAnsi="Cambria Math" w:eastAsia="等线"/>
          <w:b/>
          <w:color w:val="auto"/>
          <w:sz w:val="32"/>
        </w:rPr>
        <w:t>2-</w:t>
      </w:r>
      <w:r>
        <w:rPr>
          <w:rFonts w:ascii="Cambria Math" w:hAnsi="Cambria Math" w:eastAsia="等线"/>
          <w:b/>
          <w:color w:val="auto"/>
          <w:sz w:val="32"/>
        </w:rPr>
        <w:t>5</w:t>
      </w:r>
    </w:p>
    <w:p w14:paraId="50906F81">
      <w:pPr>
        <w:snapToGrid w:val="0"/>
        <w:spacing w:line="360" w:lineRule="atLeast"/>
        <w:outlineLvl w:val="0"/>
        <w:rPr>
          <w:rFonts w:ascii="Cambria Math" w:hAnsi="Cambria Math" w:eastAsia="Cambria Math"/>
          <w:b w:val="0"/>
          <w:color w:val="auto"/>
          <w:sz w:val="36"/>
          <w:szCs w:val="36"/>
          <w:lang w:val="zh-CN"/>
        </w:rPr>
      </w:pPr>
    </w:p>
    <w:p w14:paraId="2BCE8C0F">
      <w:pPr>
        <w:jc w:val="center"/>
        <w:rPr>
          <w:rFonts w:ascii="Cambria Math" w:hAnsi="Cambria Math" w:eastAsia="Cambria Math"/>
          <w:color w:val="auto"/>
          <w:sz w:val="44"/>
          <w:szCs w:val="44"/>
        </w:rPr>
      </w:pPr>
      <w:r>
        <w:rPr>
          <w:rFonts w:hint="eastAsia" w:ascii="Cambria Math" w:hAnsi="Cambria Math" w:eastAsia="Cambria Math"/>
          <w:b w:val="0"/>
          <w:bCs w:val="0"/>
          <w:color w:val="auto"/>
          <w:spacing w:val="5"/>
          <w:w w:val="85"/>
          <w:sz w:val="44"/>
          <w:szCs w:val="44"/>
        </w:rPr>
        <w:t>供应商依法缴纳税收和社会保障金的书面声明</w:t>
      </w:r>
    </w:p>
    <w:p w14:paraId="020C987D">
      <w:pPr>
        <w:spacing w:before="9" w:line="430" w:lineRule="atLeast"/>
        <w:rPr>
          <w:rFonts w:ascii="Cambria Math" w:hAnsi="Cambria Math" w:eastAsia="Cambria Math"/>
          <w:color w:val="auto"/>
          <w:sz w:val="24"/>
          <w:szCs w:val="24"/>
        </w:rPr>
      </w:pPr>
    </w:p>
    <w:p w14:paraId="5A616EBB">
      <w:pPr>
        <w:spacing w:line="440" w:lineRule="atLeast"/>
        <w:rPr>
          <w:rFonts w:ascii="Cambria Math" w:hAnsi="Cambria Math" w:eastAsia="Cambria Math"/>
          <w:color w:val="auto"/>
          <w:sz w:val="25"/>
          <w:szCs w:val="25"/>
        </w:rPr>
      </w:pPr>
    </w:p>
    <w:p w14:paraId="1F47CAE6">
      <w:pPr>
        <w:ind w:left="140"/>
        <w:rPr>
          <w:rFonts w:ascii="Cambria Math" w:hAnsi="Cambria Math" w:eastAsia="Cambria Math"/>
          <w:color w:val="auto"/>
          <w:sz w:val="28"/>
          <w:szCs w:val="28"/>
        </w:rPr>
      </w:pPr>
      <w:r>
        <w:rPr>
          <w:rFonts w:hint="eastAsia" w:ascii="宋体" w:hAnsi="宋体" w:cs="宋体"/>
          <w:b w:val="0"/>
          <w:color w:val="auto"/>
          <w:sz w:val="28"/>
          <w:szCs w:val="28"/>
          <w:u w:val="single"/>
        </w:rPr>
        <w:t>温州公用事业发展集团龙港水务有限公司</w:t>
      </w:r>
      <w:r>
        <w:rPr>
          <w:rFonts w:hint="eastAsia" w:ascii="Cambria Math" w:hAnsi="Cambria Math" w:eastAsia="Cambria Math"/>
          <w:b w:val="0"/>
          <w:bCs w:val="0"/>
          <w:color w:val="auto"/>
          <w:sz w:val="28"/>
          <w:szCs w:val="28"/>
        </w:rPr>
        <w:t>：</w:t>
      </w:r>
    </w:p>
    <w:p w14:paraId="69265520">
      <w:pPr>
        <w:spacing w:before="4" w:line="190" w:lineRule="atLeast"/>
        <w:rPr>
          <w:rFonts w:ascii="Cambria Math" w:hAnsi="Cambria Math" w:eastAsia="Cambria Math"/>
          <w:color w:val="auto"/>
          <w:sz w:val="28"/>
          <w:szCs w:val="28"/>
        </w:rPr>
      </w:pPr>
    </w:p>
    <w:p w14:paraId="71A258D2">
      <w:pPr>
        <w:spacing w:line="200" w:lineRule="atLeast"/>
        <w:rPr>
          <w:rFonts w:ascii="Cambria Math" w:hAnsi="Cambria Math" w:eastAsia="Cambria Math"/>
          <w:color w:val="auto"/>
          <w:sz w:val="28"/>
          <w:szCs w:val="28"/>
        </w:rPr>
      </w:pPr>
    </w:p>
    <w:p w14:paraId="04B9A2E6">
      <w:pPr>
        <w:spacing w:before="26" w:line="357" w:lineRule="auto"/>
        <w:ind w:left="140" w:right="106" w:firstLine="479"/>
        <w:rPr>
          <w:rFonts w:ascii="Cambria Math" w:hAnsi="Cambria Math" w:eastAsia="Cambria Math"/>
          <w:color w:val="auto"/>
          <w:sz w:val="28"/>
          <w:szCs w:val="28"/>
        </w:rPr>
      </w:pPr>
      <w:r>
        <w:rPr>
          <w:rFonts w:hint="eastAsia" w:ascii="Cambria Math" w:hAnsi="Cambria Math" w:eastAsia="Cambria Math"/>
          <w:color w:val="auto"/>
          <w:spacing w:val="1"/>
          <w:sz w:val="28"/>
          <w:szCs w:val="28"/>
        </w:rPr>
        <w:t>我公司郑重声明，我公司严格依法缴纳税收和社会保障金，本文件中所提供的相</w:t>
      </w:r>
      <w:r>
        <w:rPr>
          <w:rFonts w:hint="eastAsia" w:ascii="Cambria Math" w:hAnsi="Cambria Math" w:eastAsia="Cambria Math"/>
          <w:color w:val="auto"/>
          <w:sz w:val="28"/>
          <w:szCs w:val="28"/>
        </w:rPr>
        <w:t>关材料均真实有效，不存在虚假、造假行为。如有违反，愿承担一切责任。</w:t>
      </w:r>
    </w:p>
    <w:p w14:paraId="2DC295BD">
      <w:pPr>
        <w:pStyle w:val="21"/>
        <w:spacing w:line="440" w:lineRule="atLeast"/>
        <w:rPr>
          <w:rFonts w:ascii="Cambria Math" w:hAnsi="Cambria Math" w:eastAsia="Cambria Math"/>
          <w:b w:val="0"/>
          <w:color w:val="auto"/>
          <w:sz w:val="22"/>
          <w:szCs w:val="22"/>
        </w:rPr>
      </w:pPr>
    </w:p>
    <w:p w14:paraId="34812D22">
      <w:pPr>
        <w:pStyle w:val="21"/>
        <w:spacing w:line="440" w:lineRule="atLeast"/>
        <w:rPr>
          <w:rFonts w:ascii="Cambria Math" w:hAnsi="Cambria Math" w:eastAsia="Cambria Math"/>
          <w:b w:val="0"/>
          <w:color w:val="auto"/>
          <w:sz w:val="22"/>
          <w:szCs w:val="22"/>
        </w:rPr>
      </w:pPr>
    </w:p>
    <w:p w14:paraId="1BBEF47F">
      <w:pPr>
        <w:pStyle w:val="21"/>
        <w:spacing w:line="440" w:lineRule="atLeast"/>
        <w:rPr>
          <w:rFonts w:ascii="Cambria Math" w:hAnsi="Cambria Math" w:eastAsia="Cambria Math"/>
          <w:b w:val="0"/>
          <w:color w:val="auto"/>
          <w:sz w:val="22"/>
          <w:szCs w:val="22"/>
        </w:rPr>
      </w:pPr>
    </w:p>
    <w:p w14:paraId="2F34194B">
      <w:pPr>
        <w:pStyle w:val="21"/>
        <w:spacing w:line="440" w:lineRule="atLeast"/>
        <w:rPr>
          <w:rFonts w:ascii="Cambria Math" w:hAnsi="Cambria Math" w:eastAsia="Cambria Math"/>
          <w:b w:val="0"/>
          <w:color w:val="auto"/>
          <w:sz w:val="22"/>
          <w:szCs w:val="22"/>
        </w:rPr>
      </w:pPr>
    </w:p>
    <w:p w14:paraId="1645BD56">
      <w:pPr>
        <w:spacing w:line="360" w:lineRule="auto"/>
        <w:rPr>
          <w:rFonts w:ascii="Cambria Math" w:hAnsi="Cambria Math" w:eastAsia="Cambria Math"/>
          <w:color w:val="auto"/>
          <w:sz w:val="28"/>
          <w:szCs w:val="28"/>
          <w:u w:val="single"/>
        </w:rPr>
      </w:pPr>
      <w:r>
        <w:rPr>
          <w:rFonts w:hint="eastAsia" w:ascii="Cambria Math" w:hAnsi="Cambria Math" w:eastAsia="Cambria Math"/>
          <w:color w:val="auto"/>
          <w:sz w:val="28"/>
          <w:szCs w:val="28"/>
        </w:rPr>
        <w:t>投标单位（盖章）：</w:t>
      </w:r>
    </w:p>
    <w:p w14:paraId="00720166">
      <w:pPr>
        <w:spacing w:line="360" w:lineRule="auto"/>
        <w:ind w:firstLine="560" w:firstLineChars="200"/>
        <w:rPr>
          <w:rFonts w:ascii="Cambria Math" w:hAnsi="Cambria Math" w:eastAsia="Cambria Math"/>
          <w:color w:val="auto"/>
          <w:sz w:val="28"/>
          <w:szCs w:val="28"/>
        </w:rPr>
      </w:pPr>
    </w:p>
    <w:p w14:paraId="765D79B8">
      <w:pPr>
        <w:spacing w:line="360" w:lineRule="auto"/>
        <w:rPr>
          <w:rFonts w:ascii="Cambria Math" w:hAnsi="Cambria Math" w:eastAsia="Cambria Math"/>
          <w:color w:val="auto"/>
          <w:sz w:val="28"/>
          <w:szCs w:val="28"/>
        </w:rPr>
      </w:pPr>
      <w:r>
        <w:rPr>
          <w:rFonts w:hint="eastAsia" w:ascii="Cambria Math" w:hAnsi="Cambria Math" w:eastAsia="Cambria Math"/>
          <w:color w:val="auto"/>
          <w:sz w:val="28"/>
          <w:szCs w:val="28"/>
        </w:rPr>
        <w:t>日   期： </w:t>
      </w:r>
    </w:p>
    <w:p w14:paraId="3E3B5D34">
      <w:pPr>
        <w:pStyle w:val="21"/>
        <w:spacing w:line="440" w:lineRule="atLeast"/>
        <w:rPr>
          <w:rFonts w:ascii="Cambria Math" w:hAnsi="Cambria Math" w:eastAsia="Cambria Math"/>
          <w:b w:val="0"/>
          <w:color w:val="auto"/>
          <w:sz w:val="22"/>
          <w:szCs w:val="22"/>
        </w:rPr>
      </w:pPr>
    </w:p>
    <w:p w14:paraId="560BEFB1">
      <w:pPr>
        <w:pStyle w:val="21"/>
        <w:spacing w:line="440" w:lineRule="atLeast"/>
        <w:rPr>
          <w:rFonts w:ascii="Cambria Math" w:hAnsi="Cambria Math" w:eastAsia="Cambria Math"/>
          <w:b w:val="0"/>
          <w:color w:val="auto"/>
          <w:sz w:val="22"/>
          <w:szCs w:val="22"/>
        </w:rPr>
      </w:pPr>
    </w:p>
    <w:p w14:paraId="599BCF07">
      <w:pPr>
        <w:snapToGrid w:val="0"/>
        <w:spacing w:line="360" w:lineRule="atLeast"/>
        <w:outlineLvl w:val="0"/>
        <w:rPr>
          <w:rFonts w:ascii="Cambria Math" w:hAnsi="Cambria Math" w:eastAsia="Cambria Math"/>
          <w:b w:val="0"/>
          <w:color w:val="auto"/>
          <w:sz w:val="28"/>
          <w:szCs w:val="28"/>
        </w:rPr>
      </w:pPr>
      <w:r>
        <w:rPr>
          <w:rFonts w:ascii="Cambria Math" w:hAnsi="Cambria Math" w:eastAsia="Cambria Math"/>
          <w:b w:val="0"/>
          <w:color w:val="auto"/>
          <w:sz w:val="28"/>
          <w:szCs w:val="28"/>
        </w:rPr>
        <w:t>附：依法缴纳税收（如依法免税的需提供依法免税证明）和社会保障金的证明材料（复印件加盖供应商公章）</w:t>
      </w:r>
    </w:p>
    <w:p w14:paraId="4F2E26D7">
      <w:pPr>
        <w:snapToGrid w:val="0"/>
        <w:spacing w:line="360" w:lineRule="atLeast"/>
        <w:outlineLvl w:val="0"/>
        <w:rPr>
          <w:rFonts w:ascii="Cambria Math" w:hAnsi="Cambria Math" w:eastAsia="Cambria Math"/>
          <w:b w:val="0"/>
          <w:color w:val="auto"/>
          <w:sz w:val="28"/>
          <w:szCs w:val="28"/>
        </w:rPr>
      </w:pPr>
    </w:p>
    <w:p w14:paraId="1A73F96D">
      <w:pPr>
        <w:snapToGrid w:val="0"/>
        <w:spacing w:line="360" w:lineRule="atLeast"/>
        <w:outlineLvl w:val="0"/>
        <w:rPr>
          <w:rFonts w:ascii="Cambria Math" w:hAnsi="Cambria Math" w:eastAsia="Cambria Math"/>
          <w:b w:val="0"/>
          <w:color w:val="auto"/>
          <w:sz w:val="28"/>
          <w:szCs w:val="28"/>
        </w:rPr>
      </w:pPr>
    </w:p>
    <w:p w14:paraId="10C9EB2B">
      <w:pPr>
        <w:snapToGrid w:val="0"/>
        <w:spacing w:line="360" w:lineRule="atLeast"/>
        <w:outlineLvl w:val="0"/>
        <w:rPr>
          <w:rFonts w:ascii="Cambria Math" w:hAnsi="Cambria Math" w:eastAsia="Cambria Math"/>
          <w:b w:val="0"/>
          <w:color w:val="auto"/>
          <w:sz w:val="28"/>
          <w:szCs w:val="28"/>
        </w:rPr>
      </w:pPr>
    </w:p>
    <w:p w14:paraId="44B9446A">
      <w:pPr>
        <w:snapToGrid w:val="0"/>
        <w:spacing w:line="360" w:lineRule="atLeast"/>
        <w:outlineLvl w:val="0"/>
        <w:rPr>
          <w:rFonts w:ascii="Cambria Math" w:hAnsi="Cambria Math" w:eastAsia="Cambria Math"/>
          <w:b w:val="0"/>
          <w:color w:val="auto"/>
          <w:sz w:val="28"/>
          <w:szCs w:val="28"/>
        </w:rPr>
      </w:pPr>
    </w:p>
    <w:p w14:paraId="32922403">
      <w:pPr>
        <w:pStyle w:val="42"/>
        <w:rPr>
          <w:rFonts w:ascii="Cambria Math" w:hAnsi="Cambria Math" w:eastAsia="Cambria Math"/>
          <w:sz w:val="28"/>
          <w:szCs w:val="28"/>
        </w:rPr>
      </w:pPr>
    </w:p>
    <w:p w14:paraId="0719193D">
      <w:pPr>
        <w:pStyle w:val="17"/>
        <w:rPr>
          <w:rFonts w:hint="eastAsia"/>
        </w:rPr>
      </w:pPr>
    </w:p>
    <w:p w14:paraId="2EA32EA6">
      <w:pPr>
        <w:snapToGrid w:val="0"/>
        <w:spacing w:line="360" w:lineRule="atLeast"/>
        <w:outlineLvl w:val="0"/>
        <w:rPr>
          <w:rFonts w:ascii="Cambria Math" w:hAnsi="Cambria Math" w:eastAsia="等线"/>
          <w:b w:val="0"/>
          <w:color w:val="auto"/>
          <w:sz w:val="28"/>
          <w:szCs w:val="28"/>
        </w:rPr>
      </w:pPr>
    </w:p>
    <w:p w14:paraId="1A79DAE9">
      <w:pPr>
        <w:snapToGrid w:val="0"/>
        <w:spacing w:line="360" w:lineRule="atLeast"/>
        <w:outlineLvl w:val="0"/>
        <w:rPr>
          <w:rFonts w:ascii="Cambria Math" w:hAnsi="Cambria Math" w:eastAsia="等线"/>
          <w:b w:val="0"/>
          <w:color w:val="auto"/>
          <w:sz w:val="28"/>
          <w:szCs w:val="28"/>
        </w:rPr>
      </w:pPr>
    </w:p>
    <w:p w14:paraId="6C80A07A">
      <w:pPr>
        <w:pStyle w:val="4"/>
        <w:spacing w:before="0" w:after="120" w:line="700" w:lineRule="exact"/>
        <w:ind w:left="0" w:firstLine="0"/>
        <w:rPr>
          <w:rFonts w:ascii="Cambria Math" w:hAnsi="Cambria Math" w:eastAsia="等线"/>
          <w:b/>
          <w:color w:val="auto"/>
          <w:sz w:val="32"/>
        </w:rPr>
      </w:pPr>
      <w:r>
        <w:rPr>
          <w:rFonts w:hint="eastAsia" w:ascii="Cambria Math" w:hAnsi="Cambria Math" w:eastAsia="Cambria Math"/>
          <w:b/>
          <w:color w:val="auto"/>
          <w:sz w:val="32"/>
        </w:rPr>
        <w:t>附件</w:t>
      </w:r>
      <w:r>
        <w:rPr>
          <w:rFonts w:hint="eastAsia" w:ascii="Cambria Math" w:hAnsi="Cambria Math" w:eastAsia="等线"/>
          <w:b/>
          <w:color w:val="auto"/>
          <w:sz w:val="32"/>
        </w:rPr>
        <w:t>2-</w:t>
      </w:r>
      <w:r>
        <w:rPr>
          <w:rFonts w:ascii="Cambria Math" w:hAnsi="Cambria Math" w:eastAsia="等线"/>
          <w:b/>
          <w:color w:val="auto"/>
          <w:sz w:val="32"/>
        </w:rPr>
        <w:t>6</w:t>
      </w:r>
    </w:p>
    <w:p w14:paraId="71D6AFDE">
      <w:pPr>
        <w:autoSpaceDE w:val="0"/>
        <w:autoSpaceDN w:val="0"/>
        <w:adjustRightInd w:val="0"/>
        <w:spacing w:line="440" w:lineRule="atLeast"/>
        <w:ind w:firstLine="3413"/>
        <w:rPr>
          <w:rFonts w:ascii="Cambria Math" w:hAnsi="Cambria Math" w:eastAsia="Cambria Math"/>
          <w:b w:val="0"/>
          <w:color w:val="auto"/>
          <w:sz w:val="36"/>
          <w:szCs w:val="36"/>
          <w:lang w:val="zh-CN"/>
        </w:rPr>
      </w:pPr>
      <w:r>
        <w:rPr>
          <w:rFonts w:hint="eastAsia" w:ascii="Cambria Math" w:hAnsi="Cambria Math" w:eastAsia="Cambria Math"/>
          <w:b w:val="0"/>
          <w:color w:val="auto"/>
          <w:sz w:val="36"/>
          <w:szCs w:val="36"/>
          <w:lang w:val="zh-CN"/>
        </w:rPr>
        <w:t>商务偏离表</w:t>
      </w:r>
    </w:p>
    <w:tbl>
      <w:tblPr>
        <w:tblStyle w:val="35"/>
        <w:tblW w:w="9039" w:type="dxa"/>
        <w:tblInd w:w="0" w:type="dxa"/>
        <w:tblLayout w:type="fixed"/>
        <w:tblCellMar>
          <w:top w:w="0" w:type="dxa"/>
          <w:left w:w="108" w:type="dxa"/>
          <w:bottom w:w="0" w:type="dxa"/>
          <w:right w:w="108" w:type="dxa"/>
        </w:tblCellMar>
      </w:tblPr>
      <w:tblGrid>
        <w:gridCol w:w="900"/>
        <w:gridCol w:w="1800"/>
        <w:gridCol w:w="2664"/>
        <w:gridCol w:w="2110"/>
        <w:gridCol w:w="1565"/>
      </w:tblGrid>
      <w:tr w14:paraId="4C580A83">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14:paraId="3760A140">
            <w:pPr>
              <w:autoSpaceDE w:val="0"/>
              <w:autoSpaceDN w:val="0"/>
              <w:adjustRightInd w:val="0"/>
              <w:spacing w:line="440" w:lineRule="atLeast"/>
              <w:jc w:val="center"/>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序号</w:t>
            </w:r>
          </w:p>
        </w:tc>
        <w:tc>
          <w:tcPr>
            <w:tcW w:w="1800" w:type="dxa"/>
            <w:tcBorders>
              <w:top w:val="single" w:color="auto" w:sz="6" w:space="0"/>
              <w:left w:val="single" w:color="auto" w:sz="6" w:space="0"/>
              <w:bottom w:val="single" w:color="auto" w:sz="6" w:space="0"/>
              <w:right w:val="single" w:color="auto" w:sz="6" w:space="0"/>
            </w:tcBorders>
            <w:vAlign w:val="center"/>
          </w:tcPr>
          <w:p w14:paraId="5ECBF358">
            <w:pPr>
              <w:autoSpaceDE w:val="0"/>
              <w:autoSpaceDN w:val="0"/>
              <w:adjustRightInd w:val="0"/>
              <w:spacing w:line="440" w:lineRule="atLeast"/>
              <w:jc w:val="center"/>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内容</w:t>
            </w:r>
          </w:p>
        </w:tc>
        <w:tc>
          <w:tcPr>
            <w:tcW w:w="2664" w:type="dxa"/>
            <w:tcBorders>
              <w:top w:val="single" w:color="auto" w:sz="6" w:space="0"/>
              <w:left w:val="single" w:color="auto" w:sz="6" w:space="0"/>
              <w:bottom w:val="single" w:color="auto" w:sz="6" w:space="0"/>
              <w:right w:val="single" w:color="auto" w:sz="6" w:space="0"/>
            </w:tcBorders>
            <w:vAlign w:val="center"/>
          </w:tcPr>
          <w:p w14:paraId="234F5D1F">
            <w:pPr>
              <w:autoSpaceDE w:val="0"/>
              <w:autoSpaceDN w:val="0"/>
              <w:adjustRightInd w:val="0"/>
              <w:spacing w:line="440" w:lineRule="atLeast"/>
              <w:jc w:val="center"/>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招标要求</w:t>
            </w:r>
          </w:p>
        </w:tc>
        <w:tc>
          <w:tcPr>
            <w:tcW w:w="2110" w:type="dxa"/>
            <w:tcBorders>
              <w:top w:val="single" w:color="auto" w:sz="6" w:space="0"/>
              <w:left w:val="single" w:color="auto" w:sz="6" w:space="0"/>
              <w:bottom w:val="single" w:color="auto" w:sz="6" w:space="0"/>
              <w:right w:val="single" w:color="auto" w:sz="6" w:space="0"/>
            </w:tcBorders>
            <w:vAlign w:val="center"/>
          </w:tcPr>
          <w:p w14:paraId="1A939EFF">
            <w:pPr>
              <w:autoSpaceDE w:val="0"/>
              <w:autoSpaceDN w:val="0"/>
              <w:adjustRightInd w:val="0"/>
              <w:spacing w:line="440" w:lineRule="atLeast"/>
              <w:jc w:val="center"/>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投标响应</w:t>
            </w:r>
          </w:p>
        </w:tc>
        <w:tc>
          <w:tcPr>
            <w:tcW w:w="1565" w:type="dxa"/>
            <w:tcBorders>
              <w:top w:val="single" w:color="auto" w:sz="6" w:space="0"/>
              <w:left w:val="single" w:color="auto" w:sz="6" w:space="0"/>
              <w:bottom w:val="single" w:color="auto" w:sz="6" w:space="0"/>
              <w:right w:val="single" w:color="auto" w:sz="6" w:space="0"/>
            </w:tcBorders>
            <w:vAlign w:val="center"/>
          </w:tcPr>
          <w:p w14:paraId="20F8AC77">
            <w:pPr>
              <w:autoSpaceDE w:val="0"/>
              <w:autoSpaceDN w:val="0"/>
              <w:adjustRightInd w:val="0"/>
              <w:spacing w:line="440" w:lineRule="atLeast"/>
              <w:jc w:val="center"/>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备注</w:t>
            </w:r>
          </w:p>
        </w:tc>
      </w:tr>
      <w:tr w14:paraId="4632BB80">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C5ADF3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1A398348">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28FB6B72">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5F01EC9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54ABAF00">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005AC95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3F006D8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78BE5B5D">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5EE7F19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66B5B3C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2C67258F">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0DB43AD0">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3B217CE2">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2501F2B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53C8CD87">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1488A3A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66429528">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3C9DF719">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18F8AD6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07E3B6C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62E1C99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5B105A87">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2C78A38F">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6D9126D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242D8E1F">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0B8DDE9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45D4ED13">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2A9494DA">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6C6EB54A">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4CAE4CB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5DFE00A7">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0385E29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43F5A6D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3AD675CD">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4A67208E">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23A5B27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23163C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273F9353">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6B51731D">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5AE78A6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4320E17A">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07D0290A">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52BE882E">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334CFB5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6B07E1B7">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1D296CA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6C2C599D">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7CFEA25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3B5FCE2E">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5CE2B5E1">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66FFB8C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4741DF3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7511A504">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38E2796C">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CC9A251">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4D22D03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59FF8852">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7761F1BD">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66A62B8A">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67A567D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11E435A8">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346AB3C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0B6103BF">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0EA1D48B">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50331386">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43AFC40E">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3BE59416">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504588BA">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4FC2DAB3">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705E608A">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7D2E5EBF">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1C80311A">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AE4A1B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7E77C292">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53686F33">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615902E4">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7685379B">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43827DD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0E31D47E">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30B86336">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304DAE41">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07F0789D">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4D8302CB">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738E6B13">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361D152">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197D90EB">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272EADD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5BE8455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7FDFF377">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5D12703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796F107">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3F730831">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551BB59D">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556560F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43CE3A9C">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0DAFBC38">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6567DF23">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Borders>
              <w:top w:val="single" w:color="auto" w:sz="6" w:space="0"/>
              <w:left w:val="single" w:color="auto" w:sz="6" w:space="0"/>
              <w:bottom w:val="single" w:color="auto" w:sz="6" w:space="0"/>
              <w:right w:val="single" w:color="auto" w:sz="6" w:space="0"/>
            </w:tcBorders>
          </w:tcPr>
          <w:p w14:paraId="5E3A56AE">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664" w:type="dxa"/>
            <w:tcBorders>
              <w:top w:val="single" w:color="auto" w:sz="6" w:space="0"/>
              <w:left w:val="single" w:color="auto" w:sz="6" w:space="0"/>
              <w:bottom w:val="single" w:color="auto" w:sz="6" w:space="0"/>
              <w:right w:val="single" w:color="auto" w:sz="6" w:space="0"/>
            </w:tcBorders>
          </w:tcPr>
          <w:p w14:paraId="4FC42B83">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110" w:type="dxa"/>
            <w:tcBorders>
              <w:top w:val="single" w:color="auto" w:sz="6" w:space="0"/>
              <w:left w:val="single" w:color="auto" w:sz="6" w:space="0"/>
              <w:bottom w:val="single" w:color="auto" w:sz="6" w:space="0"/>
              <w:right w:val="single" w:color="auto" w:sz="6" w:space="0"/>
            </w:tcBorders>
          </w:tcPr>
          <w:p w14:paraId="440FC54D">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565" w:type="dxa"/>
            <w:tcBorders>
              <w:top w:val="single" w:color="auto" w:sz="6" w:space="0"/>
              <w:left w:val="single" w:color="auto" w:sz="6" w:space="0"/>
              <w:bottom w:val="single" w:color="auto" w:sz="6" w:space="0"/>
              <w:right w:val="single" w:color="auto" w:sz="6" w:space="0"/>
            </w:tcBorders>
          </w:tcPr>
          <w:p w14:paraId="4D5B3E79">
            <w:pPr>
              <w:autoSpaceDE w:val="0"/>
              <w:autoSpaceDN w:val="0"/>
              <w:adjustRightInd w:val="0"/>
              <w:spacing w:line="440" w:lineRule="atLeast"/>
              <w:jc w:val="center"/>
              <w:rPr>
                <w:rFonts w:ascii="Cambria Math" w:hAnsi="Cambria Math" w:eastAsia="Cambria Math"/>
                <w:b w:val="0"/>
                <w:color w:val="auto"/>
                <w:sz w:val="22"/>
                <w:szCs w:val="22"/>
                <w:lang w:val="zh-CN"/>
              </w:rPr>
            </w:pPr>
          </w:p>
        </w:tc>
      </w:tr>
    </w:tbl>
    <w:p w14:paraId="4BACDA2C">
      <w:pPr>
        <w:autoSpaceDE w:val="0"/>
        <w:autoSpaceDN w:val="0"/>
        <w:adjustRightInd w:val="0"/>
        <w:spacing w:line="440" w:lineRule="atLeast"/>
        <w:rPr>
          <w:rFonts w:ascii="Cambria Math" w:hAnsi="Cambria Math" w:eastAsia="Cambria Math"/>
          <w:b w:val="0"/>
          <w:color w:val="auto"/>
          <w:sz w:val="22"/>
          <w:szCs w:val="22"/>
        </w:rPr>
      </w:pPr>
      <w:r>
        <w:rPr>
          <w:rFonts w:hint="eastAsia" w:ascii="Cambria Math" w:hAnsi="Cambria Math" w:eastAsia="Cambria Math"/>
          <w:b w:val="0"/>
          <w:color w:val="auto"/>
          <w:sz w:val="22"/>
          <w:szCs w:val="22"/>
          <w:lang w:val="zh-CN"/>
        </w:rPr>
        <w:t>注：1、</w:t>
      </w:r>
      <w:r>
        <w:rPr>
          <w:rFonts w:hint="eastAsia" w:ascii="Cambria Math" w:hAnsi="Cambria Math" w:eastAsia="Cambria Math"/>
          <w:b w:val="0"/>
          <w:color w:val="auto"/>
          <w:sz w:val="22"/>
          <w:szCs w:val="22"/>
        </w:rPr>
        <w:t>如不填写，则视为完全响应采购文件的要求。</w:t>
      </w:r>
    </w:p>
    <w:p w14:paraId="401E6803">
      <w:pPr>
        <w:autoSpaceDE w:val="0"/>
        <w:autoSpaceDN w:val="0"/>
        <w:adjustRightInd w:val="0"/>
        <w:spacing w:line="440" w:lineRule="atLeast"/>
        <w:rPr>
          <w:rFonts w:ascii="Cambria Math" w:hAnsi="Cambria Math" w:eastAsia="Cambria Math"/>
          <w:b w:val="0"/>
          <w:color w:val="auto"/>
          <w:sz w:val="22"/>
          <w:szCs w:val="22"/>
          <w:lang w:val="zh-CN"/>
        </w:rPr>
      </w:pPr>
    </w:p>
    <w:p w14:paraId="0CF41325">
      <w:pPr>
        <w:autoSpaceDE w:val="0"/>
        <w:autoSpaceDN w:val="0"/>
        <w:adjustRightInd w:val="0"/>
        <w:spacing w:line="440" w:lineRule="atLeast"/>
        <w:rPr>
          <w:rFonts w:ascii="Cambria Math" w:hAnsi="Cambria Math" w:eastAsia="Cambria Math"/>
          <w:b w:val="0"/>
          <w:color w:val="auto"/>
          <w:sz w:val="22"/>
          <w:szCs w:val="22"/>
          <w:lang w:val="zh-CN"/>
        </w:rPr>
      </w:pPr>
    </w:p>
    <w:p w14:paraId="51858994">
      <w:pPr>
        <w:autoSpaceDE w:val="0"/>
        <w:autoSpaceDN w:val="0"/>
        <w:adjustRightInd w:val="0"/>
        <w:spacing w:line="440" w:lineRule="atLeast"/>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投标单位（盖章）：</w:t>
      </w:r>
    </w:p>
    <w:p w14:paraId="7BB4DC85">
      <w:pPr>
        <w:autoSpaceDE w:val="0"/>
        <w:autoSpaceDN w:val="0"/>
        <w:adjustRightInd w:val="0"/>
        <w:spacing w:line="440" w:lineRule="atLeast"/>
        <w:rPr>
          <w:rFonts w:ascii="Cambria Math" w:hAnsi="Cambria Math" w:eastAsia="Cambria Math"/>
          <w:b w:val="0"/>
          <w:bCs w:val="0"/>
          <w:color w:val="auto"/>
          <w:sz w:val="32"/>
          <w:szCs w:val="32"/>
          <w:lang w:val="zh-CN"/>
        </w:rPr>
      </w:pPr>
    </w:p>
    <w:p w14:paraId="158CFD4A">
      <w:pPr>
        <w:snapToGrid w:val="0"/>
        <w:spacing w:line="360" w:lineRule="atLeast"/>
        <w:outlineLvl w:val="0"/>
        <w:rPr>
          <w:rFonts w:ascii="Cambria Math" w:hAnsi="Cambria Math" w:eastAsia="Cambria Math"/>
          <w:b w:val="0"/>
          <w:color w:val="auto"/>
          <w:sz w:val="36"/>
          <w:szCs w:val="36"/>
          <w:lang w:val="zh-CN"/>
        </w:rPr>
      </w:pPr>
    </w:p>
    <w:p w14:paraId="1AB73D98">
      <w:pPr>
        <w:snapToGrid w:val="0"/>
        <w:spacing w:line="360" w:lineRule="atLeast"/>
        <w:outlineLvl w:val="0"/>
        <w:rPr>
          <w:rFonts w:ascii="Cambria Math" w:hAnsi="Cambria Math" w:eastAsia="Cambria Math"/>
          <w:b w:val="0"/>
          <w:color w:val="auto"/>
          <w:sz w:val="36"/>
          <w:szCs w:val="36"/>
          <w:lang w:val="zh-CN"/>
        </w:rPr>
      </w:pPr>
    </w:p>
    <w:p w14:paraId="173B0CBA">
      <w:pPr>
        <w:snapToGrid w:val="0"/>
        <w:spacing w:line="360" w:lineRule="atLeast"/>
        <w:outlineLvl w:val="0"/>
        <w:rPr>
          <w:rFonts w:ascii="Cambria Math" w:hAnsi="Cambria Math" w:eastAsia="Cambria Math"/>
          <w:b w:val="0"/>
          <w:color w:val="auto"/>
          <w:sz w:val="36"/>
          <w:szCs w:val="36"/>
          <w:lang w:val="zh-CN"/>
        </w:rPr>
      </w:pPr>
    </w:p>
    <w:p w14:paraId="2DA90F9F">
      <w:pPr>
        <w:pStyle w:val="4"/>
        <w:spacing w:before="0" w:after="120" w:line="700" w:lineRule="exact"/>
        <w:ind w:left="0" w:firstLine="0"/>
        <w:rPr>
          <w:rFonts w:ascii="Cambria Math" w:hAnsi="Cambria Math" w:eastAsia="等线"/>
          <w:b/>
          <w:color w:val="auto"/>
          <w:sz w:val="32"/>
        </w:rPr>
      </w:pPr>
      <w:r>
        <w:rPr>
          <w:rFonts w:hint="eastAsia" w:ascii="Cambria Math" w:hAnsi="Cambria Math" w:eastAsia="Cambria Math"/>
          <w:b/>
          <w:color w:val="auto"/>
          <w:sz w:val="32"/>
        </w:rPr>
        <w:t>附件</w:t>
      </w:r>
      <w:r>
        <w:rPr>
          <w:rFonts w:hint="eastAsia" w:ascii="Cambria Math" w:hAnsi="Cambria Math" w:eastAsia="等线"/>
          <w:b/>
          <w:color w:val="auto"/>
          <w:sz w:val="32"/>
        </w:rPr>
        <w:t>2-</w:t>
      </w:r>
      <w:r>
        <w:rPr>
          <w:rFonts w:ascii="Cambria Math" w:hAnsi="Cambria Math" w:eastAsia="等线"/>
          <w:b/>
          <w:color w:val="auto"/>
          <w:sz w:val="32"/>
        </w:rPr>
        <w:t>7</w:t>
      </w:r>
    </w:p>
    <w:p w14:paraId="3346D66D">
      <w:pPr>
        <w:autoSpaceDE w:val="0"/>
        <w:autoSpaceDN w:val="0"/>
        <w:adjustRightInd w:val="0"/>
        <w:spacing w:line="440" w:lineRule="atLeast"/>
        <w:ind w:firstLine="3600" w:firstLineChars="1000"/>
        <w:rPr>
          <w:rFonts w:ascii="Cambria Math" w:hAnsi="Cambria Math" w:eastAsia="Cambria Math"/>
          <w:b w:val="0"/>
          <w:color w:val="auto"/>
          <w:sz w:val="36"/>
          <w:szCs w:val="36"/>
          <w:lang w:val="zh-CN"/>
        </w:rPr>
      </w:pPr>
      <w:r>
        <w:rPr>
          <w:rFonts w:hint="eastAsia" w:ascii="Cambria Math" w:hAnsi="Cambria Math" w:eastAsia="Cambria Math"/>
          <w:b w:val="0"/>
          <w:color w:val="auto"/>
          <w:sz w:val="36"/>
          <w:szCs w:val="36"/>
          <w:lang w:val="zh-CN"/>
        </w:rPr>
        <w:t>技术偏离表</w:t>
      </w:r>
    </w:p>
    <w:tbl>
      <w:tblPr>
        <w:tblStyle w:val="35"/>
        <w:tblW w:w="8805" w:type="dxa"/>
        <w:tblInd w:w="-19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800"/>
        <w:gridCol w:w="2300"/>
        <w:gridCol w:w="2000"/>
        <w:gridCol w:w="1805"/>
      </w:tblGrid>
      <w:tr w14:paraId="6E490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900" w:type="dxa"/>
            <w:vAlign w:val="center"/>
          </w:tcPr>
          <w:p w14:paraId="0870907A">
            <w:pPr>
              <w:autoSpaceDE w:val="0"/>
              <w:autoSpaceDN w:val="0"/>
              <w:adjustRightInd w:val="0"/>
              <w:spacing w:line="440" w:lineRule="atLeast"/>
              <w:jc w:val="center"/>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序号</w:t>
            </w:r>
          </w:p>
        </w:tc>
        <w:tc>
          <w:tcPr>
            <w:tcW w:w="1800" w:type="dxa"/>
            <w:vAlign w:val="center"/>
          </w:tcPr>
          <w:p w14:paraId="47BF90F1">
            <w:pPr>
              <w:autoSpaceDE w:val="0"/>
              <w:autoSpaceDN w:val="0"/>
              <w:adjustRightInd w:val="0"/>
              <w:spacing w:line="440" w:lineRule="atLeast"/>
              <w:jc w:val="center"/>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内容</w:t>
            </w:r>
          </w:p>
        </w:tc>
        <w:tc>
          <w:tcPr>
            <w:tcW w:w="2300" w:type="dxa"/>
            <w:vAlign w:val="center"/>
          </w:tcPr>
          <w:p w14:paraId="75F73DB9">
            <w:pPr>
              <w:autoSpaceDE w:val="0"/>
              <w:autoSpaceDN w:val="0"/>
              <w:adjustRightInd w:val="0"/>
              <w:spacing w:line="440" w:lineRule="atLeast"/>
              <w:jc w:val="center"/>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招标要求</w:t>
            </w:r>
          </w:p>
        </w:tc>
        <w:tc>
          <w:tcPr>
            <w:tcW w:w="2000" w:type="dxa"/>
            <w:vAlign w:val="center"/>
          </w:tcPr>
          <w:p w14:paraId="6C8389EC">
            <w:pPr>
              <w:autoSpaceDE w:val="0"/>
              <w:autoSpaceDN w:val="0"/>
              <w:adjustRightInd w:val="0"/>
              <w:spacing w:line="440" w:lineRule="atLeast"/>
              <w:jc w:val="center"/>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投标响应</w:t>
            </w:r>
          </w:p>
        </w:tc>
        <w:tc>
          <w:tcPr>
            <w:tcW w:w="1805" w:type="dxa"/>
            <w:vAlign w:val="center"/>
          </w:tcPr>
          <w:p w14:paraId="4CEE732B">
            <w:pPr>
              <w:autoSpaceDE w:val="0"/>
              <w:autoSpaceDN w:val="0"/>
              <w:adjustRightInd w:val="0"/>
              <w:spacing w:line="440" w:lineRule="atLeast"/>
              <w:jc w:val="center"/>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备注</w:t>
            </w:r>
          </w:p>
        </w:tc>
      </w:tr>
      <w:tr w14:paraId="1DD46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239B166F">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17D7636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4CA2713F">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33F8FAEB">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76BD2647">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00925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4B8A223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48B2D26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2BA0C26B">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31D87CAF">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4C968399">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45352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7EF97706">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352B1E6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6F6D659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7F06F3F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2478221A">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19ED6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4EC1EEC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2CEE51D3">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41519398">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31A9FB1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3F4081B1">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2B10F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3F46EE0D">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53DED2C7">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27DC23F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3BF3106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2DDD7E73">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143FA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3C78057E">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365C64C6">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2E712951">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14DCD3C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5EB31138">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32E7F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7B5BDD4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646AAD8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7AE14040">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62DF8573">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0165A636">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5EB10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4F4841AE">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5A8D463F">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5434A641">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68459EA8">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6E1538F7">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0D24C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068D31DD">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2A1E8FE4">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26FB62C1">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0B729073">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2539D7BC">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2C9D3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3EE789D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2F6A5DBA">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154FD9B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6E624C3F">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0AA79AA6">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05777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1410BAC6">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3BD131A6">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6C22F02A">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0B7A050B">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45AA3BCC">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3813A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48FACA1E">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4E038289">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2133BD31">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49B79F7F">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58889C70">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5B458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4AE739DE">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2EE0BEEA">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48BED2B4">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3A03AD54">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2869BE5E">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1E609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2CEABFDB">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5C14524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3F9D30EC">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76F6F7D6">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3C52BA6A">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47FF9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788C3B26">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4390A4C0">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221285D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23AFB2C3">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0D730B71">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7C397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2C8B34B3">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3FBC9880">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236CD492">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7645C751">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5FDEB23C">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1C117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1DA87C0E">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4C98A44A">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0273FB97">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5D989AB7">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61E3BF88">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5FFE0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3E1EDB48">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681B969D">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0D5A7778">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2ECAAC72">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25EDFFCF">
            <w:pPr>
              <w:autoSpaceDE w:val="0"/>
              <w:autoSpaceDN w:val="0"/>
              <w:adjustRightInd w:val="0"/>
              <w:spacing w:line="440" w:lineRule="atLeast"/>
              <w:jc w:val="center"/>
              <w:rPr>
                <w:rFonts w:ascii="Cambria Math" w:hAnsi="Cambria Math" w:eastAsia="Cambria Math"/>
                <w:b w:val="0"/>
                <w:color w:val="auto"/>
                <w:sz w:val="22"/>
                <w:szCs w:val="22"/>
                <w:lang w:val="zh-CN"/>
              </w:rPr>
            </w:pPr>
          </w:p>
        </w:tc>
      </w:tr>
      <w:tr w14:paraId="70F80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0" w:type="dxa"/>
          </w:tcPr>
          <w:p w14:paraId="55E92150">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0" w:type="dxa"/>
          </w:tcPr>
          <w:p w14:paraId="057C8D1D">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300" w:type="dxa"/>
          </w:tcPr>
          <w:p w14:paraId="464F8275">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2000" w:type="dxa"/>
          </w:tcPr>
          <w:p w14:paraId="409EF874">
            <w:pPr>
              <w:autoSpaceDE w:val="0"/>
              <w:autoSpaceDN w:val="0"/>
              <w:adjustRightInd w:val="0"/>
              <w:spacing w:line="440" w:lineRule="atLeast"/>
              <w:jc w:val="center"/>
              <w:rPr>
                <w:rFonts w:ascii="Cambria Math" w:hAnsi="Cambria Math" w:eastAsia="Cambria Math"/>
                <w:b w:val="0"/>
                <w:color w:val="auto"/>
                <w:sz w:val="22"/>
                <w:szCs w:val="22"/>
                <w:lang w:val="zh-CN"/>
              </w:rPr>
            </w:pPr>
          </w:p>
        </w:tc>
        <w:tc>
          <w:tcPr>
            <w:tcW w:w="1805" w:type="dxa"/>
          </w:tcPr>
          <w:p w14:paraId="1F0DD26D">
            <w:pPr>
              <w:autoSpaceDE w:val="0"/>
              <w:autoSpaceDN w:val="0"/>
              <w:adjustRightInd w:val="0"/>
              <w:spacing w:line="440" w:lineRule="atLeast"/>
              <w:jc w:val="center"/>
              <w:rPr>
                <w:rFonts w:ascii="Cambria Math" w:hAnsi="Cambria Math" w:eastAsia="Cambria Math"/>
                <w:b w:val="0"/>
                <w:color w:val="auto"/>
                <w:sz w:val="22"/>
                <w:szCs w:val="22"/>
                <w:lang w:val="zh-CN"/>
              </w:rPr>
            </w:pPr>
          </w:p>
        </w:tc>
      </w:tr>
    </w:tbl>
    <w:p w14:paraId="71DFA0DE">
      <w:pPr>
        <w:autoSpaceDE w:val="0"/>
        <w:autoSpaceDN w:val="0"/>
        <w:adjustRightInd w:val="0"/>
        <w:spacing w:line="440" w:lineRule="atLeast"/>
        <w:rPr>
          <w:rFonts w:ascii="Cambria Math" w:hAnsi="Cambria Math" w:eastAsia="Cambria Math"/>
          <w:b w:val="0"/>
          <w:color w:val="auto"/>
          <w:sz w:val="22"/>
          <w:szCs w:val="22"/>
        </w:rPr>
      </w:pPr>
      <w:r>
        <w:rPr>
          <w:rFonts w:hint="eastAsia" w:ascii="Cambria Math" w:hAnsi="Cambria Math" w:eastAsia="Cambria Math"/>
          <w:b w:val="0"/>
          <w:color w:val="auto"/>
          <w:sz w:val="22"/>
          <w:szCs w:val="22"/>
          <w:lang w:val="zh-CN"/>
        </w:rPr>
        <w:t>注：</w:t>
      </w:r>
      <w:r>
        <w:rPr>
          <w:rFonts w:hint="eastAsia" w:ascii="Cambria Math" w:hAnsi="Cambria Math" w:eastAsia="Cambria Math"/>
          <w:b w:val="0"/>
          <w:color w:val="auto"/>
          <w:sz w:val="22"/>
          <w:szCs w:val="22"/>
        </w:rPr>
        <w:t>如不填写，则视为完全响应采购文件的要求。</w:t>
      </w:r>
    </w:p>
    <w:p w14:paraId="62316949">
      <w:pPr>
        <w:autoSpaceDE w:val="0"/>
        <w:autoSpaceDN w:val="0"/>
        <w:adjustRightInd w:val="0"/>
        <w:spacing w:line="440" w:lineRule="atLeast"/>
        <w:rPr>
          <w:rFonts w:ascii="Cambria Math" w:hAnsi="Cambria Math" w:eastAsia="Cambria Math"/>
          <w:b w:val="0"/>
          <w:color w:val="auto"/>
          <w:sz w:val="22"/>
          <w:szCs w:val="22"/>
          <w:lang w:val="zh-CN"/>
        </w:rPr>
      </w:pPr>
    </w:p>
    <w:p w14:paraId="4A60AE02">
      <w:pPr>
        <w:autoSpaceDE w:val="0"/>
        <w:autoSpaceDN w:val="0"/>
        <w:adjustRightInd w:val="0"/>
        <w:spacing w:line="440" w:lineRule="atLeast"/>
        <w:rPr>
          <w:rFonts w:ascii="Cambria Math" w:hAnsi="Cambria Math" w:eastAsia="Cambria Math"/>
          <w:b w:val="0"/>
          <w:color w:val="auto"/>
          <w:sz w:val="22"/>
          <w:szCs w:val="22"/>
          <w:lang w:val="zh-CN"/>
        </w:rPr>
      </w:pPr>
      <w:r>
        <w:rPr>
          <w:rFonts w:hint="eastAsia" w:ascii="Cambria Math" w:hAnsi="Cambria Math" w:eastAsia="Cambria Math"/>
          <w:b w:val="0"/>
          <w:color w:val="auto"/>
          <w:sz w:val="22"/>
          <w:szCs w:val="22"/>
          <w:lang w:val="zh-CN"/>
        </w:rPr>
        <w:t>投标单位（盖章）：</w:t>
      </w:r>
    </w:p>
    <w:p w14:paraId="5F5CD0A4">
      <w:pPr>
        <w:autoSpaceDE w:val="0"/>
        <w:autoSpaceDN w:val="0"/>
        <w:adjustRightInd w:val="0"/>
        <w:spacing w:line="440" w:lineRule="atLeast"/>
        <w:rPr>
          <w:rFonts w:ascii="Cambria Math" w:hAnsi="Cambria Math" w:eastAsia="Cambria Math"/>
          <w:b w:val="0"/>
          <w:color w:val="auto"/>
          <w:sz w:val="22"/>
          <w:szCs w:val="22"/>
          <w:lang w:val="zh-CN"/>
        </w:rPr>
      </w:pPr>
    </w:p>
    <w:p w14:paraId="441916DB">
      <w:pPr>
        <w:autoSpaceDE w:val="0"/>
        <w:autoSpaceDN w:val="0"/>
        <w:adjustRightInd w:val="0"/>
        <w:spacing w:line="440" w:lineRule="atLeast"/>
        <w:rPr>
          <w:rFonts w:ascii="Cambria Math" w:hAnsi="Cambria Math" w:eastAsia="Cambria Math"/>
          <w:b w:val="0"/>
          <w:color w:val="auto"/>
          <w:sz w:val="22"/>
          <w:szCs w:val="22"/>
          <w:lang w:val="zh-CN"/>
        </w:rPr>
      </w:pPr>
    </w:p>
    <w:p w14:paraId="6B929CF2">
      <w:pPr>
        <w:autoSpaceDE w:val="0"/>
        <w:autoSpaceDN w:val="0"/>
        <w:adjustRightInd w:val="0"/>
        <w:spacing w:line="440" w:lineRule="atLeast"/>
        <w:rPr>
          <w:rFonts w:ascii="Cambria Math" w:hAnsi="Cambria Math" w:eastAsia="Cambria Math"/>
          <w:b w:val="0"/>
          <w:color w:val="auto"/>
          <w:sz w:val="22"/>
          <w:szCs w:val="22"/>
          <w:lang w:val="zh-CN"/>
        </w:rPr>
      </w:pPr>
    </w:p>
    <w:p w14:paraId="2E45114D">
      <w:pPr>
        <w:pStyle w:val="4"/>
        <w:spacing w:before="0" w:after="120" w:line="700" w:lineRule="exact"/>
        <w:ind w:left="0" w:firstLine="0"/>
        <w:rPr>
          <w:rFonts w:ascii="Cambria Math" w:hAnsi="Cambria Math" w:eastAsia="等线"/>
          <w:b/>
          <w:color w:val="auto"/>
          <w:sz w:val="32"/>
        </w:rPr>
      </w:pPr>
      <w:r>
        <w:rPr>
          <w:rFonts w:ascii="Cambria Math" w:hAnsi="Cambria Math" w:eastAsia="Cambria Math"/>
          <w:b/>
          <w:color w:val="auto"/>
          <w:sz w:val="32"/>
        </w:rPr>
        <w:t>附件</w:t>
      </w:r>
      <w:r>
        <w:rPr>
          <w:rFonts w:hint="eastAsia" w:ascii="Cambria Math" w:hAnsi="Cambria Math" w:eastAsia="等线"/>
          <w:b/>
          <w:color w:val="auto"/>
          <w:sz w:val="32"/>
        </w:rPr>
        <w:t>2-</w:t>
      </w:r>
      <w:r>
        <w:rPr>
          <w:rFonts w:ascii="Cambria Math" w:hAnsi="Cambria Math" w:eastAsia="等线"/>
          <w:b/>
          <w:color w:val="auto"/>
          <w:sz w:val="32"/>
        </w:rPr>
        <w:t>8</w:t>
      </w:r>
    </w:p>
    <w:p w14:paraId="1D7261AC">
      <w:pPr>
        <w:autoSpaceDE w:val="0"/>
        <w:autoSpaceDN w:val="0"/>
        <w:adjustRightInd w:val="0"/>
        <w:jc w:val="left"/>
        <w:rPr>
          <w:rFonts w:ascii="Cambria Math" w:hAnsi="Cambria Math" w:eastAsia="Cambria Math"/>
          <w:bCs w:val="0"/>
          <w:color w:val="auto"/>
          <w:sz w:val="30"/>
          <w:szCs w:val="30"/>
        </w:rPr>
      </w:pPr>
    </w:p>
    <w:p w14:paraId="2C9F3AAB">
      <w:pPr>
        <w:jc w:val="center"/>
        <w:rPr>
          <w:b w:val="0"/>
          <w:sz w:val="30"/>
          <w:szCs w:val="30"/>
        </w:rPr>
      </w:pPr>
      <w:r>
        <w:rPr>
          <w:rFonts w:hint="eastAsia"/>
          <w:b w:val="0"/>
          <w:sz w:val="30"/>
          <w:szCs w:val="30"/>
        </w:rPr>
        <w:t>拟派项目负责人情况表</w:t>
      </w:r>
    </w:p>
    <w:tbl>
      <w:tblPr>
        <w:tblStyle w:val="35"/>
        <w:tblpPr w:leftFromText="180" w:rightFromText="180" w:vertAnchor="text" w:horzAnchor="margin" w:tblpXSpec="center" w:tblpY="108"/>
        <w:tblW w:w="830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39"/>
        <w:gridCol w:w="2034"/>
        <w:gridCol w:w="4234"/>
      </w:tblGrid>
      <w:tr w14:paraId="7A93B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98" w:hRule="atLeast"/>
          <w:jc w:val="center"/>
        </w:trPr>
        <w:tc>
          <w:tcPr>
            <w:tcW w:w="2039" w:type="dxa"/>
            <w:vAlign w:val="center"/>
          </w:tcPr>
          <w:p w14:paraId="692EA1B1">
            <w:pPr>
              <w:autoSpaceDE w:val="0"/>
              <w:autoSpaceDN w:val="0"/>
              <w:adjustRightInd w:val="0"/>
              <w:jc w:val="center"/>
              <w:rPr>
                <w:rFonts w:hint="eastAsia" w:ascii="宋体" w:hAnsi="宋体"/>
                <w:sz w:val="22"/>
              </w:rPr>
            </w:pPr>
            <w:r>
              <w:rPr>
                <w:rFonts w:ascii="宋体" w:hAnsi="宋体"/>
                <w:sz w:val="22"/>
              </w:rPr>
              <w:t>姓名</w:t>
            </w:r>
          </w:p>
        </w:tc>
        <w:tc>
          <w:tcPr>
            <w:tcW w:w="2034" w:type="dxa"/>
            <w:vAlign w:val="center"/>
          </w:tcPr>
          <w:p w14:paraId="28E59F62">
            <w:pPr>
              <w:autoSpaceDE w:val="0"/>
              <w:autoSpaceDN w:val="0"/>
              <w:adjustRightInd w:val="0"/>
              <w:jc w:val="center"/>
              <w:rPr>
                <w:rFonts w:hint="eastAsia" w:ascii="宋体" w:hAnsi="宋体"/>
                <w:sz w:val="22"/>
              </w:rPr>
            </w:pPr>
          </w:p>
        </w:tc>
        <w:tc>
          <w:tcPr>
            <w:tcW w:w="4234" w:type="dxa"/>
            <w:vAlign w:val="center"/>
          </w:tcPr>
          <w:p w14:paraId="7CC94876">
            <w:pPr>
              <w:autoSpaceDE w:val="0"/>
              <w:autoSpaceDN w:val="0"/>
              <w:adjustRightInd w:val="0"/>
              <w:jc w:val="center"/>
              <w:rPr>
                <w:rFonts w:hint="eastAsia" w:ascii="宋体" w:hAnsi="宋体"/>
                <w:sz w:val="22"/>
              </w:rPr>
            </w:pPr>
            <w:r>
              <w:rPr>
                <w:rFonts w:ascii="宋体" w:hAnsi="宋体"/>
                <w:sz w:val="22"/>
              </w:rPr>
              <w:t>近3年业绩及承担的主要工作情况</w:t>
            </w:r>
          </w:p>
          <w:p w14:paraId="09949E45">
            <w:pPr>
              <w:autoSpaceDE w:val="0"/>
              <w:autoSpaceDN w:val="0"/>
              <w:adjustRightInd w:val="0"/>
              <w:jc w:val="center"/>
              <w:rPr>
                <w:rFonts w:hint="eastAsia" w:ascii="宋体" w:hAnsi="宋体" w:cs="Arial"/>
                <w:b w:val="0"/>
                <w:sz w:val="22"/>
              </w:rPr>
            </w:pPr>
            <w:r>
              <w:rPr>
                <w:rFonts w:hint="eastAsia" w:ascii="宋体" w:hAnsi="宋体"/>
                <w:sz w:val="22"/>
              </w:rPr>
              <w:t>（</w:t>
            </w:r>
            <w:r>
              <w:rPr>
                <w:rFonts w:ascii="宋体" w:hAnsi="宋体"/>
                <w:sz w:val="22"/>
              </w:rPr>
              <w:t>曾担任项目负责人的项目应列明细</w:t>
            </w:r>
            <w:r>
              <w:rPr>
                <w:rFonts w:hint="eastAsia" w:ascii="宋体" w:hAnsi="宋体"/>
                <w:sz w:val="22"/>
              </w:rPr>
              <w:t>）</w:t>
            </w:r>
          </w:p>
        </w:tc>
      </w:tr>
      <w:tr w14:paraId="711A62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258BEA46">
            <w:pPr>
              <w:autoSpaceDE w:val="0"/>
              <w:autoSpaceDN w:val="0"/>
              <w:adjustRightInd w:val="0"/>
              <w:jc w:val="center"/>
              <w:rPr>
                <w:rFonts w:hint="eastAsia" w:ascii="宋体" w:hAnsi="宋体"/>
                <w:sz w:val="22"/>
              </w:rPr>
            </w:pPr>
            <w:r>
              <w:rPr>
                <w:rFonts w:ascii="宋体" w:hAnsi="宋体"/>
                <w:sz w:val="22"/>
              </w:rPr>
              <w:t>性别</w:t>
            </w:r>
          </w:p>
        </w:tc>
        <w:tc>
          <w:tcPr>
            <w:tcW w:w="2034" w:type="dxa"/>
            <w:vAlign w:val="center"/>
          </w:tcPr>
          <w:p w14:paraId="6E4915C3">
            <w:pPr>
              <w:autoSpaceDE w:val="0"/>
              <w:autoSpaceDN w:val="0"/>
              <w:adjustRightInd w:val="0"/>
              <w:jc w:val="center"/>
              <w:rPr>
                <w:rFonts w:hint="eastAsia" w:ascii="宋体" w:hAnsi="宋体"/>
                <w:sz w:val="22"/>
              </w:rPr>
            </w:pPr>
          </w:p>
        </w:tc>
        <w:tc>
          <w:tcPr>
            <w:tcW w:w="4234" w:type="dxa"/>
            <w:vMerge w:val="restart"/>
            <w:vAlign w:val="center"/>
          </w:tcPr>
          <w:p w14:paraId="6EFAE1FC">
            <w:pPr>
              <w:adjustRightInd w:val="0"/>
              <w:jc w:val="center"/>
              <w:rPr>
                <w:rFonts w:hint="eastAsia" w:ascii="宋体" w:hAnsi="宋体" w:cs="Arial"/>
                <w:b w:val="0"/>
                <w:sz w:val="22"/>
              </w:rPr>
            </w:pPr>
          </w:p>
        </w:tc>
      </w:tr>
      <w:tr w14:paraId="51CAF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36D628C8">
            <w:pPr>
              <w:autoSpaceDE w:val="0"/>
              <w:autoSpaceDN w:val="0"/>
              <w:adjustRightInd w:val="0"/>
              <w:jc w:val="center"/>
              <w:rPr>
                <w:rFonts w:hint="eastAsia" w:ascii="宋体" w:hAnsi="宋体"/>
                <w:sz w:val="22"/>
              </w:rPr>
            </w:pPr>
            <w:r>
              <w:rPr>
                <w:rFonts w:ascii="宋体" w:hAnsi="宋体"/>
                <w:sz w:val="22"/>
              </w:rPr>
              <w:t>年龄</w:t>
            </w:r>
          </w:p>
        </w:tc>
        <w:tc>
          <w:tcPr>
            <w:tcW w:w="2034" w:type="dxa"/>
            <w:vAlign w:val="center"/>
          </w:tcPr>
          <w:p w14:paraId="5E718752">
            <w:pPr>
              <w:autoSpaceDE w:val="0"/>
              <w:autoSpaceDN w:val="0"/>
              <w:adjustRightInd w:val="0"/>
              <w:jc w:val="center"/>
              <w:rPr>
                <w:rFonts w:hint="eastAsia" w:ascii="宋体" w:hAnsi="宋体"/>
                <w:sz w:val="22"/>
              </w:rPr>
            </w:pPr>
          </w:p>
        </w:tc>
        <w:tc>
          <w:tcPr>
            <w:tcW w:w="4234" w:type="dxa"/>
            <w:vMerge w:val="continue"/>
            <w:vAlign w:val="center"/>
          </w:tcPr>
          <w:p w14:paraId="70DEDF86">
            <w:pPr>
              <w:adjustRightInd w:val="0"/>
              <w:jc w:val="center"/>
              <w:rPr>
                <w:rFonts w:hint="eastAsia" w:ascii="宋体" w:hAnsi="宋体" w:cs="Arial"/>
                <w:b w:val="0"/>
                <w:sz w:val="22"/>
              </w:rPr>
            </w:pPr>
          </w:p>
        </w:tc>
      </w:tr>
      <w:tr w14:paraId="5B4A72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3B23F088">
            <w:pPr>
              <w:autoSpaceDE w:val="0"/>
              <w:autoSpaceDN w:val="0"/>
              <w:adjustRightInd w:val="0"/>
              <w:jc w:val="center"/>
              <w:rPr>
                <w:rFonts w:hint="eastAsia" w:ascii="宋体" w:hAnsi="宋体"/>
                <w:sz w:val="22"/>
              </w:rPr>
            </w:pPr>
            <w:r>
              <w:rPr>
                <w:rFonts w:ascii="宋体" w:hAnsi="宋体"/>
                <w:sz w:val="22"/>
              </w:rPr>
              <w:t>职称</w:t>
            </w:r>
          </w:p>
        </w:tc>
        <w:tc>
          <w:tcPr>
            <w:tcW w:w="2034" w:type="dxa"/>
            <w:vAlign w:val="center"/>
          </w:tcPr>
          <w:p w14:paraId="6F304EDE">
            <w:pPr>
              <w:autoSpaceDE w:val="0"/>
              <w:autoSpaceDN w:val="0"/>
              <w:adjustRightInd w:val="0"/>
              <w:jc w:val="center"/>
              <w:rPr>
                <w:rFonts w:hint="eastAsia" w:ascii="宋体" w:hAnsi="宋体"/>
                <w:sz w:val="22"/>
              </w:rPr>
            </w:pPr>
          </w:p>
        </w:tc>
        <w:tc>
          <w:tcPr>
            <w:tcW w:w="4234" w:type="dxa"/>
            <w:vMerge w:val="continue"/>
            <w:vAlign w:val="center"/>
          </w:tcPr>
          <w:p w14:paraId="334EC601">
            <w:pPr>
              <w:adjustRightInd w:val="0"/>
              <w:jc w:val="center"/>
              <w:rPr>
                <w:rFonts w:hint="eastAsia" w:ascii="宋体" w:hAnsi="宋体" w:cs="Arial"/>
                <w:b w:val="0"/>
                <w:sz w:val="22"/>
              </w:rPr>
            </w:pPr>
          </w:p>
        </w:tc>
      </w:tr>
      <w:tr w14:paraId="6B65F4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540C52A5">
            <w:pPr>
              <w:autoSpaceDE w:val="0"/>
              <w:autoSpaceDN w:val="0"/>
              <w:adjustRightInd w:val="0"/>
              <w:jc w:val="center"/>
              <w:rPr>
                <w:rFonts w:hint="eastAsia" w:ascii="宋体" w:hAnsi="宋体"/>
                <w:sz w:val="22"/>
              </w:rPr>
            </w:pPr>
            <w:r>
              <w:rPr>
                <w:rFonts w:ascii="宋体" w:hAnsi="宋体"/>
                <w:sz w:val="22"/>
              </w:rPr>
              <w:t>毕业时间</w:t>
            </w:r>
          </w:p>
        </w:tc>
        <w:tc>
          <w:tcPr>
            <w:tcW w:w="2034" w:type="dxa"/>
            <w:vAlign w:val="center"/>
          </w:tcPr>
          <w:p w14:paraId="5BC488D7">
            <w:pPr>
              <w:autoSpaceDE w:val="0"/>
              <w:autoSpaceDN w:val="0"/>
              <w:adjustRightInd w:val="0"/>
              <w:jc w:val="center"/>
              <w:rPr>
                <w:rFonts w:hint="eastAsia" w:ascii="宋体" w:hAnsi="宋体"/>
                <w:sz w:val="22"/>
              </w:rPr>
            </w:pPr>
          </w:p>
        </w:tc>
        <w:tc>
          <w:tcPr>
            <w:tcW w:w="4234" w:type="dxa"/>
            <w:vMerge w:val="continue"/>
            <w:vAlign w:val="center"/>
          </w:tcPr>
          <w:p w14:paraId="3C6DF46D">
            <w:pPr>
              <w:adjustRightInd w:val="0"/>
              <w:jc w:val="center"/>
              <w:rPr>
                <w:rFonts w:hint="eastAsia" w:ascii="宋体" w:hAnsi="宋体" w:cs="Arial"/>
                <w:b w:val="0"/>
                <w:sz w:val="22"/>
              </w:rPr>
            </w:pPr>
          </w:p>
        </w:tc>
      </w:tr>
      <w:tr w14:paraId="46336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235F554D">
            <w:pPr>
              <w:autoSpaceDE w:val="0"/>
              <w:autoSpaceDN w:val="0"/>
              <w:adjustRightInd w:val="0"/>
              <w:jc w:val="center"/>
              <w:rPr>
                <w:rFonts w:hint="eastAsia" w:ascii="宋体" w:hAnsi="宋体"/>
                <w:sz w:val="22"/>
              </w:rPr>
            </w:pPr>
            <w:r>
              <w:rPr>
                <w:rFonts w:ascii="宋体" w:hAnsi="宋体"/>
                <w:sz w:val="22"/>
              </w:rPr>
              <w:t>所学专业</w:t>
            </w:r>
          </w:p>
        </w:tc>
        <w:tc>
          <w:tcPr>
            <w:tcW w:w="2034" w:type="dxa"/>
            <w:vAlign w:val="center"/>
          </w:tcPr>
          <w:p w14:paraId="1C686AC7">
            <w:pPr>
              <w:autoSpaceDE w:val="0"/>
              <w:autoSpaceDN w:val="0"/>
              <w:adjustRightInd w:val="0"/>
              <w:jc w:val="center"/>
              <w:rPr>
                <w:rFonts w:hint="eastAsia" w:ascii="宋体" w:hAnsi="宋体"/>
                <w:sz w:val="22"/>
              </w:rPr>
            </w:pPr>
          </w:p>
        </w:tc>
        <w:tc>
          <w:tcPr>
            <w:tcW w:w="4234" w:type="dxa"/>
            <w:vMerge w:val="continue"/>
            <w:vAlign w:val="center"/>
          </w:tcPr>
          <w:p w14:paraId="46D8F3F7">
            <w:pPr>
              <w:adjustRightInd w:val="0"/>
              <w:jc w:val="center"/>
              <w:rPr>
                <w:rFonts w:hint="eastAsia" w:ascii="宋体" w:hAnsi="宋体" w:cs="Arial"/>
                <w:b w:val="0"/>
                <w:sz w:val="22"/>
              </w:rPr>
            </w:pPr>
          </w:p>
        </w:tc>
      </w:tr>
      <w:tr w14:paraId="194B9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78FDB1F5">
            <w:pPr>
              <w:autoSpaceDE w:val="0"/>
              <w:autoSpaceDN w:val="0"/>
              <w:adjustRightInd w:val="0"/>
              <w:jc w:val="center"/>
              <w:rPr>
                <w:rFonts w:hint="eastAsia" w:ascii="宋体" w:hAnsi="宋体"/>
                <w:sz w:val="22"/>
              </w:rPr>
            </w:pPr>
            <w:r>
              <w:rPr>
                <w:rFonts w:ascii="宋体" w:hAnsi="宋体"/>
                <w:sz w:val="22"/>
              </w:rPr>
              <w:t>学历</w:t>
            </w:r>
          </w:p>
        </w:tc>
        <w:tc>
          <w:tcPr>
            <w:tcW w:w="2034" w:type="dxa"/>
            <w:vAlign w:val="center"/>
          </w:tcPr>
          <w:p w14:paraId="4DA7146C">
            <w:pPr>
              <w:autoSpaceDE w:val="0"/>
              <w:autoSpaceDN w:val="0"/>
              <w:adjustRightInd w:val="0"/>
              <w:jc w:val="center"/>
              <w:rPr>
                <w:rFonts w:hint="eastAsia" w:ascii="宋体" w:hAnsi="宋体"/>
                <w:sz w:val="22"/>
              </w:rPr>
            </w:pPr>
          </w:p>
        </w:tc>
        <w:tc>
          <w:tcPr>
            <w:tcW w:w="4234" w:type="dxa"/>
            <w:vMerge w:val="continue"/>
            <w:vAlign w:val="center"/>
          </w:tcPr>
          <w:p w14:paraId="39566BBE">
            <w:pPr>
              <w:adjustRightInd w:val="0"/>
              <w:jc w:val="center"/>
              <w:rPr>
                <w:rFonts w:hint="eastAsia" w:ascii="宋体" w:hAnsi="宋体" w:cs="Arial"/>
                <w:b w:val="0"/>
                <w:sz w:val="22"/>
              </w:rPr>
            </w:pPr>
          </w:p>
        </w:tc>
      </w:tr>
      <w:tr w14:paraId="687FE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6278FF52">
            <w:pPr>
              <w:autoSpaceDE w:val="0"/>
              <w:autoSpaceDN w:val="0"/>
              <w:adjustRightInd w:val="0"/>
              <w:jc w:val="center"/>
              <w:rPr>
                <w:rFonts w:hint="eastAsia" w:ascii="宋体" w:hAnsi="宋体"/>
                <w:sz w:val="22"/>
              </w:rPr>
            </w:pPr>
            <w:r>
              <w:rPr>
                <w:rFonts w:hint="eastAsia" w:ascii="宋体" w:hAnsi="宋体"/>
                <w:sz w:val="22"/>
              </w:rPr>
              <w:t>从业年限</w:t>
            </w:r>
          </w:p>
        </w:tc>
        <w:tc>
          <w:tcPr>
            <w:tcW w:w="2034" w:type="dxa"/>
            <w:vAlign w:val="center"/>
          </w:tcPr>
          <w:p w14:paraId="16F8010F">
            <w:pPr>
              <w:autoSpaceDE w:val="0"/>
              <w:autoSpaceDN w:val="0"/>
              <w:adjustRightInd w:val="0"/>
              <w:jc w:val="center"/>
              <w:rPr>
                <w:rFonts w:hint="eastAsia" w:ascii="宋体" w:hAnsi="宋体"/>
                <w:sz w:val="22"/>
              </w:rPr>
            </w:pPr>
          </w:p>
        </w:tc>
        <w:tc>
          <w:tcPr>
            <w:tcW w:w="4234" w:type="dxa"/>
            <w:vMerge w:val="continue"/>
            <w:vAlign w:val="center"/>
          </w:tcPr>
          <w:p w14:paraId="193562D9">
            <w:pPr>
              <w:adjustRightInd w:val="0"/>
              <w:jc w:val="center"/>
              <w:rPr>
                <w:rFonts w:hint="eastAsia" w:ascii="宋体" w:hAnsi="宋体" w:cs="Arial"/>
                <w:b w:val="0"/>
                <w:sz w:val="22"/>
              </w:rPr>
            </w:pPr>
          </w:p>
        </w:tc>
      </w:tr>
      <w:tr w14:paraId="3F398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1A16B694">
            <w:pPr>
              <w:autoSpaceDE w:val="0"/>
              <w:autoSpaceDN w:val="0"/>
              <w:adjustRightInd w:val="0"/>
              <w:jc w:val="center"/>
              <w:rPr>
                <w:rFonts w:hint="eastAsia" w:ascii="宋体" w:hAnsi="宋体"/>
                <w:sz w:val="22"/>
              </w:rPr>
            </w:pPr>
            <w:r>
              <w:rPr>
                <w:rFonts w:ascii="宋体" w:hAnsi="宋体"/>
                <w:sz w:val="22"/>
              </w:rPr>
              <w:t>证书编号</w:t>
            </w:r>
          </w:p>
        </w:tc>
        <w:tc>
          <w:tcPr>
            <w:tcW w:w="2034" w:type="dxa"/>
            <w:vAlign w:val="center"/>
          </w:tcPr>
          <w:p w14:paraId="6077AB4C">
            <w:pPr>
              <w:autoSpaceDE w:val="0"/>
              <w:autoSpaceDN w:val="0"/>
              <w:adjustRightInd w:val="0"/>
              <w:jc w:val="center"/>
              <w:rPr>
                <w:rFonts w:hint="eastAsia" w:ascii="宋体" w:hAnsi="宋体"/>
                <w:sz w:val="22"/>
              </w:rPr>
            </w:pPr>
          </w:p>
        </w:tc>
        <w:tc>
          <w:tcPr>
            <w:tcW w:w="4234" w:type="dxa"/>
            <w:vMerge w:val="continue"/>
            <w:vAlign w:val="center"/>
          </w:tcPr>
          <w:p w14:paraId="1F5C44DC">
            <w:pPr>
              <w:adjustRightInd w:val="0"/>
              <w:jc w:val="center"/>
              <w:rPr>
                <w:rFonts w:hint="eastAsia" w:ascii="宋体" w:hAnsi="宋体" w:cs="Arial"/>
                <w:b w:val="0"/>
                <w:sz w:val="22"/>
              </w:rPr>
            </w:pPr>
          </w:p>
        </w:tc>
      </w:tr>
      <w:tr w14:paraId="40AE6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6555056E">
            <w:pPr>
              <w:autoSpaceDE w:val="0"/>
              <w:autoSpaceDN w:val="0"/>
              <w:adjustRightInd w:val="0"/>
              <w:jc w:val="center"/>
              <w:rPr>
                <w:rFonts w:hint="eastAsia" w:ascii="宋体" w:hAnsi="宋体"/>
                <w:sz w:val="22"/>
              </w:rPr>
            </w:pPr>
            <w:r>
              <w:rPr>
                <w:rFonts w:ascii="宋体" w:hAnsi="宋体"/>
                <w:sz w:val="22"/>
              </w:rPr>
              <w:t>其他资质情况</w:t>
            </w:r>
          </w:p>
        </w:tc>
        <w:tc>
          <w:tcPr>
            <w:tcW w:w="2034" w:type="dxa"/>
            <w:vAlign w:val="center"/>
          </w:tcPr>
          <w:p w14:paraId="317D96BA">
            <w:pPr>
              <w:autoSpaceDE w:val="0"/>
              <w:autoSpaceDN w:val="0"/>
              <w:adjustRightInd w:val="0"/>
              <w:jc w:val="center"/>
              <w:rPr>
                <w:rFonts w:hint="eastAsia" w:ascii="宋体" w:hAnsi="宋体"/>
                <w:sz w:val="22"/>
              </w:rPr>
            </w:pPr>
          </w:p>
        </w:tc>
        <w:tc>
          <w:tcPr>
            <w:tcW w:w="4234" w:type="dxa"/>
            <w:vMerge w:val="continue"/>
            <w:vAlign w:val="center"/>
          </w:tcPr>
          <w:p w14:paraId="7FD5A2B5">
            <w:pPr>
              <w:adjustRightInd w:val="0"/>
              <w:jc w:val="center"/>
              <w:rPr>
                <w:rFonts w:hint="eastAsia" w:ascii="宋体" w:hAnsi="宋体" w:cs="Arial"/>
                <w:b w:val="0"/>
                <w:sz w:val="22"/>
              </w:rPr>
            </w:pPr>
          </w:p>
        </w:tc>
      </w:tr>
      <w:tr w14:paraId="704309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2" w:hRule="atLeast"/>
          <w:jc w:val="center"/>
        </w:trPr>
        <w:tc>
          <w:tcPr>
            <w:tcW w:w="2039" w:type="dxa"/>
            <w:vAlign w:val="center"/>
          </w:tcPr>
          <w:p w14:paraId="091E9071">
            <w:pPr>
              <w:autoSpaceDE w:val="0"/>
              <w:autoSpaceDN w:val="0"/>
              <w:adjustRightInd w:val="0"/>
              <w:jc w:val="center"/>
              <w:rPr>
                <w:rFonts w:hint="eastAsia" w:ascii="宋体" w:hAnsi="宋体"/>
                <w:sz w:val="22"/>
              </w:rPr>
            </w:pPr>
            <w:r>
              <w:rPr>
                <w:rFonts w:ascii="宋体" w:hAnsi="宋体"/>
                <w:sz w:val="22"/>
              </w:rPr>
              <w:t>联系电话</w:t>
            </w:r>
          </w:p>
        </w:tc>
        <w:tc>
          <w:tcPr>
            <w:tcW w:w="2034" w:type="dxa"/>
            <w:vAlign w:val="center"/>
          </w:tcPr>
          <w:p w14:paraId="6A183C27">
            <w:pPr>
              <w:autoSpaceDE w:val="0"/>
              <w:autoSpaceDN w:val="0"/>
              <w:adjustRightInd w:val="0"/>
              <w:jc w:val="center"/>
              <w:rPr>
                <w:rFonts w:hint="eastAsia" w:ascii="宋体" w:hAnsi="宋体"/>
                <w:sz w:val="22"/>
              </w:rPr>
            </w:pPr>
          </w:p>
        </w:tc>
        <w:tc>
          <w:tcPr>
            <w:tcW w:w="4234" w:type="dxa"/>
            <w:vMerge w:val="continue"/>
            <w:vAlign w:val="center"/>
          </w:tcPr>
          <w:p w14:paraId="0712EE31">
            <w:pPr>
              <w:adjustRightInd w:val="0"/>
              <w:jc w:val="center"/>
              <w:rPr>
                <w:rFonts w:hint="eastAsia" w:ascii="宋体" w:hAnsi="宋体" w:cs="Arial"/>
                <w:b w:val="0"/>
                <w:sz w:val="22"/>
              </w:rPr>
            </w:pPr>
          </w:p>
        </w:tc>
      </w:tr>
    </w:tbl>
    <w:p w14:paraId="0993E612">
      <w:pPr>
        <w:spacing w:line="380" w:lineRule="exact"/>
        <w:rPr>
          <w:rFonts w:hint="eastAsia" w:ascii="宋体" w:hAnsi="宋体"/>
          <w:b w:val="0"/>
          <w:sz w:val="22"/>
          <w:u w:val="single"/>
        </w:rPr>
      </w:pPr>
      <w:r>
        <w:rPr>
          <w:rFonts w:hint="eastAsia" w:ascii="宋体" w:hAnsi="宋体"/>
          <w:b w:val="0"/>
          <w:sz w:val="22"/>
          <w:u w:val="single"/>
        </w:rPr>
        <w:t>注：须随表提交相应的证书复印件。</w:t>
      </w:r>
    </w:p>
    <w:p w14:paraId="5E936E5A">
      <w:pPr>
        <w:rPr>
          <w:rFonts w:hint="eastAsia" w:ascii="宋体" w:hAnsi="宋体"/>
          <w:sz w:val="22"/>
        </w:rPr>
      </w:pPr>
    </w:p>
    <w:p w14:paraId="28A92F0B">
      <w:pPr>
        <w:autoSpaceDE w:val="0"/>
        <w:autoSpaceDN w:val="0"/>
        <w:adjustRightInd w:val="0"/>
        <w:spacing w:line="360" w:lineRule="auto"/>
        <w:ind w:firstLine="325" w:firstLineChars="147"/>
        <w:rPr>
          <w:rFonts w:hint="eastAsia" w:ascii="宋体" w:hAnsi="宋体"/>
          <w:sz w:val="22"/>
          <w:szCs w:val="22"/>
        </w:rPr>
      </w:pPr>
      <w:r>
        <w:rPr>
          <w:rFonts w:hint="eastAsia" w:ascii="宋体" w:hAnsi="宋体"/>
          <w:sz w:val="22"/>
          <w:szCs w:val="22"/>
        </w:rPr>
        <w:t>投标人（盖章）：</w:t>
      </w:r>
    </w:p>
    <w:p w14:paraId="29B45AD8">
      <w:pPr>
        <w:autoSpaceDE w:val="0"/>
        <w:autoSpaceDN w:val="0"/>
        <w:adjustRightInd w:val="0"/>
        <w:spacing w:line="360" w:lineRule="auto"/>
        <w:ind w:firstLine="325" w:firstLineChars="147"/>
        <w:rPr>
          <w:rFonts w:hint="eastAsia" w:ascii="宋体" w:hAnsi="宋体"/>
          <w:sz w:val="22"/>
          <w:szCs w:val="22"/>
        </w:rPr>
      </w:pPr>
      <w:r>
        <w:rPr>
          <w:rFonts w:hint="eastAsia" w:ascii="宋体" w:hAnsi="宋体"/>
          <w:sz w:val="22"/>
          <w:szCs w:val="22"/>
        </w:rPr>
        <w:t>法定代表人或授权代表（签字或盖章）：</w:t>
      </w:r>
    </w:p>
    <w:p w14:paraId="65F67588">
      <w:pPr>
        <w:autoSpaceDE w:val="0"/>
        <w:autoSpaceDN w:val="0"/>
        <w:adjustRightInd w:val="0"/>
        <w:spacing w:line="360" w:lineRule="auto"/>
        <w:ind w:firstLine="325" w:firstLineChars="147"/>
        <w:rPr>
          <w:rFonts w:hint="eastAsia" w:ascii="宋体" w:hAnsi="宋体"/>
          <w:sz w:val="22"/>
          <w:szCs w:val="22"/>
        </w:rPr>
      </w:pPr>
      <w:r>
        <w:rPr>
          <w:rFonts w:hint="eastAsia" w:ascii="宋体" w:hAnsi="宋体"/>
          <w:sz w:val="22"/>
          <w:szCs w:val="22"/>
        </w:rPr>
        <w:t>日期：</w:t>
      </w:r>
    </w:p>
    <w:p w14:paraId="5E3CC589">
      <w:pPr>
        <w:pStyle w:val="23"/>
        <w:ind w:firstLine="0"/>
      </w:pPr>
    </w:p>
    <w:p w14:paraId="41AEE1F8">
      <w:pPr>
        <w:pStyle w:val="23"/>
        <w:ind w:firstLine="0"/>
      </w:pPr>
    </w:p>
    <w:p w14:paraId="19E0C56D">
      <w:pPr>
        <w:jc w:val="center"/>
        <w:rPr>
          <w:rFonts w:hint="eastAsia" w:hAnsi="宋体"/>
          <w:b w:val="0"/>
          <w:sz w:val="36"/>
          <w:szCs w:val="36"/>
        </w:rPr>
      </w:pPr>
      <w:r>
        <w:rPr>
          <w:rFonts w:hint="eastAsia"/>
          <w:b w:val="0"/>
          <w:sz w:val="30"/>
          <w:szCs w:val="30"/>
        </w:rPr>
        <w:t>拟派项目部组成成员</w:t>
      </w:r>
    </w:p>
    <w:p w14:paraId="3282F6D8">
      <w:pPr>
        <w:spacing w:line="360" w:lineRule="auto"/>
        <w:rPr>
          <w:rFonts w:hint="eastAsia" w:ascii="宋体" w:hAnsi="宋体"/>
          <w:b w:val="0"/>
          <w:sz w:val="22"/>
          <w:szCs w:val="22"/>
        </w:rPr>
      </w:pPr>
    </w:p>
    <w:p w14:paraId="4577560B">
      <w:pPr>
        <w:spacing w:line="360" w:lineRule="auto"/>
        <w:rPr>
          <w:rFonts w:hint="eastAsia" w:ascii="宋体" w:hAnsi="宋体"/>
          <w:b w:val="0"/>
          <w:bCs w:val="0"/>
          <w:sz w:val="22"/>
          <w:szCs w:val="22"/>
        </w:rPr>
      </w:pPr>
      <w:r>
        <w:rPr>
          <w:rFonts w:hint="eastAsia" w:ascii="宋体" w:hAnsi="宋体"/>
          <w:b w:val="0"/>
          <w:sz w:val="22"/>
          <w:szCs w:val="22"/>
        </w:rPr>
        <w:t>项目名称：                                         项目编号：</w:t>
      </w:r>
    </w:p>
    <w:tbl>
      <w:tblPr>
        <w:tblStyle w:val="35"/>
        <w:tblW w:w="82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5"/>
        <w:gridCol w:w="1260"/>
        <w:gridCol w:w="1061"/>
        <w:gridCol w:w="863"/>
        <w:gridCol w:w="937"/>
        <w:gridCol w:w="1050"/>
        <w:gridCol w:w="1175"/>
        <w:gridCol w:w="954"/>
      </w:tblGrid>
      <w:tr w14:paraId="64431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55" w:type="dxa"/>
            <w:vAlign w:val="center"/>
          </w:tcPr>
          <w:p w14:paraId="1D457F15">
            <w:pPr>
              <w:adjustRightInd w:val="0"/>
              <w:snapToGrid w:val="0"/>
              <w:jc w:val="center"/>
              <w:rPr>
                <w:rFonts w:hint="eastAsia" w:ascii="宋体" w:hAnsi="宋体"/>
                <w:sz w:val="22"/>
              </w:rPr>
            </w:pPr>
            <w:r>
              <w:rPr>
                <w:rFonts w:hint="eastAsia" w:ascii="宋体" w:hAnsi="宋体"/>
                <w:sz w:val="22"/>
              </w:rPr>
              <w:t>序号</w:t>
            </w:r>
          </w:p>
        </w:tc>
        <w:tc>
          <w:tcPr>
            <w:tcW w:w="1260" w:type="dxa"/>
            <w:vAlign w:val="center"/>
          </w:tcPr>
          <w:p w14:paraId="0CACB585">
            <w:pPr>
              <w:adjustRightInd w:val="0"/>
              <w:snapToGrid w:val="0"/>
              <w:jc w:val="center"/>
              <w:rPr>
                <w:rFonts w:hint="eastAsia" w:ascii="宋体" w:hAnsi="宋体"/>
                <w:sz w:val="22"/>
              </w:rPr>
            </w:pPr>
            <w:r>
              <w:rPr>
                <w:rFonts w:hint="eastAsia" w:ascii="宋体" w:hAnsi="宋体"/>
                <w:sz w:val="22"/>
              </w:rPr>
              <w:t>姓名</w:t>
            </w:r>
          </w:p>
        </w:tc>
        <w:tc>
          <w:tcPr>
            <w:tcW w:w="1061" w:type="dxa"/>
            <w:vAlign w:val="center"/>
          </w:tcPr>
          <w:p w14:paraId="008646C6">
            <w:pPr>
              <w:adjustRightInd w:val="0"/>
              <w:snapToGrid w:val="0"/>
              <w:jc w:val="center"/>
              <w:rPr>
                <w:rFonts w:hint="eastAsia" w:ascii="宋体" w:hAnsi="宋体"/>
                <w:sz w:val="22"/>
              </w:rPr>
            </w:pPr>
            <w:r>
              <w:rPr>
                <w:rFonts w:hint="eastAsia" w:ascii="宋体" w:hAnsi="宋体"/>
                <w:sz w:val="22"/>
              </w:rPr>
              <w:t>性别</w:t>
            </w:r>
          </w:p>
        </w:tc>
        <w:tc>
          <w:tcPr>
            <w:tcW w:w="863" w:type="dxa"/>
            <w:vAlign w:val="center"/>
          </w:tcPr>
          <w:p w14:paraId="00F2A62A">
            <w:pPr>
              <w:adjustRightInd w:val="0"/>
              <w:snapToGrid w:val="0"/>
              <w:jc w:val="center"/>
              <w:rPr>
                <w:rFonts w:hint="eastAsia" w:ascii="宋体" w:hAnsi="宋体"/>
                <w:sz w:val="22"/>
              </w:rPr>
            </w:pPr>
            <w:r>
              <w:rPr>
                <w:rFonts w:hint="eastAsia" w:ascii="宋体" w:hAnsi="宋体"/>
                <w:sz w:val="22"/>
              </w:rPr>
              <w:t>年龄</w:t>
            </w:r>
          </w:p>
        </w:tc>
        <w:tc>
          <w:tcPr>
            <w:tcW w:w="937" w:type="dxa"/>
            <w:vAlign w:val="center"/>
          </w:tcPr>
          <w:p w14:paraId="273F847A">
            <w:pPr>
              <w:adjustRightInd w:val="0"/>
              <w:snapToGrid w:val="0"/>
              <w:jc w:val="center"/>
              <w:rPr>
                <w:rFonts w:hint="eastAsia" w:ascii="宋体" w:hAnsi="宋体"/>
                <w:sz w:val="22"/>
              </w:rPr>
            </w:pPr>
            <w:r>
              <w:rPr>
                <w:rFonts w:hint="eastAsia" w:ascii="宋体" w:hAnsi="宋体"/>
                <w:sz w:val="22"/>
              </w:rPr>
              <w:t>学历</w:t>
            </w:r>
          </w:p>
        </w:tc>
        <w:tc>
          <w:tcPr>
            <w:tcW w:w="1050" w:type="dxa"/>
            <w:vAlign w:val="center"/>
          </w:tcPr>
          <w:p w14:paraId="20DE06D5">
            <w:pPr>
              <w:adjustRightInd w:val="0"/>
              <w:snapToGrid w:val="0"/>
              <w:jc w:val="center"/>
              <w:rPr>
                <w:rFonts w:hint="eastAsia" w:ascii="宋体" w:hAnsi="宋体"/>
                <w:sz w:val="22"/>
              </w:rPr>
            </w:pPr>
            <w:r>
              <w:rPr>
                <w:rFonts w:hint="eastAsia" w:ascii="宋体" w:hAnsi="宋体"/>
                <w:sz w:val="22"/>
              </w:rPr>
              <w:t>专业</w:t>
            </w:r>
          </w:p>
        </w:tc>
        <w:tc>
          <w:tcPr>
            <w:tcW w:w="1175" w:type="dxa"/>
            <w:vAlign w:val="center"/>
          </w:tcPr>
          <w:p w14:paraId="6C88D104">
            <w:pPr>
              <w:adjustRightInd w:val="0"/>
              <w:snapToGrid w:val="0"/>
              <w:jc w:val="center"/>
              <w:rPr>
                <w:rFonts w:hint="eastAsia" w:ascii="宋体" w:hAnsi="宋体"/>
                <w:sz w:val="22"/>
              </w:rPr>
            </w:pPr>
            <w:r>
              <w:rPr>
                <w:rFonts w:hint="eastAsia" w:ascii="宋体" w:hAnsi="宋体"/>
                <w:sz w:val="22"/>
              </w:rPr>
              <w:t>本项目中的职责</w:t>
            </w:r>
          </w:p>
        </w:tc>
        <w:tc>
          <w:tcPr>
            <w:tcW w:w="954" w:type="dxa"/>
            <w:vAlign w:val="center"/>
          </w:tcPr>
          <w:p w14:paraId="048F74B1">
            <w:pPr>
              <w:adjustRightInd w:val="0"/>
              <w:snapToGrid w:val="0"/>
              <w:jc w:val="center"/>
              <w:rPr>
                <w:rFonts w:hint="eastAsia" w:ascii="宋体" w:hAnsi="宋体"/>
                <w:sz w:val="22"/>
              </w:rPr>
            </w:pPr>
            <w:r>
              <w:rPr>
                <w:rFonts w:hint="eastAsia" w:ascii="宋体" w:hAnsi="宋体"/>
                <w:sz w:val="22"/>
              </w:rPr>
              <w:t>从事专业年限</w:t>
            </w:r>
          </w:p>
        </w:tc>
      </w:tr>
      <w:tr w14:paraId="12718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7CF2ABC9">
            <w:pPr>
              <w:adjustRightInd w:val="0"/>
              <w:snapToGrid w:val="0"/>
              <w:spacing w:line="360" w:lineRule="auto"/>
              <w:jc w:val="center"/>
              <w:rPr>
                <w:rFonts w:hint="eastAsia" w:ascii="宋体" w:hAnsi="宋体"/>
                <w:sz w:val="22"/>
              </w:rPr>
            </w:pPr>
          </w:p>
        </w:tc>
        <w:tc>
          <w:tcPr>
            <w:tcW w:w="1260" w:type="dxa"/>
            <w:vAlign w:val="center"/>
          </w:tcPr>
          <w:p w14:paraId="375F038F">
            <w:pPr>
              <w:adjustRightInd w:val="0"/>
              <w:snapToGrid w:val="0"/>
              <w:spacing w:line="360" w:lineRule="auto"/>
              <w:jc w:val="center"/>
              <w:rPr>
                <w:rFonts w:hint="eastAsia" w:ascii="宋体" w:hAnsi="宋体"/>
                <w:sz w:val="22"/>
              </w:rPr>
            </w:pPr>
          </w:p>
        </w:tc>
        <w:tc>
          <w:tcPr>
            <w:tcW w:w="1061" w:type="dxa"/>
            <w:vAlign w:val="center"/>
          </w:tcPr>
          <w:p w14:paraId="2DB97E0F">
            <w:pPr>
              <w:adjustRightInd w:val="0"/>
              <w:snapToGrid w:val="0"/>
              <w:spacing w:line="360" w:lineRule="auto"/>
              <w:jc w:val="center"/>
              <w:rPr>
                <w:rFonts w:hint="eastAsia" w:ascii="宋体" w:hAnsi="宋体"/>
                <w:sz w:val="22"/>
              </w:rPr>
            </w:pPr>
          </w:p>
        </w:tc>
        <w:tc>
          <w:tcPr>
            <w:tcW w:w="863" w:type="dxa"/>
            <w:vAlign w:val="center"/>
          </w:tcPr>
          <w:p w14:paraId="7667FD0C">
            <w:pPr>
              <w:adjustRightInd w:val="0"/>
              <w:snapToGrid w:val="0"/>
              <w:spacing w:line="360" w:lineRule="auto"/>
              <w:jc w:val="center"/>
              <w:rPr>
                <w:rFonts w:hint="eastAsia" w:ascii="宋体" w:hAnsi="宋体"/>
                <w:sz w:val="22"/>
              </w:rPr>
            </w:pPr>
          </w:p>
        </w:tc>
        <w:tc>
          <w:tcPr>
            <w:tcW w:w="937" w:type="dxa"/>
            <w:vAlign w:val="center"/>
          </w:tcPr>
          <w:p w14:paraId="4D55ADF9">
            <w:pPr>
              <w:adjustRightInd w:val="0"/>
              <w:snapToGrid w:val="0"/>
              <w:spacing w:line="360" w:lineRule="auto"/>
              <w:jc w:val="center"/>
              <w:rPr>
                <w:rFonts w:hint="eastAsia" w:ascii="宋体" w:hAnsi="宋体"/>
                <w:sz w:val="22"/>
              </w:rPr>
            </w:pPr>
          </w:p>
        </w:tc>
        <w:tc>
          <w:tcPr>
            <w:tcW w:w="1050" w:type="dxa"/>
            <w:vAlign w:val="center"/>
          </w:tcPr>
          <w:p w14:paraId="06CAC056">
            <w:pPr>
              <w:adjustRightInd w:val="0"/>
              <w:snapToGrid w:val="0"/>
              <w:spacing w:line="360" w:lineRule="auto"/>
              <w:jc w:val="center"/>
              <w:rPr>
                <w:rFonts w:hint="eastAsia" w:ascii="宋体" w:hAnsi="宋体"/>
                <w:sz w:val="22"/>
              </w:rPr>
            </w:pPr>
          </w:p>
        </w:tc>
        <w:tc>
          <w:tcPr>
            <w:tcW w:w="1175" w:type="dxa"/>
            <w:vAlign w:val="center"/>
          </w:tcPr>
          <w:p w14:paraId="38CD70C9">
            <w:pPr>
              <w:adjustRightInd w:val="0"/>
              <w:snapToGrid w:val="0"/>
              <w:spacing w:line="360" w:lineRule="auto"/>
              <w:jc w:val="center"/>
              <w:rPr>
                <w:rFonts w:hint="eastAsia" w:ascii="宋体" w:hAnsi="宋体"/>
                <w:sz w:val="22"/>
              </w:rPr>
            </w:pPr>
          </w:p>
        </w:tc>
        <w:tc>
          <w:tcPr>
            <w:tcW w:w="954" w:type="dxa"/>
            <w:vAlign w:val="center"/>
          </w:tcPr>
          <w:p w14:paraId="708C64AE">
            <w:pPr>
              <w:adjustRightInd w:val="0"/>
              <w:snapToGrid w:val="0"/>
              <w:spacing w:line="360" w:lineRule="auto"/>
              <w:jc w:val="center"/>
              <w:rPr>
                <w:rFonts w:hint="eastAsia" w:ascii="宋体" w:hAnsi="宋体"/>
                <w:sz w:val="22"/>
              </w:rPr>
            </w:pPr>
          </w:p>
        </w:tc>
      </w:tr>
      <w:tr w14:paraId="56C86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67218856">
            <w:pPr>
              <w:adjustRightInd w:val="0"/>
              <w:snapToGrid w:val="0"/>
              <w:spacing w:line="360" w:lineRule="auto"/>
              <w:jc w:val="center"/>
              <w:rPr>
                <w:rFonts w:hint="eastAsia" w:ascii="宋体" w:hAnsi="宋体"/>
                <w:sz w:val="22"/>
              </w:rPr>
            </w:pPr>
          </w:p>
        </w:tc>
        <w:tc>
          <w:tcPr>
            <w:tcW w:w="1260" w:type="dxa"/>
            <w:vAlign w:val="center"/>
          </w:tcPr>
          <w:p w14:paraId="4582AE64">
            <w:pPr>
              <w:adjustRightInd w:val="0"/>
              <w:snapToGrid w:val="0"/>
              <w:spacing w:line="360" w:lineRule="auto"/>
              <w:jc w:val="center"/>
              <w:rPr>
                <w:rFonts w:hint="eastAsia" w:ascii="宋体" w:hAnsi="宋体"/>
                <w:sz w:val="22"/>
              </w:rPr>
            </w:pPr>
          </w:p>
        </w:tc>
        <w:tc>
          <w:tcPr>
            <w:tcW w:w="1061" w:type="dxa"/>
            <w:vAlign w:val="center"/>
          </w:tcPr>
          <w:p w14:paraId="3271F150">
            <w:pPr>
              <w:adjustRightInd w:val="0"/>
              <w:snapToGrid w:val="0"/>
              <w:spacing w:line="360" w:lineRule="auto"/>
              <w:jc w:val="center"/>
              <w:rPr>
                <w:rFonts w:hint="eastAsia" w:ascii="宋体" w:hAnsi="宋体"/>
                <w:sz w:val="22"/>
              </w:rPr>
            </w:pPr>
          </w:p>
        </w:tc>
        <w:tc>
          <w:tcPr>
            <w:tcW w:w="863" w:type="dxa"/>
            <w:vAlign w:val="center"/>
          </w:tcPr>
          <w:p w14:paraId="3C3BC054">
            <w:pPr>
              <w:adjustRightInd w:val="0"/>
              <w:snapToGrid w:val="0"/>
              <w:spacing w:line="360" w:lineRule="auto"/>
              <w:jc w:val="center"/>
              <w:rPr>
                <w:rFonts w:hint="eastAsia" w:ascii="宋体" w:hAnsi="宋体"/>
                <w:sz w:val="22"/>
              </w:rPr>
            </w:pPr>
          </w:p>
        </w:tc>
        <w:tc>
          <w:tcPr>
            <w:tcW w:w="937" w:type="dxa"/>
            <w:vAlign w:val="center"/>
          </w:tcPr>
          <w:p w14:paraId="4AE39794">
            <w:pPr>
              <w:adjustRightInd w:val="0"/>
              <w:snapToGrid w:val="0"/>
              <w:spacing w:line="360" w:lineRule="auto"/>
              <w:jc w:val="center"/>
              <w:rPr>
                <w:rFonts w:hint="eastAsia" w:ascii="宋体" w:hAnsi="宋体"/>
                <w:sz w:val="22"/>
              </w:rPr>
            </w:pPr>
          </w:p>
        </w:tc>
        <w:tc>
          <w:tcPr>
            <w:tcW w:w="1050" w:type="dxa"/>
            <w:vAlign w:val="center"/>
          </w:tcPr>
          <w:p w14:paraId="331D4E67">
            <w:pPr>
              <w:adjustRightInd w:val="0"/>
              <w:snapToGrid w:val="0"/>
              <w:spacing w:line="360" w:lineRule="auto"/>
              <w:jc w:val="center"/>
              <w:rPr>
                <w:rFonts w:hint="eastAsia" w:ascii="宋体" w:hAnsi="宋体"/>
                <w:sz w:val="22"/>
              </w:rPr>
            </w:pPr>
          </w:p>
        </w:tc>
        <w:tc>
          <w:tcPr>
            <w:tcW w:w="1175" w:type="dxa"/>
            <w:vAlign w:val="center"/>
          </w:tcPr>
          <w:p w14:paraId="20CA8811">
            <w:pPr>
              <w:adjustRightInd w:val="0"/>
              <w:snapToGrid w:val="0"/>
              <w:spacing w:line="360" w:lineRule="auto"/>
              <w:jc w:val="center"/>
              <w:rPr>
                <w:rFonts w:hint="eastAsia" w:ascii="宋体" w:hAnsi="宋体"/>
                <w:sz w:val="22"/>
              </w:rPr>
            </w:pPr>
          </w:p>
        </w:tc>
        <w:tc>
          <w:tcPr>
            <w:tcW w:w="954" w:type="dxa"/>
            <w:vAlign w:val="center"/>
          </w:tcPr>
          <w:p w14:paraId="18871FED">
            <w:pPr>
              <w:adjustRightInd w:val="0"/>
              <w:snapToGrid w:val="0"/>
              <w:spacing w:line="360" w:lineRule="auto"/>
              <w:jc w:val="center"/>
              <w:rPr>
                <w:rFonts w:hint="eastAsia" w:ascii="宋体" w:hAnsi="宋体"/>
                <w:sz w:val="22"/>
              </w:rPr>
            </w:pPr>
          </w:p>
        </w:tc>
      </w:tr>
      <w:tr w14:paraId="1FE05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11ECF4D1">
            <w:pPr>
              <w:adjustRightInd w:val="0"/>
              <w:snapToGrid w:val="0"/>
              <w:spacing w:line="360" w:lineRule="auto"/>
              <w:jc w:val="center"/>
              <w:rPr>
                <w:rFonts w:hint="eastAsia" w:ascii="宋体" w:hAnsi="宋体"/>
                <w:sz w:val="22"/>
              </w:rPr>
            </w:pPr>
          </w:p>
        </w:tc>
        <w:tc>
          <w:tcPr>
            <w:tcW w:w="1260" w:type="dxa"/>
            <w:vAlign w:val="center"/>
          </w:tcPr>
          <w:p w14:paraId="771E83BA">
            <w:pPr>
              <w:adjustRightInd w:val="0"/>
              <w:snapToGrid w:val="0"/>
              <w:spacing w:line="360" w:lineRule="auto"/>
              <w:jc w:val="center"/>
              <w:rPr>
                <w:rFonts w:hint="eastAsia" w:ascii="宋体" w:hAnsi="宋体"/>
                <w:sz w:val="22"/>
              </w:rPr>
            </w:pPr>
          </w:p>
        </w:tc>
        <w:tc>
          <w:tcPr>
            <w:tcW w:w="1061" w:type="dxa"/>
            <w:vAlign w:val="center"/>
          </w:tcPr>
          <w:p w14:paraId="4DF943DC">
            <w:pPr>
              <w:adjustRightInd w:val="0"/>
              <w:snapToGrid w:val="0"/>
              <w:spacing w:line="360" w:lineRule="auto"/>
              <w:jc w:val="center"/>
              <w:rPr>
                <w:rFonts w:hint="eastAsia" w:ascii="宋体" w:hAnsi="宋体"/>
                <w:sz w:val="22"/>
              </w:rPr>
            </w:pPr>
          </w:p>
        </w:tc>
        <w:tc>
          <w:tcPr>
            <w:tcW w:w="863" w:type="dxa"/>
            <w:vAlign w:val="center"/>
          </w:tcPr>
          <w:p w14:paraId="79197FDE">
            <w:pPr>
              <w:adjustRightInd w:val="0"/>
              <w:snapToGrid w:val="0"/>
              <w:spacing w:line="360" w:lineRule="auto"/>
              <w:jc w:val="center"/>
              <w:rPr>
                <w:rFonts w:hint="eastAsia" w:ascii="宋体" w:hAnsi="宋体"/>
                <w:sz w:val="22"/>
              </w:rPr>
            </w:pPr>
          </w:p>
        </w:tc>
        <w:tc>
          <w:tcPr>
            <w:tcW w:w="937" w:type="dxa"/>
            <w:vAlign w:val="center"/>
          </w:tcPr>
          <w:p w14:paraId="77BB8789">
            <w:pPr>
              <w:adjustRightInd w:val="0"/>
              <w:snapToGrid w:val="0"/>
              <w:spacing w:line="360" w:lineRule="auto"/>
              <w:jc w:val="center"/>
              <w:rPr>
                <w:rFonts w:hint="eastAsia" w:ascii="宋体" w:hAnsi="宋体"/>
                <w:sz w:val="22"/>
              </w:rPr>
            </w:pPr>
          </w:p>
        </w:tc>
        <w:tc>
          <w:tcPr>
            <w:tcW w:w="1050" w:type="dxa"/>
            <w:vAlign w:val="center"/>
          </w:tcPr>
          <w:p w14:paraId="5F6A274F">
            <w:pPr>
              <w:adjustRightInd w:val="0"/>
              <w:snapToGrid w:val="0"/>
              <w:spacing w:line="360" w:lineRule="auto"/>
              <w:jc w:val="center"/>
              <w:rPr>
                <w:rFonts w:hint="eastAsia" w:ascii="宋体" w:hAnsi="宋体"/>
                <w:sz w:val="22"/>
              </w:rPr>
            </w:pPr>
          </w:p>
        </w:tc>
        <w:tc>
          <w:tcPr>
            <w:tcW w:w="1175" w:type="dxa"/>
            <w:vAlign w:val="center"/>
          </w:tcPr>
          <w:p w14:paraId="2A310336">
            <w:pPr>
              <w:adjustRightInd w:val="0"/>
              <w:snapToGrid w:val="0"/>
              <w:spacing w:line="360" w:lineRule="auto"/>
              <w:jc w:val="center"/>
              <w:rPr>
                <w:rFonts w:hint="eastAsia" w:ascii="宋体" w:hAnsi="宋体"/>
                <w:sz w:val="22"/>
              </w:rPr>
            </w:pPr>
          </w:p>
        </w:tc>
        <w:tc>
          <w:tcPr>
            <w:tcW w:w="954" w:type="dxa"/>
            <w:vAlign w:val="center"/>
          </w:tcPr>
          <w:p w14:paraId="2D653CAB">
            <w:pPr>
              <w:adjustRightInd w:val="0"/>
              <w:snapToGrid w:val="0"/>
              <w:spacing w:line="360" w:lineRule="auto"/>
              <w:jc w:val="center"/>
              <w:rPr>
                <w:rFonts w:hint="eastAsia" w:ascii="宋体" w:hAnsi="宋体"/>
                <w:sz w:val="22"/>
              </w:rPr>
            </w:pPr>
          </w:p>
        </w:tc>
      </w:tr>
      <w:tr w14:paraId="70047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08628C52">
            <w:pPr>
              <w:adjustRightInd w:val="0"/>
              <w:snapToGrid w:val="0"/>
              <w:spacing w:line="360" w:lineRule="auto"/>
              <w:jc w:val="center"/>
              <w:rPr>
                <w:rFonts w:hint="eastAsia" w:ascii="宋体" w:hAnsi="宋体"/>
                <w:sz w:val="22"/>
              </w:rPr>
            </w:pPr>
          </w:p>
        </w:tc>
        <w:tc>
          <w:tcPr>
            <w:tcW w:w="1260" w:type="dxa"/>
            <w:vAlign w:val="center"/>
          </w:tcPr>
          <w:p w14:paraId="21F4A0EE">
            <w:pPr>
              <w:adjustRightInd w:val="0"/>
              <w:snapToGrid w:val="0"/>
              <w:spacing w:line="360" w:lineRule="auto"/>
              <w:jc w:val="center"/>
              <w:rPr>
                <w:rFonts w:hint="eastAsia" w:ascii="宋体" w:hAnsi="宋体"/>
                <w:sz w:val="22"/>
              </w:rPr>
            </w:pPr>
          </w:p>
        </w:tc>
        <w:tc>
          <w:tcPr>
            <w:tcW w:w="1061" w:type="dxa"/>
            <w:vAlign w:val="center"/>
          </w:tcPr>
          <w:p w14:paraId="78F5C8B6">
            <w:pPr>
              <w:adjustRightInd w:val="0"/>
              <w:snapToGrid w:val="0"/>
              <w:spacing w:line="360" w:lineRule="auto"/>
              <w:jc w:val="center"/>
              <w:rPr>
                <w:rFonts w:hint="eastAsia" w:ascii="宋体" w:hAnsi="宋体"/>
                <w:sz w:val="22"/>
              </w:rPr>
            </w:pPr>
          </w:p>
        </w:tc>
        <w:tc>
          <w:tcPr>
            <w:tcW w:w="863" w:type="dxa"/>
            <w:vAlign w:val="center"/>
          </w:tcPr>
          <w:p w14:paraId="7CF6042B">
            <w:pPr>
              <w:adjustRightInd w:val="0"/>
              <w:snapToGrid w:val="0"/>
              <w:spacing w:line="360" w:lineRule="auto"/>
              <w:jc w:val="center"/>
              <w:rPr>
                <w:rFonts w:hint="eastAsia" w:ascii="宋体" w:hAnsi="宋体"/>
                <w:sz w:val="22"/>
              </w:rPr>
            </w:pPr>
          </w:p>
        </w:tc>
        <w:tc>
          <w:tcPr>
            <w:tcW w:w="937" w:type="dxa"/>
            <w:vAlign w:val="center"/>
          </w:tcPr>
          <w:p w14:paraId="5F2AFCC6">
            <w:pPr>
              <w:adjustRightInd w:val="0"/>
              <w:snapToGrid w:val="0"/>
              <w:spacing w:line="360" w:lineRule="auto"/>
              <w:jc w:val="center"/>
              <w:rPr>
                <w:rFonts w:hint="eastAsia" w:ascii="宋体" w:hAnsi="宋体"/>
                <w:sz w:val="22"/>
              </w:rPr>
            </w:pPr>
          </w:p>
        </w:tc>
        <w:tc>
          <w:tcPr>
            <w:tcW w:w="1050" w:type="dxa"/>
            <w:vAlign w:val="center"/>
          </w:tcPr>
          <w:p w14:paraId="47C0CBA8">
            <w:pPr>
              <w:adjustRightInd w:val="0"/>
              <w:snapToGrid w:val="0"/>
              <w:spacing w:line="360" w:lineRule="auto"/>
              <w:jc w:val="center"/>
              <w:rPr>
                <w:rFonts w:hint="eastAsia" w:ascii="宋体" w:hAnsi="宋体"/>
                <w:sz w:val="22"/>
              </w:rPr>
            </w:pPr>
          </w:p>
        </w:tc>
        <w:tc>
          <w:tcPr>
            <w:tcW w:w="1175" w:type="dxa"/>
            <w:vAlign w:val="center"/>
          </w:tcPr>
          <w:p w14:paraId="42ADB1EA">
            <w:pPr>
              <w:adjustRightInd w:val="0"/>
              <w:snapToGrid w:val="0"/>
              <w:spacing w:line="360" w:lineRule="auto"/>
              <w:jc w:val="center"/>
              <w:rPr>
                <w:rFonts w:hint="eastAsia" w:ascii="宋体" w:hAnsi="宋体"/>
                <w:sz w:val="22"/>
              </w:rPr>
            </w:pPr>
          </w:p>
        </w:tc>
        <w:tc>
          <w:tcPr>
            <w:tcW w:w="954" w:type="dxa"/>
            <w:vAlign w:val="center"/>
          </w:tcPr>
          <w:p w14:paraId="1948CEBE">
            <w:pPr>
              <w:adjustRightInd w:val="0"/>
              <w:snapToGrid w:val="0"/>
              <w:spacing w:line="360" w:lineRule="auto"/>
              <w:jc w:val="center"/>
              <w:rPr>
                <w:rFonts w:hint="eastAsia" w:ascii="宋体" w:hAnsi="宋体"/>
                <w:sz w:val="22"/>
              </w:rPr>
            </w:pPr>
          </w:p>
        </w:tc>
      </w:tr>
      <w:tr w14:paraId="1AA6C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15AC5A4D">
            <w:pPr>
              <w:adjustRightInd w:val="0"/>
              <w:snapToGrid w:val="0"/>
              <w:spacing w:line="360" w:lineRule="auto"/>
              <w:jc w:val="center"/>
              <w:rPr>
                <w:rFonts w:hint="eastAsia" w:ascii="宋体" w:hAnsi="宋体"/>
                <w:sz w:val="22"/>
              </w:rPr>
            </w:pPr>
          </w:p>
        </w:tc>
        <w:tc>
          <w:tcPr>
            <w:tcW w:w="1260" w:type="dxa"/>
            <w:vAlign w:val="center"/>
          </w:tcPr>
          <w:p w14:paraId="15D41BA0">
            <w:pPr>
              <w:adjustRightInd w:val="0"/>
              <w:snapToGrid w:val="0"/>
              <w:spacing w:line="360" w:lineRule="auto"/>
              <w:jc w:val="center"/>
              <w:rPr>
                <w:rFonts w:hint="eastAsia" w:ascii="宋体" w:hAnsi="宋体"/>
                <w:sz w:val="22"/>
              </w:rPr>
            </w:pPr>
          </w:p>
        </w:tc>
        <w:tc>
          <w:tcPr>
            <w:tcW w:w="1061" w:type="dxa"/>
            <w:vAlign w:val="center"/>
          </w:tcPr>
          <w:p w14:paraId="125768A5">
            <w:pPr>
              <w:adjustRightInd w:val="0"/>
              <w:snapToGrid w:val="0"/>
              <w:spacing w:line="360" w:lineRule="auto"/>
              <w:jc w:val="center"/>
              <w:rPr>
                <w:rFonts w:hint="eastAsia" w:ascii="宋体" w:hAnsi="宋体"/>
                <w:sz w:val="22"/>
              </w:rPr>
            </w:pPr>
          </w:p>
        </w:tc>
        <w:tc>
          <w:tcPr>
            <w:tcW w:w="863" w:type="dxa"/>
            <w:vAlign w:val="center"/>
          </w:tcPr>
          <w:p w14:paraId="270B5425">
            <w:pPr>
              <w:adjustRightInd w:val="0"/>
              <w:snapToGrid w:val="0"/>
              <w:spacing w:line="360" w:lineRule="auto"/>
              <w:jc w:val="center"/>
              <w:rPr>
                <w:rFonts w:hint="eastAsia" w:ascii="宋体" w:hAnsi="宋体"/>
                <w:sz w:val="22"/>
              </w:rPr>
            </w:pPr>
          </w:p>
        </w:tc>
        <w:tc>
          <w:tcPr>
            <w:tcW w:w="937" w:type="dxa"/>
            <w:vAlign w:val="center"/>
          </w:tcPr>
          <w:p w14:paraId="72322A61">
            <w:pPr>
              <w:adjustRightInd w:val="0"/>
              <w:snapToGrid w:val="0"/>
              <w:spacing w:line="360" w:lineRule="auto"/>
              <w:jc w:val="center"/>
              <w:rPr>
                <w:rFonts w:hint="eastAsia" w:ascii="宋体" w:hAnsi="宋体"/>
                <w:sz w:val="22"/>
              </w:rPr>
            </w:pPr>
          </w:p>
        </w:tc>
        <w:tc>
          <w:tcPr>
            <w:tcW w:w="1050" w:type="dxa"/>
            <w:vAlign w:val="center"/>
          </w:tcPr>
          <w:p w14:paraId="12BD4878">
            <w:pPr>
              <w:adjustRightInd w:val="0"/>
              <w:snapToGrid w:val="0"/>
              <w:spacing w:line="360" w:lineRule="auto"/>
              <w:jc w:val="center"/>
              <w:rPr>
                <w:rFonts w:hint="eastAsia" w:ascii="宋体" w:hAnsi="宋体"/>
                <w:sz w:val="22"/>
              </w:rPr>
            </w:pPr>
          </w:p>
        </w:tc>
        <w:tc>
          <w:tcPr>
            <w:tcW w:w="1175" w:type="dxa"/>
            <w:vAlign w:val="center"/>
          </w:tcPr>
          <w:p w14:paraId="0FE107B2">
            <w:pPr>
              <w:adjustRightInd w:val="0"/>
              <w:snapToGrid w:val="0"/>
              <w:spacing w:line="360" w:lineRule="auto"/>
              <w:jc w:val="center"/>
              <w:rPr>
                <w:rFonts w:hint="eastAsia" w:ascii="宋体" w:hAnsi="宋体"/>
                <w:sz w:val="22"/>
              </w:rPr>
            </w:pPr>
          </w:p>
        </w:tc>
        <w:tc>
          <w:tcPr>
            <w:tcW w:w="954" w:type="dxa"/>
            <w:vAlign w:val="center"/>
          </w:tcPr>
          <w:p w14:paraId="0FAA966C">
            <w:pPr>
              <w:adjustRightInd w:val="0"/>
              <w:snapToGrid w:val="0"/>
              <w:spacing w:line="360" w:lineRule="auto"/>
              <w:jc w:val="center"/>
              <w:rPr>
                <w:rFonts w:hint="eastAsia" w:ascii="宋体" w:hAnsi="宋体"/>
                <w:sz w:val="22"/>
              </w:rPr>
            </w:pPr>
          </w:p>
        </w:tc>
      </w:tr>
      <w:tr w14:paraId="6108E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7FCF8F6F">
            <w:pPr>
              <w:adjustRightInd w:val="0"/>
              <w:snapToGrid w:val="0"/>
              <w:spacing w:line="360" w:lineRule="auto"/>
              <w:jc w:val="center"/>
              <w:rPr>
                <w:rFonts w:hint="eastAsia" w:ascii="宋体" w:hAnsi="宋体"/>
                <w:sz w:val="22"/>
              </w:rPr>
            </w:pPr>
          </w:p>
        </w:tc>
        <w:tc>
          <w:tcPr>
            <w:tcW w:w="1260" w:type="dxa"/>
            <w:vAlign w:val="center"/>
          </w:tcPr>
          <w:p w14:paraId="14859E3C">
            <w:pPr>
              <w:adjustRightInd w:val="0"/>
              <w:snapToGrid w:val="0"/>
              <w:spacing w:line="360" w:lineRule="auto"/>
              <w:jc w:val="center"/>
              <w:rPr>
                <w:rFonts w:hint="eastAsia" w:ascii="宋体" w:hAnsi="宋体"/>
                <w:sz w:val="22"/>
              </w:rPr>
            </w:pPr>
          </w:p>
        </w:tc>
        <w:tc>
          <w:tcPr>
            <w:tcW w:w="1061" w:type="dxa"/>
            <w:vAlign w:val="center"/>
          </w:tcPr>
          <w:p w14:paraId="369D5B80">
            <w:pPr>
              <w:adjustRightInd w:val="0"/>
              <w:snapToGrid w:val="0"/>
              <w:spacing w:line="360" w:lineRule="auto"/>
              <w:jc w:val="center"/>
              <w:rPr>
                <w:rFonts w:hint="eastAsia" w:ascii="宋体" w:hAnsi="宋体"/>
                <w:sz w:val="22"/>
              </w:rPr>
            </w:pPr>
          </w:p>
        </w:tc>
        <w:tc>
          <w:tcPr>
            <w:tcW w:w="863" w:type="dxa"/>
            <w:vAlign w:val="center"/>
          </w:tcPr>
          <w:p w14:paraId="445B2159">
            <w:pPr>
              <w:adjustRightInd w:val="0"/>
              <w:snapToGrid w:val="0"/>
              <w:spacing w:line="360" w:lineRule="auto"/>
              <w:jc w:val="center"/>
              <w:rPr>
                <w:rFonts w:hint="eastAsia" w:ascii="宋体" w:hAnsi="宋体"/>
                <w:sz w:val="22"/>
              </w:rPr>
            </w:pPr>
          </w:p>
        </w:tc>
        <w:tc>
          <w:tcPr>
            <w:tcW w:w="937" w:type="dxa"/>
            <w:vAlign w:val="center"/>
          </w:tcPr>
          <w:p w14:paraId="7B76DCBB">
            <w:pPr>
              <w:adjustRightInd w:val="0"/>
              <w:snapToGrid w:val="0"/>
              <w:spacing w:line="360" w:lineRule="auto"/>
              <w:jc w:val="center"/>
              <w:rPr>
                <w:rFonts w:hint="eastAsia" w:ascii="宋体" w:hAnsi="宋体"/>
                <w:sz w:val="22"/>
              </w:rPr>
            </w:pPr>
          </w:p>
        </w:tc>
        <w:tc>
          <w:tcPr>
            <w:tcW w:w="1050" w:type="dxa"/>
            <w:vAlign w:val="center"/>
          </w:tcPr>
          <w:p w14:paraId="2AAB0983">
            <w:pPr>
              <w:adjustRightInd w:val="0"/>
              <w:snapToGrid w:val="0"/>
              <w:spacing w:line="360" w:lineRule="auto"/>
              <w:jc w:val="center"/>
              <w:rPr>
                <w:rFonts w:hint="eastAsia" w:ascii="宋体" w:hAnsi="宋体"/>
                <w:sz w:val="22"/>
              </w:rPr>
            </w:pPr>
          </w:p>
        </w:tc>
        <w:tc>
          <w:tcPr>
            <w:tcW w:w="1175" w:type="dxa"/>
            <w:vAlign w:val="center"/>
          </w:tcPr>
          <w:p w14:paraId="16BDA410">
            <w:pPr>
              <w:adjustRightInd w:val="0"/>
              <w:snapToGrid w:val="0"/>
              <w:spacing w:line="360" w:lineRule="auto"/>
              <w:jc w:val="center"/>
              <w:rPr>
                <w:rFonts w:hint="eastAsia" w:ascii="宋体" w:hAnsi="宋体"/>
                <w:sz w:val="22"/>
              </w:rPr>
            </w:pPr>
          </w:p>
        </w:tc>
        <w:tc>
          <w:tcPr>
            <w:tcW w:w="954" w:type="dxa"/>
            <w:vAlign w:val="center"/>
          </w:tcPr>
          <w:p w14:paraId="05D61B05">
            <w:pPr>
              <w:adjustRightInd w:val="0"/>
              <w:snapToGrid w:val="0"/>
              <w:spacing w:line="360" w:lineRule="auto"/>
              <w:jc w:val="center"/>
              <w:rPr>
                <w:rFonts w:hint="eastAsia" w:ascii="宋体" w:hAnsi="宋体"/>
                <w:sz w:val="22"/>
              </w:rPr>
            </w:pPr>
          </w:p>
        </w:tc>
      </w:tr>
      <w:tr w14:paraId="48EF67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5D020E80">
            <w:pPr>
              <w:adjustRightInd w:val="0"/>
              <w:snapToGrid w:val="0"/>
              <w:spacing w:line="360" w:lineRule="auto"/>
              <w:jc w:val="center"/>
              <w:rPr>
                <w:rFonts w:hint="eastAsia" w:ascii="宋体" w:hAnsi="宋体"/>
                <w:sz w:val="22"/>
              </w:rPr>
            </w:pPr>
          </w:p>
        </w:tc>
        <w:tc>
          <w:tcPr>
            <w:tcW w:w="1260" w:type="dxa"/>
            <w:vAlign w:val="center"/>
          </w:tcPr>
          <w:p w14:paraId="0F372121">
            <w:pPr>
              <w:adjustRightInd w:val="0"/>
              <w:snapToGrid w:val="0"/>
              <w:spacing w:line="360" w:lineRule="auto"/>
              <w:jc w:val="center"/>
              <w:rPr>
                <w:rFonts w:hint="eastAsia" w:ascii="宋体" w:hAnsi="宋体"/>
                <w:sz w:val="22"/>
              </w:rPr>
            </w:pPr>
          </w:p>
        </w:tc>
        <w:tc>
          <w:tcPr>
            <w:tcW w:w="1061" w:type="dxa"/>
            <w:vAlign w:val="center"/>
          </w:tcPr>
          <w:p w14:paraId="7AEC2D24">
            <w:pPr>
              <w:adjustRightInd w:val="0"/>
              <w:snapToGrid w:val="0"/>
              <w:spacing w:line="360" w:lineRule="auto"/>
              <w:jc w:val="center"/>
              <w:rPr>
                <w:rFonts w:hint="eastAsia" w:ascii="宋体" w:hAnsi="宋体"/>
                <w:sz w:val="22"/>
              </w:rPr>
            </w:pPr>
          </w:p>
        </w:tc>
        <w:tc>
          <w:tcPr>
            <w:tcW w:w="863" w:type="dxa"/>
            <w:vAlign w:val="center"/>
          </w:tcPr>
          <w:p w14:paraId="40DBB287">
            <w:pPr>
              <w:adjustRightInd w:val="0"/>
              <w:snapToGrid w:val="0"/>
              <w:spacing w:line="360" w:lineRule="auto"/>
              <w:jc w:val="center"/>
              <w:rPr>
                <w:rFonts w:hint="eastAsia" w:ascii="宋体" w:hAnsi="宋体"/>
                <w:sz w:val="22"/>
              </w:rPr>
            </w:pPr>
          </w:p>
        </w:tc>
        <w:tc>
          <w:tcPr>
            <w:tcW w:w="937" w:type="dxa"/>
            <w:vAlign w:val="center"/>
          </w:tcPr>
          <w:p w14:paraId="1C0E657E">
            <w:pPr>
              <w:adjustRightInd w:val="0"/>
              <w:snapToGrid w:val="0"/>
              <w:spacing w:line="360" w:lineRule="auto"/>
              <w:jc w:val="center"/>
              <w:rPr>
                <w:rFonts w:hint="eastAsia" w:ascii="宋体" w:hAnsi="宋体"/>
                <w:sz w:val="22"/>
              </w:rPr>
            </w:pPr>
          </w:p>
        </w:tc>
        <w:tc>
          <w:tcPr>
            <w:tcW w:w="1050" w:type="dxa"/>
            <w:vAlign w:val="center"/>
          </w:tcPr>
          <w:p w14:paraId="25E85461">
            <w:pPr>
              <w:adjustRightInd w:val="0"/>
              <w:snapToGrid w:val="0"/>
              <w:spacing w:line="360" w:lineRule="auto"/>
              <w:jc w:val="center"/>
              <w:rPr>
                <w:rFonts w:hint="eastAsia" w:ascii="宋体" w:hAnsi="宋体"/>
                <w:sz w:val="22"/>
              </w:rPr>
            </w:pPr>
          </w:p>
        </w:tc>
        <w:tc>
          <w:tcPr>
            <w:tcW w:w="1175" w:type="dxa"/>
            <w:vAlign w:val="center"/>
          </w:tcPr>
          <w:p w14:paraId="3A55BCF2">
            <w:pPr>
              <w:adjustRightInd w:val="0"/>
              <w:snapToGrid w:val="0"/>
              <w:spacing w:line="360" w:lineRule="auto"/>
              <w:jc w:val="center"/>
              <w:rPr>
                <w:rFonts w:hint="eastAsia" w:ascii="宋体" w:hAnsi="宋体"/>
                <w:sz w:val="22"/>
              </w:rPr>
            </w:pPr>
          </w:p>
        </w:tc>
        <w:tc>
          <w:tcPr>
            <w:tcW w:w="954" w:type="dxa"/>
            <w:vAlign w:val="center"/>
          </w:tcPr>
          <w:p w14:paraId="7F5A0E18">
            <w:pPr>
              <w:adjustRightInd w:val="0"/>
              <w:snapToGrid w:val="0"/>
              <w:spacing w:line="360" w:lineRule="auto"/>
              <w:jc w:val="center"/>
              <w:rPr>
                <w:rFonts w:hint="eastAsia" w:ascii="宋体" w:hAnsi="宋体"/>
                <w:sz w:val="22"/>
              </w:rPr>
            </w:pPr>
          </w:p>
        </w:tc>
      </w:tr>
      <w:tr w14:paraId="247AB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0E6FADF3">
            <w:pPr>
              <w:adjustRightInd w:val="0"/>
              <w:snapToGrid w:val="0"/>
              <w:spacing w:line="360" w:lineRule="auto"/>
              <w:jc w:val="center"/>
              <w:rPr>
                <w:rFonts w:hint="eastAsia" w:ascii="宋体" w:hAnsi="宋体"/>
                <w:sz w:val="22"/>
              </w:rPr>
            </w:pPr>
          </w:p>
        </w:tc>
        <w:tc>
          <w:tcPr>
            <w:tcW w:w="1260" w:type="dxa"/>
            <w:vAlign w:val="center"/>
          </w:tcPr>
          <w:p w14:paraId="30E3CFD3">
            <w:pPr>
              <w:adjustRightInd w:val="0"/>
              <w:snapToGrid w:val="0"/>
              <w:spacing w:line="360" w:lineRule="auto"/>
              <w:jc w:val="center"/>
              <w:rPr>
                <w:rFonts w:hint="eastAsia" w:ascii="宋体" w:hAnsi="宋体"/>
                <w:sz w:val="22"/>
              </w:rPr>
            </w:pPr>
          </w:p>
        </w:tc>
        <w:tc>
          <w:tcPr>
            <w:tcW w:w="1061" w:type="dxa"/>
            <w:vAlign w:val="center"/>
          </w:tcPr>
          <w:p w14:paraId="201F66EF">
            <w:pPr>
              <w:adjustRightInd w:val="0"/>
              <w:snapToGrid w:val="0"/>
              <w:spacing w:line="360" w:lineRule="auto"/>
              <w:jc w:val="center"/>
              <w:rPr>
                <w:rFonts w:hint="eastAsia" w:ascii="宋体" w:hAnsi="宋体"/>
                <w:sz w:val="22"/>
              </w:rPr>
            </w:pPr>
          </w:p>
        </w:tc>
        <w:tc>
          <w:tcPr>
            <w:tcW w:w="863" w:type="dxa"/>
            <w:vAlign w:val="center"/>
          </w:tcPr>
          <w:p w14:paraId="3544599F">
            <w:pPr>
              <w:adjustRightInd w:val="0"/>
              <w:snapToGrid w:val="0"/>
              <w:spacing w:line="360" w:lineRule="auto"/>
              <w:jc w:val="center"/>
              <w:rPr>
                <w:rFonts w:hint="eastAsia" w:ascii="宋体" w:hAnsi="宋体"/>
                <w:sz w:val="22"/>
              </w:rPr>
            </w:pPr>
          </w:p>
        </w:tc>
        <w:tc>
          <w:tcPr>
            <w:tcW w:w="937" w:type="dxa"/>
            <w:vAlign w:val="center"/>
          </w:tcPr>
          <w:p w14:paraId="04D50BB1">
            <w:pPr>
              <w:adjustRightInd w:val="0"/>
              <w:snapToGrid w:val="0"/>
              <w:spacing w:line="360" w:lineRule="auto"/>
              <w:jc w:val="center"/>
              <w:rPr>
                <w:rFonts w:hint="eastAsia" w:ascii="宋体" w:hAnsi="宋体"/>
                <w:sz w:val="22"/>
              </w:rPr>
            </w:pPr>
          </w:p>
        </w:tc>
        <w:tc>
          <w:tcPr>
            <w:tcW w:w="1050" w:type="dxa"/>
            <w:vAlign w:val="center"/>
          </w:tcPr>
          <w:p w14:paraId="1DF2B1DB">
            <w:pPr>
              <w:adjustRightInd w:val="0"/>
              <w:snapToGrid w:val="0"/>
              <w:spacing w:line="360" w:lineRule="auto"/>
              <w:jc w:val="center"/>
              <w:rPr>
                <w:rFonts w:hint="eastAsia" w:ascii="宋体" w:hAnsi="宋体"/>
                <w:sz w:val="22"/>
              </w:rPr>
            </w:pPr>
          </w:p>
        </w:tc>
        <w:tc>
          <w:tcPr>
            <w:tcW w:w="1175" w:type="dxa"/>
            <w:vAlign w:val="center"/>
          </w:tcPr>
          <w:p w14:paraId="31338DCB">
            <w:pPr>
              <w:adjustRightInd w:val="0"/>
              <w:snapToGrid w:val="0"/>
              <w:spacing w:line="360" w:lineRule="auto"/>
              <w:jc w:val="center"/>
              <w:rPr>
                <w:rFonts w:hint="eastAsia" w:ascii="宋体" w:hAnsi="宋体"/>
                <w:sz w:val="22"/>
              </w:rPr>
            </w:pPr>
          </w:p>
        </w:tc>
        <w:tc>
          <w:tcPr>
            <w:tcW w:w="954" w:type="dxa"/>
            <w:vAlign w:val="center"/>
          </w:tcPr>
          <w:p w14:paraId="4BF75933">
            <w:pPr>
              <w:adjustRightInd w:val="0"/>
              <w:snapToGrid w:val="0"/>
              <w:spacing w:line="360" w:lineRule="auto"/>
              <w:jc w:val="center"/>
              <w:rPr>
                <w:rFonts w:hint="eastAsia" w:ascii="宋体" w:hAnsi="宋体"/>
                <w:sz w:val="22"/>
              </w:rPr>
            </w:pPr>
          </w:p>
        </w:tc>
      </w:tr>
      <w:tr w14:paraId="5A1A6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607BA79B">
            <w:pPr>
              <w:adjustRightInd w:val="0"/>
              <w:snapToGrid w:val="0"/>
              <w:spacing w:line="360" w:lineRule="auto"/>
              <w:jc w:val="center"/>
              <w:rPr>
                <w:rFonts w:hint="eastAsia" w:ascii="宋体" w:hAnsi="宋体"/>
                <w:sz w:val="22"/>
              </w:rPr>
            </w:pPr>
          </w:p>
        </w:tc>
        <w:tc>
          <w:tcPr>
            <w:tcW w:w="1260" w:type="dxa"/>
            <w:vAlign w:val="center"/>
          </w:tcPr>
          <w:p w14:paraId="7E4F027F">
            <w:pPr>
              <w:adjustRightInd w:val="0"/>
              <w:snapToGrid w:val="0"/>
              <w:spacing w:line="360" w:lineRule="auto"/>
              <w:jc w:val="center"/>
              <w:rPr>
                <w:rFonts w:hint="eastAsia" w:ascii="宋体" w:hAnsi="宋体"/>
                <w:sz w:val="22"/>
              </w:rPr>
            </w:pPr>
          </w:p>
        </w:tc>
        <w:tc>
          <w:tcPr>
            <w:tcW w:w="1061" w:type="dxa"/>
            <w:vAlign w:val="center"/>
          </w:tcPr>
          <w:p w14:paraId="73D1478C">
            <w:pPr>
              <w:adjustRightInd w:val="0"/>
              <w:snapToGrid w:val="0"/>
              <w:spacing w:line="360" w:lineRule="auto"/>
              <w:jc w:val="center"/>
              <w:rPr>
                <w:rFonts w:hint="eastAsia" w:ascii="宋体" w:hAnsi="宋体"/>
                <w:sz w:val="22"/>
              </w:rPr>
            </w:pPr>
          </w:p>
        </w:tc>
        <w:tc>
          <w:tcPr>
            <w:tcW w:w="863" w:type="dxa"/>
            <w:vAlign w:val="center"/>
          </w:tcPr>
          <w:p w14:paraId="0B4DC472">
            <w:pPr>
              <w:adjustRightInd w:val="0"/>
              <w:snapToGrid w:val="0"/>
              <w:spacing w:line="360" w:lineRule="auto"/>
              <w:jc w:val="center"/>
              <w:rPr>
                <w:rFonts w:hint="eastAsia" w:ascii="宋体" w:hAnsi="宋体"/>
                <w:sz w:val="22"/>
              </w:rPr>
            </w:pPr>
          </w:p>
        </w:tc>
        <w:tc>
          <w:tcPr>
            <w:tcW w:w="937" w:type="dxa"/>
            <w:vAlign w:val="center"/>
          </w:tcPr>
          <w:p w14:paraId="6D28BCE5">
            <w:pPr>
              <w:adjustRightInd w:val="0"/>
              <w:snapToGrid w:val="0"/>
              <w:spacing w:line="360" w:lineRule="auto"/>
              <w:jc w:val="center"/>
              <w:rPr>
                <w:rFonts w:hint="eastAsia" w:ascii="宋体" w:hAnsi="宋体"/>
                <w:sz w:val="22"/>
              </w:rPr>
            </w:pPr>
          </w:p>
        </w:tc>
        <w:tc>
          <w:tcPr>
            <w:tcW w:w="1050" w:type="dxa"/>
            <w:vAlign w:val="center"/>
          </w:tcPr>
          <w:p w14:paraId="2EC6AB53">
            <w:pPr>
              <w:adjustRightInd w:val="0"/>
              <w:snapToGrid w:val="0"/>
              <w:spacing w:line="360" w:lineRule="auto"/>
              <w:jc w:val="center"/>
              <w:rPr>
                <w:rFonts w:hint="eastAsia" w:ascii="宋体" w:hAnsi="宋体"/>
                <w:sz w:val="22"/>
              </w:rPr>
            </w:pPr>
          </w:p>
        </w:tc>
        <w:tc>
          <w:tcPr>
            <w:tcW w:w="1175" w:type="dxa"/>
            <w:vAlign w:val="center"/>
          </w:tcPr>
          <w:p w14:paraId="01377841">
            <w:pPr>
              <w:adjustRightInd w:val="0"/>
              <w:snapToGrid w:val="0"/>
              <w:spacing w:line="360" w:lineRule="auto"/>
              <w:jc w:val="center"/>
              <w:rPr>
                <w:rFonts w:hint="eastAsia" w:ascii="宋体" w:hAnsi="宋体"/>
                <w:sz w:val="22"/>
              </w:rPr>
            </w:pPr>
          </w:p>
        </w:tc>
        <w:tc>
          <w:tcPr>
            <w:tcW w:w="954" w:type="dxa"/>
            <w:vAlign w:val="center"/>
          </w:tcPr>
          <w:p w14:paraId="3423B168">
            <w:pPr>
              <w:adjustRightInd w:val="0"/>
              <w:snapToGrid w:val="0"/>
              <w:spacing w:line="360" w:lineRule="auto"/>
              <w:jc w:val="center"/>
              <w:rPr>
                <w:rFonts w:hint="eastAsia" w:ascii="宋体" w:hAnsi="宋体"/>
                <w:sz w:val="22"/>
              </w:rPr>
            </w:pPr>
          </w:p>
        </w:tc>
      </w:tr>
      <w:tr w14:paraId="70611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7756ECCF">
            <w:pPr>
              <w:adjustRightInd w:val="0"/>
              <w:snapToGrid w:val="0"/>
              <w:spacing w:line="360" w:lineRule="auto"/>
              <w:jc w:val="center"/>
              <w:rPr>
                <w:rFonts w:hint="eastAsia" w:ascii="宋体" w:hAnsi="宋体"/>
                <w:sz w:val="22"/>
              </w:rPr>
            </w:pPr>
          </w:p>
        </w:tc>
        <w:tc>
          <w:tcPr>
            <w:tcW w:w="1260" w:type="dxa"/>
            <w:vAlign w:val="center"/>
          </w:tcPr>
          <w:p w14:paraId="3952C16C">
            <w:pPr>
              <w:adjustRightInd w:val="0"/>
              <w:snapToGrid w:val="0"/>
              <w:spacing w:line="360" w:lineRule="auto"/>
              <w:jc w:val="center"/>
              <w:rPr>
                <w:rFonts w:hint="eastAsia" w:ascii="宋体" w:hAnsi="宋体"/>
                <w:sz w:val="22"/>
              </w:rPr>
            </w:pPr>
          </w:p>
        </w:tc>
        <w:tc>
          <w:tcPr>
            <w:tcW w:w="1061" w:type="dxa"/>
            <w:vAlign w:val="center"/>
          </w:tcPr>
          <w:p w14:paraId="15A53B34">
            <w:pPr>
              <w:adjustRightInd w:val="0"/>
              <w:snapToGrid w:val="0"/>
              <w:spacing w:line="360" w:lineRule="auto"/>
              <w:jc w:val="center"/>
              <w:rPr>
                <w:rFonts w:hint="eastAsia" w:ascii="宋体" w:hAnsi="宋体"/>
                <w:sz w:val="22"/>
              </w:rPr>
            </w:pPr>
          </w:p>
        </w:tc>
        <w:tc>
          <w:tcPr>
            <w:tcW w:w="863" w:type="dxa"/>
            <w:vAlign w:val="center"/>
          </w:tcPr>
          <w:p w14:paraId="64CAD0B3">
            <w:pPr>
              <w:adjustRightInd w:val="0"/>
              <w:snapToGrid w:val="0"/>
              <w:spacing w:line="360" w:lineRule="auto"/>
              <w:jc w:val="center"/>
              <w:rPr>
                <w:rFonts w:hint="eastAsia" w:ascii="宋体" w:hAnsi="宋体"/>
                <w:sz w:val="22"/>
              </w:rPr>
            </w:pPr>
          </w:p>
        </w:tc>
        <w:tc>
          <w:tcPr>
            <w:tcW w:w="937" w:type="dxa"/>
            <w:vAlign w:val="center"/>
          </w:tcPr>
          <w:p w14:paraId="0769617B">
            <w:pPr>
              <w:adjustRightInd w:val="0"/>
              <w:snapToGrid w:val="0"/>
              <w:spacing w:line="360" w:lineRule="auto"/>
              <w:jc w:val="center"/>
              <w:rPr>
                <w:rFonts w:hint="eastAsia" w:ascii="宋体" w:hAnsi="宋体"/>
                <w:sz w:val="22"/>
              </w:rPr>
            </w:pPr>
          </w:p>
        </w:tc>
        <w:tc>
          <w:tcPr>
            <w:tcW w:w="1050" w:type="dxa"/>
            <w:vAlign w:val="center"/>
          </w:tcPr>
          <w:p w14:paraId="486AF8BB">
            <w:pPr>
              <w:adjustRightInd w:val="0"/>
              <w:snapToGrid w:val="0"/>
              <w:spacing w:line="360" w:lineRule="auto"/>
              <w:jc w:val="center"/>
              <w:rPr>
                <w:rFonts w:hint="eastAsia" w:ascii="宋体" w:hAnsi="宋体"/>
                <w:sz w:val="22"/>
              </w:rPr>
            </w:pPr>
          </w:p>
        </w:tc>
        <w:tc>
          <w:tcPr>
            <w:tcW w:w="1175" w:type="dxa"/>
            <w:vAlign w:val="center"/>
          </w:tcPr>
          <w:p w14:paraId="2ABA1250">
            <w:pPr>
              <w:adjustRightInd w:val="0"/>
              <w:snapToGrid w:val="0"/>
              <w:spacing w:line="360" w:lineRule="auto"/>
              <w:jc w:val="center"/>
              <w:rPr>
                <w:rFonts w:hint="eastAsia" w:ascii="宋体" w:hAnsi="宋体"/>
                <w:sz w:val="22"/>
              </w:rPr>
            </w:pPr>
          </w:p>
        </w:tc>
        <w:tc>
          <w:tcPr>
            <w:tcW w:w="954" w:type="dxa"/>
            <w:vAlign w:val="center"/>
          </w:tcPr>
          <w:p w14:paraId="6118CD57">
            <w:pPr>
              <w:adjustRightInd w:val="0"/>
              <w:snapToGrid w:val="0"/>
              <w:spacing w:line="360" w:lineRule="auto"/>
              <w:jc w:val="center"/>
              <w:rPr>
                <w:rFonts w:hint="eastAsia" w:ascii="宋体" w:hAnsi="宋体"/>
                <w:sz w:val="22"/>
              </w:rPr>
            </w:pPr>
          </w:p>
        </w:tc>
      </w:tr>
      <w:tr w14:paraId="3B8BA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32541567">
            <w:pPr>
              <w:adjustRightInd w:val="0"/>
              <w:snapToGrid w:val="0"/>
              <w:spacing w:line="360" w:lineRule="auto"/>
              <w:jc w:val="center"/>
              <w:rPr>
                <w:rFonts w:hint="eastAsia" w:ascii="宋体" w:hAnsi="宋体"/>
                <w:sz w:val="22"/>
              </w:rPr>
            </w:pPr>
          </w:p>
        </w:tc>
        <w:tc>
          <w:tcPr>
            <w:tcW w:w="1260" w:type="dxa"/>
            <w:vAlign w:val="center"/>
          </w:tcPr>
          <w:p w14:paraId="7F4BBE1A">
            <w:pPr>
              <w:adjustRightInd w:val="0"/>
              <w:snapToGrid w:val="0"/>
              <w:spacing w:line="360" w:lineRule="auto"/>
              <w:jc w:val="center"/>
              <w:rPr>
                <w:rFonts w:hint="eastAsia" w:ascii="宋体" w:hAnsi="宋体"/>
                <w:sz w:val="22"/>
              </w:rPr>
            </w:pPr>
          </w:p>
        </w:tc>
        <w:tc>
          <w:tcPr>
            <w:tcW w:w="1061" w:type="dxa"/>
            <w:vAlign w:val="center"/>
          </w:tcPr>
          <w:p w14:paraId="4A796E25">
            <w:pPr>
              <w:adjustRightInd w:val="0"/>
              <w:snapToGrid w:val="0"/>
              <w:spacing w:line="360" w:lineRule="auto"/>
              <w:jc w:val="center"/>
              <w:rPr>
                <w:rFonts w:hint="eastAsia" w:ascii="宋体" w:hAnsi="宋体"/>
                <w:sz w:val="22"/>
              </w:rPr>
            </w:pPr>
          </w:p>
        </w:tc>
        <w:tc>
          <w:tcPr>
            <w:tcW w:w="863" w:type="dxa"/>
            <w:vAlign w:val="center"/>
          </w:tcPr>
          <w:p w14:paraId="00E397E0">
            <w:pPr>
              <w:adjustRightInd w:val="0"/>
              <w:snapToGrid w:val="0"/>
              <w:spacing w:line="360" w:lineRule="auto"/>
              <w:jc w:val="center"/>
              <w:rPr>
                <w:rFonts w:hint="eastAsia" w:ascii="宋体" w:hAnsi="宋体"/>
                <w:sz w:val="22"/>
              </w:rPr>
            </w:pPr>
          </w:p>
        </w:tc>
        <w:tc>
          <w:tcPr>
            <w:tcW w:w="937" w:type="dxa"/>
            <w:vAlign w:val="center"/>
          </w:tcPr>
          <w:p w14:paraId="7BA10E8D">
            <w:pPr>
              <w:adjustRightInd w:val="0"/>
              <w:snapToGrid w:val="0"/>
              <w:spacing w:line="360" w:lineRule="auto"/>
              <w:jc w:val="center"/>
              <w:rPr>
                <w:rFonts w:hint="eastAsia" w:ascii="宋体" w:hAnsi="宋体"/>
                <w:sz w:val="22"/>
              </w:rPr>
            </w:pPr>
          </w:p>
        </w:tc>
        <w:tc>
          <w:tcPr>
            <w:tcW w:w="1050" w:type="dxa"/>
            <w:vAlign w:val="center"/>
          </w:tcPr>
          <w:p w14:paraId="29AA37E4">
            <w:pPr>
              <w:adjustRightInd w:val="0"/>
              <w:snapToGrid w:val="0"/>
              <w:spacing w:line="360" w:lineRule="auto"/>
              <w:jc w:val="center"/>
              <w:rPr>
                <w:rFonts w:hint="eastAsia" w:ascii="宋体" w:hAnsi="宋体"/>
                <w:sz w:val="22"/>
              </w:rPr>
            </w:pPr>
          </w:p>
        </w:tc>
        <w:tc>
          <w:tcPr>
            <w:tcW w:w="1175" w:type="dxa"/>
            <w:vAlign w:val="center"/>
          </w:tcPr>
          <w:p w14:paraId="5064A7D0">
            <w:pPr>
              <w:adjustRightInd w:val="0"/>
              <w:snapToGrid w:val="0"/>
              <w:spacing w:line="360" w:lineRule="auto"/>
              <w:jc w:val="center"/>
              <w:rPr>
                <w:rFonts w:hint="eastAsia" w:ascii="宋体" w:hAnsi="宋体"/>
                <w:sz w:val="22"/>
              </w:rPr>
            </w:pPr>
          </w:p>
        </w:tc>
        <w:tc>
          <w:tcPr>
            <w:tcW w:w="954" w:type="dxa"/>
            <w:vAlign w:val="center"/>
          </w:tcPr>
          <w:p w14:paraId="0E41A809">
            <w:pPr>
              <w:adjustRightInd w:val="0"/>
              <w:snapToGrid w:val="0"/>
              <w:spacing w:line="360" w:lineRule="auto"/>
              <w:jc w:val="center"/>
              <w:rPr>
                <w:rFonts w:hint="eastAsia" w:ascii="宋体" w:hAnsi="宋体"/>
                <w:sz w:val="22"/>
              </w:rPr>
            </w:pPr>
          </w:p>
        </w:tc>
      </w:tr>
      <w:tr w14:paraId="334A9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033FA2E2">
            <w:pPr>
              <w:adjustRightInd w:val="0"/>
              <w:snapToGrid w:val="0"/>
              <w:spacing w:line="360" w:lineRule="auto"/>
              <w:rPr>
                <w:rFonts w:hint="eastAsia" w:ascii="宋体" w:hAnsi="宋体"/>
                <w:sz w:val="22"/>
              </w:rPr>
            </w:pPr>
          </w:p>
        </w:tc>
        <w:tc>
          <w:tcPr>
            <w:tcW w:w="1260" w:type="dxa"/>
            <w:vAlign w:val="center"/>
          </w:tcPr>
          <w:p w14:paraId="7BC18966">
            <w:pPr>
              <w:adjustRightInd w:val="0"/>
              <w:snapToGrid w:val="0"/>
              <w:spacing w:line="360" w:lineRule="auto"/>
              <w:jc w:val="center"/>
              <w:rPr>
                <w:rFonts w:hint="eastAsia" w:ascii="宋体" w:hAnsi="宋体"/>
                <w:sz w:val="22"/>
              </w:rPr>
            </w:pPr>
          </w:p>
        </w:tc>
        <w:tc>
          <w:tcPr>
            <w:tcW w:w="1061" w:type="dxa"/>
            <w:vAlign w:val="center"/>
          </w:tcPr>
          <w:p w14:paraId="55230103">
            <w:pPr>
              <w:adjustRightInd w:val="0"/>
              <w:snapToGrid w:val="0"/>
              <w:spacing w:line="360" w:lineRule="auto"/>
              <w:jc w:val="center"/>
              <w:rPr>
                <w:rFonts w:hint="eastAsia" w:ascii="宋体" w:hAnsi="宋体"/>
                <w:sz w:val="22"/>
              </w:rPr>
            </w:pPr>
          </w:p>
        </w:tc>
        <w:tc>
          <w:tcPr>
            <w:tcW w:w="863" w:type="dxa"/>
            <w:vAlign w:val="center"/>
          </w:tcPr>
          <w:p w14:paraId="3C5ACA09">
            <w:pPr>
              <w:adjustRightInd w:val="0"/>
              <w:snapToGrid w:val="0"/>
              <w:spacing w:line="360" w:lineRule="auto"/>
              <w:jc w:val="center"/>
              <w:rPr>
                <w:rFonts w:hint="eastAsia" w:ascii="宋体" w:hAnsi="宋体"/>
                <w:sz w:val="22"/>
              </w:rPr>
            </w:pPr>
          </w:p>
        </w:tc>
        <w:tc>
          <w:tcPr>
            <w:tcW w:w="937" w:type="dxa"/>
            <w:vAlign w:val="center"/>
          </w:tcPr>
          <w:p w14:paraId="06648268">
            <w:pPr>
              <w:adjustRightInd w:val="0"/>
              <w:snapToGrid w:val="0"/>
              <w:spacing w:line="360" w:lineRule="auto"/>
              <w:jc w:val="center"/>
              <w:rPr>
                <w:rFonts w:hint="eastAsia" w:ascii="宋体" w:hAnsi="宋体"/>
                <w:sz w:val="22"/>
              </w:rPr>
            </w:pPr>
          </w:p>
        </w:tc>
        <w:tc>
          <w:tcPr>
            <w:tcW w:w="1050" w:type="dxa"/>
            <w:vAlign w:val="center"/>
          </w:tcPr>
          <w:p w14:paraId="548DBD02">
            <w:pPr>
              <w:adjustRightInd w:val="0"/>
              <w:snapToGrid w:val="0"/>
              <w:spacing w:line="360" w:lineRule="auto"/>
              <w:jc w:val="center"/>
              <w:rPr>
                <w:rFonts w:hint="eastAsia" w:ascii="宋体" w:hAnsi="宋体"/>
                <w:sz w:val="22"/>
              </w:rPr>
            </w:pPr>
          </w:p>
        </w:tc>
        <w:tc>
          <w:tcPr>
            <w:tcW w:w="1175" w:type="dxa"/>
            <w:vAlign w:val="center"/>
          </w:tcPr>
          <w:p w14:paraId="320BB136">
            <w:pPr>
              <w:adjustRightInd w:val="0"/>
              <w:snapToGrid w:val="0"/>
              <w:spacing w:line="360" w:lineRule="auto"/>
              <w:jc w:val="center"/>
              <w:rPr>
                <w:rFonts w:hint="eastAsia" w:ascii="宋体" w:hAnsi="宋体"/>
                <w:sz w:val="22"/>
              </w:rPr>
            </w:pPr>
          </w:p>
        </w:tc>
        <w:tc>
          <w:tcPr>
            <w:tcW w:w="954" w:type="dxa"/>
            <w:vAlign w:val="center"/>
          </w:tcPr>
          <w:p w14:paraId="1C87516E">
            <w:pPr>
              <w:adjustRightInd w:val="0"/>
              <w:snapToGrid w:val="0"/>
              <w:spacing w:line="360" w:lineRule="auto"/>
              <w:jc w:val="center"/>
              <w:rPr>
                <w:rFonts w:hint="eastAsia" w:ascii="宋体" w:hAnsi="宋体"/>
                <w:sz w:val="22"/>
              </w:rPr>
            </w:pPr>
          </w:p>
        </w:tc>
      </w:tr>
      <w:tr w14:paraId="58564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732C6F15">
            <w:pPr>
              <w:adjustRightInd w:val="0"/>
              <w:snapToGrid w:val="0"/>
              <w:spacing w:line="360" w:lineRule="auto"/>
              <w:rPr>
                <w:rFonts w:hint="eastAsia" w:ascii="宋体" w:hAnsi="宋体"/>
                <w:sz w:val="22"/>
              </w:rPr>
            </w:pPr>
          </w:p>
        </w:tc>
        <w:tc>
          <w:tcPr>
            <w:tcW w:w="1260" w:type="dxa"/>
            <w:vAlign w:val="center"/>
          </w:tcPr>
          <w:p w14:paraId="7712486C">
            <w:pPr>
              <w:adjustRightInd w:val="0"/>
              <w:snapToGrid w:val="0"/>
              <w:spacing w:line="360" w:lineRule="auto"/>
              <w:jc w:val="center"/>
              <w:rPr>
                <w:rFonts w:hint="eastAsia" w:ascii="宋体" w:hAnsi="宋体"/>
                <w:sz w:val="22"/>
              </w:rPr>
            </w:pPr>
          </w:p>
        </w:tc>
        <w:tc>
          <w:tcPr>
            <w:tcW w:w="1061" w:type="dxa"/>
            <w:vAlign w:val="center"/>
          </w:tcPr>
          <w:p w14:paraId="507F9F95">
            <w:pPr>
              <w:adjustRightInd w:val="0"/>
              <w:snapToGrid w:val="0"/>
              <w:spacing w:line="360" w:lineRule="auto"/>
              <w:jc w:val="center"/>
              <w:rPr>
                <w:rFonts w:hint="eastAsia" w:ascii="宋体" w:hAnsi="宋体"/>
                <w:sz w:val="22"/>
              </w:rPr>
            </w:pPr>
          </w:p>
        </w:tc>
        <w:tc>
          <w:tcPr>
            <w:tcW w:w="863" w:type="dxa"/>
            <w:vAlign w:val="center"/>
          </w:tcPr>
          <w:p w14:paraId="6E04D082">
            <w:pPr>
              <w:adjustRightInd w:val="0"/>
              <w:snapToGrid w:val="0"/>
              <w:spacing w:line="360" w:lineRule="auto"/>
              <w:jc w:val="center"/>
              <w:rPr>
                <w:rFonts w:hint="eastAsia" w:ascii="宋体" w:hAnsi="宋体"/>
                <w:sz w:val="22"/>
              </w:rPr>
            </w:pPr>
          </w:p>
        </w:tc>
        <w:tc>
          <w:tcPr>
            <w:tcW w:w="937" w:type="dxa"/>
            <w:vAlign w:val="center"/>
          </w:tcPr>
          <w:p w14:paraId="635B88DC">
            <w:pPr>
              <w:adjustRightInd w:val="0"/>
              <w:snapToGrid w:val="0"/>
              <w:spacing w:line="360" w:lineRule="auto"/>
              <w:jc w:val="center"/>
              <w:rPr>
                <w:rFonts w:hint="eastAsia" w:ascii="宋体" w:hAnsi="宋体"/>
                <w:sz w:val="22"/>
              </w:rPr>
            </w:pPr>
          </w:p>
        </w:tc>
        <w:tc>
          <w:tcPr>
            <w:tcW w:w="1050" w:type="dxa"/>
            <w:vAlign w:val="center"/>
          </w:tcPr>
          <w:p w14:paraId="06B453DE">
            <w:pPr>
              <w:adjustRightInd w:val="0"/>
              <w:snapToGrid w:val="0"/>
              <w:spacing w:line="360" w:lineRule="auto"/>
              <w:jc w:val="center"/>
              <w:rPr>
                <w:rFonts w:hint="eastAsia" w:ascii="宋体" w:hAnsi="宋体"/>
                <w:sz w:val="22"/>
              </w:rPr>
            </w:pPr>
          </w:p>
        </w:tc>
        <w:tc>
          <w:tcPr>
            <w:tcW w:w="1175" w:type="dxa"/>
            <w:vAlign w:val="center"/>
          </w:tcPr>
          <w:p w14:paraId="3715583D">
            <w:pPr>
              <w:adjustRightInd w:val="0"/>
              <w:snapToGrid w:val="0"/>
              <w:spacing w:line="360" w:lineRule="auto"/>
              <w:jc w:val="center"/>
              <w:rPr>
                <w:rFonts w:hint="eastAsia" w:ascii="宋体" w:hAnsi="宋体"/>
                <w:sz w:val="22"/>
              </w:rPr>
            </w:pPr>
          </w:p>
        </w:tc>
        <w:tc>
          <w:tcPr>
            <w:tcW w:w="954" w:type="dxa"/>
            <w:vAlign w:val="center"/>
          </w:tcPr>
          <w:p w14:paraId="30FD1750">
            <w:pPr>
              <w:adjustRightInd w:val="0"/>
              <w:snapToGrid w:val="0"/>
              <w:spacing w:line="360" w:lineRule="auto"/>
              <w:jc w:val="center"/>
              <w:rPr>
                <w:rFonts w:hint="eastAsia" w:ascii="宋体" w:hAnsi="宋体"/>
                <w:sz w:val="22"/>
              </w:rPr>
            </w:pPr>
          </w:p>
        </w:tc>
      </w:tr>
      <w:tr w14:paraId="135F51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955" w:type="dxa"/>
            <w:vAlign w:val="center"/>
          </w:tcPr>
          <w:p w14:paraId="15CF51B8">
            <w:pPr>
              <w:adjustRightInd w:val="0"/>
              <w:snapToGrid w:val="0"/>
              <w:spacing w:line="360" w:lineRule="auto"/>
              <w:rPr>
                <w:rFonts w:hint="eastAsia" w:ascii="宋体" w:hAnsi="宋体"/>
                <w:sz w:val="22"/>
              </w:rPr>
            </w:pPr>
          </w:p>
        </w:tc>
        <w:tc>
          <w:tcPr>
            <w:tcW w:w="1260" w:type="dxa"/>
            <w:vAlign w:val="center"/>
          </w:tcPr>
          <w:p w14:paraId="3B791727">
            <w:pPr>
              <w:adjustRightInd w:val="0"/>
              <w:snapToGrid w:val="0"/>
              <w:spacing w:line="360" w:lineRule="auto"/>
              <w:jc w:val="center"/>
              <w:rPr>
                <w:rFonts w:hint="eastAsia" w:ascii="宋体" w:hAnsi="宋体"/>
                <w:sz w:val="22"/>
              </w:rPr>
            </w:pPr>
          </w:p>
        </w:tc>
        <w:tc>
          <w:tcPr>
            <w:tcW w:w="1061" w:type="dxa"/>
            <w:vAlign w:val="center"/>
          </w:tcPr>
          <w:p w14:paraId="013E62EC">
            <w:pPr>
              <w:adjustRightInd w:val="0"/>
              <w:snapToGrid w:val="0"/>
              <w:spacing w:line="360" w:lineRule="auto"/>
              <w:jc w:val="center"/>
              <w:rPr>
                <w:rFonts w:hint="eastAsia" w:ascii="宋体" w:hAnsi="宋体"/>
                <w:sz w:val="22"/>
              </w:rPr>
            </w:pPr>
          </w:p>
        </w:tc>
        <w:tc>
          <w:tcPr>
            <w:tcW w:w="863" w:type="dxa"/>
            <w:vAlign w:val="center"/>
          </w:tcPr>
          <w:p w14:paraId="60B6B7E5">
            <w:pPr>
              <w:adjustRightInd w:val="0"/>
              <w:snapToGrid w:val="0"/>
              <w:spacing w:line="360" w:lineRule="auto"/>
              <w:jc w:val="center"/>
              <w:rPr>
                <w:rFonts w:hint="eastAsia" w:ascii="宋体" w:hAnsi="宋体"/>
                <w:sz w:val="22"/>
              </w:rPr>
            </w:pPr>
          </w:p>
        </w:tc>
        <w:tc>
          <w:tcPr>
            <w:tcW w:w="937" w:type="dxa"/>
            <w:vAlign w:val="center"/>
          </w:tcPr>
          <w:p w14:paraId="26AC9E2C">
            <w:pPr>
              <w:adjustRightInd w:val="0"/>
              <w:snapToGrid w:val="0"/>
              <w:spacing w:line="360" w:lineRule="auto"/>
              <w:jc w:val="center"/>
              <w:rPr>
                <w:rFonts w:hint="eastAsia" w:ascii="宋体" w:hAnsi="宋体"/>
                <w:sz w:val="22"/>
              </w:rPr>
            </w:pPr>
          </w:p>
        </w:tc>
        <w:tc>
          <w:tcPr>
            <w:tcW w:w="1050" w:type="dxa"/>
            <w:vAlign w:val="center"/>
          </w:tcPr>
          <w:p w14:paraId="6B45EB64">
            <w:pPr>
              <w:adjustRightInd w:val="0"/>
              <w:snapToGrid w:val="0"/>
              <w:spacing w:line="360" w:lineRule="auto"/>
              <w:jc w:val="center"/>
              <w:rPr>
                <w:rFonts w:hint="eastAsia" w:ascii="宋体" w:hAnsi="宋体"/>
                <w:sz w:val="22"/>
              </w:rPr>
            </w:pPr>
          </w:p>
        </w:tc>
        <w:tc>
          <w:tcPr>
            <w:tcW w:w="1175" w:type="dxa"/>
            <w:vAlign w:val="center"/>
          </w:tcPr>
          <w:p w14:paraId="39AF2FC0">
            <w:pPr>
              <w:adjustRightInd w:val="0"/>
              <w:snapToGrid w:val="0"/>
              <w:spacing w:line="360" w:lineRule="auto"/>
              <w:jc w:val="center"/>
              <w:rPr>
                <w:rFonts w:hint="eastAsia" w:ascii="宋体" w:hAnsi="宋体"/>
                <w:sz w:val="22"/>
              </w:rPr>
            </w:pPr>
          </w:p>
        </w:tc>
        <w:tc>
          <w:tcPr>
            <w:tcW w:w="954" w:type="dxa"/>
            <w:vAlign w:val="center"/>
          </w:tcPr>
          <w:p w14:paraId="226F2037">
            <w:pPr>
              <w:adjustRightInd w:val="0"/>
              <w:snapToGrid w:val="0"/>
              <w:spacing w:line="360" w:lineRule="auto"/>
              <w:jc w:val="center"/>
              <w:rPr>
                <w:rFonts w:hint="eastAsia" w:ascii="宋体" w:hAnsi="宋体"/>
                <w:sz w:val="22"/>
              </w:rPr>
            </w:pPr>
          </w:p>
        </w:tc>
      </w:tr>
    </w:tbl>
    <w:p w14:paraId="34BB6AAA">
      <w:pPr>
        <w:autoSpaceDE w:val="0"/>
        <w:autoSpaceDN w:val="0"/>
        <w:adjustRightInd w:val="0"/>
        <w:spacing w:line="360" w:lineRule="auto"/>
        <w:rPr>
          <w:rFonts w:hint="eastAsia" w:ascii="宋体" w:hAnsi="宋体"/>
          <w:sz w:val="22"/>
          <w:szCs w:val="22"/>
        </w:rPr>
      </w:pPr>
      <w:r>
        <w:rPr>
          <w:rFonts w:hint="eastAsia" w:ascii="宋体" w:hAnsi="宋体"/>
          <w:sz w:val="22"/>
          <w:szCs w:val="22"/>
        </w:rPr>
        <w:t>注：1、表格可以延续，本表人员有资格证书的应随表提交职称、资格证书等复印件（加盖公章）。</w:t>
      </w:r>
    </w:p>
    <w:p w14:paraId="5F582356">
      <w:pPr>
        <w:autoSpaceDE w:val="0"/>
        <w:autoSpaceDN w:val="0"/>
        <w:adjustRightInd w:val="0"/>
        <w:spacing w:line="360" w:lineRule="auto"/>
        <w:ind w:firstLine="325" w:firstLineChars="147"/>
        <w:rPr>
          <w:rFonts w:hint="eastAsia" w:ascii="宋体" w:hAnsi="宋体"/>
          <w:sz w:val="22"/>
          <w:szCs w:val="22"/>
        </w:rPr>
      </w:pPr>
      <w:r>
        <w:rPr>
          <w:rFonts w:hint="eastAsia" w:ascii="宋体" w:hAnsi="宋体"/>
          <w:sz w:val="22"/>
          <w:szCs w:val="22"/>
        </w:rPr>
        <w:t xml:space="preserve"> 2、列入本表人员如要更换，需经采购单位同意；擅自更换或不到位属违约行为。</w:t>
      </w:r>
    </w:p>
    <w:p w14:paraId="4635026E">
      <w:pPr>
        <w:autoSpaceDE w:val="0"/>
        <w:autoSpaceDN w:val="0"/>
        <w:adjustRightInd w:val="0"/>
        <w:spacing w:line="360" w:lineRule="auto"/>
        <w:ind w:firstLine="325" w:firstLineChars="147"/>
        <w:rPr>
          <w:rFonts w:hint="eastAsia" w:ascii="宋体" w:hAnsi="宋体"/>
          <w:sz w:val="22"/>
          <w:szCs w:val="22"/>
        </w:rPr>
      </w:pPr>
      <w:r>
        <w:rPr>
          <w:rFonts w:hint="eastAsia" w:ascii="宋体" w:hAnsi="宋体"/>
          <w:sz w:val="22"/>
          <w:szCs w:val="22"/>
        </w:rPr>
        <w:t>供应商全称（盖章）：</w:t>
      </w:r>
    </w:p>
    <w:p w14:paraId="6447FDFC">
      <w:pPr>
        <w:autoSpaceDE w:val="0"/>
        <w:autoSpaceDN w:val="0"/>
        <w:adjustRightInd w:val="0"/>
        <w:spacing w:line="360" w:lineRule="auto"/>
        <w:ind w:firstLine="325" w:firstLineChars="147"/>
        <w:rPr>
          <w:rFonts w:hint="eastAsia" w:ascii="宋体" w:hAnsi="宋体"/>
          <w:sz w:val="22"/>
          <w:szCs w:val="22"/>
        </w:rPr>
      </w:pPr>
      <w:r>
        <w:rPr>
          <w:rFonts w:hint="eastAsia" w:ascii="宋体" w:hAnsi="宋体"/>
          <w:sz w:val="22"/>
          <w:szCs w:val="22"/>
        </w:rPr>
        <w:t>法定代表人或授权代表（签字或盖章）：</w:t>
      </w:r>
    </w:p>
    <w:p w14:paraId="3BD0CA9E">
      <w:pPr>
        <w:autoSpaceDE w:val="0"/>
        <w:autoSpaceDN w:val="0"/>
        <w:adjustRightInd w:val="0"/>
        <w:spacing w:line="360" w:lineRule="auto"/>
        <w:ind w:firstLine="325" w:firstLineChars="147"/>
        <w:rPr>
          <w:rFonts w:hint="eastAsia" w:ascii="宋体" w:hAnsi="宋体"/>
          <w:sz w:val="22"/>
          <w:szCs w:val="22"/>
        </w:rPr>
      </w:pPr>
      <w:r>
        <w:rPr>
          <w:rFonts w:hint="eastAsia" w:ascii="宋体" w:hAnsi="宋体"/>
          <w:sz w:val="22"/>
          <w:szCs w:val="22"/>
        </w:rPr>
        <w:t xml:space="preserve">日      期：   </w:t>
      </w:r>
    </w:p>
    <w:p w14:paraId="49253F29">
      <w:pPr>
        <w:pStyle w:val="23"/>
      </w:pPr>
    </w:p>
    <w:p w14:paraId="5DDC7574">
      <w:pPr>
        <w:tabs>
          <w:tab w:val="left" w:pos="211"/>
        </w:tabs>
        <w:snapToGrid w:val="0"/>
        <w:spacing w:line="360" w:lineRule="atLeast"/>
        <w:jc w:val="center"/>
        <w:outlineLvl w:val="0"/>
        <w:rPr>
          <w:rFonts w:ascii="Cambria Math" w:hAnsi="Cambria Math" w:eastAsiaTheme="minorEastAsia"/>
          <w:b w:val="0"/>
          <w:color w:val="auto"/>
          <w:sz w:val="72"/>
          <w:szCs w:val="72"/>
        </w:rPr>
      </w:pPr>
      <w:r>
        <w:rPr>
          <w:rStyle w:val="72"/>
          <w:rFonts w:hint="eastAsia" w:ascii="宋体" w:hAnsi="宋体" w:cs="宋体"/>
          <w:b w:val="0"/>
          <w:color w:val="auto"/>
          <w:sz w:val="72"/>
          <w:szCs w:val="72"/>
        </w:rPr>
        <w:t>其它应提供的文件</w:t>
      </w:r>
    </w:p>
    <w:p w14:paraId="7D956D85">
      <w:pPr>
        <w:pStyle w:val="4"/>
        <w:tabs>
          <w:tab w:val="clear" w:pos="720"/>
        </w:tabs>
        <w:spacing w:before="0" w:after="120" w:line="700" w:lineRule="exact"/>
        <w:ind w:left="0" w:firstLine="0"/>
        <w:rPr>
          <w:rFonts w:hint="eastAsia" w:ascii="宋体" w:hAnsi="宋体" w:eastAsia="宋体"/>
          <w:b/>
          <w:color w:val="auto"/>
          <w:sz w:val="32"/>
        </w:rPr>
      </w:pPr>
      <w:r>
        <w:rPr>
          <w:rFonts w:hint="eastAsia" w:ascii="宋体" w:hAnsi="宋体" w:eastAsia="宋体"/>
          <w:b/>
          <w:color w:val="auto"/>
          <w:sz w:val="32"/>
        </w:rPr>
        <w:t>三、国企采购活动现场确认声明书格式</w:t>
      </w:r>
    </w:p>
    <w:p w14:paraId="4E231984">
      <w:pPr>
        <w:rPr>
          <w:rFonts w:ascii="宋体"/>
          <w:b w:val="0"/>
          <w:color w:val="auto"/>
          <w:spacing w:val="20"/>
          <w:sz w:val="36"/>
          <w:szCs w:val="36"/>
        </w:rPr>
      </w:pPr>
    </w:p>
    <w:p w14:paraId="60A00D21">
      <w:pPr>
        <w:spacing w:line="239" w:lineRule="auto"/>
        <w:jc w:val="center"/>
        <w:rPr>
          <w:rFonts w:ascii="宋体"/>
          <w:b w:val="0"/>
          <w:bCs w:val="0"/>
          <w:color w:val="auto"/>
          <w:sz w:val="20"/>
        </w:rPr>
      </w:pPr>
      <w:bookmarkStart w:id="68" w:name="page1"/>
      <w:bookmarkEnd w:id="68"/>
      <w:r>
        <w:rPr>
          <w:rFonts w:hint="eastAsia" w:ascii="宋体"/>
          <w:b w:val="0"/>
          <w:bCs w:val="0"/>
          <w:color w:val="auto"/>
          <w:sz w:val="29"/>
          <w:szCs w:val="29"/>
        </w:rPr>
        <w:t>国企</w:t>
      </w:r>
      <w:r>
        <w:rPr>
          <w:rFonts w:ascii="宋体"/>
          <w:b w:val="0"/>
          <w:bCs w:val="0"/>
          <w:color w:val="auto"/>
          <w:sz w:val="29"/>
          <w:szCs w:val="29"/>
        </w:rPr>
        <w:t>采购活动现场确认声明书</w:t>
      </w:r>
    </w:p>
    <w:p w14:paraId="3F00B035">
      <w:pPr>
        <w:spacing w:line="201" w:lineRule="exact"/>
        <w:rPr>
          <w:rFonts w:ascii="宋体"/>
          <w:b w:val="0"/>
          <w:bCs w:val="0"/>
          <w:color w:val="auto"/>
        </w:rPr>
      </w:pPr>
    </w:p>
    <w:p w14:paraId="04967EBB">
      <w:pPr>
        <w:spacing w:line="480" w:lineRule="auto"/>
        <w:ind w:left="60"/>
        <w:rPr>
          <w:rFonts w:ascii="宋体"/>
          <w:b w:val="0"/>
          <w:bCs w:val="0"/>
          <w:color w:val="auto"/>
        </w:rPr>
      </w:pPr>
      <w:r>
        <w:rPr>
          <w:rFonts w:ascii="宋体"/>
          <w:b w:val="0"/>
          <w:bCs w:val="0"/>
          <w:color w:val="auto"/>
        </w:rPr>
        <w:t>温州超然招标代理有限公司</w:t>
      </w:r>
      <w:r>
        <w:rPr>
          <w:rFonts w:ascii="宋体" w:cs="Verdana"/>
          <w:b w:val="0"/>
          <w:bCs w:val="0"/>
          <w:color w:val="auto"/>
        </w:rPr>
        <w:t>:</w:t>
      </w:r>
    </w:p>
    <w:p w14:paraId="6AF2C8A2">
      <w:pPr>
        <w:spacing w:line="480" w:lineRule="auto"/>
        <w:ind w:left="380"/>
        <w:rPr>
          <w:rFonts w:ascii="宋体"/>
          <w:b w:val="0"/>
          <w:bCs w:val="0"/>
          <w:color w:val="auto"/>
          <w:sz w:val="20"/>
        </w:rPr>
      </w:pPr>
      <w:r>
        <w:rPr>
          <w:rFonts w:ascii="宋体"/>
          <w:b w:val="0"/>
          <w:bCs w:val="0"/>
          <w:color w:val="auto"/>
          <w:sz w:val="18"/>
          <w:szCs w:val="18"/>
        </w:rPr>
        <w:t xml:space="preserve">本人 </w:t>
      </w:r>
      <w:r>
        <w:rPr>
          <w:rFonts w:ascii="宋体" w:cs="Verdana"/>
          <w:b w:val="0"/>
          <w:bCs w:val="0"/>
          <w:color w:val="auto"/>
          <w:sz w:val="18"/>
          <w:szCs w:val="18"/>
        </w:rPr>
        <w:t>____________</w:t>
      </w:r>
      <w:r>
        <w:rPr>
          <w:rFonts w:ascii="宋体"/>
          <w:b w:val="0"/>
          <w:bCs w:val="0"/>
          <w:color w:val="auto"/>
          <w:sz w:val="18"/>
          <w:szCs w:val="18"/>
        </w:rPr>
        <w:t>（授权代表姓名），经由</w:t>
      </w:r>
      <w:r>
        <w:rPr>
          <w:rFonts w:ascii="宋体" w:cs="Verdana"/>
          <w:b w:val="0"/>
          <w:bCs w:val="0"/>
          <w:color w:val="auto"/>
          <w:sz w:val="18"/>
          <w:szCs w:val="18"/>
        </w:rPr>
        <w:t>_____________</w:t>
      </w:r>
      <w:r>
        <w:rPr>
          <w:rFonts w:ascii="宋体"/>
          <w:b w:val="0"/>
          <w:bCs w:val="0"/>
          <w:color w:val="auto"/>
          <w:sz w:val="18"/>
          <w:szCs w:val="18"/>
        </w:rPr>
        <w:t xml:space="preserve">（单位） </w:t>
      </w:r>
      <w:r>
        <w:rPr>
          <w:rFonts w:ascii="宋体" w:cs="Verdana"/>
          <w:b w:val="0"/>
          <w:bCs w:val="0"/>
          <w:color w:val="auto"/>
          <w:sz w:val="18"/>
          <w:szCs w:val="18"/>
        </w:rPr>
        <w:t>________</w:t>
      </w:r>
      <w:r>
        <w:rPr>
          <w:rFonts w:ascii="宋体"/>
          <w:b w:val="0"/>
          <w:bCs w:val="0"/>
          <w:color w:val="auto"/>
          <w:sz w:val="19"/>
          <w:szCs w:val="19"/>
        </w:rPr>
        <w:t>（法定代表人姓名）合法授权参加</w:t>
      </w:r>
      <w:r>
        <w:rPr>
          <w:rFonts w:ascii="宋体"/>
          <w:b w:val="0"/>
          <w:bCs w:val="0"/>
          <w:color w:val="auto"/>
          <w:sz w:val="19"/>
          <w:szCs w:val="19"/>
          <w:u w:val="single"/>
        </w:rPr>
        <w:t xml:space="preserve"> </w:t>
      </w:r>
      <w:r>
        <w:rPr>
          <w:rFonts w:hint="eastAsia" w:ascii="宋体"/>
          <w:b w:val="0"/>
          <w:bCs w:val="0"/>
          <w:color w:val="auto"/>
          <w:sz w:val="19"/>
          <w:szCs w:val="19"/>
          <w:u w:val="single"/>
        </w:rPr>
        <w:t xml:space="preserve"> </w:t>
      </w:r>
      <w:r>
        <w:rPr>
          <w:rFonts w:ascii="宋体"/>
          <w:b w:val="0"/>
          <w:bCs w:val="0"/>
          <w:color w:val="auto"/>
          <w:sz w:val="19"/>
          <w:szCs w:val="19"/>
          <w:u w:val="single"/>
        </w:rPr>
        <w:t xml:space="preserve">  </w:t>
      </w:r>
      <w:r>
        <w:rPr>
          <w:rFonts w:hint="eastAsia" w:ascii="宋体"/>
          <w:b w:val="0"/>
          <w:bCs w:val="0"/>
          <w:color w:val="auto"/>
          <w:sz w:val="19"/>
          <w:szCs w:val="19"/>
          <w:u w:val="single"/>
        </w:rPr>
        <w:t xml:space="preserve">（项目名称） </w:t>
      </w:r>
      <w:r>
        <w:rPr>
          <w:rFonts w:ascii="宋体"/>
          <w:b w:val="0"/>
          <w:bCs w:val="0"/>
          <w:color w:val="auto"/>
          <w:sz w:val="19"/>
          <w:szCs w:val="19"/>
          <w:u w:val="single"/>
        </w:rPr>
        <w:t xml:space="preserve"> （</w:t>
      </w:r>
      <w:r>
        <w:rPr>
          <w:rFonts w:hint="eastAsia" w:ascii="宋体"/>
          <w:b w:val="0"/>
          <w:bCs w:val="0"/>
          <w:color w:val="auto"/>
          <w:sz w:val="19"/>
          <w:szCs w:val="19"/>
          <w:u w:val="single"/>
        </w:rPr>
        <w:t>项目编号</w:t>
      </w:r>
      <w:r>
        <w:rPr>
          <w:rFonts w:ascii="宋体"/>
          <w:b w:val="0"/>
          <w:bCs w:val="0"/>
          <w:color w:val="auto"/>
          <w:sz w:val="19"/>
          <w:szCs w:val="19"/>
          <w:u w:val="single"/>
        </w:rPr>
        <w:t>）</w:t>
      </w:r>
      <w:r>
        <w:rPr>
          <w:rFonts w:ascii="宋体"/>
          <w:b w:val="0"/>
          <w:bCs w:val="0"/>
          <w:color w:val="auto"/>
          <w:sz w:val="19"/>
          <w:szCs w:val="19"/>
        </w:rPr>
        <w:t>政府采购活动．经与本单位法人代表（负责人）联系确认，现就有关公平竞争事项郑重声明如下</w:t>
      </w:r>
      <w:r>
        <w:rPr>
          <w:rFonts w:ascii="宋体" w:cs="Verdana"/>
          <w:b w:val="0"/>
          <w:bCs w:val="0"/>
          <w:color w:val="auto"/>
          <w:sz w:val="19"/>
          <w:szCs w:val="19"/>
        </w:rPr>
        <w:t>:</w:t>
      </w:r>
    </w:p>
    <w:p w14:paraId="6D3F681A">
      <w:pPr>
        <w:spacing w:line="480" w:lineRule="auto"/>
        <w:ind w:left="380"/>
        <w:rPr>
          <w:rFonts w:ascii="宋体"/>
          <w:b w:val="0"/>
          <w:bCs w:val="0"/>
          <w:color w:val="auto"/>
          <w:sz w:val="20"/>
        </w:rPr>
      </w:pPr>
      <w:r>
        <w:rPr>
          <w:rFonts w:ascii="宋体"/>
          <w:b w:val="0"/>
          <w:bCs w:val="0"/>
          <w:color w:val="auto"/>
          <w:sz w:val="19"/>
          <w:szCs w:val="19"/>
        </w:rPr>
        <w:t>一、本单位与采购人之间口不存在利害关系口存在下列利害关系</w:t>
      </w:r>
      <w:r>
        <w:rPr>
          <w:rFonts w:ascii="宋体" w:cs="Verdana"/>
          <w:b w:val="0"/>
          <w:bCs w:val="0"/>
          <w:color w:val="auto"/>
          <w:sz w:val="19"/>
          <w:szCs w:val="19"/>
        </w:rPr>
        <w:t>:</w:t>
      </w:r>
    </w:p>
    <w:p w14:paraId="5958B3FF">
      <w:pPr>
        <w:tabs>
          <w:tab w:val="left" w:pos="1880"/>
          <w:tab w:val="left" w:pos="3780"/>
        </w:tabs>
        <w:spacing w:line="480" w:lineRule="auto"/>
        <w:ind w:left="380"/>
        <w:rPr>
          <w:rFonts w:ascii="宋体"/>
          <w:b w:val="0"/>
          <w:bCs w:val="0"/>
          <w:color w:val="auto"/>
          <w:sz w:val="20"/>
        </w:rPr>
      </w:pPr>
      <w:r>
        <w:rPr>
          <w:rFonts w:ascii="宋体" w:cs="Verdana"/>
          <w:b w:val="0"/>
          <w:bCs w:val="0"/>
          <w:color w:val="auto"/>
          <w:sz w:val="19"/>
          <w:szCs w:val="19"/>
        </w:rPr>
        <w:t>A</w:t>
      </w:r>
      <w:r>
        <w:rPr>
          <w:rFonts w:ascii="宋体"/>
          <w:b w:val="0"/>
          <w:bCs w:val="0"/>
          <w:color w:val="auto"/>
          <w:sz w:val="19"/>
          <w:szCs w:val="19"/>
        </w:rPr>
        <w:t>．投资关系</w:t>
      </w:r>
      <w:r>
        <w:rPr>
          <w:rFonts w:ascii="宋体"/>
          <w:b w:val="0"/>
          <w:bCs w:val="0"/>
          <w:color w:val="auto"/>
          <w:sz w:val="20"/>
        </w:rPr>
        <w:tab/>
      </w:r>
      <w:r>
        <w:rPr>
          <w:rFonts w:ascii="宋体" w:cs="Verdana"/>
          <w:b w:val="0"/>
          <w:bCs w:val="0"/>
          <w:color w:val="auto"/>
          <w:sz w:val="19"/>
          <w:szCs w:val="19"/>
        </w:rPr>
        <w:t>B</w:t>
      </w:r>
      <w:r>
        <w:rPr>
          <w:rFonts w:ascii="宋体"/>
          <w:b w:val="0"/>
          <w:bCs w:val="0"/>
          <w:color w:val="auto"/>
          <w:sz w:val="19"/>
          <w:szCs w:val="19"/>
        </w:rPr>
        <w:t>．行政隶属关系</w:t>
      </w:r>
      <w:r>
        <w:rPr>
          <w:rFonts w:ascii="宋体"/>
          <w:b w:val="0"/>
          <w:bCs w:val="0"/>
          <w:color w:val="auto"/>
          <w:sz w:val="20"/>
        </w:rPr>
        <w:tab/>
      </w:r>
      <w:r>
        <w:rPr>
          <w:rFonts w:ascii="宋体" w:cs="Verdana"/>
          <w:b w:val="0"/>
          <w:bCs w:val="0"/>
          <w:color w:val="auto"/>
          <w:sz w:val="19"/>
          <w:szCs w:val="19"/>
        </w:rPr>
        <w:t>C</w:t>
      </w:r>
      <w:r>
        <w:rPr>
          <w:rFonts w:ascii="宋体"/>
          <w:b w:val="0"/>
          <w:bCs w:val="0"/>
          <w:color w:val="auto"/>
          <w:sz w:val="19"/>
          <w:szCs w:val="19"/>
        </w:rPr>
        <w:t>．业务指导关系</w:t>
      </w:r>
    </w:p>
    <w:p w14:paraId="3D364FFC">
      <w:pPr>
        <w:spacing w:line="480" w:lineRule="auto"/>
        <w:ind w:left="380"/>
        <w:rPr>
          <w:rFonts w:ascii="宋体"/>
          <w:b w:val="0"/>
          <w:bCs w:val="0"/>
          <w:color w:val="auto"/>
          <w:sz w:val="20"/>
        </w:rPr>
      </w:pPr>
      <w:r>
        <w:rPr>
          <w:rFonts w:ascii="宋体" w:cs="Verdana"/>
          <w:b w:val="0"/>
          <w:bCs w:val="0"/>
          <w:color w:val="auto"/>
          <w:sz w:val="19"/>
          <w:szCs w:val="19"/>
        </w:rPr>
        <w:t>D</w:t>
      </w:r>
      <w:r>
        <w:rPr>
          <w:rFonts w:ascii="宋体"/>
          <w:b w:val="0"/>
          <w:bCs w:val="0"/>
          <w:color w:val="auto"/>
          <w:sz w:val="19"/>
          <w:szCs w:val="19"/>
        </w:rPr>
        <w:t>．其他可能影响采购公正的利害关系（如有，请如实说明）。</w:t>
      </w:r>
    </w:p>
    <w:p w14:paraId="52F2A9CD">
      <w:pPr>
        <w:spacing w:line="480" w:lineRule="auto"/>
        <w:ind w:left="380"/>
        <w:rPr>
          <w:rFonts w:ascii="宋体"/>
          <w:b w:val="0"/>
          <w:bCs w:val="0"/>
          <w:color w:val="auto"/>
          <w:sz w:val="19"/>
          <w:szCs w:val="19"/>
        </w:rPr>
      </w:pPr>
      <w:r>
        <w:rPr>
          <w:rFonts w:ascii="宋体"/>
          <w:b w:val="0"/>
          <w:bCs w:val="0"/>
          <w:color w:val="auto"/>
          <w:sz w:val="19"/>
          <w:szCs w:val="19"/>
        </w:rPr>
        <w:t>二、现己清楚知道参加本项目采购活动的其他所有供应商名称，本单位 口与其他所有供应商之间均不存在利害关系 口与</w:t>
      </w:r>
      <w:r>
        <w:rPr>
          <w:rFonts w:ascii="宋体" w:cs="Verdana"/>
          <w:b w:val="0"/>
          <w:bCs w:val="0"/>
          <w:color w:val="auto"/>
          <w:sz w:val="19"/>
          <w:szCs w:val="19"/>
        </w:rPr>
        <w:t>______________</w:t>
      </w:r>
      <w:r>
        <w:rPr>
          <w:rFonts w:ascii="宋体"/>
          <w:b w:val="0"/>
          <w:bCs w:val="0"/>
          <w:color w:val="auto"/>
          <w:sz w:val="19"/>
          <w:szCs w:val="19"/>
        </w:rPr>
        <w:t>（供应商名称）之间存在下列利害关系</w:t>
      </w:r>
      <w:r>
        <w:rPr>
          <w:rFonts w:ascii="宋体" w:cs="Verdana"/>
          <w:b w:val="0"/>
          <w:bCs w:val="0"/>
          <w:color w:val="auto"/>
          <w:sz w:val="19"/>
          <w:szCs w:val="19"/>
        </w:rPr>
        <w:t>:</w:t>
      </w:r>
      <w:r>
        <w:rPr>
          <w:rFonts w:ascii="宋体"/>
          <w:b w:val="0"/>
          <w:bCs w:val="0"/>
          <w:color w:val="auto"/>
          <w:sz w:val="19"/>
          <w:szCs w:val="19"/>
        </w:rPr>
        <w:t xml:space="preserve"> </w:t>
      </w:r>
    </w:p>
    <w:p w14:paraId="5A4AA54A">
      <w:pPr>
        <w:spacing w:line="480" w:lineRule="auto"/>
        <w:ind w:left="380"/>
        <w:rPr>
          <w:rFonts w:ascii="宋体"/>
          <w:b w:val="0"/>
          <w:bCs w:val="0"/>
          <w:color w:val="auto"/>
          <w:sz w:val="20"/>
        </w:rPr>
      </w:pPr>
      <w:r>
        <w:rPr>
          <w:rFonts w:ascii="宋体" w:cs="Verdana"/>
          <w:b w:val="0"/>
          <w:bCs w:val="0"/>
          <w:color w:val="auto"/>
          <w:sz w:val="19"/>
          <w:szCs w:val="19"/>
        </w:rPr>
        <w:t>A</w:t>
      </w:r>
      <w:r>
        <w:rPr>
          <w:rFonts w:ascii="宋体"/>
          <w:b w:val="0"/>
          <w:bCs w:val="0"/>
          <w:color w:val="auto"/>
          <w:sz w:val="19"/>
          <w:szCs w:val="19"/>
        </w:rPr>
        <w:t>．法定代表人或负责人或实际控制人是同一人</w:t>
      </w:r>
    </w:p>
    <w:p w14:paraId="530A422D">
      <w:pPr>
        <w:spacing w:line="480" w:lineRule="auto"/>
        <w:ind w:left="380"/>
        <w:rPr>
          <w:rFonts w:ascii="宋体"/>
          <w:b w:val="0"/>
          <w:bCs w:val="0"/>
          <w:color w:val="auto"/>
          <w:sz w:val="20"/>
        </w:rPr>
      </w:pPr>
      <w:r>
        <w:rPr>
          <w:rFonts w:ascii="宋体" w:cs="Verdana"/>
          <w:b w:val="0"/>
          <w:bCs w:val="0"/>
          <w:color w:val="auto"/>
          <w:sz w:val="19"/>
          <w:szCs w:val="19"/>
        </w:rPr>
        <w:t>B</w:t>
      </w:r>
      <w:r>
        <w:rPr>
          <w:rFonts w:ascii="宋体"/>
          <w:b w:val="0"/>
          <w:bCs w:val="0"/>
          <w:color w:val="auto"/>
          <w:sz w:val="19"/>
          <w:szCs w:val="19"/>
        </w:rPr>
        <w:t>．法定代表人或负责人或实际控制人是夫妻关系</w:t>
      </w:r>
    </w:p>
    <w:p w14:paraId="503488BB">
      <w:pPr>
        <w:spacing w:line="480" w:lineRule="auto"/>
        <w:ind w:left="380"/>
        <w:rPr>
          <w:rFonts w:ascii="宋体"/>
          <w:b w:val="0"/>
          <w:bCs w:val="0"/>
          <w:color w:val="auto"/>
          <w:sz w:val="20"/>
        </w:rPr>
      </w:pPr>
      <w:r>
        <w:rPr>
          <w:rFonts w:ascii="宋体" w:cs="Verdana"/>
          <w:b w:val="0"/>
          <w:bCs w:val="0"/>
          <w:color w:val="auto"/>
          <w:sz w:val="19"/>
          <w:szCs w:val="19"/>
        </w:rPr>
        <w:t>C</w:t>
      </w:r>
      <w:r>
        <w:rPr>
          <w:rFonts w:ascii="宋体"/>
          <w:b w:val="0"/>
          <w:bCs w:val="0"/>
          <w:color w:val="auto"/>
          <w:sz w:val="19"/>
          <w:szCs w:val="19"/>
        </w:rPr>
        <w:t>．法定代表人或负责人或实际控制人是直系血亲关系</w:t>
      </w:r>
    </w:p>
    <w:p w14:paraId="429C7E0B">
      <w:pPr>
        <w:spacing w:line="480" w:lineRule="auto"/>
        <w:ind w:left="380"/>
        <w:rPr>
          <w:rFonts w:ascii="宋体"/>
          <w:b w:val="0"/>
          <w:bCs w:val="0"/>
          <w:color w:val="auto"/>
          <w:sz w:val="20"/>
        </w:rPr>
      </w:pPr>
      <w:r>
        <w:rPr>
          <w:rFonts w:ascii="宋体" w:cs="Verdana"/>
          <w:b w:val="0"/>
          <w:bCs w:val="0"/>
          <w:color w:val="auto"/>
          <w:sz w:val="19"/>
          <w:szCs w:val="19"/>
        </w:rPr>
        <w:t>D</w:t>
      </w:r>
      <w:r>
        <w:rPr>
          <w:rFonts w:ascii="宋体"/>
          <w:b w:val="0"/>
          <w:bCs w:val="0"/>
          <w:color w:val="auto"/>
          <w:sz w:val="19"/>
          <w:szCs w:val="19"/>
        </w:rPr>
        <w:t>．法定代表人或负责人或实际控制人存在三代以内旁系血亲关系</w:t>
      </w:r>
    </w:p>
    <w:p w14:paraId="097E2161">
      <w:pPr>
        <w:spacing w:line="480" w:lineRule="auto"/>
        <w:ind w:left="380"/>
        <w:rPr>
          <w:rFonts w:ascii="宋体"/>
          <w:b w:val="0"/>
          <w:bCs w:val="0"/>
          <w:color w:val="auto"/>
          <w:sz w:val="20"/>
        </w:rPr>
      </w:pPr>
      <w:r>
        <w:rPr>
          <w:rFonts w:ascii="宋体" w:cs="Verdana"/>
          <w:b w:val="0"/>
          <w:bCs w:val="0"/>
          <w:color w:val="auto"/>
          <w:sz w:val="19"/>
          <w:szCs w:val="19"/>
        </w:rPr>
        <w:t>E</w:t>
      </w:r>
      <w:r>
        <w:rPr>
          <w:rFonts w:ascii="宋体"/>
          <w:b w:val="0"/>
          <w:bCs w:val="0"/>
          <w:color w:val="auto"/>
          <w:sz w:val="19"/>
          <w:szCs w:val="19"/>
        </w:rPr>
        <w:t>．法定代表人或负责人或实际控制人存在近姻亲关系</w:t>
      </w:r>
    </w:p>
    <w:p w14:paraId="3B4AD0B7">
      <w:pPr>
        <w:spacing w:line="480" w:lineRule="auto"/>
        <w:ind w:left="380"/>
        <w:rPr>
          <w:rFonts w:ascii="宋体"/>
          <w:b w:val="0"/>
          <w:bCs w:val="0"/>
          <w:color w:val="auto"/>
          <w:sz w:val="20"/>
        </w:rPr>
      </w:pPr>
      <w:r>
        <w:rPr>
          <w:rFonts w:ascii="宋体" w:cs="Verdana"/>
          <w:b w:val="0"/>
          <w:bCs w:val="0"/>
          <w:color w:val="auto"/>
          <w:sz w:val="19"/>
          <w:szCs w:val="19"/>
        </w:rPr>
        <w:t>F</w:t>
      </w:r>
      <w:r>
        <w:rPr>
          <w:rFonts w:ascii="宋体"/>
          <w:b w:val="0"/>
          <w:bCs w:val="0"/>
          <w:color w:val="auto"/>
          <w:sz w:val="19"/>
          <w:szCs w:val="19"/>
        </w:rPr>
        <w:t>．法定代表人或负责人或实际控制人存在股份控制或实际控制关系</w:t>
      </w:r>
    </w:p>
    <w:p w14:paraId="25B73001">
      <w:pPr>
        <w:spacing w:line="480" w:lineRule="auto"/>
        <w:ind w:left="380"/>
        <w:rPr>
          <w:rFonts w:ascii="宋体"/>
          <w:b w:val="0"/>
          <w:bCs w:val="0"/>
          <w:color w:val="auto"/>
          <w:sz w:val="20"/>
        </w:rPr>
      </w:pPr>
      <w:r>
        <w:rPr>
          <w:rFonts w:ascii="宋体" w:cs="Verdana"/>
          <w:b w:val="0"/>
          <w:bCs w:val="0"/>
          <w:color w:val="auto"/>
          <w:sz w:val="19"/>
          <w:szCs w:val="19"/>
        </w:rPr>
        <w:t>G</w:t>
      </w:r>
      <w:r>
        <w:rPr>
          <w:rFonts w:ascii="宋体"/>
          <w:b w:val="0"/>
          <w:bCs w:val="0"/>
          <w:color w:val="auto"/>
          <w:sz w:val="19"/>
          <w:szCs w:val="19"/>
        </w:rPr>
        <w:t>．存在共同直接或间接投资设立子公司、联营企业和合营企业情况</w:t>
      </w:r>
    </w:p>
    <w:p w14:paraId="72AACEA9">
      <w:pPr>
        <w:spacing w:line="480" w:lineRule="auto"/>
        <w:ind w:left="380"/>
        <w:rPr>
          <w:rFonts w:ascii="宋体"/>
          <w:b w:val="0"/>
          <w:bCs w:val="0"/>
          <w:color w:val="auto"/>
          <w:sz w:val="20"/>
        </w:rPr>
      </w:pPr>
      <w:r>
        <w:rPr>
          <w:rFonts w:ascii="宋体" w:cs="Verdana"/>
          <w:b w:val="0"/>
          <w:bCs w:val="0"/>
          <w:color w:val="auto"/>
          <w:sz w:val="19"/>
          <w:szCs w:val="19"/>
        </w:rPr>
        <w:t>H</w:t>
      </w:r>
      <w:r>
        <w:rPr>
          <w:rFonts w:ascii="宋体"/>
          <w:b w:val="0"/>
          <w:bCs w:val="0"/>
          <w:color w:val="auto"/>
          <w:sz w:val="19"/>
          <w:szCs w:val="19"/>
        </w:rPr>
        <w:t>．存在分级代理或代销关系、同一生产制造商关系、管理关系、重要业务（占主昔业务收入</w:t>
      </w:r>
      <w:r>
        <w:rPr>
          <w:rFonts w:ascii="宋体" w:cs="Verdana"/>
          <w:b w:val="0"/>
          <w:bCs w:val="0"/>
          <w:color w:val="auto"/>
          <w:sz w:val="19"/>
          <w:szCs w:val="19"/>
        </w:rPr>
        <w:t xml:space="preserve"> 50 </w:t>
      </w:r>
      <w:r>
        <w:rPr>
          <w:rFonts w:ascii="宋体"/>
          <w:b w:val="0"/>
          <w:bCs w:val="0"/>
          <w:color w:val="auto"/>
          <w:sz w:val="19"/>
          <w:szCs w:val="19"/>
        </w:rPr>
        <w:t>％以上）或重要财务</w:t>
      </w:r>
      <w:r>
        <w:rPr>
          <w:rFonts w:ascii="宋体" w:cs="Verdana"/>
          <w:b w:val="0"/>
          <w:bCs w:val="0"/>
          <w:color w:val="auto"/>
          <w:sz w:val="19"/>
          <w:szCs w:val="19"/>
        </w:rPr>
        <w:t xml:space="preserve"> </w:t>
      </w:r>
      <w:r>
        <w:rPr>
          <w:rFonts w:ascii="宋体"/>
          <w:b w:val="0"/>
          <w:bCs w:val="0"/>
          <w:color w:val="auto"/>
          <w:sz w:val="19"/>
          <w:szCs w:val="19"/>
        </w:rPr>
        <w:t>往来关系（如融资）等其他实质性控制关系</w:t>
      </w:r>
    </w:p>
    <w:p w14:paraId="2F71D5DF">
      <w:pPr>
        <w:spacing w:line="480" w:lineRule="auto"/>
        <w:ind w:left="380"/>
        <w:rPr>
          <w:rFonts w:ascii="宋体"/>
          <w:b w:val="0"/>
          <w:bCs w:val="0"/>
          <w:color w:val="auto"/>
          <w:sz w:val="20"/>
        </w:rPr>
      </w:pPr>
      <w:r>
        <w:rPr>
          <w:rFonts w:ascii="宋体" w:cs="Verdana"/>
          <w:b w:val="0"/>
          <w:bCs w:val="0"/>
          <w:color w:val="auto"/>
          <w:sz w:val="19"/>
          <w:szCs w:val="19"/>
        </w:rPr>
        <w:t>I</w:t>
      </w:r>
      <w:r>
        <w:rPr>
          <w:rFonts w:ascii="宋体"/>
          <w:b w:val="0"/>
          <w:bCs w:val="0"/>
          <w:color w:val="auto"/>
          <w:sz w:val="19"/>
          <w:szCs w:val="19"/>
        </w:rPr>
        <w:t>．其他利害关系情况</w:t>
      </w:r>
      <w:r>
        <w:rPr>
          <w:rFonts w:ascii="宋体" w:cs="Verdana"/>
          <w:b w:val="0"/>
          <w:bCs w:val="0"/>
          <w:color w:val="auto"/>
          <w:sz w:val="19"/>
          <w:szCs w:val="19"/>
        </w:rPr>
        <w:t xml:space="preserve"> ________________________________________</w:t>
      </w:r>
      <w:r>
        <w:rPr>
          <w:rFonts w:ascii="宋体"/>
          <w:b w:val="0"/>
          <w:bCs w:val="0"/>
          <w:color w:val="auto"/>
          <w:sz w:val="19"/>
          <w:szCs w:val="19"/>
        </w:rPr>
        <w:t>。</w:t>
      </w:r>
    </w:p>
    <w:p w14:paraId="6BC2C704">
      <w:pPr>
        <w:spacing w:line="480" w:lineRule="auto"/>
        <w:ind w:left="380"/>
        <w:rPr>
          <w:rFonts w:ascii="宋体"/>
          <w:b w:val="0"/>
          <w:bCs w:val="0"/>
          <w:color w:val="auto"/>
          <w:sz w:val="20"/>
        </w:rPr>
      </w:pPr>
      <w:r>
        <w:rPr>
          <w:rFonts w:ascii="宋体"/>
          <w:b w:val="0"/>
          <w:bCs w:val="0"/>
          <w:color w:val="auto"/>
          <w:sz w:val="19"/>
          <w:szCs w:val="19"/>
        </w:rPr>
        <w:t>三、现己清楚知道并严格遵守政府采购法律法规和现场纪律。</w:t>
      </w:r>
    </w:p>
    <w:p w14:paraId="5F804ECA">
      <w:pPr>
        <w:spacing w:line="480" w:lineRule="auto"/>
        <w:ind w:left="380"/>
        <w:rPr>
          <w:rFonts w:ascii="宋体"/>
          <w:b w:val="0"/>
          <w:bCs w:val="0"/>
          <w:color w:val="auto"/>
          <w:sz w:val="20"/>
        </w:rPr>
      </w:pPr>
      <w:r>
        <w:rPr>
          <w:rFonts w:ascii="宋体"/>
          <w:b w:val="0"/>
          <w:bCs w:val="0"/>
          <w:color w:val="auto"/>
          <w:sz w:val="19"/>
          <w:szCs w:val="19"/>
        </w:rPr>
        <w:t xml:space="preserve">四、我发现 </w:t>
      </w:r>
      <w:r>
        <w:rPr>
          <w:rFonts w:ascii="宋体" w:cs="Verdana"/>
          <w:b w:val="0"/>
          <w:bCs w:val="0"/>
          <w:color w:val="auto"/>
          <w:sz w:val="19"/>
          <w:szCs w:val="19"/>
        </w:rPr>
        <w:t>____________________</w:t>
      </w:r>
      <w:r>
        <w:rPr>
          <w:rFonts w:ascii="宋体"/>
          <w:b w:val="0"/>
          <w:bCs w:val="0"/>
          <w:color w:val="auto"/>
          <w:sz w:val="19"/>
          <w:szCs w:val="19"/>
        </w:rPr>
        <w:t xml:space="preserve">供应商之间存在或可能存在上述第二条第 </w:t>
      </w:r>
      <w:r>
        <w:rPr>
          <w:rFonts w:ascii="宋体" w:cs="Verdana"/>
          <w:b w:val="0"/>
          <w:bCs w:val="0"/>
          <w:color w:val="auto"/>
          <w:sz w:val="19"/>
          <w:szCs w:val="19"/>
        </w:rPr>
        <w:t>____________</w:t>
      </w:r>
      <w:r>
        <w:rPr>
          <w:rFonts w:ascii="宋体"/>
          <w:b w:val="0"/>
          <w:bCs w:val="0"/>
          <w:color w:val="auto"/>
          <w:sz w:val="19"/>
          <w:szCs w:val="19"/>
        </w:rPr>
        <w:t>项利害关系。</w:t>
      </w:r>
    </w:p>
    <w:p w14:paraId="6B753980">
      <w:pPr>
        <w:ind w:firstLine="4940" w:firstLineChars="2600"/>
        <w:rPr>
          <w:rFonts w:ascii="宋体"/>
          <w:b w:val="0"/>
          <w:bCs w:val="0"/>
          <w:color w:val="auto"/>
          <w:sz w:val="20"/>
        </w:rPr>
      </w:pPr>
      <w:r>
        <w:rPr>
          <w:rFonts w:ascii="宋体"/>
          <w:b w:val="0"/>
          <w:bCs w:val="0"/>
          <w:color w:val="auto"/>
          <w:sz w:val="19"/>
          <w:szCs w:val="19"/>
        </w:rPr>
        <w:t>（供应商代表签名）</w:t>
      </w:r>
      <w:r>
        <w:rPr>
          <w:rFonts w:ascii="宋体" w:cs="Verdana"/>
          <w:b w:val="0"/>
          <w:bCs w:val="0"/>
          <w:color w:val="auto"/>
          <w:sz w:val="19"/>
          <w:szCs w:val="19"/>
        </w:rPr>
        <w:t>:</w:t>
      </w:r>
    </w:p>
    <w:p w14:paraId="113F6A43">
      <w:pPr>
        <w:spacing w:line="189" w:lineRule="exact"/>
        <w:rPr>
          <w:rFonts w:ascii="宋体"/>
          <w:b w:val="0"/>
          <w:bCs w:val="0"/>
          <w:color w:val="auto"/>
          <w:sz w:val="24"/>
          <w:szCs w:val="24"/>
        </w:rPr>
      </w:pPr>
    </w:p>
    <w:p w14:paraId="48EE9746">
      <w:pPr>
        <w:ind w:firstLine="4940" w:firstLineChars="2600"/>
        <w:rPr>
          <w:rFonts w:ascii="宋体"/>
          <w:b w:val="0"/>
          <w:bCs w:val="0"/>
          <w:color w:val="auto"/>
          <w:sz w:val="20"/>
        </w:rPr>
      </w:pPr>
      <w:r>
        <w:rPr>
          <w:rFonts w:ascii="宋体" w:cs="Verdana"/>
          <w:b w:val="0"/>
          <w:bCs w:val="0"/>
          <w:color w:val="auto"/>
          <w:sz w:val="19"/>
          <w:szCs w:val="19"/>
        </w:rPr>
        <w:t>202</w:t>
      </w:r>
      <w:r>
        <w:rPr>
          <w:rFonts w:hint="eastAsia" w:ascii="宋体" w:cs="Verdana"/>
          <w:b w:val="0"/>
          <w:bCs w:val="0"/>
          <w:color w:val="auto"/>
          <w:sz w:val="19"/>
          <w:szCs w:val="19"/>
        </w:rPr>
        <w:t>5</w:t>
      </w:r>
      <w:r>
        <w:rPr>
          <w:rFonts w:ascii="宋体"/>
          <w:b w:val="0"/>
          <w:bCs w:val="0"/>
          <w:color w:val="auto"/>
          <w:sz w:val="19"/>
          <w:szCs w:val="19"/>
        </w:rPr>
        <w:t>年</w:t>
      </w:r>
      <w:r>
        <w:rPr>
          <w:rFonts w:hint="eastAsia" w:ascii="宋体"/>
          <w:b w:val="0"/>
          <w:bCs w:val="0"/>
          <w:color w:val="auto"/>
          <w:sz w:val="19"/>
          <w:szCs w:val="19"/>
        </w:rPr>
        <w:t xml:space="preserve"> </w:t>
      </w:r>
      <w:r>
        <w:rPr>
          <w:rFonts w:ascii="宋体" w:cs="Verdana"/>
          <w:b w:val="0"/>
          <w:bCs w:val="0"/>
          <w:color w:val="auto"/>
          <w:sz w:val="19"/>
          <w:szCs w:val="19"/>
        </w:rPr>
        <w:t xml:space="preserve">  </w:t>
      </w:r>
      <w:r>
        <w:rPr>
          <w:rFonts w:ascii="宋体"/>
          <w:b w:val="0"/>
          <w:bCs w:val="0"/>
          <w:color w:val="auto"/>
          <w:sz w:val="19"/>
          <w:szCs w:val="19"/>
        </w:rPr>
        <w:t>月</w:t>
      </w:r>
      <w:r>
        <w:rPr>
          <w:rFonts w:ascii="宋体" w:cs="Verdana"/>
          <w:b w:val="0"/>
          <w:bCs w:val="0"/>
          <w:color w:val="auto"/>
          <w:sz w:val="19"/>
          <w:szCs w:val="19"/>
        </w:rPr>
        <w:t xml:space="preserve">    </w:t>
      </w:r>
      <w:r>
        <w:rPr>
          <w:rFonts w:ascii="宋体"/>
          <w:b w:val="0"/>
          <w:bCs w:val="0"/>
          <w:color w:val="auto"/>
          <w:sz w:val="19"/>
          <w:szCs w:val="19"/>
        </w:rPr>
        <w:t>日</w:t>
      </w:r>
    </w:p>
    <w:p w14:paraId="3DFC4324">
      <w:pPr>
        <w:pStyle w:val="4"/>
        <w:spacing w:before="0" w:after="120" w:line="700" w:lineRule="exact"/>
        <w:ind w:left="0" w:firstLine="0"/>
        <w:jc w:val="center"/>
        <w:rPr>
          <w:rFonts w:ascii="Cambria Math" w:hAnsi="Cambria Math" w:eastAsia="Cambria Math"/>
          <w:b/>
          <w:color w:val="auto"/>
          <w:sz w:val="36"/>
          <w:szCs w:val="36"/>
        </w:rPr>
      </w:pPr>
      <w:r>
        <w:rPr>
          <w:rFonts w:hint="eastAsia" w:ascii="Cambria Math" w:hAnsi="Cambria Math" w:eastAsia="Cambria Math"/>
          <w:b/>
          <w:color w:val="auto"/>
          <w:sz w:val="36"/>
          <w:szCs w:val="36"/>
        </w:rPr>
        <w:t>第六部分</w:t>
      </w:r>
      <w:r>
        <w:rPr>
          <w:rFonts w:hint="eastAsia" w:ascii="Cambria Math" w:hAnsi="Cambria Math" w:eastAsiaTheme="minorEastAsia"/>
          <w:b/>
          <w:color w:val="auto"/>
          <w:sz w:val="36"/>
          <w:szCs w:val="36"/>
        </w:rPr>
        <w:t xml:space="preserve">  </w:t>
      </w:r>
      <w:r>
        <w:rPr>
          <w:rFonts w:hint="eastAsia" w:ascii="Cambria Math" w:hAnsi="Cambria Math" w:eastAsia="Cambria Math"/>
          <w:b/>
          <w:color w:val="auto"/>
          <w:sz w:val="36"/>
          <w:szCs w:val="36"/>
        </w:rPr>
        <w:t>评标办法</w:t>
      </w:r>
    </w:p>
    <w:p w14:paraId="32D95DF8">
      <w:pPr>
        <w:tabs>
          <w:tab w:val="left" w:pos="8820"/>
        </w:tabs>
        <w:adjustRightInd w:val="0"/>
        <w:snapToGrid w:val="0"/>
        <w:spacing w:before="100" w:after="50" w:line="440" w:lineRule="atLeast"/>
        <w:ind w:firstLine="440" w:firstLineChars="200"/>
        <w:rPr>
          <w:rFonts w:ascii="Cambria Math" w:hAnsi="Cambria Math" w:eastAsia="Cambria Math"/>
          <w:b w:val="0"/>
          <w:color w:val="auto"/>
          <w:sz w:val="22"/>
          <w:szCs w:val="22"/>
        </w:rPr>
      </w:pPr>
      <w:r>
        <w:rPr>
          <w:rFonts w:hint="eastAsia" w:ascii="Cambria Math" w:hAnsi="Cambria Math" w:eastAsia="Cambria Math"/>
          <w:b w:val="0"/>
          <w:color w:val="auto"/>
          <w:sz w:val="22"/>
          <w:szCs w:val="22"/>
        </w:rPr>
        <w:t>根据</w:t>
      </w:r>
      <w:r>
        <w:rPr>
          <w:rFonts w:hint="eastAsia" w:ascii="宋体" w:hAnsi="宋体" w:cs="宋体"/>
          <w:b w:val="0"/>
          <w:color w:val="auto"/>
          <w:sz w:val="22"/>
          <w:szCs w:val="22"/>
        </w:rPr>
        <w:t>温州市国企采购相关规定，</w:t>
      </w:r>
      <w:r>
        <w:rPr>
          <w:rFonts w:hint="eastAsia" w:ascii="Cambria Math" w:hAnsi="Cambria Math" w:eastAsia="Cambria Math"/>
          <w:b w:val="0"/>
          <w:color w:val="auto"/>
          <w:sz w:val="22"/>
          <w:szCs w:val="22"/>
        </w:rPr>
        <w:t>结合本次所要采购货物的实际，按照公平、公正、科学、择优的原则选择成交单位，特制定本评审办法。</w:t>
      </w:r>
    </w:p>
    <w:p w14:paraId="54B552AF">
      <w:pPr>
        <w:adjustRightInd w:val="0"/>
        <w:snapToGrid w:val="0"/>
        <w:spacing w:before="120" w:beforeLines="50" w:after="50" w:line="440" w:lineRule="atLeast"/>
        <w:jc w:val="center"/>
        <w:rPr>
          <w:rFonts w:ascii="Cambria Math" w:hAnsi="Cambria Math" w:eastAsia="Cambria Math"/>
          <w:b w:val="0"/>
          <w:bCs w:val="0"/>
          <w:color w:val="auto"/>
          <w:sz w:val="22"/>
          <w:szCs w:val="22"/>
        </w:rPr>
      </w:pPr>
      <w:r>
        <w:rPr>
          <w:rFonts w:hint="eastAsia" w:ascii="Cambria Math" w:hAnsi="Cambria Math" w:eastAsia="Cambria Math"/>
          <w:b w:val="0"/>
          <w:bCs w:val="0"/>
          <w:color w:val="auto"/>
          <w:sz w:val="22"/>
          <w:szCs w:val="22"/>
        </w:rPr>
        <w:t>一、总则</w:t>
      </w:r>
    </w:p>
    <w:p w14:paraId="7D8AC76C">
      <w:pPr>
        <w:pStyle w:val="23"/>
        <w:adjustRightInd w:val="0"/>
        <w:snapToGrid w:val="0"/>
        <w:spacing w:before="100" w:after="50" w:line="440" w:lineRule="atLeast"/>
        <w:rPr>
          <w:rFonts w:ascii="Cambria Math" w:hAnsi="Cambria Math" w:eastAsia="Cambria Math"/>
          <w:b w:val="0"/>
          <w:color w:val="auto"/>
          <w:sz w:val="22"/>
          <w:szCs w:val="22"/>
        </w:rPr>
      </w:pPr>
      <w:r>
        <w:rPr>
          <w:rFonts w:hint="eastAsia" w:ascii="Cambria Math" w:hAnsi="Cambria Math" w:eastAsia="Cambria Math"/>
          <w:b w:val="0"/>
          <w:color w:val="auto"/>
          <w:sz w:val="22"/>
          <w:szCs w:val="22"/>
        </w:rPr>
        <w:t>评审工作遵循公平、公正、民主、科学的原则和诚实、信誉、效率的服务原则。本着科学、严谨的态度，认真进行评审。择优选定供货单位，确保货物的质量、交货期，节约投资，最大限度的保护当事人权益，严格按照投标文件的商务、技术要求，对投标文件进行综合评定，提出优选方案，编写成交报告。评标委员会必须严格遵守保密规定，不得泄漏评审的有关情况，不得索贿受贿，不得接受吃请和礼品，不得参加影响公正评审的有关活动。对落标单位，评标委员会不作任何落标解释。供应商不得以任何方式干扰招投标工作的进行，一经发现其投标文件将被拒绝。</w:t>
      </w:r>
    </w:p>
    <w:p w14:paraId="31C940CB">
      <w:pPr>
        <w:adjustRightInd w:val="0"/>
        <w:snapToGrid w:val="0"/>
        <w:spacing w:before="120" w:beforeLines="50" w:after="50" w:line="440" w:lineRule="atLeast"/>
        <w:jc w:val="center"/>
        <w:rPr>
          <w:rFonts w:ascii="Cambria Math" w:hAnsi="Cambria Math" w:eastAsia="Cambria Math"/>
          <w:b w:val="0"/>
          <w:bCs w:val="0"/>
          <w:color w:val="auto"/>
          <w:sz w:val="22"/>
          <w:szCs w:val="22"/>
        </w:rPr>
      </w:pPr>
      <w:r>
        <w:rPr>
          <w:rFonts w:hint="eastAsia" w:ascii="Cambria Math" w:hAnsi="Cambria Math" w:eastAsia="Cambria Math"/>
          <w:b w:val="0"/>
          <w:bCs w:val="0"/>
          <w:color w:val="auto"/>
          <w:sz w:val="22"/>
          <w:szCs w:val="22"/>
        </w:rPr>
        <w:t>二、评审组织</w:t>
      </w:r>
    </w:p>
    <w:p w14:paraId="481C854F">
      <w:pPr>
        <w:pStyle w:val="23"/>
        <w:adjustRightInd w:val="0"/>
        <w:snapToGrid w:val="0"/>
        <w:spacing w:before="100" w:after="50" w:line="440" w:lineRule="atLeast"/>
        <w:rPr>
          <w:rFonts w:ascii="Cambria Math" w:hAnsi="Cambria Math" w:eastAsia="Cambria Math"/>
          <w:b w:val="0"/>
          <w:color w:val="auto"/>
          <w:sz w:val="22"/>
          <w:szCs w:val="22"/>
        </w:rPr>
      </w:pPr>
      <w:r>
        <w:rPr>
          <w:rFonts w:hint="eastAsia" w:ascii="Cambria Math" w:hAnsi="Cambria Math" w:eastAsia="Cambria Math"/>
          <w:b w:val="0"/>
          <w:color w:val="auto"/>
          <w:sz w:val="22"/>
          <w:szCs w:val="22"/>
        </w:rPr>
        <w:t>评审工作由采购机构依法组建的评标委员会负责，评标委员会由有关技术、经济专家共同组成。评审全过程由采购管理部门或纪检部门监督。</w:t>
      </w:r>
    </w:p>
    <w:p w14:paraId="473E2886">
      <w:pPr>
        <w:pStyle w:val="86"/>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40" w:lineRule="atLeast"/>
        <w:textAlignment w:val="auto"/>
        <w:rPr>
          <w:rFonts w:ascii="Cambria Math" w:hAnsi="Cambria Math" w:eastAsia="Cambria Math"/>
          <w:b w:val="0"/>
          <w:kern w:val="2"/>
          <w:sz w:val="22"/>
          <w:szCs w:val="22"/>
        </w:rPr>
      </w:pPr>
      <w:r>
        <w:rPr>
          <w:rFonts w:hint="eastAsia" w:ascii="Cambria Math" w:hAnsi="Cambria Math" w:eastAsia="Cambria Math"/>
          <w:b w:val="0"/>
          <w:kern w:val="2"/>
          <w:sz w:val="22"/>
          <w:szCs w:val="22"/>
        </w:rPr>
        <w:t>三、评标程序及评审办法</w:t>
      </w:r>
    </w:p>
    <w:p w14:paraId="104E8631">
      <w:pPr>
        <w:pStyle w:val="5"/>
        <w:adjustRightInd w:val="0"/>
        <w:snapToGrid w:val="0"/>
        <w:spacing w:before="120" w:beforeLines="50" w:after="50" w:line="440" w:lineRule="atLeast"/>
        <w:ind w:firstLine="440"/>
        <w:rPr>
          <w:rFonts w:ascii="Cambria Math" w:hAnsi="Cambria Math" w:eastAsia="Cambria Math"/>
          <w:b w:val="0"/>
          <w:color w:val="auto"/>
          <w:sz w:val="22"/>
          <w:szCs w:val="22"/>
        </w:rPr>
      </w:pPr>
      <w:r>
        <w:rPr>
          <w:rFonts w:hint="eastAsia" w:ascii="Cambria Math" w:hAnsi="Cambria Math" w:eastAsia="Cambria Math"/>
          <w:b w:val="0"/>
          <w:color w:val="auto"/>
          <w:sz w:val="22"/>
          <w:szCs w:val="22"/>
        </w:rPr>
        <w:t>本次开标，技术资信标和商务标分别开启，程序如下：</w:t>
      </w:r>
    </w:p>
    <w:p w14:paraId="569D1C9E">
      <w:pPr>
        <w:adjustRightInd w:val="0"/>
        <w:snapToGrid w:val="0"/>
        <w:spacing w:before="100" w:after="50" w:line="440" w:lineRule="atLeast"/>
        <w:ind w:firstLine="420"/>
        <w:rPr>
          <w:rFonts w:ascii="Cambria Math" w:hAnsi="Cambria Math" w:eastAsia="Cambria Math"/>
          <w:b w:val="0"/>
          <w:color w:val="auto"/>
          <w:sz w:val="22"/>
          <w:szCs w:val="22"/>
        </w:rPr>
      </w:pPr>
      <w:r>
        <w:rPr>
          <w:rFonts w:hint="eastAsia" w:ascii="Cambria Math" w:hAnsi="Cambria Math" w:eastAsia="Cambria Math"/>
          <w:b w:val="0"/>
          <w:color w:val="auto"/>
          <w:sz w:val="22"/>
          <w:szCs w:val="22"/>
        </w:rPr>
        <w:t>第一步：首先开启技术资信标，评标委员会根据评审原则和评审办法，对各供应商的资信、技术部分文件进行评审，技术资信标不满足采购文件规定的做无效报价文件处理，并退回商务报价文件。</w:t>
      </w:r>
    </w:p>
    <w:p w14:paraId="60921AA9">
      <w:pPr>
        <w:adjustRightInd w:val="0"/>
        <w:snapToGrid w:val="0"/>
        <w:spacing w:before="100" w:after="50" w:line="440" w:lineRule="atLeast"/>
        <w:ind w:firstLine="420"/>
        <w:rPr>
          <w:rFonts w:ascii="Cambria Math" w:hAnsi="Cambria Math" w:eastAsia="Cambria Math"/>
          <w:b w:val="0"/>
          <w:color w:val="auto"/>
          <w:sz w:val="22"/>
          <w:szCs w:val="22"/>
        </w:rPr>
      </w:pPr>
      <w:r>
        <w:rPr>
          <w:rFonts w:hint="eastAsia" w:ascii="Cambria Math" w:hAnsi="Cambria Math" w:eastAsia="Cambria Math"/>
          <w:b w:val="0"/>
          <w:color w:val="auto"/>
          <w:sz w:val="22"/>
          <w:szCs w:val="22"/>
        </w:rPr>
        <w:t>第二步：公开启技术资信标文件符合采购文件要求的有效供应商的商务报价文件。</w:t>
      </w:r>
    </w:p>
    <w:p w14:paraId="0B4FD60C">
      <w:pPr>
        <w:adjustRightInd w:val="0"/>
        <w:snapToGrid w:val="0"/>
        <w:spacing w:before="100" w:after="50" w:line="440" w:lineRule="atLeast"/>
        <w:ind w:firstLine="420"/>
        <w:rPr>
          <w:rFonts w:ascii="Cambria Math" w:hAnsi="Cambria Math" w:eastAsia="Cambria Math"/>
          <w:b w:val="0"/>
          <w:color w:val="auto"/>
          <w:sz w:val="22"/>
          <w:szCs w:val="22"/>
        </w:rPr>
      </w:pPr>
      <w:r>
        <w:rPr>
          <w:rFonts w:hint="eastAsia" w:ascii="Cambria Math" w:hAnsi="Cambria Math" w:eastAsia="Cambria Math"/>
          <w:b w:val="0"/>
          <w:color w:val="auto"/>
          <w:sz w:val="22"/>
          <w:szCs w:val="22"/>
        </w:rPr>
        <w:t>第三步：以技术资信部分和商务报价部分合计分值最高的供应商作为预中标供应商向采购人推荐：评标价计算原则按采购文件规定。</w:t>
      </w:r>
    </w:p>
    <w:p w14:paraId="65393B58">
      <w:pPr>
        <w:adjustRightInd w:val="0"/>
        <w:snapToGrid w:val="0"/>
        <w:spacing w:before="100" w:after="50" w:line="440" w:lineRule="atLeast"/>
        <w:ind w:firstLine="420"/>
        <w:rPr>
          <w:rFonts w:ascii="Cambria Math" w:hAnsi="Cambria Math" w:eastAsia="Cambria Math"/>
          <w:b w:val="0"/>
          <w:color w:val="auto"/>
          <w:sz w:val="22"/>
          <w:szCs w:val="22"/>
        </w:rPr>
      </w:pPr>
      <w:r>
        <w:rPr>
          <w:rFonts w:hint="eastAsia" w:ascii="Cambria Math" w:hAnsi="Cambria Math" w:eastAsia="Cambria Math"/>
          <w:b w:val="0"/>
          <w:color w:val="auto"/>
          <w:sz w:val="22"/>
          <w:szCs w:val="22"/>
        </w:rPr>
        <w:t>第四步：采购人授权由评标委员会根据评审报告直接确定中标供应商。</w:t>
      </w:r>
    </w:p>
    <w:p w14:paraId="423804B6">
      <w:pPr>
        <w:adjustRightInd w:val="0"/>
        <w:snapToGrid w:val="0"/>
        <w:spacing w:before="100" w:after="50" w:line="440" w:lineRule="atLeast"/>
        <w:ind w:firstLine="420"/>
        <w:rPr>
          <w:rFonts w:ascii="Cambria Math" w:hAnsi="Cambria Math" w:eastAsia="Cambria Math"/>
          <w:b w:val="0"/>
          <w:color w:val="auto"/>
          <w:sz w:val="22"/>
          <w:szCs w:val="22"/>
        </w:rPr>
      </w:pPr>
    </w:p>
    <w:p w14:paraId="252A4045">
      <w:pPr>
        <w:adjustRightInd w:val="0"/>
        <w:snapToGrid w:val="0"/>
        <w:spacing w:before="100" w:after="50" w:line="440" w:lineRule="atLeast"/>
        <w:ind w:firstLine="420"/>
        <w:rPr>
          <w:rFonts w:ascii="Cambria Math" w:hAnsi="Cambria Math" w:eastAsiaTheme="minorEastAsia"/>
          <w:b w:val="0"/>
          <w:color w:val="auto"/>
          <w:sz w:val="22"/>
          <w:szCs w:val="22"/>
        </w:rPr>
      </w:pPr>
    </w:p>
    <w:p w14:paraId="6922CEDD">
      <w:pPr>
        <w:pStyle w:val="23"/>
      </w:pPr>
    </w:p>
    <w:p w14:paraId="74838412">
      <w:pPr>
        <w:adjustRightInd w:val="0"/>
        <w:snapToGrid w:val="0"/>
        <w:spacing w:before="100" w:after="50" w:line="440" w:lineRule="atLeast"/>
        <w:rPr>
          <w:rFonts w:ascii="Cambria Math" w:hAnsi="Cambria Math"/>
          <w:b w:val="0"/>
          <w:color w:val="auto"/>
          <w:sz w:val="22"/>
          <w:szCs w:val="22"/>
        </w:rPr>
      </w:pPr>
    </w:p>
    <w:p w14:paraId="26D3FA53">
      <w:pPr>
        <w:adjustRightInd w:val="0"/>
        <w:snapToGrid w:val="0"/>
        <w:spacing w:before="100" w:after="50" w:line="440" w:lineRule="atLeast"/>
        <w:jc w:val="center"/>
        <w:rPr>
          <w:rFonts w:ascii="Cambria Math" w:hAnsi="Cambria Math" w:eastAsia="Cambria Math"/>
          <w:b w:val="0"/>
          <w:bCs w:val="0"/>
          <w:color w:val="auto"/>
          <w:sz w:val="24"/>
          <w:szCs w:val="24"/>
        </w:rPr>
      </w:pPr>
      <w:r>
        <w:rPr>
          <w:rFonts w:hint="eastAsia" w:ascii="Cambria Math" w:hAnsi="Cambria Math" w:eastAsia="Cambria Math"/>
          <w:b w:val="0"/>
          <w:bCs w:val="0"/>
          <w:color w:val="auto"/>
          <w:sz w:val="24"/>
          <w:szCs w:val="24"/>
        </w:rPr>
        <w:t>四、评分细则</w:t>
      </w:r>
    </w:p>
    <w:p w14:paraId="48024AAD">
      <w:pPr>
        <w:pStyle w:val="21"/>
        <w:adjustRightInd w:val="0"/>
        <w:snapToGrid w:val="0"/>
        <w:spacing w:line="440" w:lineRule="atLeast"/>
        <w:rPr>
          <w:rFonts w:hint="eastAsia" w:ascii="宋体" w:hAnsi="宋体" w:eastAsia="宋体"/>
          <w:b w:val="0"/>
          <w:bCs w:val="0"/>
          <w:color w:val="auto"/>
          <w:sz w:val="22"/>
          <w:szCs w:val="22"/>
        </w:rPr>
      </w:pPr>
      <w:r>
        <w:rPr>
          <w:rFonts w:hint="eastAsia" w:ascii="宋体" w:hAnsi="宋体" w:eastAsia="宋体"/>
          <w:b w:val="0"/>
          <w:bCs w:val="0"/>
          <w:color w:val="auto"/>
          <w:sz w:val="22"/>
          <w:szCs w:val="22"/>
        </w:rPr>
        <w:t>一、</w:t>
      </w:r>
      <w:r>
        <w:rPr>
          <w:rFonts w:hint="eastAsia" w:ascii="宋体" w:hAnsi="宋体" w:eastAsia="宋体"/>
          <w:b w:val="0"/>
          <w:bCs w:val="0"/>
          <w:color w:val="auto"/>
          <w:sz w:val="22"/>
          <w:szCs w:val="22"/>
          <w:u w:val="single"/>
        </w:rPr>
        <w:t>商务报价评分</w:t>
      </w:r>
      <w:r>
        <w:rPr>
          <w:rFonts w:hint="eastAsia" w:ascii="宋体" w:hAnsi="宋体" w:eastAsia="宋体"/>
          <w:b w:val="0"/>
          <w:bCs w:val="0"/>
          <w:color w:val="auto"/>
          <w:sz w:val="22"/>
          <w:szCs w:val="22"/>
          <w:lang w:val="en-US" w:eastAsia="zh-CN"/>
        </w:rPr>
        <w:t>4</w:t>
      </w:r>
      <w:r>
        <w:rPr>
          <w:rFonts w:ascii="宋体" w:hAnsi="宋体" w:eastAsia="宋体"/>
          <w:b w:val="0"/>
          <w:bCs w:val="0"/>
          <w:color w:val="auto"/>
          <w:sz w:val="22"/>
          <w:szCs w:val="22"/>
        </w:rPr>
        <w:t>0</w:t>
      </w:r>
      <w:r>
        <w:rPr>
          <w:rFonts w:hint="eastAsia" w:ascii="宋体" w:hAnsi="宋体" w:eastAsia="宋体"/>
          <w:b w:val="0"/>
          <w:bCs w:val="0"/>
          <w:color w:val="auto"/>
          <w:sz w:val="22"/>
          <w:szCs w:val="22"/>
        </w:rPr>
        <w:t>分</w:t>
      </w:r>
    </w:p>
    <w:p w14:paraId="36017C4D">
      <w:pPr>
        <w:adjustRightInd w:val="0"/>
        <w:snapToGrid w:val="0"/>
        <w:spacing w:before="100" w:after="50" w:line="440" w:lineRule="atLeast"/>
        <w:ind w:firstLine="420"/>
        <w:rPr>
          <w:rFonts w:hint="eastAsia" w:ascii="宋体" w:hAnsi="宋体"/>
          <w:b w:val="0"/>
          <w:color w:val="auto"/>
          <w:sz w:val="22"/>
          <w:szCs w:val="22"/>
          <w:u w:val="single"/>
        </w:rPr>
      </w:pPr>
      <w:r>
        <w:rPr>
          <w:rFonts w:hint="eastAsia" w:ascii="宋体" w:hAnsi="宋体"/>
          <w:b w:val="0"/>
          <w:color w:val="auto"/>
          <w:sz w:val="22"/>
          <w:szCs w:val="22"/>
          <w:u w:val="single"/>
        </w:rPr>
        <w:t>1、以供应商有效投标价中的最低报价为评标基准价，得满分</w:t>
      </w:r>
      <w:r>
        <w:rPr>
          <w:rFonts w:hint="eastAsia" w:ascii="宋体" w:hAnsi="宋体"/>
          <w:b w:val="0"/>
          <w:color w:val="auto"/>
          <w:sz w:val="22"/>
          <w:szCs w:val="22"/>
          <w:u w:val="single"/>
          <w:lang w:val="en-US" w:eastAsia="zh-CN"/>
        </w:rPr>
        <w:t>4</w:t>
      </w:r>
      <w:r>
        <w:rPr>
          <w:rFonts w:ascii="宋体" w:hAnsi="宋体"/>
          <w:b w:val="0"/>
          <w:color w:val="auto"/>
          <w:sz w:val="22"/>
          <w:szCs w:val="22"/>
          <w:u w:val="single"/>
        </w:rPr>
        <w:t>0</w:t>
      </w:r>
      <w:r>
        <w:rPr>
          <w:rFonts w:hint="eastAsia" w:ascii="宋体" w:hAnsi="宋体"/>
          <w:b w:val="0"/>
          <w:color w:val="auto"/>
          <w:sz w:val="22"/>
          <w:szCs w:val="22"/>
          <w:u w:val="single"/>
        </w:rPr>
        <w:t>分。商务报价评分结算公式为:投标报价得分=(评标基准价／投标报价)×</w:t>
      </w:r>
      <w:r>
        <w:rPr>
          <w:rFonts w:hint="eastAsia" w:ascii="宋体" w:hAnsi="宋体"/>
          <w:b w:val="0"/>
          <w:color w:val="auto"/>
          <w:sz w:val="22"/>
          <w:szCs w:val="22"/>
          <w:u w:val="single"/>
          <w:lang w:val="en-US" w:eastAsia="zh-CN"/>
        </w:rPr>
        <w:t>4</w:t>
      </w:r>
      <w:r>
        <w:rPr>
          <w:rFonts w:ascii="宋体" w:hAnsi="宋体"/>
          <w:b w:val="0"/>
          <w:color w:val="auto"/>
          <w:sz w:val="22"/>
          <w:szCs w:val="22"/>
          <w:u w:val="single"/>
        </w:rPr>
        <w:t>0</w:t>
      </w:r>
      <w:r>
        <w:rPr>
          <w:rFonts w:hint="eastAsia" w:ascii="宋体" w:hAnsi="宋体"/>
          <w:b w:val="0"/>
          <w:color w:val="auto"/>
          <w:sz w:val="22"/>
          <w:szCs w:val="22"/>
          <w:u w:val="single"/>
        </w:rPr>
        <w:t>%×100</w:t>
      </w:r>
    </w:p>
    <w:p w14:paraId="700F567E">
      <w:pPr>
        <w:adjustRightInd w:val="0"/>
        <w:snapToGrid w:val="0"/>
        <w:spacing w:before="100" w:after="50" w:line="440" w:lineRule="atLeast"/>
        <w:ind w:firstLine="420"/>
        <w:rPr>
          <w:rFonts w:hint="eastAsia" w:ascii="宋体" w:hAnsi="宋体"/>
          <w:b w:val="0"/>
          <w:color w:val="auto"/>
          <w:sz w:val="22"/>
          <w:szCs w:val="22"/>
          <w:u w:val="single"/>
        </w:rPr>
      </w:pPr>
      <w:r>
        <w:rPr>
          <w:rFonts w:hint="eastAsia" w:ascii="宋体" w:hAnsi="宋体"/>
          <w:b w:val="0"/>
          <w:color w:val="auto"/>
          <w:sz w:val="22"/>
          <w:szCs w:val="22"/>
        </w:rPr>
        <w:t>2、</w:t>
      </w:r>
      <w:r>
        <w:rPr>
          <w:rFonts w:ascii="宋体" w:hAnsi="宋体"/>
          <w:b w:val="0"/>
          <w:color w:val="auto"/>
          <w:sz w:val="22"/>
          <w:szCs w:val="22"/>
          <w:u w:val="single"/>
        </w:rPr>
        <w:t>重要提示：为防止恶意竞标的行为，评审小组认为投标供应商的报价明显低于其他通过符合性审查的投标供应商的报价，有可能影响产品质量或者不能诚信履约的，将要求投标供应商在评审现场合理的时间内提供书面说明，必要时提交相关证明材料；投标供应商不能证明其报价合理性的，评审小组将认定为无效投标。</w:t>
      </w:r>
    </w:p>
    <w:p w14:paraId="722A06B7">
      <w:pPr>
        <w:adjustRightInd w:val="0"/>
        <w:snapToGrid w:val="0"/>
        <w:spacing w:line="400" w:lineRule="atLeast"/>
        <w:rPr>
          <w:rFonts w:hint="eastAsia" w:ascii="宋体" w:hAnsi="宋体"/>
          <w:b w:val="0"/>
          <w:color w:val="auto"/>
          <w:sz w:val="22"/>
          <w:szCs w:val="22"/>
          <w:highlight w:val="none"/>
        </w:rPr>
      </w:pPr>
      <w:r>
        <w:rPr>
          <w:rFonts w:hint="eastAsia" w:ascii="宋体" w:hAnsi="宋体"/>
          <w:b w:val="0"/>
          <w:color w:val="auto"/>
          <w:sz w:val="22"/>
          <w:szCs w:val="22"/>
        </w:rPr>
        <w:t>二</w:t>
      </w:r>
      <w:r>
        <w:rPr>
          <w:rFonts w:hint="eastAsia" w:ascii="宋体" w:hAnsi="宋体"/>
          <w:b w:val="0"/>
          <w:color w:val="auto"/>
          <w:sz w:val="22"/>
          <w:szCs w:val="22"/>
          <w:highlight w:val="none"/>
        </w:rPr>
        <w:t>、</w:t>
      </w:r>
      <w:r>
        <w:rPr>
          <w:rFonts w:hint="eastAsia" w:ascii="宋体" w:hAnsi="宋体"/>
          <w:b w:val="0"/>
          <w:color w:val="auto"/>
          <w:sz w:val="22"/>
          <w:szCs w:val="22"/>
          <w:highlight w:val="none"/>
          <w:u w:val="single"/>
        </w:rPr>
        <w:t>技术资信综合评分</w:t>
      </w:r>
      <w:r>
        <w:rPr>
          <w:rFonts w:hint="eastAsia" w:ascii="宋体" w:hAnsi="宋体"/>
          <w:b w:val="0"/>
          <w:color w:val="auto"/>
          <w:sz w:val="22"/>
          <w:szCs w:val="22"/>
          <w:highlight w:val="none"/>
          <w:lang w:val="en-US" w:eastAsia="zh-CN"/>
        </w:rPr>
        <w:t>6</w:t>
      </w:r>
      <w:r>
        <w:rPr>
          <w:rFonts w:ascii="宋体" w:hAnsi="宋体"/>
          <w:b w:val="0"/>
          <w:color w:val="auto"/>
          <w:sz w:val="22"/>
          <w:szCs w:val="22"/>
          <w:highlight w:val="none"/>
        </w:rPr>
        <w:t>0</w:t>
      </w:r>
      <w:r>
        <w:rPr>
          <w:rFonts w:hint="eastAsia" w:ascii="宋体" w:hAnsi="宋体"/>
          <w:b w:val="0"/>
          <w:color w:val="auto"/>
          <w:sz w:val="22"/>
          <w:szCs w:val="22"/>
          <w:highlight w:val="none"/>
        </w:rPr>
        <w:t>分</w:t>
      </w:r>
    </w:p>
    <w:tbl>
      <w:tblPr>
        <w:tblStyle w:val="35"/>
        <w:tblpPr w:leftFromText="180" w:rightFromText="180" w:vertAnchor="text" w:horzAnchor="page" w:tblpXSpec="center" w:tblpY="12"/>
        <w:tblOverlap w:val="never"/>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991"/>
        <w:gridCol w:w="6055"/>
      </w:tblGrid>
      <w:tr w14:paraId="2273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trPr>
        <w:tc>
          <w:tcPr>
            <w:tcW w:w="675" w:type="dxa"/>
            <w:tcBorders>
              <w:top w:val="single" w:color="auto" w:sz="4" w:space="0"/>
              <w:left w:val="single" w:color="auto" w:sz="4" w:space="0"/>
              <w:bottom w:val="single" w:color="auto" w:sz="4" w:space="0"/>
              <w:right w:val="single" w:color="auto" w:sz="4" w:space="0"/>
            </w:tcBorders>
            <w:vAlign w:val="center"/>
          </w:tcPr>
          <w:p w14:paraId="294C4C16">
            <w:pPr>
              <w:spacing w:line="360" w:lineRule="exact"/>
              <w:jc w:val="center"/>
              <w:rPr>
                <w:rFonts w:hint="eastAsia" w:ascii="宋体" w:hAnsi="宋体"/>
                <w:b w:val="0"/>
                <w:bCs w:val="0"/>
                <w:sz w:val="22"/>
                <w:szCs w:val="22"/>
                <w:highlight w:val="none"/>
              </w:rPr>
            </w:pPr>
            <w:r>
              <w:rPr>
                <w:rFonts w:hint="eastAsia" w:ascii="宋体" w:hAnsi="宋体"/>
                <w:b w:val="0"/>
                <w:bCs w:val="0"/>
                <w:sz w:val="22"/>
                <w:szCs w:val="22"/>
                <w:highlight w:val="none"/>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37CC8931">
            <w:pPr>
              <w:spacing w:line="360" w:lineRule="exact"/>
              <w:ind w:left="-50"/>
              <w:jc w:val="center"/>
              <w:rPr>
                <w:rFonts w:hint="eastAsia" w:ascii="宋体" w:hAnsi="宋体"/>
                <w:b w:val="0"/>
                <w:bCs w:val="0"/>
                <w:snapToGrid w:val="0"/>
                <w:sz w:val="22"/>
                <w:szCs w:val="22"/>
                <w:highlight w:val="none"/>
              </w:rPr>
            </w:pPr>
            <w:r>
              <w:rPr>
                <w:rFonts w:hint="eastAsia" w:ascii="宋体" w:hAnsi="宋体"/>
                <w:b w:val="0"/>
                <w:bCs w:val="0"/>
                <w:snapToGrid w:val="0"/>
                <w:sz w:val="22"/>
                <w:szCs w:val="22"/>
                <w:highlight w:val="none"/>
              </w:rPr>
              <w:t>评分内容</w:t>
            </w:r>
          </w:p>
        </w:tc>
        <w:tc>
          <w:tcPr>
            <w:tcW w:w="991" w:type="dxa"/>
            <w:tcBorders>
              <w:top w:val="single" w:color="auto" w:sz="4" w:space="0"/>
              <w:left w:val="single" w:color="auto" w:sz="4" w:space="0"/>
              <w:bottom w:val="single" w:color="auto" w:sz="4" w:space="0"/>
              <w:right w:val="single" w:color="auto" w:sz="4" w:space="0"/>
            </w:tcBorders>
            <w:vAlign w:val="center"/>
          </w:tcPr>
          <w:p w14:paraId="03915412">
            <w:pPr>
              <w:spacing w:line="360" w:lineRule="exact"/>
              <w:jc w:val="center"/>
              <w:rPr>
                <w:rFonts w:hint="eastAsia" w:ascii="宋体" w:hAnsi="宋体"/>
                <w:b w:val="0"/>
                <w:bCs w:val="0"/>
                <w:sz w:val="22"/>
                <w:szCs w:val="22"/>
                <w:highlight w:val="none"/>
              </w:rPr>
            </w:pPr>
            <w:r>
              <w:rPr>
                <w:rFonts w:hint="eastAsia" w:ascii="宋体" w:hAnsi="宋体"/>
                <w:b w:val="0"/>
                <w:bCs w:val="0"/>
                <w:snapToGrid w:val="0"/>
                <w:sz w:val="22"/>
                <w:szCs w:val="22"/>
                <w:highlight w:val="none"/>
              </w:rPr>
              <w:t>分值</w:t>
            </w:r>
          </w:p>
        </w:tc>
        <w:tc>
          <w:tcPr>
            <w:tcW w:w="6055" w:type="dxa"/>
            <w:tcBorders>
              <w:top w:val="single" w:color="auto" w:sz="4" w:space="0"/>
              <w:left w:val="single" w:color="auto" w:sz="4" w:space="0"/>
              <w:bottom w:val="single" w:color="auto" w:sz="4" w:space="0"/>
              <w:right w:val="single" w:color="auto" w:sz="4" w:space="0"/>
            </w:tcBorders>
            <w:vAlign w:val="center"/>
          </w:tcPr>
          <w:p w14:paraId="4EEB5039">
            <w:pPr>
              <w:spacing w:line="360" w:lineRule="exact"/>
              <w:ind w:left="-109" w:leftChars="-52" w:right="-57" w:rightChars="-27"/>
              <w:jc w:val="center"/>
              <w:rPr>
                <w:rFonts w:hint="eastAsia" w:ascii="宋体" w:hAnsi="宋体"/>
                <w:b w:val="0"/>
                <w:bCs w:val="0"/>
                <w:sz w:val="22"/>
                <w:szCs w:val="22"/>
                <w:highlight w:val="none"/>
              </w:rPr>
            </w:pPr>
            <w:r>
              <w:rPr>
                <w:rFonts w:hint="eastAsia" w:ascii="宋体" w:hAnsi="宋体"/>
                <w:b w:val="0"/>
                <w:bCs w:val="0"/>
                <w:snapToGrid w:val="0"/>
                <w:sz w:val="22"/>
                <w:szCs w:val="22"/>
                <w:highlight w:val="none"/>
              </w:rPr>
              <w:t>评分细则</w:t>
            </w:r>
          </w:p>
        </w:tc>
      </w:tr>
      <w:tr w14:paraId="45E8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75" w:type="dxa"/>
            <w:tcBorders>
              <w:top w:val="single" w:color="auto" w:sz="4" w:space="0"/>
              <w:left w:val="single" w:color="auto" w:sz="4" w:space="0"/>
              <w:bottom w:val="single" w:color="auto" w:sz="4" w:space="0"/>
              <w:right w:val="single" w:color="auto" w:sz="4" w:space="0"/>
            </w:tcBorders>
            <w:vAlign w:val="center"/>
          </w:tcPr>
          <w:p w14:paraId="3C18F4A5">
            <w:pPr>
              <w:spacing w:line="360" w:lineRule="exact"/>
              <w:ind w:right="3"/>
              <w:jc w:val="center"/>
              <w:rPr>
                <w:rFonts w:hint="eastAsia" w:ascii="宋体" w:hAnsi="宋体"/>
                <w:b w:val="0"/>
                <w:bCs w:val="0"/>
                <w:spacing w:val="4"/>
                <w:sz w:val="22"/>
                <w:szCs w:val="22"/>
                <w:highlight w:val="none"/>
              </w:rPr>
            </w:pPr>
            <w:r>
              <w:rPr>
                <w:rFonts w:hint="eastAsia" w:ascii="宋体" w:hAnsi="宋体"/>
                <w:b w:val="0"/>
                <w:bCs w:val="0"/>
                <w:spacing w:val="4"/>
                <w:sz w:val="22"/>
                <w:szCs w:val="22"/>
                <w:highlight w:val="none"/>
              </w:rPr>
              <w:t>1</w:t>
            </w:r>
          </w:p>
        </w:tc>
        <w:tc>
          <w:tcPr>
            <w:tcW w:w="1560" w:type="dxa"/>
            <w:tcBorders>
              <w:top w:val="single" w:color="auto" w:sz="4" w:space="0"/>
              <w:left w:val="single" w:color="auto" w:sz="4" w:space="0"/>
              <w:bottom w:val="single" w:color="auto" w:sz="4" w:space="0"/>
              <w:right w:val="single" w:color="auto" w:sz="4" w:space="0"/>
            </w:tcBorders>
            <w:vAlign w:val="center"/>
          </w:tcPr>
          <w:p w14:paraId="251397D1">
            <w:pPr>
              <w:spacing w:line="360" w:lineRule="exact"/>
              <w:jc w:val="center"/>
              <w:rPr>
                <w:rFonts w:hint="default" w:ascii="宋体" w:hAnsi="宋体" w:eastAsia="宋体"/>
                <w:b w:val="0"/>
                <w:bCs w:val="0"/>
                <w:snapToGrid w:val="0"/>
                <w:sz w:val="22"/>
                <w:szCs w:val="22"/>
                <w:highlight w:val="none"/>
                <w:lang w:val="en-US" w:eastAsia="zh-CN"/>
              </w:rPr>
            </w:pPr>
            <w:r>
              <w:rPr>
                <w:rFonts w:hint="eastAsia" w:ascii="宋体" w:hAnsi="宋体"/>
                <w:b w:val="0"/>
                <w:bCs w:val="0"/>
                <w:snapToGrid w:val="0"/>
                <w:sz w:val="22"/>
                <w:szCs w:val="22"/>
                <w:highlight w:val="none"/>
              </w:rPr>
              <w:t>供应商</w:t>
            </w:r>
            <w:r>
              <w:rPr>
                <w:rFonts w:hint="eastAsia" w:ascii="宋体" w:hAnsi="宋体"/>
                <w:b w:val="0"/>
                <w:bCs w:val="0"/>
                <w:snapToGrid w:val="0"/>
                <w:sz w:val="22"/>
                <w:szCs w:val="22"/>
                <w:highlight w:val="none"/>
                <w:lang w:val="en-US" w:eastAsia="zh-CN"/>
              </w:rPr>
              <w:t>体系认证</w:t>
            </w:r>
          </w:p>
        </w:tc>
        <w:tc>
          <w:tcPr>
            <w:tcW w:w="991" w:type="dxa"/>
            <w:tcBorders>
              <w:top w:val="single" w:color="auto" w:sz="4" w:space="0"/>
              <w:left w:val="single" w:color="auto" w:sz="4" w:space="0"/>
              <w:bottom w:val="single" w:color="auto" w:sz="4" w:space="0"/>
              <w:right w:val="single" w:color="auto" w:sz="4" w:space="0"/>
            </w:tcBorders>
            <w:vAlign w:val="center"/>
          </w:tcPr>
          <w:p w14:paraId="48A8C047">
            <w:pPr>
              <w:spacing w:line="360" w:lineRule="exact"/>
              <w:jc w:val="center"/>
              <w:rPr>
                <w:rFonts w:hint="eastAsia" w:ascii="宋体" w:hAnsi="宋体"/>
                <w:b w:val="0"/>
                <w:bCs w:val="0"/>
                <w:snapToGrid w:val="0"/>
                <w:sz w:val="22"/>
                <w:szCs w:val="22"/>
                <w:highlight w:val="none"/>
              </w:rPr>
            </w:pPr>
            <w:r>
              <w:rPr>
                <w:rFonts w:hint="eastAsia" w:ascii="宋体" w:hAnsi="宋体"/>
                <w:b w:val="0"/>
                <w:bCs w:val="0"/>
                <w:kern w:val="28"/>
                <w:sz w:val="22"/>
                <w:szCs w:val="22"/>
                <w:highlight w:val="none"/>
              </w:rPr>
              <w:t>0-</w:t>
            </w:r>
            <w:r>
              <w:rPr>
                <w:rFonts w:hint="eastAsia" w:ascii="宋体" w:hAnsi="宋体"/>
                <w:b w:val="0"/>
                <w:bCs w:val="0"/>
                <w:kern w:val="28"/>
                <w:sz w:val="22"/>
                <w:szCs w:val="22"/>
                <w:highlight w:val="none"/>
                <w:lang w:val="en-US" w:eastAsia="zh-CN"/>
              </w:rPr>
              <w:t>3</w:t>
            </w:r>
            <w:r>
              <w:rPr>
                <w:rFonts w:hint="eastAsia" w:ascii="宋体" w:hAnsi="宋体"/>
                <w:b w:val="0"/>
                <w:bCs w:val="0"/>
                <w:snapToGrid w:val="0"/>
                <w:sz w:val="22"/>
                <w:szCs w:val="22"/>
                <w:highlight w:val="none"/>
              </w:rPr>
              <w:t>分</w:t>
            </w:r>
          </w:p>
        </w:tc>
        <w:tc>
          <w:tcPr>
            <w:tcW w:w="6055" w:type="dxa"/>
            <w:tcBorders>
              <w:top w:val="single" w:color="auto" w:sz="4" w:space="0"/>
              <w:left w:val="single" w:color="auto" w:sz="4" w:space="0"/>
              <w:bottom w:val="single" w:color="auto" w:sz="4" w:space="0"/>
              <w:right w:val="single" w:color="auto" w:sz="4" w:space="0"/>
            </w:tcBorders>
            <w:vAlign w:val="center"/>
          </w:tcPr>
          <w:p w14:paraId="15BC1EDD">
            <w:pPr>
              <w:tabs>
                <w:tab w:val="left" w:pos="33"/>
              </w:tabs>
              <w:spacing w:line="360" w:lineRule="exact"/>
              <w:rPr>
                <w:rFonts w:hint="eastAsia" w:ascii="宋体" w:hAnsi="宋体"/>
                <w:b w:val="0"/>
                <w:bCs w:val="0"/>
                <w:sz w:val="22"/>
                <w:szCs w:val="22"/>
                <w:highlight w:val="none"/>
              </w:rPr>
            </w:pPr>
            <w:r>
              <w:rPr>
                <w:rFonts w:hint="eastAsia" w:ascii="宋体" w:hAnsi="宋体"/>
                <w:b w:val="0"/>
                <w:bCs w:val="0"/>
                <w:sz w:val="22"/>
                <w:szCs w:val="22"/>
                <w:highlight w:val="none"/>
              </w:rPr>
              <w:t>投标供应商具有质量管理体系认证证书、环境管理体系认证证书、职业健康安全管理体系认证，以上每具有一项得</w:t>
            </w:r>
            <w:r>
              <w:rPr>
                <w:rFonts w:hint="eastAsia" w:ascii="宋体" w:hAnsi="宋体"/>
                <w:b w:val="0"/>
                <w:bCs w:val="0"/>
                <w:sz w:val="22"/>
                <w:szCs w:val="22"/>
                <w:highlight w:val="none"/>
                <w:lang w:val="en-US" w:eastAsia="zh-CN"/>
              </w:rPr>
              <w:t>1</w:t>
            </w:r>
            <w:r>
              <w:rPr>
                <w:rFonts w:hint="eastAsia" w:ascii="宋体" w:hAnsi="宋体"/>
                <w:b w:val="0"/>
                <w:bCs w:val="0"/>
                <w:sz w:val="22"/>
                <w:szCs w:val="22"/>
                <w:highlight w:val="none"/>
              </w:rPr>
              <w:t>分，最高得</w:t>
            </w:r>
            <w:r>
              <w:rPr>
                <w:rFonts w:hint="eastAsia" w:ascii="宋体" w:hAnsi="宋体"/>
                <w:b w:val="0"/>
                <w:bCs w:val="0"/>
                <w:sz w:val="22"/>
                <w:szCs w:val="22"/>
                <w:highlight w:val="none"/>
                <w:lang w:val="en-US" w:eastAsia="zh-CN"/>
              </w:rPr>
              <w:t>3</w:t>
            </w:r>
            <w:r>
              <w:rPr>
                <w:rFonts w:hint="eastAsia" w:ascii="宋体" w:hAnsi="宋体"/>
                <w:b w:val="0"/>
                <w:bCs w:val="0"/>
                <w:sz w:val="22"/>
                <w:szCs w:val="22"/>
                <w:highlight w:val="none"/>
              </w:rPr>
              <w:t>分。</w:t>
            </w:r>
          </w:p>
          <w:p w14:paraId="3F5D7F10">
            <w:pPr>
              <w:tabs>
                <w:tab w:val="left" w:pos="33"/>
              </w:tabs>
              <w:spacing w:line="360" w:lineRule="exact"/>
              <w:rPr>
                <w:rFonts w:hint="eastAsia" w:ascii="宋体" w:hAnsi="宋体"/>
                <w:b w:val="0"/>
                <w:bCs w:val="0"/>
                <w:sz w:val="22"/>
                <w:szCs w:val="22"/>
                <w:highlight w:val="none"/>
              </w:rPr>
            </w:pPr>
            <w:r>
              <w:rPr>
                <w:rFonts w:hint="eastAsia" w:ascii="宋体" w:hAnsi="宋体"/>
                <w:b w:val="0"/>
                <w:bCs w:val="0"/>
                <w:sz w:val="22"/>
                <w:szCs w:val="22"/>
                <w:highlight w:val="none"/>
              </w:rPr>
              <w:t>注：以上均须提供相关证明材料</w:t>
            </w:r>
            <w:r>
              <w:rPr>
                <w:rFonts w:hint="eastAsia" w:ascii="宋体" w:hAnsi="宋体"/>
                <w:b w:val="0"/>
                <w:bCs w:val="0"/>
                <w:sz w:val="22"/>
                <w:szCs w:val="22"/>
                <w:highlight w:val="none"/>
                <w:lang w:val="en-US" w:eastAsia="zh-CN"/>
              </w:rPr>
              <w:t>扫描件</w:t>
            </w:r>
            <w:r>
              <w:rPr>
                <w:rFonts w:hint="eastAsia" w:ascii="宋体" w:hAnsi="宋体"/>
                <w:b w:val="0"/>
                <w:bCs w:val="0"/>
                <w:sz w:val="22"/>
                <w:szCs w:val="22"/>
                <w:highlight w:val="none"/>
              </w:rPr>
              <w:t>加盖公章，否则不得分。</w:t>
            </w:r>
          </w:p>
        </w:tc>
      </w:tr>
      <w:tr w14:paraId="2451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675" w:type="dxa"/>
            <w:tcBorders>
              <w:top w:val="single" w:color="auto" w:sz="4" w:space="0"/>
              <w:left w:val="single" w:color="auto" w:sz="4" w:space="0"/>
              <w:bottom w:val="single" w:color="auto" w:sz="4" w:space="0"/>
              <w:right w:val="single" w:color="auto" w:sz="4" w:space="0"/>
            </w:tcBorders>
            <w:vAlign w:val="center"/>
          </w:tcPr>
          <w:p w14:paraId="777C9085">
            <w:pPr>
              <w:spacing w:line="360" w:lineRule="exact"/>
              <w:ind w:right="3"/>
              <w:jc w:val="center"/>
              <w:rPr>
                <w:rFonts w:hint="eastAsia" w:ascii="宋体" w:hAnsi="宋体"/>
                <w:b w:val="0"/>
                <w:bCs w:val="0"/>
                <w:spacing w:val="4"/>
                <w:sz w:val="22"/>
                <w:szCs w:val="22"/>
                <w:highlight w:val="none"/>
              </w:rPr>
            </w:pPr>
            <w:r>
              <w:rPr>
                <w:rFonts w:hint="eastAsia" w:ascii="宋体" w:hAnsi="宋体"/>
                <w:b w:val="0"/>
                <w:bCs w:val="0"/>
                <w:spacing w:val="4"/>
                <w:sz w:val="22"/>
                <w:szCs w:val="22"/>
                <w:highlight w:val="none"/>
              </w:rPr>
              <w:t>2</w:t>
            </w:r>
          </w:p>
        </w:tc>
        <w:tc>
          <w:tcPr>
            <w:tcW w:w="1560" w:type="dxa"/>
            <w:tcBorders>
              <w:top w:val="single" w:color="auto" w:sz="4" w:space="0"/>
              <w:left w:val="single" w:color="auto" w:sz="4" w:space="0"/>
              <w:bottom w:val="single" w:color="auto" w:sz="4" w:space="0"/>
              <w:right w:val="single" w:color="auto" w:sz="4" w:space="0"/>
            </w:tcBorders>
            <w:vAlign w:val="center"/>
          </w:tcPr>
          <w:p w14:paraId="060F9EC1">
            <w:pPr>
              <w:spacing w:line="360" w:lineRule="exact"/>
              <w:ind w:left="-50"/>
              <w:jc w:val="center"/>
              <w:rPr>
                <w:rFonts w:hint="eastAsia" w:ascii="宋体" w:hAnsi="宋体"/>
                <w:b w:val="0"/>
                <w:bCs w:val="0"/>
                <w:snapToGrid w:val="0"/>
                <w:sz w:val="22"/>
                <w:szCs w:val="22"/>
                <w:highlight w:val="none"/>
              </w:rPr>
            </w:pPr>
            <w:r>
              <w:rPr>
                <w:rFonts w:hint="eastAsia" w:ascii="宋体" w:hAnsi="宋体"/>
                <w:b w:val="0"/>
                <w:bCs w:val="0"/>
                <w:snapToGrid w:val="0"/>
                <w:sz w:val="22"/>
                <w:szCs w:val="22"/>
                <w:highlight w:val="none"/>
              </w:rPr>
              <w:t>供应商业绩</w:t>
            </w:r>
          </w:p>
        </w:tc>
        <w:tc>
          <w:tcPr>
            <w:tcW w:w="991" w:type="dxa"/>
            <w:tcBorders>
              <w:top w:val="single" w:color="auto" w:sz="4" w:space="0"/>
              <w:left w:val="single" w:color="auto" w:sz="4" w:space="0"/>
              <w:bottom w:val="single" w:color="auto" w:sz="4" w:space="0"/>
              <w:right w:val="single" w:color="auto" w:sz="4" w:space="0"/>
            </w:tcBorders>
            <w:vAlign w:val="center"/>
          </w:tcPr>
          <w:p w14:paraId="5982C338">
            <w:pPr>
              <w:spacing w:line="360" w:lineRule="exact"/>
              <w:jc w:val="center"/>
              <w:rPr>
                <w:rFonts w:hint="eastAsia" w:ascii="宋体" w:hAnsi="宋体"/>
                <w:b w:val="0"/>
                <w:bCs w:val="0"/>
                <w:snapToGrid w:val="0"/>
                <w:sz w:val="22"/>
                <w:szCs w:val="22"/>
                <w:highlight w:val="none"/>
              </w:rPr>
            </w:pPr>
            <w:r>
              <w:rPr>
                <w:rFonts w:hint="eastAsia" w:ascii="宋体" w:hAnsi="宋体"/>
                <w:b w:val="0"/>
                <w:bCs w:val="0"/>
                <w:kern w:val="28"/>
                <w:sz w:val="22"/>
                <w:szCs w:val="22"/>
                <w:highlight w:val="none"/>
              </w:rPr>
              <w:t>0-</w:t>
            </w:r>
            <w:r>
              <w:rPr>
                <w:rFonts w:hint="eastAsia" w:ascii="宋体" w:hAnsi="宋体"/>
                <w:b w:val="0"/>
                <w:bCs w:val="0"/>
                <w:snapToGrid w:val="0"/>
                <w:sz w:val="22"/>
                <w:szCs w:val="22"/>
                <w:highlight w:val="none"/>
                <w:lang w:val="en-US" w:eastAsia="zh-CN"/>
              </w:rPr>
              <w:t>2</w:t>
            </w:r>
            <w:r>
              <w:rPr>
                <w:rFonts w:hint="eastAsia" w:ascii="宋体" w:hAnsi="宋体"/>
                <w:b w:val="0"/>
                <w:bCs w:val="0"/>
                <w:snapToGrid w:val="0"/>
                <w:sz w:val="22"/>
                <w:szCs w:val="22"/>
                <w:highlight w:val="none"/>
              </w:rPr>
              <w:t>分</w:t>
            </w:r>
          </w:p>
        </w:tc>
        <w:tc>
          <w:tcPr>
            <w:tcW w:w="6055" w:type="dxa"/>
            <w:tcBorders>
              <w:top w:val="single" w:color="auto" w:sz="4" w:space="0"/>
              <w:left w:val="single" w:color="auto" w:sz="4" w:space="0"/>
              <w:bottom w:val="single" w:color="auto" w:sz="4" w:space="0"/>
              <w:right w:val="single" w:color="auto" w:sz="4" w:space="0"/>
            </w:tcBorders>
            <w:vAlign w:val="center"/>
          </w:tcPr>
          <w:p w14:paraId="21811BE1">
            <w:pPr>
              <w:tabs>
                <w:tab w:val="left" w:pos="33"/>
              </w:tabs>
              <w:spacing w:line="360" w:lineRule="exact"/>
              <w:jc w:val="left"/>
              <w:rPr>
                <w:rFonts w:hint="default" w:ascii="宋体" w:hAnsi="宋体" w:eastAsia="宋体"/>
                <w:b w:val="0"/>
                <w:bCs w:val="0"/>
                <w:sz w:val="22"/>
                <w:szCs w:val="22"/>
                <w:highlight w:val="none"/>
                <w:lang w:val="en-US" w:eastAsia="zh-CN"/>
              </w:rPr>
            </w:pPr>
            <w:r>
              <w:rPr>
                <w:rFonts w:hint="eastAsia" w:ascii="宋体" w:hAnsi="宋体"/>
                <w:b w:val="0"/>
                <w:bCs w:val="0"/>
                <w:sz w:val="22"/>
                <w:szCs w:val="22"/>
                <w:highlight w:val="none"/>
              </w:rPr>
              <w:t>供应商自2020年1月1日以来类似项目业绩（钢构或钢管除锈防腐类），每个得</w:t>
            </w:r>
            <w:r>
              <w:rPr>
                <w:rFonts w:hint="eastAsia" w:ascii="宋体" w:hAnsi="宋体"/>
                <w:b w:val="0"/>
                <w:bCs w:val="0"/>
                <w:sz w:val="22"/>
                <w:szCs w:val="22"/>
                <w:highlight w:val="none"/>
                <w:lang w:val="en-US" w:eastAsia="zh-CN"/>
              </w:rPr>
              <w:t>2</w:t>
            </w:r>
            <w:r>
              <w:rPr>
                <w:rFonts w:hint="eastAsia" w:ascii="宋体" w:hAnsi="宋体"/>
                <w:b w:val="0"/>
                <w:bCs w:val="0"/>
                <w:sz w:val="22"/>
                <w:szCs w:val="22"/>
                <w:highlight w:val="none"/>
              </w:rPr>
              <w:t>分。（以合同签订时间为准，同时提供合同和验收报告，扫描件加盖公章）</w:t>
            </w:r>
            <w:r>
              <w:rPr>
                <w:rFonts w:hint="eastAsia" w:ascii="宋体" w:hAnsi="宋体"/>
                <w:b w:val="0"/>
                <w:bCs w:val="0"/>
                <w:sz w:val="22"/>
                <w:szCs w:val="22"/>
                <w:highlight w:val="none"/>
                <w:lang w:val="en-US" w:eastAsia="zh-CN"/>
              </w:rPr>
              <w:t xml:space="preserve">  </w:t>
            </w:r>
          </w:p>
        </w:tc>
      </w:tr>
      <w:tr w14:paraId="7489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5" w:type="dxa"/>
            <w:tcBorders>
              <w:top w:val="single" w:color="auto" w:sz="4" w:space="0"/>
              <w:left w:val="single" w:color="auto" w:sz="4" w:space="0"/>
              <w:bottom w:val="single" w:color="auto" w:sz="4" w:space="0"/>
              <w:right w:val="single" w:color="auto" w:sz="4" w:space="0"/>
            </w:tcBorders>
            <w:vAlign w:val="center"/>
          </w:tcPr>
          <w:p w14:paraId="501792C5">
            <w:pPr>
              <w:spacing w:line="360" w:lineRule="exact"/>
              <w:ind w:right="3"/>
              <w:jc w:val="center"/>
              <w:rPr>
                <w:rFonts w:hint="eastAsia" w:ascii="宋体" w:hAnsi="宋体"/>
                <w:b w:val="0"/>
                <w:bCs w:val="0"/>
                <w:spacing w:val="4"/>
                <w:sz w:val="22"/>
                <w:szCs w:val="22"/>
                <w:highlight w:val="none"/>
              </w:rPr>
            </w:pPr>
            <w:r>
              <w:rPr>
                <w:rFonts w:hint="eastAsia" w:ascii="宋体" w:hAnsi="宋体"/>
                <w:b w:val="0"/>
                <w:bCs w:val="0"/>
                <w:spacing w:val="4"/>
                <w:sz w:val="22"/>
                <w:szCs w:val="22"/>
                <w:highlight w:val="none"/>
              </w:rPr>
              <w:t>3</w:t>
            </w:r>
          </w:p>
        </w:tc>
        <w:tc>
          <w:tcPr>
            <w:tcW w:w="1560" w:type="dxa"/>
            <w:tcBorders>
              <w:top w:val="single" w:color="auto" w:sz="4" w:space="0"/>
              <w:left w:val="single" w:color="auto" w:sz="4" w:space="0"/>
              <w:bottom w:val="single" w:color="auto" w:sz="4" w:space="0"/>
              <w:right w:val="single" w:color="auto" w:sz="4" w:space="0"/>
            </w:tcBorders>
            <w:vAlign w:val="center"/>
          </w:tcPr>
          <w:p w14:paraId="0C8555F9">
            <w:pPr>
              <w:spacing w:line="360" w:lineRule="exact"/>
              <w:ind w:left="-50"/>
              <w:jc w:val="center"/>
              <w:rPr>
                <w:rFonts w:hint="eastAsia" w:ascii="宋体" w:hAnsi="宋体"/>
                <w:b w:val="0"/>
                <w:bCs w:val="0"/>
                <w:sz w:val="22"/>
                <w:szCs w:val="22"/>
                <w:highlight w:val="none"/>
              </w:rPr>
            </w:pPr>
            <w:r>
              <w:rPr>
                <w:rFonts w:hint="eastAsia" w:ascii="宋体" w:hAnsi="宋体"/>
                <w:b w:val="0"/>
                <w:bCs w:val="0"/>
                <w:sz w:val="22"/>
                <w:szCs w:val="22"/>
                <w:highlight w:val="none"/>
              </w:rPr>
              <w:t>本项目人员配备情况</w:t>
            </w:r>
          </w:p>
        </w:tc>
        <w:tc>
          <w:tcPr>
            <w:tcW w:w="991" w:type="dxa"/>
            <w:tcBorders>
              <w:top w:val="single" w:color="auto" w:sz="4" w:space="0"/>
              <w:left w:val="single" w:color="auto" w:sz="4" w:space="0"/>
              <w:bottom w:val="single" w:color="auto" w:sz="4" w:space="0"/>
              <w:right w:val="single" w:color="auto" w:sz="4" w:space="0"/>
            </w:tcBorders>
            <w:vAlign w:val="center"/>
          </w:tcPr>
          <w:p w14:paraId="1993EFC3">
            <w:pPr>
              <w:spacing w:line="360" w:lineRule="exact"/>
              <w:jc w:val="center"/>
              <w:rPr>
                <w:rFonts w:hint="eastAsia" w:ascii="宋体" w:hAnsi="宋体"/>
                <w:b w:val="0"/>
                <w:bCs w:val="0"/>
                <w:snapToGrid w:val="0"/>
                <w:sz w:val="22"/>
                <w:szCs w:val="22"/>
                <w:highlight w:val="none"/>
              </w:rPr>
            </w:pPr>
            <w:r>
              <w:rPr>
                <w:rFonts w:hint="eastAsia" w:ascii="宋体" w:hAnsi="宋体"/>
                <w:b w:val="0"/>
                <w:bCs w:val="0"/>
                <w:kern w:val="28"/>
                <w:sz w:val="22"/>
                <w:szCs w:val="22"/>
                <w:highlight w:val="none"/>
              </w:rPr>
              <w:t>0-</w:t>
            </w:r>
            <w:r>
              <w:rPr>
                <w:rFonts w:hint="eastAsia" w:ascii="宋体" w:hAnsi="宋体"/>
                <w:b w:val="0"/>
                <w:bCs w:val="0"/>
                <w:snapToGrid w:val="0"/>
                <w:sz w:val="22"/>
                <w:szCs w:val="22"/>
                <w:highlight w:val="none"/>
                <w:lang w:val="en-US" w:eastAsia="zh-CN"/>
              </w:rPr>
              <w:t>6</w:t>
            </w:r>
            <w:r>
              <w:rPr>
                <w:rFonts w:hint="eastAsia" w:ascii="宋体" w:hAnsi="宋体"/>
                <w:b w:val="0"/>
                <w:bCs w:val="0"/>
                <w:snapToGrid w:val="0"/>
                <w:sz w:val="22"/>
                <w:szCs w:val="22"/>
                <w:highlight w:val="none"/>
              </w:rPr>
              <w:t>分</w:t>
            </w:r>
          </w:p>
        </w:tc>
        <w:tc>
          <w:tcPr>
            <w:tcW w:w="6055" w:type="dxa"/>
            <w:tcBorders>
              <w:top w:val="single" w:color="auto" w:sz="4" w:space="0"/>
              <w:left w:val="single" w:color="auto" w:sz="4" w:space="0"/>
              <w:bottom w:val="single" w:color="auto" w:sz="4" w:space="0"/>
              <w:right w:val="single" w:color="auto" w:sz="4" w:space="0"/>
            </w:tcBorders>
            <w:vAlign w:val="center"/>
          </w:tcPr>
          <w:p w14:paraId="7AA31D22">
            <w:pPr>
              <w:tabs>
                <w:tab w:val="left" w:pos="33"/>
              </w:tabs>
              <w:spacing w:line="360" w:lineRule="exact"/>
              <w:rPr>
                <w:rFonts w:hint="eastAsia" w:ascii="宋体" w:hAnsi="宋体"/>
                <w:b w:val="0"/>
                <w:bCs w:val="0"/>
                <w:sz w:val="22"/>
                <w:szCs w:val="22"/>
                <w:highlight w:val="none"/>
              </w:rPr>
            </w:pPr>
            <w:r>
              <w:rPr>
                <w:rFonts w:hint="eastAsia" w:ascii="宋体" w:hAnsi="宋体"/>
                <w:b w:val="0"/>
                <w:bCs w:val="0"/>
                <w:snapToGrid w:val="0"/>
                <w:sz w:val="22"/>
                <w:szCs w:val="22"/>
                <w:highlight w:val="none"/>
              </w:rPr>
              <w:t>投标供应商项目团队</w:t>
            </w:r>
            <w:r>
              <w:rPr>
                <w:rFonts w:hint="eastAsia" w:ascii="宋体" w:hAnsi="宋体"/>
                <w:b w:val="0"/>
                <w:bCs w:val="0"/>
                <w:sz w:val="22"/>
                <w:szCs w:val="22"/>
                <w:highlight w:val="none"/>
              </w:rPr>
              <w:t>根据项目情况</w:t>
            </w:r>
            <w:r>
              <w:rPr>
                <w:rFonts w:hint="eastAsia" w:ascii="宋体" w:hAnsi="宋体"/>
                <w:b w:val="0"/>
                <w:bCs w:val="0"/>
                <w:sz w:val="22"/>
                <w:szCs w:val="22"/>
                <w:highlight w:val="none"/>
                <w:lang w:val="en-US" w:eastAsia="zh-CN"/>
              </w:rPr>
              <w:t>拟派</w:t>
            </w:r>
            <w:r>
              <w:rPr>
                <w:rFonts w:hint="eastAsia" w:ascii="宋体" w:hAnsi="宋体"/>
                <w:b w:val="0"/>
                <w:bCs w:val="0"/>
                <w:sz w:val="22"/>
                <w:szCs w:val="22"/>
                <w:highlight w:val="none"/>
              </w:rPr>
              <w:t>技术人员具有安全员、电焊工，每提供一个得</w:t>
            </w:r>
            <w:r>
              <w:rPr>
                <w:rFonts w:hint="eastAsia" w:ascii="宋体" w:hAnsi="宋体"/>
                <w:b w:val="0"/>
                <w:bCs w:val="0"/>
                <w:sz w:val="22"/>
                <w:szCs w:val="22"/>
                <w:highlight w:val="none"/>
                <w:lang w:val="en-US" w:eastAsia="zh-CN"/>
              </w:rPr>
              <w:t>1</w:t>
            </w:r>
            <w:r>
              <w:rPr>
                <w:rFonts w:hint="eastAsia" w:ascii="宋体" w:hAnsi="宋体"/>
                <w:b w:val="0"/>
                <w:bCs w:val="0"/>
                <w:sz w:val="22"/>
                <w:szCs w:val="22"/>
                <w:highlight w:val="none"/>
              </w:rPr>
              <w:t>分</w:t>
            </w:r>
            <w:r>
              <w:rPr>
                <w:rFonts w:hint="eastAsia" w:ascii="宋体" w:hAnsi="宋体"/>
                <w:b w:val="0"/>
                <w:bCs w:val="0"/>
                <w:sz w:val="22"/>
                <w:szCs w:val="22"/>
                <w:highlight w:val="none"/>
                <w:lang w:eastAsia="zh-CN"/>
              </w:rPr>
              <w:t>，</w:t>
            </w:r>
            <w:r>
              <w:rPr>
                <w:rFonts w:hint="eastAsia" w:ascii="宋体" w:hAnsi="宋体"/>
                <w:b w:val="0"/>
                <w:bCs w:val="0"/>
                <w:sz w:val="22"/>
                <w:szCs w:val="22"/>
                <w:highlight w:val="none"/>
                <w:lang w:val="en-US" w:eastAsia="zh-CN"/>
              </w:rPr>
              <w:t>最多得2分</w:t>
            </w:r>
            <w:r>
              <w:rPr>
                <w:rFonts w:hint="eastAsia" w:ascii="宋体" w:hAnsi="宋体"/>
                <w:b w:val="0"/>
                <w:bCs w:val="0"/>
                <w:sz w:val="22"/>
                <w:szCs w:val="22"/>
                <w:highlight w:val="none"/>
                <w:lang w:eastAsia="zh-CN"/>
              </w:rPr>
              <w:t>；</w:t>
            </w:r>
            <w:r>
              <w:rPr>
                <w:rFonts w:hint="eastAsia" w:ascii="宋体" w:hAnsi="宋体"/>
                <w:b w:val="0"/>
                <w:bCs w:val="0"/>
                <w:sz w:val="22"/>
                <w:szCs w:val="22"/>
                <w:highlight w:val="none"/>
              </w:rPr>
              <w:t>油漆工证每提供一个得1分最高得4分。（同一个人具有多种证书的，按一种证书来计算，除油漆工外其他相同证书不得重复得分。提供证书扫描件加盖公章及投标截止日前近3个月内任意一个月在本单位缴纳社保的证明材料扫描件加盖公章。）</w:t>
            </w:r>
          </w:p>
        </w:tc>
      </w:tr>
      <w:tr w14:paraId="6AAF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68FD870A">
            <w:pPr>
              <w:spacing w:line="360" w:lineRule="exact"/>
              <w:ind w:right="3"/>
              <w:jc w:val="center"/>
              <w:rPr>
                <w:rFonts w:hint="eastAsia" w:ascii="宋体" w:hAnsi="宋体"/>
                <w:b w:val="0"/>
                <w:bCs w:val="0"/>
                <w:spacing w:val="4"/>
                <w:sz w:val="22"/>
                <w:szCs w:val="22"/>
              </w:rPr>
            </w:pPr>
            <w:r>
              <w:rPr>
                <w:rFonts w:hint="eastAsia" w:ascii="宋体" w:hAnsi="宋体"/>
                <w:b w:val="0"/>
                <w:bCs w:val="0"/>
                <w:spacing w:val="4"/>
                <w:sz w:val="22"/>
                <w:szCs w:val="22"/>
              </w:rPr>
              <w:t>4</w:t>
            </w:r>
          </w:p>
        </w:tc>
        <w:tc>
          <w:tcPr>
            <w:tcW w:w="1560" w:type="dxa"/>
            <w:tcBorders>
              <w:top w:val="single" w:color="auto" w:sz="4" w:space="0"/>
              <w:left w:val="single" w:color="auto" w:sz="4" w:space="0"/>
              <w:bottom w:val="single" w:color="auto" w:sz="4" w:space="0"/>
              <w:right w:val="single" w:color="auto" w:sz="4" w:space="0"/>
            </w:tcBorders>
            <w:vAlign w:val="center"/>
          </w:tcPr>
          <w:p w14:paraId="7A94E7E2">
            <w:pPr>
              <w:spacing w:line="360" w:lineRule="exact"/>
              <w:ind w:left="-50"/>
              <w:jc w:val="center"/>
              <w:rPr>
                <w:rFonts w:hint="eastAsia" w:ascii="宋体" w:hAnsi="宋体"/>
                <w:b w:val="0"/>
                <w:bCs w:val="0"/>
                <w:snapToGrid w:val="0"/>
                <w:sz w:val="22"/>
                <w:szCs w:val="22"/>
              </w:rPr>
            </w:pPr>
            <w:r>
              <w:rPr>
                <w:rFonts w:hint="eastAsia" w:ascii="宋体" w:hAnsi="宋体"/>
                <w:b w:val="0"/>
                <w:bCs w:val="0"/>
                <w:snapToGrid w:val="0"/>
                <w:sz w:val="22"/>
                <w:szCs w:val="22"/>
              </w:rPr>
              <w:t>特点和难点 分析</w:t>
            </w:r>
          </w:p>
        </w:tc>
        <w:tc>
          <w:tcPr>
            <w:tcW w:w="991" w:type="dxa"/>
            <w:tcBorders>
              <w:top w:val="single" w:color="auto" w:sz="4" w:space="0"/>
              <w:left w:val="single" w:color="auto" w:sz="4" w:space="0"/>
              <w:bottom w:val="single" w:color="auto" w:sz="4" w:space="0"/>
              <w:right w:val="single" w:color="auto" w:sz="4" w:space="0"/>
            </w:tcBorders>
            <w:vAlign w:val="center"/>
          </w:tcPr>
          <w:p w14:paraId="2E569DC1">
            <w:pPr>
              <w:spacing w:line="360" w:lineRule="exact"/>
              <w:jc w:val="center"/>
              <w:rPr>
                <w:rFonts w:hint="eastAsia" w:ascii="宋体" w:hAnsi="宋体"/>
                <w:b w:val="0"/>
                <w:bCs w:val="0"/>
                <w:snapToGrid w:val="0"/>
                <w:sz w:val="22"/>
                <w:szCs w:val="22"/>
              </w:rPr>
            </w:pPr>
            <w:r>
              <w:rPr>
                <w:rFonts w:hint="eastAsia" w:ascii="宋体" w:hAnsi="宋体"/>
                <w:b w:val="0"/>
                <w:bCs w:val="0"/>
                <w:snapToGrid w:val="0"/>
                <w:sz w:val="22"/>
                <w:szCs w:val="22"/>
              </w:rPr>
              <w:t>0-</w:t>
            </w:r>
            <w:r>
              <w:rPr>
                <w:rFonts w:hint="eastAsia" w:ascii="宋体" w:hAnsi="宋体"/>
                <w:b w:val="0"/>
                <w:bCs w:val="0"/>
                <w:snapToGrid w:val="0"/>
                <w:sz w:val="22"/>
                <w:szCs w:val="22"/>
                <w:lang w:val="en-US" w:eastAsia="zh-CN"/>
              </w:rPr>
              <w:t>5</w:t>
            </w:r>
            <w:r>
              <w:rPr>
                <w:rFonts w:hint="eastAsia" w:ascii="宋体" w:hAnsi="宋体"/>
                <w:b w:val="0"/>
                <w:bCs w:val="0"/>
                <w:snapToGrid w:val="0"/>
                <w:sz w:val="22"/>
                <w:szCs w:val="22"/>
              </w:rPr>
              <w:t>分</w:t>
            </w:r>
          </w:p>
        </w:tc>
        <w:tc>
          <w:tcPr>
            <w:tcW w:w="6055" w:type="dxa"/>
            <w:tcBorders>
              <w:top w:val="single" w:color="auto" w:sz="4" w:space="0"/>
              <w:left w:val="single" w:color="auto" w:sz="4" w:space="0"/>
              <w:bottom w:val="single" w:color="auto" w:sz="4" w:space="0"/>
              <w:right w:val="single" w:color="auto" w:sz="4" w:space="0"/>
            </w:tcBorders>
            <w:vAlign w:val="center"/>
          </w:tcPr>
          <w:p w14:paraId="61625FA8">
            <w:pPr>
              <w:pStyle w:val="94"/>
              <w:spacing w:line="360" w:lineRule="exact"/>
              <w:jc w:val="both"/>
              <w:rPr>
                <w:rFonts w:hint="eastAsia" w:ascii="宋体" w:hAnsi="宋体"/>
                <w:color w:val="auto"/>
                <w:kern w:val="2"/>
                <w:sz w:val="22"/>
                <w:szCs w:val="22"/>
              </w:rPr>
            </w:pPr>
            <w:r>
              <w:rPr>
                <w:rFonts w:hint="eastAsia" w:ascii="宋体" w:hAnsi="宋体"/>
                <w:color w:val="auto"/>
                <w:kern w:val="2"/>
                <w:sz w:val="22"/>
                <w:szCs w:val="22"/>
              </w:rPr>
              <w:t>根据供应商提供对本项目的特点和难点分析情况进行打分。分析合理有效的</w:t>
            </w:r>
            <w:r>
              <w:rPr>
                <w:rFonts w:hint="eastAsia" w:ascii="宋体" w:hAnsi="宋体"/>
                <w:color w:val="auto"/>
                <w:kern w:val="2"/>
                <w:sz w:val="22"/>
                <w:szCs w:val="22"/>
                <w:lang w:val="en-US" w:eastAsia="zh-CN"/>
              </w:rPr>
              <w:t>3</w:t>
            </w:r>
            <w:r>
              <w:rPr>
                <w:rFonts w:hint="eastAsia" w:ascii="宋体" w:hAnsi="宋体"/>
                <w:color w:val="auto"/>
                <w:kern w:val="2"/>
                <w:sz w:val="22"/>
                <w:szCs w:val="22"/>
              </w:rPr>
              <w:t>-</w:t>
            </w:r>
            <w:r>
              <w:rPr>
                <w:rFonts w:hint="eastAsia" w:ascii="宋体" w:hAnsi="宋体"/>
                <w:color w:val="auto"/>
                <w:kern w:val="2"/>
                <w:sz w:val="22"/>
                <w:szCs w:val="22"/>
                <w:lang w:val="en-US" w:eastAsia="zh-CN"/>
              </w:rPr>
              <w:t>5</w:t>
            </w:r>
            <w:r>
              <w:rPr>
                <w:rFonts w:hint="eastAsia" w:ascii="宋体" w:hAnsi="宋体"/>
                <w:color w:val="auto"/>
                <w:kern w:val="2"/>
                <w:sz w:val="22"/>
                <w:szCs w:val="22"/>
              </w:rPr>
              <w:t>分；基本合理的</w:t>
            </w:r>
            <w:r>
              <w:rPr>
                <w:rFonts w:hint="eastAsia" w:ascii="宋体" w:hAnsi="宋体"/>
                <w:color w:val="auto"/>
                <w:kern w:val="2"/>
                <w:sz w:val="22"/>
                <w:szCs w:val="22"/>
                <w:lang w:val="en-US" w:eastAsia="zh-CN"/>
              </w:rPr>
              <w:t>1</w:t>
            </w:r>
            <w:r>
              <w:rPr>
                <w:rFonts w:hint="eastAsia" w:ascii="宋体" w:hAnsi="宋体"/>
                <w:color w:val="auto"/>
                <w:kern w:val="2"/>
                <w:sz w:val="22"/>
                <w:szCs w:val="22"/>
              </w:rPr>
              <w:t>-</w:t>
            </w:r>
            <w:r>
              <w:rPr>
                <w:rFonts w:hint="eastAsia" w:ascii="宋体" w:hAnsi="宋体"/>
                <w:color w:val="auto"/>
                <w:kern w:val="2"/>
                <w:sz w:val="22"/>
                <w:szCs w:val="22"/>
                <w:lang w:val="en-US" w:eastAsia="zh-CN"/>
              </w:rPr>
              <w:t>3</w:t>
            </w:r>
            <w:r>
              <w:rPr>
                <w:rFonts w:hint="eastAsia" w:ascii="宋体" w:hAnsi="宋体"/>
                <w:color w:val="auto"/>
                <w:kern w:val="2"/>
                <w:sz w:val="22"/>
                <w:szCs w:val="22"/>
              </w:rPr>
              <w:t>分；合理性较差的0-</w:t>
            </w:r>
            <w:r>
              <w:rPr>
                <w:rFonts w:hint="eastAsia" w:ascii="宋体" w:hAnsi="宋体"/>
                <w:color w:val="auto"/>
                <w:kern w:val="2"/>
                <w:sz w:val="22"/>
                <w:szCs w:val="22"/>
                <w:lang w:val="en-US" w:eastAsia="zh-CN"/>
              </w:rPr>
              <w:t>1</w:t>
            </w:r>
            <w:r>
              <w:rPr>
                <w:rFonts w:hint="eastAsia" w:ascii="宋体" w:hAnsi="宋体"/>
                <w:color w:val="auto"/>
                <w:kern w:val="2"/>
                <w:sz w:val="22"/>
                <w:szCs w:val="22"/>
              </w:rPr>
              <w:t>分。</w:t>
            </w:r>
          </w:p>
        </w:tc>
      </w:tr>
      <w:tr w14:paraId="11E7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744E7C59">
            <w:pPr>
              <w:spacing w:line="360" w:lineRule="exact"/>
              <w:ind w:right="3"/>
              <w:jc w:val="center"/>
              <w:rPr>
                <w:rFonts w:hint="eastAsia" w:ascii="宋体" w:hAnsi="宋体"/>
                <w:b w:val="0"/>
                <w:bCs w:val="0"/>
                <w:spacing w:val="4"/>
                <w:sz w:val="22"/>
                <w:szCs w:val="22"/>
              </w:rPr>
            </w:pPr>
            <w:r>
              <w:rPr>
                <w:rFonts w:hint="eastAsia" w:ascii="宋体" w:hAnsi="宋体"/>
                <w:b w:val="0"/>
                <w:bCs w:val="0"/>
                <w:spacing w:val="4"/>
                <w:sz w:val="22"/>
                <w:szCs w:val="22"/>
              </w:rPr>
              <w:t>5</w:t>
            </w:r>
          </w:p>
        </w:tc>
        <w:tc>
          <w:tcPr>
            <w:tcW w:w="1560" w:type="dxa"/>
            <w:tcBorders>
              <w:top w:val="single" w:color="auto" w:sz="4" w:space="0"/>
              <w:left w:val="single" w:color="auto" w:sz="4" w:space="0"/>
              <w:bottom w:val="single" w:color="auto" w:sz="4" w:space="0"/>
              <w:right w:val="single" w:color="auto" w:sz="4" w:space="0"/>
            </w:tcBorders>
            <w:vAlign w:val="center"/>
          </w:tcPr>
          <w:p w14:paraId="17854129">
            <w:pPr>
              <w:spacing w:line="360" w:lineRule="exact"/>
              <w:ind w:left="-50"/>
              <w:jc w:val="center"/>
              <w:rPr>
                <w:rFonts w:hint="eastAsia" w:ascii="宋体" w:hAnsi="宋体"/>
                <w:b w:val="0"/>
                <w:bCs w:val="0"/>
                <w:snapToGrid w:val="0"/>
                <w:sz w:val="22"/>
                <w:szCs w:val="22"/>
              </w:rPr>
            </w:pPr>
            <w:r>
              <w:rPr>
                <w:rFonts w:hint="eastAsia" w:ascii="宋体" w:hAnsi="宋体"/>
                <w:b w:val="0"/>
                <w:bCs w:val="0"/>
                <w:snapToGrid w:val="0"/>
                <w:sz w:val="22"/>
                <w:szCs w:val="22"/>
              </w:rPr>
              <w:t>项目</w:t>
            </w:r>
          </w:p>
          <w:p w14:paraId="052D7A97">
            <w:pPr>
              <w:spacing w:line="360" w:lineRule="exact"/>
              <w:ind w:left="-50"/>
              <w:jc w:val="center"/>
              <w:rPr>
                <w:rFonts w:hint="eastAsia" w:ascii="宋体" w:hAnsi="宋体"/>
                <w:b w:val="0"/>
                <w:bCs w:val="0"/>
                <w:snapToGrid w:val="0"/>
                <w:sz w:val="22"/>
                <w:szCs w:val="22"/>
              </w:rPr>
            </w:pPr>
            <w:r>
              <w:rPr>
                <w:rFonts w:hint="eastAsia" w:ascii="宋体" w:hAnsi="宋体"/>
                <w:b w:val="0"/>
                <w:bCs w:val="0"/>
                <w:snapToGrid w:val="0"/>
                <w:sz w:val="22"/>
                <w:szCs w:val="22"/>
              </w:rPr>
              <w:t>实施方案</w:t>
            </w:r>
          </w:p>
        </w:tc>
        <w:tc>
          <w:tcPr>
            <w:tcW w:w="991" w:type="dxa"/>
            <w:tcBorders>
              <w:top w:val="single" w:color="auto" w:sz="4" w:space="0"/>
              <w:left w:val="single" w:color="auto" w:sz="4" w:space="0"/>
              <w:bottom w:val="single" w:color="auto" w:sz="4" w:space="0"/>
              <w:right w:val="single" w:color="auto" w:sz="4" w:space="0"/>
            </w:tcBorders>
            <w:vAlign w:val="center"/>
          </w:tcPr>
          <w:p w14:paraId="6DC2B871">
            <w:pPr>
              <w:spacing w:line="360" w:lineRule="exact"/>
              <w:jc w:val="center"/>
              <w:rPr>
                <w:rFonts w:hint="eastAsia" w:ascii="宋体" w:hAnsi="宋体"/>
                <w:b w:val="0"/>
                <w:bCs w:val="0"/>
                <w:snapToGrid w:val="0"/>
                <w:sz w:val="22"/>
                <w:szCs w:val="22"/>
              </w:rPr>
            </w:pPr>
            <w:r>
              <w:rPr>
                <w:rFonts w:hint="eastAsia" w:ascii="宋体" w:hAnsi="宋体"/>
                <w:b w:val="0"/>
                <w:bCs w:val="0"/>
                <w:snapToGrid w:val="0"/>
                <w:sz w:val="22"/>
                <w:szCs w:val="22"/>
              </w:rPr>
              <w:t>0-12分</w:t>
            </w:r>
          </w:p>
        </w:tc>
        <w:tc>
          <w:tcPr>
            <w:tcW w:w="6055" w:type="dxa"/>
            <w:tcBorders>
              <w:top w:val="single" w:color="auto" w:sz="4" w:space="0"/>
              <w:left w:val="single" w:color="auto" w:sz="4" w:space="0"/>
              <w:bottom w:val="single" w:color="auto" w:sz="4" w:space="0"/>
              <w:right w:val="single" w:color="auto" w:sz="4" w:space="0"/>
            </w:tcBorders>
            <w:vAlign w:val="center"/>
          </w:tcPr>
          <w:p w14:paraId="3C339DE2">
            <w:pPr>
              <w:pStyle w:val="94"/>
              <w:spacing w:line="360" w:lineRule="exact"/>
              <w:jc w:val="both"/>
              <w:rPr>
                <w:rFonts w:hint="eastAsia" w:ascii="宋体" w:hAnsi="宋体"/>
                <w:color w:val="auto"/>
                <w:kern w:val="2"/>
                <w:sz w:val="22"/>
                <w:szCs w:val="22"/>
              </w:rPr>
            </w:pPr>
            <w:r>
              <w:rPr>
                <w:rFonts w:hint="eastAsia" w:ascii="宋体" w:hAnsi="宋体"/>
                <w:color w:val="auto"/>
                <w:kern w:val="2"/>
                <w:sz w:val="22"/>
                <w:szCs w:val="22"/>
              </w:rPr>
              <w:t>根据供应商提供的总体思路、项目实施方案是否科学有效，工作内容是否完善等进行打分。措施、方案满足项目要求且可操作性强的8-12分，措施、方案基本满足项目要求且可操作性一般的3-8分，方案针对性差且工作内容不齐全的0-3分。</w:t>
            </w:r>
          </w:p>
        </w:tc>
      </w:tr>
      <w:tr w14:paraId="3F7B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00A77358">
            <w:pPr>
              <w:spacing w:line="360" w:lineRule="exact"/>
              <w:ind w:right="3"/>
              <w:jc w:val="center"/>
              <w:rPr>
                <w:rFonts w:hint="eastAsia" w:ascii="宋体" w:hAnsi="宋体"/>
                <w:b w:val="0"/>
                <w:bCs w:val="0"/>
                <w:spacing w:val="4"/>
                <w:sz w:val="22"/>
                <w:szCs w:val="22"/>
              </w:rPr>
            </w:pPr>
            <w:r>
              <w:rPr>
                <w:rFonts w:hint="eastAsia" w:ascii="宋体" w:hAnsi="宋体"/>
                <w:b w:val="0"/>
                <w:bCs w:val="0"/>
                <w:spacing w:val="4"/>
                <w:sz w:val="22"/>
                <w:szCs w:val="22"/>
              </w:rPr>
              <w:t>6</w:t>
            </w:r>
          </w:p>
        </w:tc>
        <w:tc>
          <w:tcPr>
            <w:tcW w:w="1560" w:type="dxa"/>
            <w:tcBorders>
              <w:top w:val="single" w:color="auto" w:sz="4" w:space="0"/>
              <w:left w:val="single" w:color="auto" w:sz="4" w:space="0"/>
              <w:bottom w:val="single" w:color="auto" w:sz="4" w:space="0"/>
              <w:right w:val="single" w:color="auto" w:sz="4" w:space="0"/>
            </w:tcBorders>
            <w:vAlign w:val="center"/>
          </w:tcPr>
          <w:p w14:paraId="3119290F">
            <w:pPr>
              <w:spacing w:line="360" w:lineRule="exact"/>
              <w:ind w:left="-50"/>
              <w:jc w:val="center"/>
              <w:rPr>
                <w:rFonts w:hint="eastAsia" w:ascii="宋体" w:hAnsi="宋体"/>
                <w:b w:val="0"/>
                <w:bCs w:val="0"/>
                <w:snapToGrid w:val="0"/>
                <w:sz w:val="22"/>
                <w:szCs w:val="22"/>
              </w:rPr>
            </w:pPr>
            <w:r>
              <w:rPr>
                <w:rFonts w:hint="eastAsia" w:ascii="宋体" w:hAnsi="宋体"/>
                <w:b w:val="0"/>
                <w:bCs w:val="0"/>
                <w:snapToGrid w:val="0"/>
                <w:sz w:val="22"/>
                <w:szCs w:val="22"/>
              </w:rPr>
              <w:t>进度保障</w:t>
            </w:r>
          </w:p>
        </w:tc>
        <w:tc>
          <w:tcPr>
            <w:tcW w:w="991" w:type="dxa"/>
            <w:tcBorders>
              <w:top w:val="single" w:color="auto" w:sz="4" w:space="0"/>
              <w:left w:val="single" w:color="auto" w:sz="4" w:space="0"/>
              <w:bottom w:val="single" w:color="auto" w:sz="4" w:space="0"/>
              <w:right w:val="single" w:color="auto" w:sz="4" w:space="0"/>
            </w:tcBorders>
            <w:vAlign w:val="center"/>
          </w:tcPr>
          <w:p w14:paraId="52B81B3A">
            <w:pPr>
              <w:spacing w:line="360" w:lineRule="exact"/>
              <w:jc w:val="center"/>
              <w:rPr>
                <w:rFonts w:hint="eastAsia" w:ascii="宋体" w:hAnsi="宋体"/>
                <w:b w:val="0"/>
                <w:bCs w:val="0"/>
                <w:snapToGrid w:val="0"/>
                <w:sz w:val="22"/>
                <w:szCs w:val="22"/>
              </w:rPr>
            </w:pPr>
            <w:r>
              <w:rPr>
                <w:rFonts w:hint="eastAsia" w:ascii="宋体" w:hAnsi="宋体"/>
                <w:b w:val="0"/>
                <w:bCs w:val="0"/>
                <w:snapToGrid w:val="0"/>
                <w:sz w:val="22"/>
                <w:szCs w:val="22"/>
              </w:rPr>
              <w:t>0-</w:t>
            </w:r>
            <w:r>
              <w:rPr>
                <w:rFonts w:hint="eastAsia" w:ascii="宋体" w:hAnsi="宋体"/>
                <w:b w:val="0"/>
                <w:bCs w:val="0"/>
                <w:snapToGrid w:val="0"/>
                <w:sz w:val="22"/>
                <w:szCs w:val="22"/>
                <w:lang w:val="en-US" w:eastAsia="zh-CN"/>
              </w:rPr>
              <w:t>8</w:t>
            </w:r>
            <w:r>
              <w:rPr>
                <w:rFonts w:hint="eastAsia" w:ascii="宋体" w:hAnsi="宋体"/>
                <w:b w:val="0"/>
                <w:bCs w:val="0"/>
                <w:snapToGrid w:val="0"/>
                <w:sz w:val="22"/>
                <w:szCs w:val="22"/>
              </w:rPr>
              <w:t>分</w:t>
            </w:r>
          </w:p>
        </w:tc>
        <w:tc>
          <w:tcPr>
            <w:tcW w:w="6055" w:type="dxa"/>
            <w:tcBorders>
              <w:top w:val="single" w:color="auto" w:sz="4" w:space="0"/>
              <w:left w:val="single" w:color="auto" w:sz="4" w:space="0"/>
              <w:bottom w:val="single" w:color="auto" w:sz="4" w:space="0"/>
              <w:right w:val="single" w:color="auto" w:sz="4" w:space="0"/>
            </w:tcBorders>
            <w:vAlign w:val="center"/>
          </w:tcPr>
          <w:p w14:paraId="18952397">
            <w:pPr>
              <w:tabs>
                <w:tab w:val="left" w:pos="33"/>
              </w:tabs>
              <w:spacing w:line="360" w:lineRule="exact"/>
              <w:rPr>
                <w:rFonts w:hint="eastAsia" w:ascii="宋体" w:hAnsi="宋体"/>
                <w:b w:val="0"/>
                <w:bCs w:val="0"/>
                <w:sz w:val="22"/>
                <w:szCs w:val="22"/>
              </w:rPr>
            </w:pPr>
            <w:r>
              <w:rPr>
                <w:rFonts w:hint="eastAsia" w:ascii="宋体" w:hAnsi="宋体"/>
                <w:b w:val="0"/>
                <w:bCs w:val="0"/>
                <w:sz w:val="22"/>
                <w:szCs w:val="22"/>
              </w:rPr>
              <w:t xml:space="preserve">根据供应商针对本项目制定的工作计划，完成进度保障措施进行打分。工作计划及进度保障措施安排科学合理的 </w:t>
            </w:r>
            <w:r>
              <w:rPr>
                <w:rFonts w:hint="eastAsia" w:ascii="宋体" w:hAnsi="宋体"/>
                <w:b w:val="0"/>
                <w:bCs w:val="0"/>
                <w:sz w:val="22"/>
                <w:szCs w:val="22"/>
                <w:lang w:val="en-US" w:eastAsia="zh-CN"/>
              </w:rPr>
              <w:t>6</w:t>
            </w:r>
            <w:r>
              <w:rPr>
                <w:rFonts w:hint="eastAsia" w:ascii="宋体" w:hAnsi="宋体"/>
                <w:b w:val="0"/>
                <w:bCs w:val="0"/>
                <w:sz w:val="22"/>
                <w:szCs w:val="22"/>
              </w:rPr>
              <w:t>-</w:t>
            </w:r>
            <w:r>
              <w:rPr>
                <w:rFonts w:hint="eastAsia" w:ascii="宋体" w:hAnsi="宋体"/>
                <w:b w:val="0"/>
                <w:bCs w:val="0"/>
                <w:sz w:val="22"/>
                <w:szCs w:val="22"/>
                <w:lang w:val="en-US" w:eastAsia="zh-CN"/>
              </w:rPr>
              <w:t>8</w:t>
            </w:r>
            <w:r>
              <w:rPr>
                <w:rFonts w:hint="eastAsia" w:ascii="宋体" w:hAnsi="宋体"/>
                <w:b w:val="0"/>
                <w:bCs w:val="0"/>
                <w:sz w:val="22"/>
                <w:szCs w:val="22"/>
              </w:rPr>
              <w:t>分，基本合理的</w:t>
            </w:r>
            <w:r>
              <w:rPr>
                <w:rFonts w:hint="eastAsia" w:ascii="宋体" w:hAnsi="宋体"/>
                <w:b w:val="0"/>
                <w:bCs w:val="0"/>
                <w:sz w:val="22"/>
                <w:szCs w:val="22"/>
                <w:lang w:val="en-US" w:eastAsia="zh-CN"/>
              </w:rPr>
              <w:t>3</w:t>
            </w:r>
            <w:r>
              <w:rPr>
                <w:rFonts w:hint="eastAsia" w:ascii="宋体" w:hAnsi="宋体"/>
                <w:b w:val="0"/>
                <w:bCs w:val="0"/>
                <w:sz w:val="22"/>
                <w:szCs w:val="22"/>
              </w:rPr>
              <w:t>-</w:t>
            </w:r>
            <w:r>
              <w:rPr>
                <w:rFonts w:hint="eastAsia" w:ascii="宋体" w:hAnsi="宋体"/>
                <w:b w:val="0"/>
                <w:bCs w:val="0"/>
                <w:sz w:val="22"/>
                <w:szCs w:val="22"/>
                <w:lang w:val="en-US" w:eastAsia="zh-CN"/>
              </w:rPr>
              <w:t>6</w:t>
            </w:r>
            <w:r>
              <w:rPr>
                <w:rFonts w:hint="eastAsia" w:ascii="宋体" w:hAnsi="宋体"/>
                <w:b w:val="0"/>
                <w:bCs w:val="0"/>
                <w:sz w:val="22"/>
                <w:szCs w:val="22"/>
              </w:rPr>
              <w:t>分，合理性较差0-</w:t>
            </w:r>
            <w:r>
              <w:rPr>
                <w:rFonts w:hint="eastAsia" w:ascii="宋体" w:hAnsi="宋体"/>
                <w:b w:val="0"/>
                <w:bCs w:val="0"/>
                <w:sz w:val="22"/>
                <w:szCs w:val="22"/>
                <w:lang w:val="en-US" w:eastAsia="zh-CN"/>
              </w:rPr>
              <w:t>3</w:t>
            </w:r>
            <w:r>
              <w:rPr>
                <w:rFonts w:hint="eastAsia" w:ascii="宋体" w:hAnsi="宋体"/>
                <w:b w:val="0"/>
                <w:bCs w:val="0"/>
                <w:sz w:val="22"/>
                <w:szCs w:val="22"/>
              </w:rPr>
              <w:t>分。</w:t>
            </w:r>
          </w:p>
        </w:tc>
      </w:tr>
      <w:tr w14:paraId="770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483DD29C">
            <w:pPr>
              <w:spacing w:line="360" w:lineRule="exact"/>
              <w:ind w:right="3"/>
              <w:jc w:val="center"/>
              <w:rPr>
                <w:rFonts w:hint="eastAsia" w:ascii="宋体" w:hAnsi="宋体"/>
                <w:b w:val="0"/>
                <w:bCs w:val="0"/>
                <w:spacing w:val="4"/>
                <w:sz w:val="22"/>
                <w:szCs w:val="22"/>
              </w:rPr>
            </w:pPr>
            <w:r>
              <w:rPr>
                <w:rFonts w:hint="eastAsia" w:ascii="宋体" w:hAnsi="宋体"/>
                <w:b w:val="0"/>
                <w:bCs w:val="0"/>
                <w:spacing w:val="4"/>
                <w:sz w:val="22"/>
                <w:szCs w:val="22"/>
              </w:rPr>
              <w:t>7</w:t>
            </w:r>
          </w:p>
        </w:tc>
        <w:tc>
          <w:tcPr>
            <w:tcW w:w="1560" w:type="dxa"/>
            <w:tcBorders>
              <w:top w:val="single" w:color="auto" w:sz="4" w:space="0"/>
              <w:left w:val="single" w:color="auto" w:sz="4" w:space="0"/>
              <w:bottom w:val="single" w:color="auto" w:sz="4" w:space="0"/>
              <w:right w:val="single" w:color="auto" w:sz="4" w:space="0"/>
            </w:tcBorders>
            <w:vAlign w:val="center"/>
          </w:tcPr>
          <w:p w14:paraId="13143262">
            <w:pPr>
              <w:spacing w:line="360" w:lineRule="exact"/>
              <w:ind w:left="-50"/>
              <w:jc w:val="center"/>
              <w:rPr>
                <w:rFonts w:hint="eastAsia" w:ascii="宋体" w:hAnsi="宋体"/>
                <w:b w:val="0"/>
                <w:bCs w:val="0"/>
                <w:snapToGrid w:val="0"/>
                <w:sz w:val="22"/>
                <w:szCs w:val="22"/>
              </w:rPr>
            </w:pPr>
            <w:r>
              <w:rPr>
                <w:rFonts w:hint="eastAsia" w:ascii="宋体" w:hAnsi="宋体"/>
                <w:b w:val="0"/>
                <w:bCs w:val="0"/>
                <w:snapToGrid w:val="0"/>
                <w:sz w:val="22"/>
                <w:szCs w:val="22"/>
              </w:rPr>
              <w:t>质量</w:t>
            </w:r>
          </w:p>
          <w:p w14:paraId="1905E10F">
            <w:pPr>
              <w:spacing w:line="360" w:lineRule="exact"/>
              <w:ind w:left="-50"/>
              <w:jc w:val="center"/>
              <w:rPr>
                <w:rFonts w:hint="eastAsia" w:ascii="宋体" w:hAnsi="宋体"/>
                <w:b w:val="0"/>
                <w:bCs w:val="0"/>
                <w:snapToGrid w:val="0"/>
                <w:sz w:val="22"/>
                <w:szCs w:val="22"/>
              </w:rPr>
            </w:pPr>
            <w:r>
              <w:rPr>
                <w:rFonts w:hint="eastAsia" w:ascii="宋体" w:hAnsi="宋体"/>
                <w:b w:val="0"/>
                <w:bCs w:val="0"/>
                <w:snapToGrid w:val="0"/>
                <w:sz w:val="22"/>
                <w:szCs w:val="22"/>
              </w:rPr>
              <w:t>保证措施</w:t>
            </w:r>
          </w:p>
        </w:tc>
        <w:tc>
          <w:tcPr>
            <w:tcW w:w="991" w:type="dxa"/>
            <w:tcBorders>
              <w:top w:val="single" w:color="auto" w:sz="4" w:space="0"/>
              <w:left w:val="single" w:color="auto" w:sz="4" w:space="0"/>
              <w:bottom w:val="single" w:color="auto" w:sz="4" w:space="0"/>
              <w:right w:val="single" w:color="auto" w:sz="4" w:space="0"/>
            </w:tcBorders>
            <w:vAlign w:val="center"/>
          </w:tcPr>
          <w:p w14:paraId="5D0034C9">
            <w:pPr>
              <w:spacing w:line="360" w:lineRule="exact"/>
              <w:jc w:val="center"/>
              <w:rPr>
                <w:rFonts w:hint="eastAsia" w:ascii="宋体" w:hAnsi="宋体"/>
                <w:b w:val="0"/>
                <w:bCs w:val="0"/>
                <w:snapToGrid w:val="0"/>
                <w:sz w:val="22"/>
                <w:szCs w:val="22"/>
              </w:rPr>
            </w:pPr>
            <w:r>
              <w:rPr>
                <w:rFonts w:hint="eastAsia" w:ascii="宋体" w:hAnsi="宋体"/>
                <w:b w:val="0"/>
                <w:bCs w:val="0"/>
                <w:snapToGrid w:val="0"/>
                <w:sz w:val="22"/>
                <w:szCs w:val="22"/>
              </w:rPr>
              <w:t>0-8分</w:t>
            </w:r>
          </w:p>
        </w:tc>
        <w:tc>
          <w:tcPr>
            <w:tcW w:w="6055" w:type="dxa"/>
            <w:tcBorders>
              <w:top w:val="single" w:color="auto" w:sz="4" w:space="0"/>
              <w:left w:val="single" w:color="auto" w:sz="4" w:space="0"/>
              <w:bottom w:val="single" w:color="auto" w:sz="4" w:space="0"/>
              <w:right w:val="single" w:color="auto" w:sz="4" w:space="0"/>
            </w:tcBorders>
            <w:vAlign w:val="center"/>
          </w:tcPr>
          <w:p w14:paraId="1260BEFE">
            <w:pPr>
              <w:tabs>
                <w:tab w:val="left" w:pos="33"/>
              </w:tabs>
              <w:spacing w:line="360" w:lineRule="exact"/>
              <w:rPr>
                <w:rFonts w:hint="eastAsia" w:ascii="宋体" w:hAnsi="宋体"/>
                <w:b w:val="0"/>
                <w:bCs w:val="0"/>
                <w:sz w:val="22"/>
                <w:szCs w:val="22"/>
              </w:rPr>
            </w:pPr>
            <w:r>
              <w:rPr>
                <w:rFonts w:hint="eastAsia" w:ascii="宋体" w:hAnsi="宋体"/>
                <w:b w:val="0"/>
                <w:bCs w:val="0"/>
                <w:sz w:val="22"/>
                <w:szCs w:val="22"/>
              </w:rPr>
              <w:t>根据供应商针对本项目制定的质量保证措施进行打分。措施科学合理、针对性强6-8分，基本合理，针对性一般3-6分，合理性、针对性较差0-3分。</w:t>
            </w:r>
          </w:p>
        </w:tc>
      </w:tr>
      <w:tr w14:paraId="58D1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75" w:type="dxa"/>
            <w:tcBorders>
              <w:top w:val="single" w:color="auto" w:sz="4" w:space="0"/>
              <w:left w:val="single" w:color="auto" w:sz="4" w:space="0"/>
              <w:bottom w:val="single" w:color="auto" w:sz="4" w:space="0"/>
              <w:right w:val="single" w:color="auto" w:sz="4" w:space="0"/>
            </w:tcBorders>
            <w:vAlign w:val="center"/>
          </w:tcPr>
          <w:p w14:paraId="15C5D1D7">
            <w:pPr>
              <w:spacing w:line="360" w:lineRule="exact"/>
              <w:ind w:right="3"/>
              <w:jc w:val="center"/>
              <w:rPr>
                <w:rFonts w:hint="eastAsia" w:ascii="宋体" w:hAnsi="宋体"/>
                <w:b w:val="0"/>
                <w:bCs w:val="0"/>
                <w:spacing w:val="4"/>
                <w:sz w:val="22"/>
                <w:szCs w:val="22"/>
              </w:rPr>
            </w:pPr>
            <w:r>
              <w:rPr>
                <w:rFonts w:hint="eastAsia" w:ascii="宋体" w:hAnsi="宋体"/>
                <w:b w:val="0"/>
                <w:bCs w:val="0"/>
                <w:spacing w:val="4"/>
                <w:sz w:val="22"/>
                <w:szCs w:val="22"/>
              </w:rPr>
              <w:t>8</w:t>
            </w:r>
          </w:p>
        </w:tc>
        <w:tc>
          <w:tcPr>
            <w:tcW w:w="1560" w:type="dxa"/>
            <w:tcBorders>
              <w:top w:val="single" w:color="auto" w:sz="4" w:space="0"/>
              <w:left w:val="single" w:color="auto" w:sz="4" w:space="0"/>
              <w:bottom w:val="single" w:color="auto" w:sz="4" w:space="0"/>
              <w:right w:val="single" w:color="auto" w:sz="4" w:space="0"/>
            </w:tcBorders>
            <w:vAlign w:val="center"/>
          </w:tcPr>
          <w:p w14:paraId="08562A40">
            <w:pPr>
              <w:spacing w:line="360" w:lineRule="exact"/>
              <w:ind w:left="-50"/>
              <w:jc w:val="center"/>
              <w:rPr>
                <w:rFonts w:hint="eastAsia" w:ascii="宋体" w:hAnsi="宋体"/>
                <w:b w:val="0"/>
                <w:bCs w:val="0"/>
                <w:snapToGrid w:val="0"/>
                <w:sz w:val="22"/>
                <w:szCs w:val="22"/>
              </w:rPr>
            </w:pPr>
            <w:r>
              <w:rPr>
                <w:rFonts w:hint="eastAsia" w:ascii="宋体" w:hAnsi="宋体"/>
                <w:b w:val="0"/>
                <w:bCs w:val="0"/>
                <w:snapToGrid w:val="0"/>
                <w:sz w:val="22"/>
                <w:szCs w:val="22"/>
              </w:rPr>
              <w:t>安全保证措施</w:t>
            </w:r>
          </w:p>
        </w:tc>
        <w:tc>
          <w:tcPr>
            <w:tcW w:w="991" w:type="dxa"/>
            <w:tcBorders>
              <w:top w:val="single" w:color="auto" w:sz="4" w:space="0"/>
              <w:left w:val="single" w:color="auto" w:sz="4" w:space="0"/>
              <w:bottom w:val="single" w:color="auto" w:sz="4" w:space="0"/>
              <w:right w:val="single" w:color="auto" w:sz="4" w:space="0"/>
            </w:tcBorders>
            <w:vAlign w:val="center"/>
          </w:tcPr>
          <w:p w14:paraId="7D45D5B4">
            <w:pPr>
              <w:spacing w:line="360" w:lineRule="exact"/>
              <w:jc w:val="center"/>
              <w:rPr>
                <w:rFonts w:hint="eastAsia" w:ascii="宋体" w:hAnsi="宋体"/>
                <w:b w:val="0"/>
                <w:bCs w:val="0"/>
                <w:snapToGrid w:val="0"/>
                <w:sz w:val="22"/>
                <w:szCs w:val="22"/>
              </w:rPr>
            </w:pPr>
            <w:r>
              <w:rPr>
                <w:rFonts w:hint="eastAsia" w:ascii="宋体" w:hAnsi="宋体"/>
                <w:b w:val="0"/>
                <w:bCs w:val="0"/>
                <w:snapToGrid w:val="0"/>
                <w:sz w:val="22"/>
                <w:szCs w:val="22"/>
              </w:rPr>
              <w:t>0-8分</w:t>
            </w:r>
          </w:p>
        </w:tc>
        <w:tc>
          <w:tcPr>
            <w:tcW w:w="6055" w:type="dxa"/>
            <w:tcBorders>
              <w:top w:val="single" w:color="auto" w:sz="4" w:space="0"/>
              <w:left w:val="single" w:color="auto" w:sz="4" w:space="0"/>
              <w:bottom w:val="single" w:color="auto" w:sz="4" w:space="0"/>
              <w:right w:val="single" w:color="auto" w:sz="4" w:space="0"/>
            </w:tcBorders>
            <w:vAlign w:val="center"/>
          </w:tcPr>
          <w:p w14:paraId="5EEC9BBC">
            <w:pPr>
              <w:tabs>
                <w:tab w:val="left" w:pos="33"/>
              </w:tabs>
              <w:spacing w:line="360" w:lineRule="exact"/>
              <w:rPr>
                <w:rFonts w:hint="eastAsia" w:ascii="宋体" w:hAnsi="宋体"/>
                <w:b w:val="0"/>
                <w:bCs w:val="0"/>
                <w:sz w:val="22"/>
                <w:szCs w:val="22"/>
              </w:rPr>
            </w:pPr>
            <w:r>
              <w:rPr>
                <w:rFonts w:hint="eastAsia" w:ascii="宋体" w:hAnsi="宋体"/>
                <w:b w:val="0"/>
                <w:bCs w:val="0"/>
                <w:sz w:val="22"/>
                <w:szCs w:val="22"/>
              </w:rPr>
              <w:t>根据供应商对项目实施过程中的安全保障措施进行打分，措施合理有效的6-8分；基本合理的3-6分；合理性较差的0-3分。</w:t>
            </w:r>
          </w:p>
        </w:tc>
      </w:tr>
      <w:tr w14:paraId="1482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675" w:type="dxa"/>
            <w:tcBorders>
              <w:top w:val="single" w:color="auto" w:sz="4" w:space="0"/>
              <w:left w:val="single" w:color="auto" w:sz="4" w:space="0"/>
              <w:bottom w:val="single" w:color="auto" w:sz="4" w:space="0"/>
              <w:right w:val="single" w:color="auto" w:sz="4" w:space="0"/>
            </w:tcBorders>
            <w:vAlign w:val="center"/>
          </w:tcPr>
          <w:p w14:paraId="392773B5">
            <w:pPr>
              <w:spacing w:line="360" w:lineRule="exact"/>
              <w:ind w:right="3"/>
              <w:jc w:val="center"/>
              <w:rPr>
                <w:rFonts w:hint="eastAsia" w:ascii="宋体" w:hAnsi="宋体"/>
                <w:b w:val="0"/>
                <w:bCs w:val="0"/>
                <w:spacing w:val="4"/>
                <w:sz w:val="22"/>
                <w:szCs w:val="22"/>
              </w:rPr>
            </w:pPr>
            <w:r>
              <w:rPr>
                <w:rFonts w:hint="eastAsia" w:ascii="宋体" w:hAnsi="宋体"/>
                <w:b w:val="0"/>
                <w:bCs w:val="0"/>
                <w:spacing w:val="4"/>
                <w:sz w:val="22"/>
                <w:szCs w:val="22"/>
              </w:rPr>
              <w:t>9</w:t>
            </w:r>
          </w:p>
        </w:tc>
        <w:tc>
          <w:tcPr>
            <w:tcW w:w="1560" w:type="dxa"/>
            <w:tcBorders>
              <w:top w:val="single" w:color="auto" w:sz="4" w:space="0"/>
              <w:left w:val="single" w:color="auto" w:sz="4" w:space="0"/>
              <w:bottom w:val="single" w:color="auto" w:sz="4" w:space="0"/>
              <w:right w:val="single" w:color="auto" w:sz="4" w:space="0"/>
            </w:tcBorders>
            <w:vAlign w:val="center"/>
          </w:tcPr>
          <w:p w14:paraId="68AAB690">
            <w:pPr>
              <w:spacing w:line="360" w:lineRule="exact"/>
              <w:ind w:left="-50"/>
              <w:jc w:val="center"/>
              <w:rPr>
                <w:rFonts w:hint="eastAsia" w:ascii="宋体" w:hAnsi="宋体"/>
                <w:b w:val="0"/>
                <w:bCs w:val="0"/>
                <w:snapToGrid w:val="0"/>
                <w:sz w:val="22"/>
                <w:szCs w:val="22"/>
              </w:rPr>
            </w:pPr>
            <w:r>
              <w:rPr>
                <w:rFonts w:hint="eastAsia" w:ascii="宋体" w:hAnsi="宋体"/>
                <w:b w:val="0"/>
                <w:bCs w:val="0"/>
                <w:snapToGrid w:val="0"/>
                <w:sz w:val="22"/>
                <w:szCs w:val="22"/>
              </w:rPr>
              <w:t>后续服务的安排及保证措施</w:t>
            </w:r>
          </w:p>
        </w:tc>
        <w:tc>
          <w:tcPr>
            <w:tcW w:w="991" w:type="dxa"/>
            <w:tcBorders>
              <w:top w:val="single" w:color="auto" w:sz="4" w:space="0"/>
              <w:left w:val="single" w:color="auto" w:sz="4" w:space="0"/>
              <w:bottom w:val="single" w:color="auto" w:sz="4" w:space="0"/>
              <w:right w:val="single" w:color="auto" w:sz="4" w:space="0"/>
            </w:tcBorders>
            <w:vAlign w:val="center"/>
          </w:tcPr>
          <w:p w14:paraId="7C400529">
            <w:pPr>
              <w:spacing w:line="360" w:lineRule="exact"/>
              <w:jc w:val="center"/>
              <w:rPr>
                <w:rFonts w:hint="eastAsia" w:ascii="宋体" w:hAnsi="宋体"/>
                <w:b w:val="0"/>
                <w:bCs w:val="0"/>
                <w:snapToGrid w:val="0"/>
                <w:sz w:val="22"/>
                <w:szCs w:val="22"/>
              </w:rPr>
            </w:pPr>
            <w:r>
              <w:rPr>
                <w:rFonts w:hint="eastAsia" w:ascii="宋体" w:hAnsi="宋体"/>
                <w:b w:val="0"/>
                <w:bCs w:val="0"/>
                <w:snapToGrid w:val="0"/>
                <w:sz w:val="22"/>
                <w:szCs w:val="22"/>
              </w:rPr>
              <w:t>0-8分</w:t>
            </w:r>
          </w:p>
        </w:tc>
        <w:tc>
          <w:tcPr>
            <w:tcW w:w="6055" w:type="dxa"/>
            <w:tcBorders>
              <w:top w:val="single" w:color="auto" w:sz="4" w:space="0"/>
              <w:left w:val="single" w:color="auto" w:sz="4" w:space="0"/>
              <w:bottom w:val="single" w:color="auto" w:sz="4" w:space="0"/>
              <w:right w:val="single" w:color="auto" w:sz="4" w:space="0"/>
            </w:tcBorders>
            <w:vAlign w:val="center"/>
          </w:tcPr>
          <w:p w14:paraId="1197B104">
            <w:pPr>
              <w:tabs>
                <w:tab w:val="left" w:pos="33"/>
              </w:tabs>
              <w:spacing w:line="360" w:lineRule="exact"/>
              <w:rPr>
                <w:rFonts w:hint="eastAsia" w:ascii="宋体" w:hAnsi="宋体"/>
                <w:b w:val="0"/>
                <w:bCs w:val="0"/>
                <w:sz w:val="22"/>
                <w:szCs w:val="22"/>
              </w:rPr>
            </w:pPr>
            <w:r>
              <w:rPr>
                <w:rFonts w:hint="eastAsia" w:ascii="宋体" w:hAnsi="宋体"/>
                <w:b w:val="0"/>
                <w:bCs w:val="0"/>
                <w:sz w:val="22"/>
                <w:szCs w:val="22"/>
              </w:rPr>
              <w:t>根据供应商针对本项目的</w:t>
            </w:r>
            <w:r>
              <w:rPr>
                <w:rFonts w:hint="eastAsia" w:ascii="宋体" w:hAnsi="宋体"/>
                <w:b w:val="0"/>
                <w:bCs w:val="0"/>
                <w:snapToGrid w:val="0"/>
                <w:sz w:val="22"/>
                <w:szCs w:val="22"/>
              </w:rPr>
              <w:t>后续服务的安排及保证措施（包含响应时间、响应程度、售后团队技术力量、售后服务网点、车辆保障）由评委综合打分进行打分，安排及</w:t>
            </w:r>
            <w:r>
              <w:rPr>
                <w:rFonts w:hint="eastAsia" w:ascii="宋体" w:hAnsi="宋体"/>
                <w:b w:val="0"/>
                <w:bCs w:val="0"/>
                <w:sz w:val="22"/>
                <w:szCs w:val="22"/>
              </w:rPr>
              <w:t>措施科学、合理、高效的</w:t>
            </w:r>
            <w:r>
              <w:rPr>
                <w:rFonts w:hint="eastAsia" w:ascii="宋体" w:hAnsi="宋体"/>
                <w:b w:val="0"/>
                <w:bCs w:val="0"/>
                <w:sz w:val="22"/>
                <w:szCs w:val="22"/>
                <w:lang w:val="en-US" w:eastAsia="zh-CN"/>
              </w:rPr>
              <w:t>6</w:t>
            </w:r>
            <w:r>
              <w:rPr>
                <w:rFonts w:hint="eastAsia" w:ascii="宋体" w:hAnsi="宋体"/>
                <w:b w:val="0"/>
                <w:bCs w:val="0"/>
                <w:sz w:val="22"/>
                <w:szCs w:val="22"/>
              </w:rPr>
              <w:t>-8分；基本合理有效的</w:t>
            </w:r>
            <w:r>
              <w:rPr>
                <w:rFonts w:hint="eastAsia" w:ascii="宋体" w:hAnsi="宋体"/>
                <w:b w:val="0"/>
                <w:bCs w:val="0"/>
                <w:sz w:val="22"/>
                <w:szCs w:val="22"/>
                <w:lang w:val="en-US" w:eastAsia="zh-CN"/>
              </w:rPr>
              <w:t>3</w:t>
            </w:r>
            <w:r>
              <w:rPr>
                <w:rFonts w:hint="eastAsia" w:ascii="宋体" w:hAnsi="宋体"/>
                <w:b w:val="0"/>
                <w:bCs w:val="0"/>
                <w:sz w:val="22"/>
                <w:szCs w:val="22"/>
              </w:rPr>
              <w:t>-</w:t>
            </w:r>
            <w:r>
              <w:rPr>
                <w:rFonts w:hint="eastAsia" w:ascii="宋体" w:hAnsi="宋体"/>
                <w:b w:val="0"/>
                <w:bCs w:val="0"/>
                <w:sz w:val="22"/>
                <w:szCs w:val="22"/>
                <w:lang w:val="en-US" w:eastAsia="zh-CN"/>
              </w:rPr>
              <w:t>6</w:t>
            </w:r>
            <w:r>
              <w:rPr>
                <w:rFonts w:hint="eastAsia" w:ascii="宋体" w:hAnsi="宋体"/>
                <w:b w:val="0"/>
                <w:bCs w:val="0"/>
                <w:sz w:val="22"/>
                <w:szCs w:val="22"/>
              </w:rPr>
              <w:t>分；合理性、有效性较差的0-</w:t>
            </w:r>
            <w:r>
              <w:rPr>
                <w:rFonts w:hint="eastAsia" w:ascii="宋体" w:hAnsi="宋体"/>
                <w:b w:val="0"/>
                <w:bCs w:val="0"/>
                <w:sz w:val="22"/>
                <w:szCs w:val="22"/>
                <w:lang w:val="en-US" w:eastAsia="zh-CN"/>
              </w:rPr>
              <w:t>3</w:t>
            </w:r>
            <w:r>
              <w:rPr>
                <w:rFonts w:hint="eastAsia" w:ascii="宋体" w:hAnsi="宋体"/>
                <w:b w:val="0"/>
                <w:bCs w:val="0"/>
                <w:sz w:val="22"/>
                <w:szCs w:val="22"/>
              </w:rPr>
              <w:t>分。</w:t>
            </w:r>
          </w:p>
        </w:tc>
      </w:tr>
    </w:tbl>
    <w:p w14:paraId="5BC20E2B">
      <w:pPr>
        <w:adjustRightInd w:val="0"/>
        <w:snapToGrid w:val="0"/>
        <w:spacing w:before="100" w:after="50" w:line="440" w:lineRule="atLeast"/>
        <w:ind w:firstLine="420"/>
        <w:rPr>
          <w:rFonts w:hint="eastAsia" w:ascii="宋体" w:hAnsi="宋体"/>
          <w:b w:val="0"/>
          <w:color w:val="auto"/>
          <w:sz w:val="22"/>
          <w:szCs w:val="22"/>
        </w:rPr>
      </w:pPr>
      <w:r>
        <w:rPr>
          <w:rFonts w:hint="eastAsia" w:ascii="宋体" w:hAnsi="宋体"/>
          <w:b w:val="0"/>
          <w:color w:val="auto"/>
          <w:sz w:val="22"/>
          <w:szCs w:val="22"/>
        </w:rPr>
        <w:t>1、每个供应商最终得分=技术资信部分分值（所有评标委员会成员打分的算术平均值）＋商务报价部分分值。</w:t>
      </w:r>
    </w:p>
    <w:p w14:paraId="13D85E51">
      <w:pPr>
        <w:adjustRightInd w:val="0"/>
        <w:snapToGrid w:val="0"/>
        <w:spacing w:before="100" w:after="50" w:line="440" w:lineRule="atLeast"/>
        <w:ind w:firstLine="420"/>
        <w:rPr>
          <w:rFonts w:hint="eastAsia" w:ascii="宋体" w:hAnsi="宋体"/>
          <w:b w:val="0"/>
          <w:color w:val="auto"/>
          <w:sz w:val="22"/>
          <w:szCs w:val="22"/>
        </w:rPr>
      </w:pPr>
      <w:r>
        <w:rPr>
          <w:rFonts w:hint="eastAsia" w:ascii="宋体" w:hAnsi="宋体"/>
          <w:b w:val="0"/>
          <w:color w:val="auto"/>
          <w:sz w:val="22"/>
          <w:szCs w:val="22"/>
        </w:rPr>
        <w:t>2、评标委员会推荐得分最高的供应商为预中标供应商（如果得分相同则按报价从低到高顺序依次推荐为预成交单位）如果得分相同，以报价低的优先报价也相同，以抽签决定，并编写采购报告。</w:t>
      </w:r>
    </w:p>
    <w:p w14:paraId="41A2E695">
      <w:pPr>
        <w:adjustRightInd w:val="0"/>
        <w:snapToGrid w:val="0"/>
        <w:spacing w:before="100" w:after="50" w:line="440" w:lineRule="atLeast"/>
        <w:ind w:firstLine="420"/>
        <w:rPr>
          <w:rFonts w:hint="eastAsia" w:ascii="宋体" w:hAnsi="宋体"/>
          <w:b w:val="0"/>
          <w:color w:val="auto"/>
          <w:sz w:val="22"/>
          <w:szCs w:val="22"/>
        </w:rPr>
      </w:pPr>
      <w:r>
        <w:rPr>
          <w:rFonts w:hint="eastAsia" w:ascii="宋体" w:hAnsi="宋体"/>
          <w:b w:val="0"/>
          <w:color w:val="auto"/>
          <w:sz w:val="22"/>
          <w:szCs w:val="22"/>
        </w:rPr>
        <w:t>3、所有分值计算保留小数点后二位，小数点后三位四舍五入。</w:t>
      </w:r>
    </w:p>
    <w:p w14:paraId="05953AE2">
      <w:pPr>
        <w:adjustRightInd w:val="0"/>
        <w:snapToGrid w:val="0"/>
        <w:spacing w:before="100" w:after="50" w:line="440" w:lineRule="atLeast"/>
        <w:ind w:firstLine="420"/>
        <w:rPr>
          <w:rFonts w:hint="eastAsia" w:ascii="宋体" w:hAnsi="宋体"/>
          <w:b w:val="0"/>
          <w:color w:val="auto"/>
          <w:sz w:val="22"/>
          <w:szCs w:val="22"/>
        </w:rPr>
      </w:pPr>
      <w:r>
        <w:rPr>
          <w:rFonts w:hint="eastAsia" w:ascii="宋体" w:hAnsi="宋体"/>
          <w:b w:val="0"/>
          <w:color w:val="auto"/>
          <w:sz w:val="22"/>
          <w:szCs w:val="22"/>
        </w:rPr>
        <w:t>4、开评标过程中遇到特殊情况，由评标委员会遵循公开、公正原则，采取投票方式按照少数服从多数原则决定。</w:t>
      </w:r>
    </w:p>
    <w:p w14:paraId="0E68CB13">
      <w:pPr>
        <w:adjustRightInd w:val="0"/>
        <w:snapToGrid w:val="0"/>
        <w:spacing w:before="100" w:after="50" w:line="440" w:lineRule="atLeast"/>
        <w:ind w:firstLine="420"/>
        <w:rPr>
          <w:rFonts w:hint="eastAsia" w:ascii="宋体" w:hAnsi="宋体"/>
          <w:b w:val="0"/>
          <w:color w:val="auto"/>
          <w:sz w:val="22"/>
          <w:szCs w:val="22"/>
        </w:rPr>
      </w:pPr>
      <w:r>
        <w:rPr>
          <w:rFonts w:hint="eastAsia" w:ascii="宋体" w:hAnsi="宋体"/>
          <w:b w:val="0"/>
          <w:color w:val="auto"/>
          <w:sz w:val="22"/>
          <w:szCs w:val="22"/>
        </w:rPr>
        <w:t>参见本采购文件第三部分：“供应商须知”中的相关内容，未尽事宜按有关法律规定处理。</w:t>
      </w:r>
    </w:p>
    <w:sectPr>
      <w:headerReference r:id="rId6" w:type="default"/>
      <w:footerReference r:id="rId7" w:type="default"/>
      <w:pgSz w:w="11906" w:h="16838"/>
      <w:pgMar w:top="1440" w:right="1803" w:bottom="1440" w:left="1803"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Yu Mincho Light">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4B3C6">
    <w:pPr>
      <w:spacing w:line="173" w:lineRule="auto"/>
      <w:ind w:left="4093"/>
      <w:rPr>
        <w:rFonts w:hint="eastAsia" w:ascii="黑体" w:hAnsi="黑体" w:eastAsia="黑体" w:cs="黑体"/>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2468E">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F2468E">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A14E9">
    <w:pPr>
      <w:spacing w:line="173" w:lineRule="auto"/>
      <w:ind w:left="4093"/>
      <w:rPr>
        <w:rFonts w:hint="eastAsia" w:ascii="黑体" w:hAnsi="黑体" w:eastAsia="黑体" w:cs="黑体"/>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BE927">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CBBE927">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904EE">
    <w:pPr>
      <w:spacing w:line="173" w:lineRule="auto"/>
      <w:ind w:left="4093"/>
      <w:rPr>
        <w:rFonts w:hint="eastAsia" w:ascii="黑体" w:hAnsi="黑体" w:eastAsia="黑体" w:cs="黑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A6CFD">
                          <w:pPr>
                            <w:pStyle w:val="2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3EA6CFD">
                    <w:pPr>
                      <w:pStyle w:val="25"/>
                    </w:pPr>
                    <w:r>
                      <w:fldChar w:fldCharType="begin"/>
                    </w:r>
                    <w:r>
                      <w:instrText xml:space="preserve"> PAGE  \* MERGEFORMAT </w:instrText>
                    </w:r>
                    <w:r>
                      <w:fldChar w:fldCharType="separate"/>
                    </w:r>
                    <w:r>
                      <w:t>21</w:t>
                    </w:r>
                    <w:r>
                      <w:fldChar w:fldCharType="end"/>
                    </w:r>
                  </w:p>
                </w:txbxContent>
              </v:textbox>
            </v:shape>
          </w:pict>
        </mc:Fallback>
      </mc:AlternateContent>
    </w:r>
    <w:r>
      <w:rPr>
        <w:rFonts w:ascii="黑体" w:hAnsi="黑体" w:eastAsia="黑体" w:cs="黑体"/>
        <w:spacing w:val="-8"/>
        <w:sz w:val="18"/>
        <w:szCs w:val="18"/>
      </w:rPr>
      <w:t>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30069">
    <w:pPr>
      <w:pStyle w:val="25"/>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9094"/>
                          </w:sdtPr>
                          <w:sdtContent>
                            <w:p w14:paraId="61A1D4FA">
                              <w:pPr>
                                <w:pStyle w:val="25"/>
                                <w:jc w:val="center"/>
                              </w:pPr>
                              <w:r>
                                <w:fldChar w:fldCharType="begin"/>
                              </w:r>
                              <w:r>
                                <w:instrText xml:space="preserve">PAGE   \* MERGEFORMAT</w:instrText>
                              </w:r>
                              <w:r>
                                <w:fldChar w:fldCharType="separate"/>
                              </w:r>
                              <w:r>
                                <w:rPr>
                                  <w:lang w:val="zh-CN"/>
                                </w:rPr>
                                <w:t>2</w:t>
                              </w:r>
                              <w:r>
                                <w:fldChar w:fldCharType="end"/>
                              </w:r>
                            </w:p>
                          </w:sdtContent>
                        </w:sdt>
                        <w:p w14:paraId="7F84662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79094"/>
                    </w:sdtPr>
                    <w:sdtContent>
                      <w:p w14:paraId="61A1D4FA">
                        <w:pPr>
                          <w:pStyle w:val="25"/>
                          <w:jc w:val="center"/>
                        </w:pPr>
                        <w:r>
                          <w:fldChar w:fldCharType="begin"/>
                        </w:r>
                        <w:r>
                          <w:instrText xml:space="preserve">PAGE   \* MERGEFORMAT</w:instrText>
                        </w:r>
                        <w:r>
                          <w:fldChar w:fldCharType="separate"/>
                        </w:r>
                        <w:r>
                          <w:rPr>
                            <w:lang w:val="zh-CN"/>
                          </w:rPr>
                          <w:t>2</w:t>
                        </w:r>
                        <w:r>
                          <w:fldChar w:fldCharType="end"/>
                        </w:r>
                      </w:p>
                    </w:sdtContent>
                  </w:sdt>
                  <w:p w14:paraId="7F846621"/>
                </w:txbxContent>
              </v:textbox>
            </v:shape>
          </w:pict>
        </mc:Fallback>
      </mc:AlternateContent>
    </w:r>
  </w:p>
  <w:p w14:paraId="40C41BBD">
    <w:pPr>
      <w:pStyle w:val="25"/>
      <w:ind w:right="720"/>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F47CE">
    <w:pPr>
      <w:pStyle w:val="26"/>
      <w:pBdr>
        <w:bottom w:val="none" w:color="auto" w:sz="0" w:space="1"/>
      </w:pBdr>
      <w:jc w:val="both"/>
      <w:rPr>
        <w:rFonts w:hint="eastAsia"/>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9701FB"/>
    <w:multiLevelType w:val="multilevel"/>
    <w:tmpl w:val="6D9701FB"/>
    <w:lvl w:ilvl="0" w:tentative="0">
      <w:start w:val="1"/>
      <w:numFmt w:val="decimal"/>
      <w:lvlText w:val="%1、"/>
      <w:lvlJc w:val="left"/>
      <w:pPr>
        <w:tabs>
          <w:tab w:val="left" w:pos="803"/>
        </w:tabs>
        <w:ind w:left="803" w:hanging="360"/>
      </w:pPr>
      <w:rPr>
        <w:rFonts w:hint="default"/>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F953DF"/>
    <w:rsid w:val="00000B90"/>
    <w:rsid w:val="000023CC"/>
    <w:rsid w:val="00002437"/>
    <w:rsid w:val="00002836"/>
    <w:rsid w:val="00002B42"/>
    <w:rsid w:val="00002D89"/>
    <w:rsid w:val="0000614D"/>
    <w:rsid w:val="00007369"/>
    <w:rsid w:val="00010CB2"/>
    <w:rsid w:val="0001100D"/>
    <w:rsid w:val="0001144A"/>
    <w:rsid w:val="000118A3"/>
    <w:rsid w:val="00011A00"/>
    <w:rsid w:val="00012286"/>
    <w:rsid w:val="000132DB"/>
    <w:rsid w:val="000136AD"/>
    <w:rsid w:val="00014466"/>
    <w:rsid w:val="00014487"/>
    <w:rsid w:val="00014B89"/>
    <w:rsid w:val="00015716"/>
    <w:rsid w:val="0001640B"/>
    <w:rsid w:val="000173B6"/>
    <w:rsid w:val="000175AB"/>
    <w:rsid w:val="00017AE7"/>
    <w:rsid w:val="00020408"/>
    <w:rsid w:val="000224D7"/>
    <w:rsid w:val="0002288F"/>
    <w:rsid w:val="00022D39"/>
    <w:rsid w:val="00023255"/>
    <w:rsid w:val="0002366C"/>
    <w:rsid w:val="000236A8"/>
    <w:rsid w:val="00024091"/>
    <w:rsid w:val="00024368"/>
    <w:rsid w:val="000250F7"/>
    <w:rsid w:val="00025978"/>
    <w:rsid w:val="00025B64"/>
    <w:rsid w:val="00025F5D"/>
    <w:rsid w:val="00025FFA"/>
    <w:rsid w:val="0002686B"/>
    <w:rsid w:val="00026EE5"/>
    <w:rsid w:val="00026FC6"/>
    <w:rsid w:val="00031079"/>
    <w:rsid w:val="00031329"/>
    <w:rsid w:val="000317F3"/>
    <w:rsid w:val="00031DF4"/>
    <w:rsid w:val="00032357"/>
    <w:rsid w:val="0003237C"/>
    <w:rsid w:val="00033142"/>
    <w:rsid w:val="00033B32"/>
    <w:rsid w:val="00033B53"/>
    <w:rsid w:val="00033BB5"/>
    <w:rsid w:val="000346BC"/>
    <w:rsid w:val="00035C6C"/>
    <w:rsid w:val="00035FF4"/>
    <w:rsid w:val="0003686B"/>
    <w:rsid w:val="00037401"/>
    <w:rsid w:val="00037A11"/>
    <w:rsid w:val="000409C5"/>
    <w:rsid w:val="0004127D"/>
    <w:rsid w:val="000415E8"/>
    <w:rsid w:val="000418A6"/>
    <w:rsid w:val="00041AA9"/>
    <w:rsid w:val="00041DA9"/>
    <w:rsid w:val="00042F1E"/>
    <w:rsid w:val="0004345C"/>
    <w:rsid w:val="000438D1"/>
    <w:rsid w:val="00043CAC"/>
    <w:rsid w:val="00043D3D"/>
    <w:rsid w:val="00043FB7"/>
    <w:rsid w:val="0004498B"/>
    <w:rsid w:val="00044D2C"/>
    <w:rsid w:val="000451E6"/>
    <w:rsid w:val="00045A4B"/>
    <w:rsid w:val="00045BAC"/>
    <w:rsid w:val="000475B6"/>
    <w:rsid w:val="000477FC"/>
    <w:rsid w:val="00047B86"/>
    <w:rsid w:val="000503EC"/>
    <w:rsid w:val="0005061B"/>
    <w:rsid w:val="00050741"/>
    <w:rsid w:val="000507FE"/>
    <w:rsid w:val="00050877"/>
    <w:rsid w:val="00051881"/>
    <w:rsid w:val="00051C58"/>
    <w:rsid w:val="00051E5C"/>
    <w:rsid w:val="00052AC7"/>
    <w:rsid w:val="00052B65"/>
    <w:rsid w:val="00053063"/>
    <w:rsid w:val="00053149"/>
    <w:rsid w:val="00053709"/>
    <w:rsid w:val="000539FF"/>
    <w:rsid w:val="00054068"/>
    <w:rsid w:val="0005407C"/>
    <w:rsid w:val="000541D1"/>
    <w:rsid w:val="000543B7"/>
    <w:rsid w:val="00054529"/>
    <w:rsid w:val="00055081"/>
    <w:rsid w:val="00055B97"/>
    <w:rsid w:val="00055C23"/>
    <w:rsid w:val="00056A7B"/>
    <w:rsid w:val="00056BC6"/>
    <w:rsid w:val="00060577"/>
    <w:rsid w:val="00060C5E"/>
    <w:rsid w:val="00060DBC"/>
    <w:rsid w:val="000612A2"/>
    <w:rsid w:val="00063533"/>
    <w:rsid w:val="00065A79"/>
    <w:rsid w:val="00065B20"/>
    <w:rsid w:val="00065E27"/>
    <w:rsid w:val="0006776D"/>
    <w:rsid w:val="00070CF1"/>
    <w:rsid w:val="00071159"/>
    <w:rsid w:val="000716A4"/>
    <w:rsid w:val="00072538"/>
    <w:rsid w:val="00073C59"/>
    <w:rsid w:val="00073E4B"/>
    <w:rsid w:val="00074206"/>
    <w:rsid w:val="000757BC"/>
    <w:rsid w:val="000764F2"/>
    <w:rsid w:val="000766D8"/>
    <w:rsid w:val="00077D23"/>
    <w:rsid w:val="00080074"/>
    <w:rsid w:val="000802E4"/>
    <w:rsid w:val="000805FB"/>
    <w:rsid w:val="00080900"/>
    <w:rsid w:val="00080929"/>
    <w:rsid w:val="00080EBC"/>
    <w:rsid w:val="0008105A"/>
    <w:rsid w:val="0008149E"/>
    <w:rsid w:val="00081920"/>
    <w:rsid w:val="00084613"/>
    <w:rsid w:val="00085AC5"/>
    <w:rsid w:val="0008669D"/>
    <w:rsid w:val="000873B2"/>
    <w:rsid w:val="00087906"/>
    <w:rsid w:val="000907D5"/>
    <w:rsid w:val="000911E3"/>
    <w:rsid w:val="0009187E"/>
    <w:rsid w:val="00091D0A"/>
    <w:rsid w:val="00092586"/>
    <w:rsid w:val="00092B46"/>
    <w:rsid w:val="00092D15"/>
    <w:rsid w:val="0009322F"/>
    <w:rsid w:val="00093862"/>
    <w:rsid w:val="00093A04"/>
    <w:rsid w:val="00093AA3"/>
    <w:rsid w:val="00093BA8"/>
    <w:rsid w:val="00093D5E"/>
    <w:rsid w:val="00093F62"/>
    <w:rsid w:val="00094841"/>
    <w:rsid w:val="000951F6"/>
    <w:rsid w:val="00095811"/>
    <w:rsid w:val="00095B2B"/>
    <w:rsid w:val="00095B2C"/>
    <w:rsid w:val="00095E65"/>
    <w:rsid w:val="00096D7D"/>
    <w:rsid w:val="00097489"/>
    <w:rsid w:val="00097761"/>
    <w:rsid w:val="00097BFD"/>
    <w:rsid w:val="00097DD4"/>
    <w:rsid w:val="000A07B9"/>
    <w:rsid w:val="000A11A8"/>
    <w:rsid w:val="000A32E0"/>
    <w:rsid w:val="000A47F6"/>
    <w:rsid w:val="000A5303"/>
    <w:rsid w:val="000A58AE"/>
    <w:rsid w:val="000A6BFF"/>
    <w:rsid w:val="000A741B"/>
    <w:rsid w:val="000A79E5"/>
    <w:rsid w:val="000A7DD9"/>
    <w:rsid w:val="000A7F69"/>
    <w:rsid w:val="000B07CF"/>
    <w:rsid w:val="000B2CBF"/>
    <w:rsid w:val="000B3059"/>
    <w:rsid w:val="000B3578"/>
    <w:rsid w:val="000B3FCE"/>
    <w:rsid w:val="000B553F"/>
    <w:rsid w:val="000B6510"/>
    <w:rsid w:val="000B6C47"/>
    <w:rsid w:val="000B72AB"/>
    <w:rsid w:val="000B7891"/>
    <w:rsid w:val="000C020E"/>
    <w:rsid w:val="000C03C1"/>
    <w:rsid w:val="000C0AB1"/>
    <w:rsid w:val="000C0C98"/>
    <w:rsid w:val="000C0FDB"/>
    <w:rsid w:val="000C1218"/>
    <w:rsid w:val="000C2112"/>
    <w:rsid w:val="000C2404"/>
    <w:rsid w:val="000C25DF"/>
    <w:rsid w:val="000C26D1"/>
    <w:rsid w:val="000C2995"/>
    <w:rsid w:val="000C3674"/>
    <w:rsid w:val="000C3D77"/>
    <w:rsid w:val="000C4A9C"/>
    <w:rsid w:val="000C4F06"/>
    <w:rsid w:val="000C4FD4"/>
    <w:rsid w:val="000C69FA"/>
    <w:rsid w:val="000C7357"/>
    <w:rsid w:val="000C750E"/>
    <w:rsid w:val="000C79D8"/>
    <w:rsid w:val="000C7D1F"/>
    <w:rsid w:val="000C7DD1"/>
    <w:rsid w:val="000D063F"/>
    <w:rsid w:val="000D0A41"/>
    <w:rsid w:val="000D12A9"/>
    <w:rsid w:val="000D1C8E"/>
    <w:rsid w:val="000D2C58"/>
    <w:rsid w:val="000D2C7D"/>
    <w:rsid w:val="000D2C7E"/>
    <w:rsid w:val="000D2D5D"/>
    <w:rsid w:val="000D39DD"/>
    <w:rsid w:val="000D424C"/>
    <w:rsid w:val="000D45FB"/>
    <w:rsid w:val="000D4975"/>
    <w:rsid w:val="000D5461"/>
    <w:rsid w:val="000D55F8"/>
    <w:rsid w:val="000D56F6"/>
    <w:rsid w:val="000D6615"/>
    <w:rsid w:val="000D6621"/>
    <w:rsid w:val="000D709F"/>
    <w:rsid w:val="000E016A"/>
    <w:rsid w:val="000E01BC"/>
    <w:rsid w:val="000E048B"/>
    <w:rsid w:val="000E0F23"/>
    <w:rsid w:val="000E11FE"/>
    <w:rsid w:val="000E1BCB"/>
    <w:rsid w:val="000E2166"/>
    <w:rsid w:val="000E27B0"/>
    <w:rsid w:val="000E2E78"/>
    <w:rsid w:val="000E3024"/>
    <w:rsid w:val="000E3534"/>
    <w:rsid w:val="000E460F"/>
    <w:rsid w:val="000E4749"/>
    <w:rsid w:val="000E5035"/>
    <w:rsid w:val="000E5EE8"/>
    <w:rsid w:val="000E6D23"/>
    <w:rsid w:val="000E7A60"/>
    <w:rsid w:val="000F029F"/>
    <w:rsid w:val="000F02D6"/>
    <w:rsid w:val="000F0495"/>
    <w:rsid w:val="000F04EE"/>
    <w:rsid w:val="000F05DE"/>
    <w:rsid w:val="000F14CF"/>
    <w:rsid w:val="000F28A7"/>
    <w:rsid w:val="000F29BA"/>
    <w:rsid w:val="000F30B5"/>
    <w:rsid w:val="000F35EF"/>
    <w:rsid w:val="000F3909"/>
    <w:rsid w:val="000F3E56"/>
    <w:rsid w:val="000F4564"/>
    <w:rsid w:val="000F4EB7"/>
    <w:rsid w:val="000F528A"/>
    <w:rsid w:val="000F5414"/>
    <w:rsid w:val="000F6247"/>
    <w:rsid w:val="000F6B1D"/>
    <w:rsid w:val="000F6DD2"/>
    <w:rsid w:val="000F7420"/>
    <w:rsid w:val="000F7AC3"/>
    <w:rsid w:val="00100683"/>
    <w:rsid w:val="001017B3"/>
    <w:rsid w:val="00101D56"/>
    <w:rsid w:val="001024FD"/>
    <w:rsid w:val="0010280A"/>
    <w:rsid w:val="001036C0"/>
    <w:rsid w:val="0010401B"/>
    <w:rsid w:val="00104A6E"/>
    <w:rsid w:val="00104B6B"/>
    <w:rsid w:val="0010556C"/>
    <w:rsid w:val="0010577D"/>
    <w:rsid w:val="00105FD1"/>
    <w:rsid w:val="001066FC"/>
    <w:rsid w:val="0010670C"/>
    <w:rsid w:val="0010673D"/>
    <w:rsid w:val="00106EC3"/>
    <w:rsid w:val="00111C4B"/>
    <w:rsid w:val="0011205F"/>
    <w:rsid w:val="001144F6"/>
    <w:rsid w:val="00114A08"/>
    <w:rsid w:val="00114EC5"/>
    <w:rsid w:val="00115B44"/>
    <w:rsid w:val="00116B16"/>
    <w:rsid w:val="00116D85"/>
    <w:rsid w:val="001174D8"/>
    <w:rsid w:val="00120334"/>
    <w:rsid w:val="00120B41"/>
    <w:rsid w:val="001215E8"/>
    <w:rsid w:val="00121814"/>
    <w:rsid w:val="00121B00"/>
    <w:rsid w:val="0012248B"/>
    <w:rsid w:val="0012255A"/>
    <w:rsid w:val="00122A02"/>
    <w:rsid w:val="00122FD5"/>
    <w:rsid w:val="00123F24"/>
    <w:rsid w:val="001245E9"/>
    <w:rsid w:val="00124D19"/>
    <w:rsid w:val="00125510"/>
    <w:rsid w:val="00125C39"/>
    <w:rsid w:val="00126D17"/>
    <w:rsid w:val="001275FA"/>
    <w:rsid w:val="00127717"/>
    <w:rsid w:val="00127D6D"/>
    <w:rsid w:val="0013018C"/>
    <w:rsid w:val="0013155C"/>
    <w:rsid w:val="0013327A"/>
    <w:rsid w:val="00133C92"/>
    <w:rsid w:val="00134AB1"/>
    <w:rsid w:val="00135137"/>
    <w:rsid w:val="0013566B"/>
    <w:rsid w:val="00135A84"/>
    <w:rsid w:val="00136204"/>
    <w:rsid w:val="001370E7"/>
    <w:rsid w:val="0013758D"/>
    <w:rsid w:val="001400B1"/>
    <w:rsid w:val="00140737"/>
    <w:rsid w:val="00140AFB"/>
    <w:rsid w:val="001413E7"/>
    <w:rsid w:val="0014167B"/>
    <w:rsid w:val="00141696"/>
    <w:rsid w:val="00141E2E"/>
    <w:rsid w:val="00142D0A"/>
    <w:rsid w:val="001434CD"/>
    <w:rsid w:val="001444E8"/>
    <w:rsid w:val="00144678"/>
    <w:rsid w:val="0014472E"/>
    <w:rsid w:val="00144E83"/>
    <w:rsid w:val="00145113"/>
    <w:rsid w:val="001467EA"/>
    <w:rsid w:val="00146E28"/>
    <w:rsid w:val="00146F88"/>
    <w:rsid w:val="00147033"/>
    <w:rsid w:val="00147288"/>
    <w:rsid w:val="001477CD"/>
    <w:rsid w:val="00150642"/>
    <w:rsid w:val="00150970"/>
    <w:rsid w:val="00150D76"/>
    <w:rsid w:val="001510BE"/>
    <w:rsid w:val="00151D99"/>
    <w:rsid w:val="0015273F"/>
    <w:rsid w:val="00152786"/>
    <w:rsid w:val="00152A3E"/>
    <w:rsid w:val="001540AE"/>
    <w:rsid w:val="001544AF"/>
    <w:rsid w:val="001547BB"/>
    <w:rsid w:val="00154824"/>
    <w:rsid w:val="00155846"/>
    <w:rsid w:val="00155BC2"/>
    <w:rsid w:val="001569B2"/>
    <w:rsid w:val="00157251"/>
    <w:rsid w:val="00157C18"/>
    <w:rsid w:val="00157D92"/>
    <w:rsid w:val="00160509"/>
    <w:rsid w:val="0016054A"/>
    <w:rsid w:val="00160822"/>
    <w:rsid w:val="00160979"/>
    <w:rsid w:val="00162152"/>
    <w:rsid w:val="001628D4"/>
    <w:rsid w:val="00164319"/>
    <w:rsid w:val="00164E14"/>
    <w:rsid w:val="00166AE4"/>
    <w:rsid w:val="00167057"/>
    <w:rsid w:val="00172F53"/>
    <w:rsid w:val="001731DB"/>
    <w:rsid w:val="001735F5"/>
    <w:rsid w:val="001738E9"/>
    <w:rsid w:val="00173AA0"/>
    <w:rsid w:val="001743F3"/>
    <w:rsid w:val="001749A6"/>
    <w:rsid w:val="00174BC5"/>
    <w:rsid w:val="001751BA"/>
    <w:rsid w:val="001756B0"/>
    <w:rsid w:val="00175E78"/>
    <w:rsid w:val="001762EA"/>
    <w:rsid w:val="00176DE7"/>
    <w:rsid w:val="00176FA7"/>
    <w:rsid w:val="00176FEE"/>
    <w:rsid w:val="001776E6"/>
    <w:rsid w:val="00180772"/>
    <w:rsid w:val="00180833"/>
    <w:rsid w:val="00180D3C"/>
    <w:rsid w:val="001818E7"/>
    <w:rsid w:val="001819DF"/>
    <w:rsid w:val="00181C27"/>
    <w:rsid w:val="001821C4"/>
    <w:rsid w:val="00182F51"/>
    <w:rsid w:val="0018340C"/>
    <w:rsid w:val="001835BB"/>
    <w:rsid w:val="00183AA7"/>
    <w:rsid w:val="00183BE2"/>
    <w:rsid w:val="00184866"/>
    <w:rsid w:val="00184E5D"/>
    <w:rsid w:val="001855A4"/>
    <w:rsid w:val="00185998"/>
    <w:rsid w:val="00185F48"/>
    <w:rsid w:val="001860D1"/>
    <w:rsid w:val="00186E87"/>
    <w:rsid w:val="00186F02"/>
    <w:rsid w:val="00187100"/>
    <w:rsid w:val="001874D7"/>
    <w:rsid w:val="00190390"/>
    <w:rsid w:val="00190464"/>
    <w:rsid w:val="001904B2"/>
    <w:rsid w:val="00190A72"/>
    <w:rsid w:val="001910D6"/>
    <w:rsid w:val="0019275F"/>
    <w:rsid w:val="00192CAB"/>
    <w:rsid w:val="001932E6"/>
    <w:rsid w:val="00195543"/>
    <w:rsid w:val="001957B2"/>
    <w:rsid w:val="0019584A"/>
    <w:rsid w:val="00195B40"/>
    <w:rsid w:val="001962AE"/>
    <w:rsid w:val="00196996"/>
    <w:rsid w:val="001969A2"/>
    <w:rsid w:val="001972BC"/>
    <w:rsid w:val="00197321"/>
    <w:rsid w:val="00197DFB"/>
    <w:rsid w:val="001A08AC"/>
    <w:rsid w:val="001A0A8C"/>
    <w:rsid w:val="001A0D25"/>
    <w:rsid w:val="001A127A"/>
    <w:rsid w:val="001A2935"/>
    <w:rsid w:val="001A2B2A"/>
    <w:rsid w:val="001A3E9C"/>
    <w:rsid w:val="001A44B2"/>
    <w:rsid w:val="001A4C41"/>
    <w:rsid w:val="001A5A6B"/>
    <w:rsid w:val="001A61DA"/>
    <w:rsid w:val="001A63A7"/>
    <w:rsid w:val="001A6420"/>
    <w:rsid w:val="001A694E"/>
    <w:rsid w:val="001A7186"/>
    <w:rsid w:val="001B0894"/>
    <w:rsid w:val="001B225A"/>
    <w:rsid w:val="001B2312"/>
    <w:rsid w:val="001B3039"/>
    <w:rsid w:val="001B332B"/>
    <w:rsid w:val="001B3517"/>
    <w:rsid w:val="001B40A5"/>
    <w:rsid w:val="001B5963"/>
    <w:rsid w:val="001B5F35"/>
    <w:rsid w:val="001B611A"/>
    <w:rsid w:val="001B74E6"/>
    <w:rsid w:val="001B75CA"/>
    <w:rsid w:val="001C04A4"/>
    <w:rsid w:val="001C0DA9"/>
    <w:rsid w:val="001C13A0"/>
    <w:rsid w:val="001C142F"/>
    <w:rsid w:val="001C1461"/>
    <w:rsid w:val="001C1C1B"/>
    <w:rsid w:val="001C225F"/>
    <w:rsid w:val="001C2485"/>
    <w:rsid w:val="001C3177"/>
    <w:rsid w:val="001C337D"/>
    <w:rsid w:val="001C365C"/>
    <w:rsid w:val="001C435C"/>
    <w:rsid w:val="001C50C7"/>
    <w:rsid w:val="001C5CEC"/>
    <w:rsid w:val="001C5D6F"/>
    <w:rsid w:val="001C5EDA"/>
    <w:rsid w:val="001C67EB"/>
    <w:rsid w:val="001C6B5A"/>
    <w:rsid w:val="001C74D5"/>
    <w:rsid w:val="001C75A2"/>
    <w:rsid w:val="001C7D9B"/>
    <w:rsid w:val="001D13A6"/>
    <w:rsid w:val="001D176A"/>
    <w:rsid w:val="001D2445"/>
    <w:rsid w:val="001D24A4"/>
    <w:rsid w:val="001D27B5"/>
    <w:rsid w:val="001D28DA"/>
    <w:rsid w:val="001D3C92"/>
    <w:rsid w:val="001D425F"/>
    <w:rsid w:val="001D4327"/>
    <w:rsid w:val="001D450E"/>
    <w:rsid w:val="001D4BCF"/>
    <w:rsid w:val="001D50BC"/>
    <w:rsid w:val="001D55B6"/>
    <w:rsid w:val="001D591A"/>
    <w:rsid w:val="001D59F1"/>
    <w:rsid w:val="001D5AC3"/>
    <w:rsid w:val="001D601D"/>
    <w:rsid w:val="001D6063"/>
    <w:rsid w:val="001D6992"/>
    <w:rsid w:val="001E04F1"/>
    <w:rsid w:val="001E0B1B"/>
    <w:rsid w:val="001E0D2B"/>
    <w:rsid w:val="001E0E3E"/>
    <w:rsid w:val="001E0EDC"/>
    <w:rsid w:val="001E0F96"/>
    <w:rsid w:val="001E0FF9"/>
    <w:rsid w:val="001E17FF"/>
    <w:rsid w:val="001E19B9"/>
    <w:rsid w:val="001E2C44"/>
    <w:rsid w:val="001E31C0"/>
    <w:rsid w:val="001E3210"/>
    <w:rsid w:val="001E3514"/>
    <w:rsid w:val="001E38D2"/>
    <w:rsid w:val="001E41E2"/>
    <w:rsid w:val="001E4367"/>
    <w:rsid w:val="001E43B8"/>
    <w:rsid w:val="001E47A1"/>
    <w:rsid w:val="001E536B"/>
    <w:rsid w:val="001E571E"/>
    <w:rsid w:val="001E5B5F"/>
    <w:rsid w:val="001E669F"/>
    <w:rsid w:val="001E7C96"/>
    <w:rsid w:val="001E7D0B"/>
    <w:rsid w:val="001F009B"/>
    <w:rsid w:val="001F04DD"/>
    <w:rsid w:val="001F18CC"/>
    <w:rsid w:val="001F1C63"/>
    <w:rsid w:val="001F247D"/>
    <w:rsid w:val="001F28C3"/>
    <w:rsid w:val="001F2BF9"/>
    <w:rsid w:val="001F3A0B"/>
    <w:rsid w:val="001F404D"/>
    <w:rsid w:val="001F40F6"/>
    <w:rsid w:val="001F4EBE"/>
    <w:rsid w:val="001F531B"/>
    <w:rsid w:val="001F546B"/>
    <w:rsid w:val="001F58DE"/>
    <w:rsid w:val="001F5F3D"/>
    <w:rsid w:val="001F604E"/>
    <w:rsid w:val="001F6595"/>
    <w:rsid w:val="001F670B"/>
    <w:rsid w:val="001F6D38"/>
    <w:rsid w:val="001F77AF"/>
    <w:rsid w:val="001F7B06"/>
    <w:rsid w:val="00200481"/>
    <w:rsid w:val="00200ADA"/>
    <w:rsid w:val="0020230F"/>
    <w:rsid w:val="0020290A"/>
    <w:rsid w:val="00202BD3"/>
    <w:rsid w:val="0020385C"/>
    <w:rsid w:val="0020405A"/>
    <w:rsid w:val="0020459D"/>
    <w:rsid w:val="00204903"/>
    <w:rsid w:val="0020498F"/>
    <w:rsid w:val="00204F2B"/>
    <w:rsid w:val="002051C2"/>
    <w:rsid w:val="00205315"/>
    <w:rsid w:val="00205354"/>
    <w:rsid w:val="00205784"/>
    <w:rsid w:val="00205B27"/>
    <w:rsid w:val="00205E9E"/>
    <w:rsid w:val="00205F3E"/>
    <w:rsid w:val="002063CE"/>
    <w:rsid w:val="00206AC4"/>
    <w:rsid w:val="00210B1E"/>
    <w:rsid w:val="002114ED"/>
    <w:rsid w:val="002119A8"/>
    <w:rsid w:val="00212950"/>
    <w:rsid w:val="00212A02"/>
    <w:rsid w:val="00212BFC"/>
    <w:rsid w:val="0021337E"/>
    <w:rsid w:val="002145FD"/>
    <w:rsid w:val="00214E01"/>
    <w:rsid w:val="002152CB"/>
    <w:rsid w:val="002153EC"/>
    <w:rsid w:val="002157B9"/>
    <w:rsid w:val="00215B26"/>
    <w:rsid w:val="00215E4D"/>
    <w:rsid w:val="002168A4"/>
    <w:rsid w:val="00216D58"/>
    <w:rsid w:val="0021747C"/>
    <w:rsid w:val="00221678"/>
    <w:rsid w:val="00221926"/>
    <w:rsid w:val="00221BF6"/>
    <w:rsid w:val="00221FF3"/>
    <w:rsid w:val="002226B0"/>
    <w:rsid w:val="00223680"/>
    <w:rsid w:val="00223C3D"/>
    <w:rsid w:val="0022476D"/>
    <w:rsid w:val="00224AC6"/>
    <w:rsid w:val="00224F75"/>
    <w:rsid w:val="0022707B"/>
    <w:rsid w:val="00230836"/>
    <w:rsid w:val="002309D9"/>
    <w:rsid w:val="002314A7"/>
    <w:rsid w:val="0023162E"/>
    <w:rsid w:val="00232A52"/>
    <w:rsid w:val="00233641"/>
    <w:rsid w:val="00235453"/>
    <w:rsid w:val="0023563D"/>
    <w:rsid w:val="00235C47"/>
    <w:rsid w:val="0023639E"/>
    <w:rsid w:val="002364CD"/>
    <w:rsid w:val="002366B6"/>
    <w:rsid w:val="00236908"/>
    <w:rsid w:val="002370C2"/>
    <w:rsid w:val="0023721B"/>
    <w:rsid w:val="002374BC"/>
    <w:rsid w:val="00237F10"/>
    <w:rsid w:val="00240133"/>
    <w:rsid w:val="002401E8"/>
    <w:rsid w:val="0024033C"/>
    <w:rsid w:val="00240B28"/>
    <w:rsid w:val="00241118"/>
    <w:rsid w:val="0024166B"/>
    <w:rsid w:val="002421EB"/>
    <w:rsid w:val="00242C8C"/>
    <w:rsid w:val="00242F03"/>
    <w:rsid w:val="00243F71"/>
    <w:rsid w:val="00244221"/>
    <w:rsid w:val="002462C2"/>
    <w:rsid w:val="00246E7F"/>
    <w:rsid w:val="00247319"/>
    <w:rsid w:val="00247A00"/>
    <w:rsid w:val="00247B30"/>
    <w:rsid w:val="00250C48"/>
    <w:rsid w:val="00250F39"/>
    <w:rsid w:val="00252F88"/>
    <w:rsid w:val="0025314E"/>
    <w:rsid w:val="0025397D"/>
    <w:rsid w:val="0025432A"/>
    <w:rsid w:val="00254775"/>
    <w:rsid w:val="00254858"/>
    <w:rsid w:val="00254948"/>
    <w:rsid w:val="0025499A"/>
    <w:rsid w:val="00254C2D"/>
    <w:rsid w:val="002557C6"/>
    <w:rsid w:val="00255A34"/>
    <w:rsid w:val="00255CAC"/>
    <w:rsid w:val="00255EBB"/>
    <w:rsid w:val="002567B4"/>
    <w:rsid w:val="002569B6"/>
    <w:rsid w:val="00256F2F"/>
    <w:rsid w:val="002579D1"/>
    <w:rsid w:val="00257BDC"/>
    <w:rsid w:val="00260AB9"/>
    <w:rsid w:val="002611EF"/>
    <w:rsid w:val="00261477"/>
    <w:rsid w:val="0026337D"/>
    <w:rsid w:val="002643BB"/>
    <w:rsid w:val="00265ADF"/>
    <w:rsid w:val="002664AA"/>
    <w:rsid w:val="0026732C"/>
    <w:rsid w:val="00267916"/>
    <w:rsid w:val="002702C2"/>
    <w:rsid w:val="00270D91"/>
    <w:rsid w:val="00270F1F"/>
    <w:rsid w:val="0027137D"/>
    <w:rsid w:val="00271505"/>
    <w:rsid w:val="002715B5"/>
    <w:rsid w:val="0027168E"/>
    <w:rsid w:val="00271ACA"/>
    <w:rsid w:val="00271CCA"/>
    <w:rsid w:val="00272620"/>
    <w:rsid w:val="0027273E"/>
    <w:rsid w:val="0027390B"/>
    <w:rsid w:val="0027421E"/>
    <w:rsid w:val="00274585"/>
    <w:rsid w:val="002748CF"/>
    <w:rsid w:val="00274E0D"/>
    <w:rsid w:val="00274EB9"/>
    <w:rsid w:val="00275BDD"/>
    <w:rsid w:val="00276168"/>
    <w:rsid w:val="00276426"/>
    <w:rsid w:val="00280B16"/>
    <w:rsid w:val="00282358"/>
    <w:rsid w:val="00282D0B"/>
    <w:rsid w:val="002838C4"/>
    <w:rsid w:val="002838E7"/>
    <w:rsid w:val="0028526D"/>
    <w:rsid w:val="00285377"/>
    <w:rsid w:val="00285BB9"/>
    <w:rsid w:val="002873D0"/>
    <w:rsid w:val="00287587"/>
    <w:rsid w:val="002876FD"/>
    <w:rsid w:val="002877C0"/>
    <w:rsid w:val="0028784C"/>
    <w:rsid w:val="00287E73"/>
    <w:rsid w:val="00291F37"/>
    <w:rsid w:val="0029238B"/>
    <w:rsid w:val="00292B0F"/>
    <w:rsid w:val="0029424F"/>
    <w:rsid w:val="00295075"/>
    <w:rsid w:val="0029558B"/>
    <w:rsid w:val="00296454"/>
    <w:rsid w:val="00296AD8"/>
    <w:rsid w:val="0029798F"/>
    <w:rsid w:val="002A026F"/>
    <w:rsid w:val="002A06CA"/>
    <w:rsid w:val="002A109D"/>
    <w:rsid w:val="002A1B83"/>
    <w:rsid w:val="002A333C"/>
    <w:rsid w:val="002A4471"/>
    <w:rsid w:val="002A48FF"/>
    <w:rsid w:val="002A507B"/>
    <w:rsid w:val="002A5CFE"/>
    <w:rsid w:val="002A6761"/>
    <w:rsid w:val="002A6A3B"/>
    <w:rsid w:val="002A738E"/>
    <w:rsid w:val="002A7D5C"/>
    <w:rsid w:val="002A7FB6"/>
    <w:rsid w:val="002B0C88"/>
    <w:rsid w:val="002B12CB"/>
    <w:rsid w:val="002B1DCD"/>
    <w:rsid w:val="002B27F8"/>
    <w:rsid w:val="002B2978"/>
    <w:rsid w:val="002B2E25"/>
    <w:rsid w:val="002B3D35"/>
    <w:rsid w:val="002B493B"/>
    <w:rsid w:val="002B49F9"/>
    <w:rsid w:val="002B4DE6"/>
    <w:rsid w:val="002B5CE0"/>
    <w:rsid w:val="002B5EA7"/>
    <w:rsid w:val="002B602B"/>
    <w:rsid w:val="002B630C"/>
    <w:rsid w:val="002B63D4"/>
    <w:rsid w:val="002B747F"/>
    <w:rsid w:val="002B78D7"/>
    <w:rsid w:val="002B791A"/>
    <w:rsid w:val="002B7D19"/>
    <w:rsid w:val="002B7FB1"/>
    <w:rsid w:val="002C09FD"/>
    <w:rsid w:val="002C10A0"/>
    <w:rsid w:val="002C14B5"/>
    <w:rsid w:val="002C2A19"/>
    <w:rsid w:val="002C2A92"/>
    <w:rsid w:val="002C3672"/>
    <w:rsid w:val="002C3BA5"/>
    <w:rsid w:val="002C3E47"/>
    <w:rsid w:val="002C57CD"/>
    <w:rsid w:val="002C6278"/>
    <w:rsid w:val="002C6CB8"/>
    <w:rsid w:val="002C7270"/>
    <w:rsid w:val="002C7736"/>
    <w:rsid w:val="002C7784"/>
    <w:rsid w:val="002D0243"/>
    <w:rsid w:val="002D046D"/>
    <w:rsid w:val="002D0BC6"/>
    <w:rsid w:val="002D15E5"/>
    <w:rsid w:val="002D2614"/>
    <w:rsid w:val="002D3626"/>
    <w:rsid w:val="002D3755"/>
    <w:rsid w:val="002D385F"/>
    <w:rsid w:val="002D3FE9"/>
    <w:rsid w:val="002D47BB"/>
    <w:rsid w:val="002D4C57"/>
    <w:rsid w:val="002D5A27"/>
    <w:rsid w:val="002D6C26"/>
    <w:rsid w:val="002D6FFB"/>
    <w:rsid w:val="002D7074"/>
    <w:rsid w:val="002D71AD"/>
    <w:rsid w:val="002D7909"/>
    <w:rsid w:val="002D7EEA"/>
    <w:rsid w:val="002E03BD"/>
    <w:rsid w:val="002E0734"/>
    <w:rsid w:val="002E2014"/>
    <w:rsid w:val="002E22AC"/>
    <w:rsid w:val="002E290E"/>
    <w:rsid w:val="002E35C9"/>
    <w:rsid w:val="002E449D"/>
    <w:rsid w:val="002E4E21"/>
    <w:rsid w:val="002E4E92"/>
    <w:rsid w:val="002E5EB4"/>
    <w:rsid w:val="002E6ADB"/>
    <w:rsid w:val="002E6B25"/>
    <w:rsid w:val="002E72B8"/>
    <w:rsid w:val="002E7FEE"/>
    <w:rsid w:val="002F0C8E"/>
    <w:rsid w:val="002F0FEB"/>
    <w:rsid w:val="002F2823"/>
    <w:rsid w:val="002F3101"/>
    <w:rsid w:val="002F34AB"/>
    <w:rsid w:val="002F4E4E"/>
    <w:rsid w:val="002F5762"/>
    <w:rsid w:val="002F5EED"/>
    <w:rsid w:val="002F62E7"/>
    <w:rsid w:val="002F7C4A"/>
    <w:rsid w:val="003003B7"/>
    <w:rsid w:val="00300DB1"/>
    <w:rsid w:val="00300FC8"/>
    <w:rsid w:val="003013C8"/>
    <w:rsid w:val="00301A68"/>
    <w:rsid w:val="00301FD9"/>
    <w:rsid w:val="003027E4"/>
    <w:rsid w:val="0030367F"/>
    <w:rsid w:val="00303680"/>
    <w:rsid w:val="00303B7A"/>
    <w:rsid w:val="00304296"/>
    <w:rsid w:val="003048EC"/>
    <w:rsid w:val="00304F8E"/>
    <w:rsid w:val="0030520A"/>
    <w:rsid w:val="003064D4"/>
    <w:rsid w:val="00307442"/>
    <w:rsid w:val="00307F97"/>
    <w:rsid w:val="0031029E"/>
    <w:rsid w:val="0031064E"/>
    <w:rsid w:val="0031084C"/>
    <w:rsid w:val="00311141"/>
    <w:rsid w:val="00311B57"/>
    <w:rsid w:val="00311CDA"/>
    <w:rsid w:val="00312F49"/>
    <w:rsid w:val="0031429D"/>
    <w:rsid w:val="00314448"/>
    <w:rsid w:val="00315264"/>
    <w:rsid w:val="003161E8"/>
    <w:rsid w:val="0031647F"/>
    <w:rsid w:val="00317118"/>
    <w:rsid w:val="00317444"/>
    <w:rsid w:val="00317CF0"/>
    <w:rsid w:val="003203EB"/>
    <w:rsid w:val="0032046C"/>
    <w:rsid w:val="003208C0"/>
    <w:rsid w:val="003210AA"/>
    <w:rsid w:val="00321F27"/>
    <w:rsid w:val="003231C7"/>
    <w:rsid w:val="00323A90"/>
    <w:rsid w:val="003240FD"/>
    <w:rsid w:val="00324424"/>
    <w:rsid w:val="00324457"/>
    <w:rsid w:val="00324D4E"/>
    <w:rsid w:val="00324FE5"/>
    <w:rsid w:val="003250B8"/>
    <w:rsid w:val="003253D2"/>
    <w:rsid w:val="00325458"/>
    <w:rsid w:val="003263A9"/>
    <w:rsid w:val="0032685F"/>
    <w:rsid w:val="00326F43"/>
    <w:rsid w:val="003274CF"/>
    <w:rsid w:val="00327D7F"/>
    <w:rsid w:val="00330EA3"/>
    <w:rsid w:val="0033100B"/>
    <w:rsid w:val="00332357"/>
    <w:rsid w:val="003330B0"/>
    <w:rsid w:val="00333D72"/>
    <w:rsid w:val="00334A9E"/>
    <w:rsid w:val="0033621F"/>
    <w:rsid w:val="00336229"/>
    <w:rsid w:val="00336740"/>
    <w:rsid w:val="00336D41"/>
    <w:rsid w:val="00340299"/>
    <w:rsid w:val="003403EF"/>
    <w:rsid w:val="00341255"/>
    <w:rsid w:val="00341574"/>
    <w:rsid w:val="00341C27"/>
    <w:rsid w:val="003425F8"/>
    <w:rsid w:val="003426EA"/>
    <w:rsid w:val="00343AD1"/>
    <w:rsid w:val="00344288"/>
    <w:rsid w:val="003443A8"/>
    <w:rsid w:val="00344EDD"/>
    <w:rsid w:val="00345018"/>
    <w:rsid w:val="0034538E"/>
    <w:rsid w:val="00345E55"/>
    <w:rsid w:val="0034637C"/>
    <w:rsid w:val="00346D8D"/>
    <w:rsid w:val="003474E6"/>
    <w:rsid w:val="00350076"/>
    <w:rsid w:val="003500B0"/>
    <w:rsid w:val="003503FA"/>
    <w:rsid w:val="0035171C"/>
    <w:rsid w:val="00351E42"/>
    <w:rsid w:val="00352200"/>
    <w:rsid w:val="003535E2"/>
    <w:rsid w:val="00353A66"/>
    <w:rsid w:val="00353E10"/>
    <w:rsid w:val="0035402B"/>
    <w:rsid w:val="003548AC"/>
    <w:rsid w:val="00354DF9"/>
    <w:rsid w:val="00354FD0"/>
    <w:rsid w:val="0035538E"/>
    <w:rsid w:val="003554B7"/>
    <w:rsid w:val="00356DAE"/>
    <w:rsid w:val="00357539"/>
    <w:rsid w:val="00357FE5"/>
    <w:rsid w:val="00360AB1"/>
    <w:rsid w:val="00360FEE"/>
    <w:rsid w:val="00361261"/>
    <w:rsid w:val="003612A2"/>
    <w:rsid w:val="00361533"/>
    <w:rsid w:val="0036182E"/>
    <w:rsid w:val="00361A4A"/>
    <w:rsid w:val="00361F28"/>
    <w:rsid w:val="003620EA"/>
    <w:rsid w:val="00362E49"/>
    <w:rsid w:val="00364C60"/>
    <w:rsid w:val="00365219"/>
    <w:rsid w:val="00365320"/>
    <w:rsid w:val="003654DA"/>
    <w:rsid w:val="003658E0"/>
    <w:rsid w:val="00365B40"/>
    <w:rsid w:val="00366155"/>
    <w:rsid w:val="003670A9"/>
    <w:rsid w:val="00367889"/>
    <w:rsid w:val="00370A89"/>
    <w:rsid w:val="003710EE"/>
    <w:rsid w:val="00371242"/>
    <w:rsid w:val="0037215A"/>
    <w:rsid w:val="003721F1"/>
    <w:rsid w:val="00372538"/>
    <w:rsid w:val="00372C75"/>
    <w:rsid w:val="00373118"/>
    <w:rsid w:val="00373E30"/>
    <w:rsid w:val="00373E43"/>
    <w:rsid w:val="00373FE5"/>
    <w:rsid w:val="00374DA3"/>
    <w:rsid w:val="00375811"/>
    <w:rsid w:val="00375CAB"/>
    <w:rsid w:val="00376114"/>
    <w:rsid w:val="003765D1"/>
    <w:rsid w:val="003766E9"/>
    <w:rsid w:val="00377875"/>
    <w:rsid w:val="003779E5"/>
    <w:rsid w:val="00377EF0"/>
    <w:rsid w:val="003803CE"/>
    <w:rsid w:val="00380647"/>
    <w:rsid w:val="0038099D"/>
    <w:rsid w:val="00380B43"/>
    <w:rsid w:val="00380D9A"/>
    <w:rsid w:val="00380F42"/>
    <w:rsid w:val="0038156B"/>
    <w:rsid w:val="0038167A"/>
    <w:rsid w:val="00382BA9"/>
    <w:rsid w:val="003830BE"/>
    <w:rsid w:val="0038453A"/>
    <w:rsid w:val="003854AA"/>
    <w:rsid w:val="00385E9C"/>
    <w:rsid w:val="00385F67"/>
    <w:rsid w:val="00386539"/>
    <w:rsid w:val="003866AC"/>
    <w:rsid w:val="00386D0E"/>
    <w:rsid w:val="003879B2"/>
    <w:rsid w:val="00390822"/>
    <w:rsid w:val="00390AB2"/>
    <w:rsid w:val="00391BE8"/>
    <w:rsid w:val="00392310"/>
    <w:rsid w:val="003925DD"/>
    <w:rsid w:val="00392827"/>
    <w:rsid w:val="00392875"/>
    <w:rsid w:val="00392EE9"/>
    <w:rsid w:val="003931DD"/>
    <w:rsid w:val="0039332B"/>
    <w:rsid w:val="0039337A"/>
    <w:rsid w:val="00393756"/>
    <w:rsid w:val="00394550"/>
    <w:rsid w:val="00395252"/>
    <w:rsid w:val="00395627"/>
    <w:rsid w:val="00395FA5"/>
    <w:rsid w:val="0039693B"/>
    <w:rsid w:val="00396CC1"/>
    <w:rsid w:val="00396DE9"/>
    <w:rsid w:val="00397E68"/>
    <w:rsid w:val="003A03EE"/>
    <w:rsid w:val="003A199C"/>
    <w:rsid w:val="003A247C"/>
    <w:rsid w:val="003A30BA"/>
    <w:rsid w:val="003A4298"/>
    <w:rsid w:val="003A4331"/>
    <w:rsid w:val="003A631B"/>
    <w:rsid w:val="003A74DB"/>
    <w:rsid w:val="003A78F1"/>
    <w:rsid w:val="003B00B9"/>
    <w:rsid w:val="003B01AF"/>
    <w:rsid w:val="003B0C51"/>
    <w:rsid w:val="003B0CCB"/>
    <w:rsid w:val="003B0DA6"/>
    <w:rsid w:val="003B1868"/>
    <w:rsid w:val="003B1D29"/>
    <w:rsid w:val="003B3301"/>
    <w:rsid w:val="003B3ABF"/>
    <w:rsid w:val="003B4461"/>
    <w:rsid w:val="003B5823"/>
    <w:rsid w:val="003B5A76"/>
    <w:rsid w:val="003B602A"/>
    <w:rsid w:val="003B62DA"/>
    <w:rsid w:val="003B7C90"/>
    <w:rsid w:val="003B7E77"/>
    <w:rsid w:val="003B7EFB"/>
    <w:rsid w:val="003C03AE"/>
    <w:rsid w:val="003C040F"/>
    <w:rsid w:val="003C10CA"/>
    <w:rsid w:val="003C13AB"/>
    <w:rsid w:val="003C2318"/>
    <w:rsid w:val="003C2F63"/>
    <w:rsid w:val="003C301A"/>
    <w:rsid w:val="003C35F3"/>
    <w:rsid w:val="003C4706"/>
    <w:rsid w:val="003C5057"/>
    <w:rsid w:val="003C5A9F"/>
    <w:rsid w:val="003C795F"/>
    <w:rsid w:val="003D0FD5"/>
    <w:rsid w:val="003D103F"/>
    <w:rsid w:val="003D173E"/>
    <w:rsid w:val="003D2ED1"/>
    <w:rsid w:val="003D34C8"/>
    <w:rsid w:val="003D4B43"/>
    <w:rsid w:val="003D5F03"/>
    <w:rsid w:val="003D6075"/>
    <w:rsid w:val="003D6D6A"/>
    <w:rsid w:val="003D6DDB"/>
    <w:rsid w:val="003D72FD"/>
    <w:rsid w:val="003D732C"/>
    <w:rsid w:val="003D78A3"/>
    <w:rsid w:val="003E0BA6"/>
    <w:rsid w:val="003E13DB"/>
    <w:rsid w:val="003E1538"/>
    <w:rsid w:val="003E180F"/>
    <w:rsid w:val="003E2914"/>
    <w:rsid w:val="003E3048"/>
    <w:rsid w:val="003E3364"/>
    <w:rsid w:val="003E3815"/>
    <w:rsid w:val="003E62B9"/>
    <w:rsid w:val="003E6628"/>
    <w:rsid w:val="003E6B05"/>
    <w:rsid w:val="003E7E4C"/>
    <w:rsid w:val="003E7F93"/>
    <w:rsid w:val="003F006A"/>
    <w:rsid w:val="003F0100"/>
    <w:rsid w:val="003F07A1"/>
    <w:rsid w:val="003F3452"/>
    <w:rsid w:val="003F358D"/>
    <w:rsid w:val="003F3E27"/>
    <w:rsid w:val="003F474F"/>
    <w:rsid w:val="003F4B6A"/>
    <w:rsid w:val="003F4D9E"/>
    <w:rsid w:val="003F67A5"/>
    <w:rsid w:val="003F6DBB"/>
    <w:rsid w:val="003F6E5D"/>
    <w:rsid w:val="003F6FD1"/>
    <w:rsid w:val="003F7CFD"/>
    <w:rsid w:val="004000EA"/>
    <w:rsid w:val="004014A4"/>
    <w:rsid w:val="00401ABA"/>
    <w:rsid w:val="004026F7"/>
    <w:rsid w:val="00403407"/>
    <w:rsid w:val="00404663"/>
    <w:rsid w:val="004053F8"/>
    <w:rsid w:val="00405700"/>
    <w:rsid w:val="004057ED"/>
    <w:rsid w:val="00405974"/>
    <w:rsid w:val="00406DF7"/>
    <w:rsid w:val="00406EED"/>
    <w:rsid w:val="00407218"/>
    <w:rsid w:val="0040726A"/>
    <w:rsid w:val="00407CD9"/>
    <w:rsid w:val="00410013"/>
    <w:rsid w:val="004113E4"/>
    <w:rsid w:val="00411601"/>
    <w:rsid w:val="0041277D"/>
    <w:rsid w:val="00412DCA"/>
    <w:rsid w:val="004138D5"/>
    <w:rsid w:val="00414F04"/>
    <w:rsid w:val="00414F1A"/>
    <w:rsid w:val="00415867"/>
    <w:rsid w:val="00415E23"/>
    <w:rsid w:val="0041644A"/>
    <w:rsid w:val="004207E7"/>
    <w:rsid w:val="004208AA"/>
    <w:rsid w:val="00420FE0"/>
    <w:rsid w:val="00421AEF"/>
    <w:rsid w:val="00421CB9"/>
    <w:rsid w:val="004223B4"/>
    <w:rsid w:val="00422E82"/>
    <w:rsid w:val="00422EE9"/>
    <w:rsid w:val="004239C8"/>
    <w:rsid w:val="00423B17"/>
    <w:rsid w:val="00424022"/>
    <w:rsid w:val="004246AA"/>
    <w:rsid w:val="004249FA"/>
    <w:rsid w:val="004262B9"/>
    <w:rsid w:val="004272D4"/>
    <w:rsid w:val="00427376"/>
    <w:rsid w:val="004305A7"/>
    <w:rsid w:val="00430A3D"/>
    <w:rsid w:val="00431BEE"/>
    <w:rsid w:val="004337B3"/>
    <w:rsid w:val="0043393F"/>
    <w:rsid w:val="00433E47"/>
    <w:rsid w:val="004357D6"/>
    <w:rsid w:val="00436C49"/>
    <w:rsid w:val="004375F7"/>
    <w:rsid w:val="00437749"/>
    <w:rsid w:val="00440726"/>
    <w:rsid w:val="004410D7"/>
    <w:rsid w:val="00441709"/>
    <w:rsid w:val="004418EC"/>
    <w:rsid w:val="00442091"/>
    <w:rsid w:val="004427E3"/>
    <w:rsid w:val="00442A7A"/>
    <w:rsid w:val="0044328A"/>
    <w:rsid w:val="00443F19"/>
    <w:rsid w:val="0044448D"/>
    <w:rsid w:val="00444CF4"/>
    <w:rsid w:val="00444D66"/>
    <w:rsid w:val="0044517D"/>
    <w:rsid w:val="00445FC9"/>
    <w:rsid w:val="0044617E"/>
    <w:rsid w:val="0044637B"/>
    <w:rsid w:val="004464A1"/>
    <w:rsid w:val="0044693B"/>
    <w:rsid w:val="00446A2C"/>
    <w:rsid w:val="00447509"/>
    <w:rsid w:val="0044789C"/>
    <w:rsid w:val="004478D1"/>
    <w:rsid w:val="00447A5E"/>
    <w:rsid w:val="00450849"/>
    <w:rsid w:val="00450E9F"/>
    <w:rsid w:val="00451AD5"/>
    <w:rsid w:val="00451C8C"/>
    <w:rsid w:val="00451FF7"/>
    <w:rsid w:val="00452316"/>
    <w:rsid w:val="00452E14"/>
    <w:rsid w:val="004537DD"/>
    <w:rsid w:val="00453CD2"/>
    <w:rsid w:val="00454B34"/>
    <w:rsid w:val="00455169"/>
    <w:rsid w:val="00455477"/>
    <w:rsid w:val="00457494"/>
    <w:rsid w:val="0045768B"/>
    <w:rsid w:val="004577B5"/>
    <w:rsid w:val="0046011A"/>
    <w:rsid w:val="00460515"/>
    <w:rsid w:val="00461254"/>
    <w:rsid w:val="004616D1"/>
    <w:rsid w:val="00461A80"/>
    <w:rsid w:val="00462338"/>
    <w:rsid w:val="004627AC"/>
    <w:rsid w:val="00463405"/>
    <w:rsid w:val="00463850"/>
    <w:rsid w:val="00463A6D"/>
    <w:rsid w:val="00464E00"/>
    <w:rsid w:val="00465C45"/>
    <w:rsid w:val="00465EF1"/>
    <w:rsid w:val="00466373"/>
    <w:rsid w:val="00466487"/>
    <w:rsid w:val="00466801"/>
    <w:rsid w:val="00466C6D"/>
    <w:rsid w:val="00466E01"/>
    <w:rsid w:val="00467526"/>
    <w:rsid w:val="004704A7"/>
    <w:rsid w:val="004715AC"/>
    <w:rsid w:val="00472648"/>
    <w:rsid w:val="00472FFC"/>
    <w:rsid w:val="004739B9"/>
    <w:rsid w:val="00473B4F"/>
    <w:rsid w:val="00473D96"/>
    <w:rsid w:val="00473E44"/>
    <w:rsid w:val="00474B4A"/>
    <w:rsid w:val="00475066"/>
    <w:rsid w:val="0047520A"/>
    <w:rsid w:val="00475675"/>
    <w:rsid w:val="00475F2E"/>
    <w:rsid w:val="00476251"/>
    <w:rsid w:val="0047712D"/>
    <w:rsid w:val="00477302"/>
    <w:rsid w:val="00477925"/>
    <w:rsid w:val="00477F01"/>
    <w:rsid w:val="00480A2E"/>
    <w:rsid w:val="004810CC"/>
    <w:rsid w:val="00481150"/>
    <w:rsid w:val="00481758"/>
    <w:rsid w:val="004819F7"/>
    <w:rsid w:val="00483826"/>
    <w:rsid w:val="0048383E"/>
    <w:rsid w:val="00483A58"/>
    <w:rsid w:val="00484355"/>
    <w:rsid w:val="004847E4"/>
    <w:rsid w:val="00484842"/>
    <w:rsid w:val="00484A70"/>
    <w:rsid w:val="0048532C"/>
    <w:rsid w:val="0048557C"/>
    <w:rsid w:val="0048615D"/>
    <w:rsid w:val="0048681F"/>
    <w:rsid w:val="0048723E"/>
    <w:rsid w:val="00487525"/>
    <w:rsid w:val="004901C9"/>
    <w:rsid w:val="00490983"/>
    <w:rsid w:val="00491661"/>
    <w:rsid w:val="00491E57"/>
    <w:rsid w:val="00491E85"/>
    <w:rsid w:val="00492898"/>
    <w:rsid w:val="00493ED7"/>
    <w:rsid w:val="00493F41"/>
    <w:rsid w:val="004964F0"/>
    <w:rsid w:val="00496714"/>
    <w:rsid w:val="00496BF1"/>
    <w:rsid w:val="00496E85"/>
    <w:rsid w:val="004977BE"/>
    <w:rsid w:val="00497A59"/>
    <w:rsid w:val="00497FEC"/>
    <w:rsid w:val="004A00B5"/>
    <w:rsid w:val="004A1408"/>
    <w:rsid w:val="004A16CB"/>
    <w:rsid w:val="004A36C1"/>
    <w:rsid w:val="004A3898"/>
    <w:rsid w:val="004A446B"/>
    <w:rsid w:val="004A46E1"/>
    <w:rsid w:val="004A522A"/>
    <w:rsid w:val="004A577A"/>
    <w:rsid w:val="004A5A86"/>
    <w:rsid w:val="004A651C"/>
    <w:rsid w:val="004A6E06"/>
    <w:rsid w:val="004B00A3"/>
    <w:rsid w:val="004B07F5"/>
    <w:rsid w:val="004B08FF"/>
    <w:rsid w:val="004B10E9"/>
    <w:rsid w:val="004B50A4"/>
    <w:rsid w:val="004B5D16"/>
    <w:rsid w:val="004B60C0"/>
    <w:rsid w:val="004B66FA"/>
    <w:rsid w:val="004B6DDD"/>
    <w:rsid w:val="004B6E95"/>
    <w:rsid w:val="004B7355"/>
    <w:rsid w:val="004B747B"/>
    <w:rsid w:val="004B75D5"/>
    <w:rsid w:val="004B7A6B"/>
    <w:rsid w:val="004C03D7"/>
    <w:rsid w:val="004C09D3"/>
    <w:rsid w:val="004C13A2"/>
    <w:rsid w:val="004C153C"/>
    <w:rsid w:val="004C1AB3"/>
    <w:rsid w:val="004C2527"/>
    <w:rsid w:val="004C314E"/>
    <w:rsid w:val="004C3BA3"/>
    <w:rsid w:val="004C3BC8"/>
    <w:rsid w:val="004C3E9E"/>
    <w:rsid w:val="004C4809"/>
    <w:rsid w:val="004C5AAF"/>
    <w:rsid w:val="004C67D2"/>
    <w:rsid w:val="004C6CC4"/>
    <w:rsid w:val="004C75D2"/>
    <w:rsid w:val="004D09BE"/>
    <w:rsid w:val="004D0E64"/>
    <w:rsid w:val="004D38C3"/>
    <w:rsid w:val="004D3CDD"/>
    <w:rsid w:val="004D44C5"/>
    <w:rsid w:val="004D4AD4"/>
    <w:rsid w:val="004D4CF3"/>
    <w:rsid w:val="004D4D5D"/>
    <w:rsid w:val="004D553E"/>
    <w:rsid w:val="004D61B5"/>
    <w:rsid w:val="004D63E5"/>
    <w:rsid w:val="004D6CA6"/>
    <w:rsid w:val="004E050E"/>
    <w:rsid w:val="004E063A"/>
    <w:rsid w:val="004E0DCE"/>
    <w:rsid w:val="004E17B7"/>
    <w:rsid w:val="004E22E0"/>
    <w:rsid w:val="004E23CF"/>
    <w:rsid w:val="004E2716"/>
    <w:rsid w:val="004E33B1"/>
    <w:rsid w:val="004E3483"/>
    <w:rsid w:val="004E3C17"/>
    <w:rsid w:val="004E4206"/>
    <w:rsid w:val="004E424C"/>
    <w:rsid w:val="004E450E"/>
    <w:rsid w:val="004E458F"/>
    <w:rsid w:val="004E4BDC"/>
    <w:rsid w:val="004E5379"/>
    <w:rsid w:val="004E5981"/>
    <w:rsid w:val="004E5F2D"/>
    <w:rsid w:val="004E6298"/>
    <w:rsid w:val="004E6E5C"/>
    <w:rsid w:val="004E7A3E"/>
    <w:rsid w:val="004E7CF3"/>
    <w:rsid w:val="004E7D92"/>
    <w:rsid w:val="004F03E1"/>
    <w:rsid w:val="004F0A34"/>
    <w:rsid w:val="004F15B5"/>
    <w:rsid w:val="004F1F8F"/>
    <w:rsid w:val="004F2857"/>
    <w:rsid w:val="004F2909"/>
    <w:rsid w:val="004F2A23"/>
    <w:rsid w:val="004F36E2"/>
    <w:rsid w:val="004F38E2"/>
    <w:rsid w:val="004F4456"/>
    <w:rsid w:val="004F469D"/>
    <w:rsid w:val="004F47FB"/>
    <w:rsid w:val="004F52EA"/>
    <w:rsid w:val="004F5956"/>
    <w:rsid w:val="004F5E63"/>
    <w:rsid w:val="004F6490"/>
    <w:rsid w:val="004F67C8"/>
    <w:rsid w:val="004F6F9B"/>
    <w:rsid w:val="004F71D4"/>
    <w:rsid w:val="004F7792"/>
    <w:rsid w:val="004F7DB7"/>
    <w:rsid w:val="00500B75"/>
    <w:rsid w:val="00501075"/>
    <w:rsid w:val="00501292"/>
    <w:rsid w:val="00501F6F"/>
    <w:rsid w:val="00502CEE"/>
    <w:rsid w:val="00503B73"/>
    <w:rsid w:val="00504C52"/>
    <w:rsid w:val="005056A6"/>
    <w:rsid w:val="00506405"/>
    <w:rsid w:val="00506965"/>
    <w:rsid w:val="0050797C"/>
    <w:rsid w:val="00507F5E"/>
    <w:rsid w:val="00510283"/>
    <w:rsid w:val="00510313"/>
    <w:rsid w:val="0051054A"/>
    <w:rsid w:val="00510AA8"/>
    <w:rsid w:val="005119D5"/>
    <w:rsid w:val="00511D10"/>
    <w:rsid w:val="00511D20"/>
    <w:rsid w:val="005123D2"/>
    <w:rsid w:val="005127C4"/>
    <w:rsid w:val="005129CD"/>
    <w:rsid w:val="00513534"/>
    <w:rsid w:val="005138AD"/>
    <w:rsid w:val="00513F5F"/>
    <w:rsid w:val="0051402D"/>
    <w:rsid w:val="00514897"/>
    <w:rsid w:val="00514929"/>
    <w:rsid w:val="00514BF7"/>
    <w:rsid w:val="00514D11"/>
    <w:rsid w:val="0051529B"/>
    <w:rsid w:val="0051644C"/>
    <w:rsid w:val="005166A8"/>
    <w:rsid w:val="00516915"/>
    <w:rsid w:val="005207E7"/>
    <w:rsid w:val="00522709"/>
    <w:rsid w:val="005229E3"/>
    <w:rsid w:val="00523678"/>
    <w:rsid w:val="00524906"/>
    <w:rsid w:val="0052582B"/>
    <w:rsid w:val="00525E5A"/>
    <w:rsid w:val="00526435"/>
    <w:rsid w:val="00526D8E"/>
    <w:rsid w:val="00526F5A"/>
    <w:rsid w:val="00527403"/>
    <w:rsid w:val="005275A1"/>
    <w:rsid w:val="0052775C"/>
    <w:rsid w:val="00530642"/>
    <w:rsid w:val="00530A62"/>
    <w:rsid w:val="00530E5B"/>
    <w:rsid w:val="00531BB4"/>
    <w:rsid w:val="005324FB"/>
    <w:rsid w:val="00532B89"/>
    <w:rsid w:val="00532BCA"/>
    <w:rsid w:val="00532F00"/>
    <w:rsid w:val="00533962"/>
    <w:rsid w:val="00534743"/>
    <w:rsid w:val="005351D2"/>
    <w:rsid w:val="00535744"/>
    <w:rsid w:val="0053615A"/>
    <w:rsid w:val="00536695"/>
    <w:rsid w:val="00536AEA"/>
    <w:rsid w:val="00536E5D"/>
    <w:rsid w:val="00537354"/>
    <w:rsid w:val="0053735B"/>
    <w:rsid w:val="0054022E"/>
    <w:rsid w:val="00540A18"/>
    <w:rsid w:val="00541777"/>
    <w:rsid w:val="00541D1D"/>
    <w:rsid w:val="00542CB8"/>
    <w:rsid w:val="00542E1F"/>
    <w:rsid w:val="00543D13"/>
    <w:rsid w:val="00545230"/>
    <w:rsid w:val="0054549D"/>
    <w:rsid w:val="00545857"/>
    <w:rsid w:val="00546F43"/>
    <w:rsid w:val="005475E8"/>
    <w:rsid w:val="00547DAB"/>
    <w:rsid w:val="00550323"/>
    <w:rsid w:val="0055042E"/>
    <w:rsid w:val="005504AE"/>
    <w:rsid w:val="005504B8"/>
    <w:rsid w:val="005508E8"/>
    <w:rsid w:val="0055113A"/>
    <w:rsid w:val="005514DB"/>
    <w:rsid w:val="00551AB6"/>
    <w:rsid w:val="00551E88"/>
    <w:rsid w:val="005521CA"/>
    <w:rsid w:val="00552209"/>
    <w:rsid w:val="00552299"/>
    <w:rsid w:val="00552BDB"/>
    <w:rsid w:val="00552FE9"/>
    <w:rsid w:val="005533F6"/>
    <w:rsid w:val="005536A3"/>
    <w:rsid w:val="00553915"/>
    <w:rsid w:val="00555198"/>
    <w:rsid w:val="00555363"/>
    <w:rsid w:val="005554FE"/>
    <w:rsid w:val="0055590E"/>
    <w:rsid w:val="00555D30"/>
    <w:rsid w:val="005560F3"/>
    <w:rsid w:val="005562D8"/>
    <w:rsid w:val="00556328"/>
    <w:rsid w:val="00557BA2"/>
    <w:rsid w:val="00557F01"/>
    <w:rsid w:val="005619FB"/>
    <w:rsid w:val="00561D00"/>
    <w:rsid w:val="00562B32"/>
    <w:rsid w:val="005634E8"/>
    <w:rsid w:val="00563573"/>
    <w:rsid w:val="00563794"/>
    <w:rsid w:val="00563C6F"/>
    <w:rsid w:val="00564433"/>
    <w:rsid w:val="00564BA7"/>
    <w:rsid w:val="00565C23"/>
    <w:rsid w:val="005662B6"/>
    <w:rsid w:val="00566365"/>
    <w:rsid w:val="00566A78"/>
    <w:rsid w:val="00566F53"/>
    <w:rsid w:val="005678D8"/>
    <w:rsid w:val="0056790B"/>
    <w:rsid w:val="00570B75"/>
    <w:rsid w:val="005718FB"/>
    <w:rsid w:val="00571DB0"/>
    <w:rsid w:val="005728CA"/>
    <w:rsid w:val="00572915"/>
    <w:rsid w:val="00573222"/>
    <w:rsid w:val="005765D8"/>
    <w:rsid w:val="00577202"/>
    <w:rsid w:val="005773B7"/>
    <w:rsid w:val="00577AFA"/>
    <w:rsid w:val="00577D35"/>
    <w:rsid w:val="00581103"/>
    <w:rsid w:val="00581644"/>
    <w:rsid w:val="005823CF"/>
    <w:rsid w:val="00582AE6"/>
    <w:rsid w:val="00584395"/>
    <w:rsid w:val="005848BE"/>
    <w:rsid w:val="00585969"/>
    <w:rsid w:val="005876F9"/>
    <w:rsid w:val="0058776B"/>
    <w:rsid w:val="00590954"/>
    <w:rsid w:val="00590C77"/>
    <w:rsid w:val="00590DC5"/>
    <w:rsid w:val="0059112F"/>
    <w:rsid w:val="0059123F"/>
    <w:rsid w:val="0059162E"/>
    <w:rsid w:val="00592622"/>
    <w:rsid w:val="00592951"/>
    <w:rsid w:val="00593744"/>
    <w:rsid w:val="00593E40"/>
    <w:rsid w:val="00593F71"/>
    <w:rsid w:val="00595253"/>
    <w:rsid w:val="005959F8"/>
    <w:rsid w:val="005960F1"/>
    <w:rsid w:val="005972C5"/>
    <w:rsid w:val="0059772C"/>
    <w:rsid w:val="005A0CC4"/>
    <w:rsid w:val="005A1274"/>
    <w:rsid w:val="005A1519"/>
    <w:rsid w:val="005A153A"/>
    <w:rsid w:val="005A1BEE"/>
    <w:rsid w:val="005A1C61"/>
    <w:rsid w:val="005A34E4"/>
    <w:rsid w:val="005A3755"/>
    <w:rsid w:val="005A3C98"/>
    <w:rsid w:val="005A3E1A"/>
    <w:rsid w:val="005A43AE"/>
    <w:rsid w:val="005A45BF"/>
    <w:rsid w:val="005A46D0"/>
    <w:rsid w:val="005A4716"/>
    <w:rsid w:val="005A51C9"/>
    <w:rsid w:val="005A6535"/>
    <w:rsid w:val="005B1323"/>
    <w:rsid w:val="005B18C3"/>
    <w:rsid w:val="005B1FA9"/>
    <w:rsid w:val="005B34A3"/>
    <w:rsid w:val="005B39A4"/>
    <w:rsid w:val="005B3FDF"/>
    <w:rsid w:val="005B4441"/>
    <w:rsid w:val="005B4F03"/>
    <w:rsid w:val="005B5781"/>
    <w:rsid w:val="005B5E05"/>
    <w:rsid w:val="005B6371"/>
    <w:rsid w:val="005B6743"/>
    <w:rsid w:val="005B6850"/>
    <w:rsid w:val="005B7364"/>
    <w:rsid w:val="005B7556"/>
    <w:rsid w:val="005B7D54"/>
    <w:rsid w:val="005B7D6F"/>
    <w:rsid w:val="005C0897"/>
    <w:rsid w:val="005C1377"/>
    <w:rsid w:val="005C1C6D"/>
    <w:rsid w:val="005C2C51"/>
    <w:rsid w:val="005C3013"/>
    <w:rsid w:val="005C38F9"/>
    <w:rsid w:val="005C4874"/>
    <w:rsid w:val="005C53A1"/>
    <w:rsid w:val="005C54A4"/>
    <w:rsid w:val="005C7265"/>
    <w:rsid w:val="005D0FA8"/>
    <w:rsid w:val="005D2725"/>
    <w:rsid w:val="005D2AF7"/>
    <w:rsid w:val="005D3DCF"/>
    <w:rsid w:val="005D43CD"/>
    <w:rsid w:val="005D482F"/>
    <w:rsid w:val="005D498F"/>
    <w:rsid w:val="005D4B07"/>
    <w:rsid w:val="005D4B3E"/>
    <w:rsid w:val="005D4E28"/>
    <w:rsid w:val="005D522B"/>
    <w:rsid w:val="005D52F8"/>
    <w:rsid w:val="005D5B49"/>
    <w:rsid w:val="005D648B"/>
    <w:rsid w:val="005D6C0B"/>
    <w:rsid w:val="005D6FD9"/>
    <w:rsid w:val="005D71B6"/>
    <w:rsid w:val="005D7219"/>
    <w:rsid w:val="005D7261"/>
    <w:rsid w:val="005D740E"/>
    <w:rsid w:val="005D7D42"/>
    <w:rsid w:val="005D7EF6"/>
    <w:rsid w:val="005E00A6"/>
    <w:rsid w:val="005E09F7"/>
    <w:rsid w:val="005E0CF7"/>
    <w:rsid w:val="005E0DB5"/>
    <w:rsid w:val="005E15FF"/>
    <w:rsid w:val="005E20B6"/>
    <w:rsid w:val="005E372B"/>
    <w:rsid w:val="005E3FC2"/>
    <w:rsid w:val="005E458B"/>
    <w:rsid w:val="005E5FE0"/>
    <w:rsid w:val="005E7780"/>
    <w:rsid w:val="005F0225"/>
    <w:rsid w:val="005F033F"/>
    <w:rsid w:val="005F05B4"/>
    <w:rsid w:val="005F106A"/>
    <w:rsid w:val="005F1301"/>
    <w:rsid w:val="005F15DA"/>
    <w:rsid w:val="005F1C49"/>
    <w:rsid w:val="005F28AE"/>
    <w:rsid w:val="005F339C"/>
    <w:rsid w:val="005F35D6"/>
    <w:rsid w:val="005F3755"/>
    <w:rsid w:val="005F3A72"/>
    <w:rsid w:val="005F3E12"/>
    <w:rsid w:val="005F416D"/>
    <w:rsid w:val="005F4B60"/>
    <w:rsid w:val="005F50CA"/>
    <w:rsid w:val="005F738C"/>
    <w:rsid w:val="0060089B"/>
    <w:rsid w:val="00600E10"/>
    <w:rsid w:val="00600E36"/>
    <w:rsid w:val="0060175B"/>
    <w:rsid w:val="00601E79"/>
    <w:rsid w:val="00602197"/>
    <w:rsid w:val="00602A53"/>
    <w:rsid w:val="00602ED5"/>
    <w:rsid w:val="006031D7"/>
    <w:rsid w:val="00603A86"/>
    <w:rsid w:val="00603DF5"/>
    <w:rsid w:val="0060459B"/>
    <w:rsid w:val="00604CB5"/>
    <w:rsid w:val="006050A4"/>
    <w:rsid w:val="00605AAE"/>
    <w:rsid w:val="00606CE6"/>
    <w:rsid w:val="00607A1D"/>
    <w:rsid w:val="00607D22"/>
    <w:rsid w:val="006103FB"/>
    <w:rsid w:val="00610413"/>
    <w:rsid w:val="00610AF0"/>
    <w:rsid w:val="00611988"/>
    <w:rsid w:val="00611F30"/>
    <w:rsid w:val="00612ACB"/>
    <w:rsid w:val="00612C5B"/>
    <w:rsid w:val="006135F9"/>
    <w:rsid w:val="00613CE0"/>
    <w:rsid w:val="00613ED8"/>
    <w:rsid w:val="00613F93"/>
    <w:rsid w:val="00614D63"/>
    <w:rsid w:val="0061585D"/>
    <w:rsid w:val="006162E1"/>
    <w:rsid w:val="0061642A"/>
    <w:rsid w:val="00616D36"/>
    <w:rsid w:val="006172EA"/>
    <w:rsid w:val="0062065B"/>
    <w:rsid w:val="006213FD"/>
    <w:rsid w:val="006214EE"/>
    <w:rsid w:val="0062276B"/>
    <w:rsid w:val="006229FF"/>
    <w:rsid w:val="00623217"/>
    <w:rsid w:val="006233B5"/>
    <w:rsid w:val="00623F33"/>
    <w:rsid w:val="00624590"/>
    <w:rsid w:val="00624BFA"/>
    <w:rsid w:val="00625782"/>
    <w:rsid w:val="00625A61"/>
    <w:rsid w:val="00626190"/>
    <w:rsid w:val="00626496"/>
    <w:rsid w:val="006265D3"/>
    <w:rsid w:val="006265DB"/>
    <w:rsid w:val="00626B60"/>
    <w:rsid w:val="00627402"/>
    <w:rsid w:val="006308CE"/>
    <w:rsid w:val="00631172"/>
    <w:rsid w:val="00631C7B"/>
    <w:rsid w:val="00632A54"/>
    <w:rsid w:val="006337E0"/>
    <w:rsid w:val="00633811"/>
    <w:rsid w:val="00633E9B"/>
    <w:rsid w:val="00634415"/>
    <w:rsid w:val="0063476E"/>
    <w:rsid w:val="00636601"/>
    <w:rsid w:val="006370C6"/>
    <w:rsid w:val="00637B80"/>
    <w:rsid w:val="00637C87"/>
    <w:rsid w:val="0064031F"/>
    <w:rsid w:val="00640A0F"/>
    <w:rsid w:val="00640BF7"/>
    <w:rsid w:val="00640FAB"/>
    <w:rsid w:val="0064102C"/>
    <w:rsid w:val="00641365"/>
    <w:rsid w:val="00641BC7"/>
    <w:rsid w:val="00642EF6"/>
    <w:rsid w:val="006432D5"/>
    <w:rsid w:val="006438F6"/>
    <w:rsid w:val="00643912"/>
    <w:rsid w:val="00645250"/>
    <w:rsid w:val="00645CE9"/>
    <w:rsid w:val="006462EA"/>
    <w:rsid w:val="00646825"/>
    <w:rsid w:val="00647232"/>
    <w:rsid w:val="00650438"/>
    <w:rsid w:val="006521FB"/>
    <w:rsid w:val="00652BAA"/>
    <w:rsid w:val="00652EAB"/>
    <w:rsid w:val="00653376"/>
    <w:rsid w:val="00653DB5"/>
    <w:rsid w:val="00654915"/>
    <w:rsid w:val="00655260"/>
    <w:rsid w:val="006559B4"/>
    <w:rsid w:val="00655C07"/>
    <w:rsid w:val="00656DBC"/>
    <w:rsid w:val="00660A42"/>
    <w:rsid w:val="00661D87"/>
    <w:rsid w:val="00662022"/>
    <w:rsid w:val="006622A2"/>
    <w:rsid w:val="00662817"/>
    <w:rsid w:val="00663380"/>
    <w:rsid w:val="00663C89"/>
    <w:rsid w:val="006642C5"/>
    <w:rsid w:val="006646B6"/>
    <w:rsid w:val="006647F3"/>
    <w:rsid w:val="0066505B"/>
    <w:rsid w:val="006651E8"/>
    <w:rsid w:val="00665939"/>
    <w:rsid w:val="0066600F"/>
    <w:rsid w:val="00666270"/>
    <w:rsid w:val="006666F0"/>
    <w:rsid w:val="00666786"/>
    <w:rsid w:val="006670DD"/>
    <w:rsid w:val="006672CB"/>
    <w:rsid w:val="00667790"/>
    <w:rsid w:val="0066797F"/>
    <w:rsid w:val="006705B7"/>
    <w:rsid w:val="00670883"/>
    <w:rsid w:val="00671306"/>
    <w:rsid w:val="00673ED6"/>
    <w:rsid w:val="0067483A"/>
    <w:rsid w:val="00675287"/>
    <w:rsid w:val="00675C52"/>
    <w:rsid w:val="00675F73"/>
    <w:rsid w:val="00676B1F"/>
    <w:rsid w:val="00676D41"/>
    <w:rsid w:val="006777B0"/>
    <w:rsid w:val="00677938"/>
    <w:rsid w:val="00677ADB"/>
    <w:rsid w:val="00680147"/>
    <w:rsid w:val="0068066C"/>
    <w:rsid w:val="006807B5"/>
    <w:rsid w:val="0068081C"/>
    <w:rsid w:val="00680BE1"/>
    <w:rsid w:val="0068135F"/>
    <w:rsid w:val="006816D2"/>
    <w:rsid w:val="0068230F"/>
    <w:rsid w:val="006827C5"/>
    <w:rsid w:val="00682EE4"/>
    <w:rsid w:val="00683554"/>
    <w:rsid w:val="0068379C"/>
    <w:rsid w:val="00685118"/>
    <w:rsid w:val="00685122"/>
    <w:rsid w:val="0068553D"/>
    <w:rsid w:val="00685B7D"/>
    <w:rsid w:val="006862CA"/>
    <w:rsid w:val="006866D6"/>
    <w:rsid w:val="00686BEC"/>
    <w:rsid w:val="00686C5F"/>
    <w:rsid w:val="006875A9"/>
    <w:rsid w:val="00690348"/>
    <w:rsid w:val="006906C5"/>
    <w:rsid w:val="006906F8"/>
    <w:rsid w:val="00690B9C"/>
    <w:rsid w:val="00690E0C"/>
    <w:rsid w:val="006914A5"/>
    <w:rsid w:val="006915CA"/>
    <w:rsid w:val="00691A3F"/>
    <w:rsid w:val="00692A65"/>
    <w:rsid w:val="006935B5"/>
    <w:rsid w:val="006954F9"/>
    <w:rsid w:val="00695B14"/>
    <w:rsid w:val="00695C77"/>
    <w:rsid w:val="006962F4"/>
    <w:rsid w:val="00696882"/>
    <w:rsid w:val="0069766C"/>
    <w:rsid w:val="00697977"/>
    <w:rsid w:val="006A084E"/>
    <w:rsid w:val="006A0950"/>
    <w:rsid w:val="006A1333"/>
    <w:rsid w:val="006A159E"/>
    <w:rsid w:val="006A1DD1"/>
    <w:rsid w:val="006A230C"/>
    <w:rsid w:val="006A2419"/>
    <w:rsid w:val="006A2444"/>
    <w:rsid w:val="006A2FE9"/>
    <w:rsid w:val="006A3178"/>
    <w:rsid w:val="006A4217"/>
    <w:rsid w:val="006A490E"/>
    <w:rsid w:val="006A51EA"/>
    <w:rsid w:val="006A62EB"/>
    <w:rsid w:val="006A67EA"/>
    <w:rsid w:val="006A6A11"/>
    <w:rsid w:val="006A723B"/>
    <w:rsid w:val="006A78AF"/>
    <w:rsid w:val="006B2A2E"/>
    <w:rsid w:val="006B3DC6"/>
    <w:rsid w:val="006B452D"/>
    <w:rsid w:val="006B4CA3"/>
    <w:rsid w:val="006B4DA5"/>
    <w:rsid w:val="006B5345"/>
    <w:rsid w:val="006B5FB4"/>
    <w:rsid w:val="006B63D1"/>
    <w:rsid w:val="006B6CAF"/>
    <w:rsid w:val="006B7908"/>
    <w:rsid w:val="006C0C8E"/>
    <w:rsid w:val="006C0D68"/>
    <w:rsid w:val="006C0FA1"/>
    <w:rsid w:val="006C13AA"/>
    <w:rsid w:val="006C1984"/>
    <w:rsid w:val="006C2036"/>
    <w:rsid w:val="006C2087"/>
    <w:rsid w:val="006C22C2"/>
    <w:rsid w:val="006C23DC"/>
    <w:rsid w:val="006C3148"/>
    <w:rsid w:val="006C4554"/>
    <w:rsid w:val="006C47BC"/>
    <w:rsid w:val="006C543B"/>
    <w:rsid w:val="006C5559"/>
    <w:rsid w:val="006C6D43"/>
    <w:rsid w:val="006C6E8A"/>
    <w:rsid w:val="006C70F2"/>
    <w:rsid w:val="006C7A99"/>
    <w:rsid w:val="006D0266"/>
    <w:rsid w:val="006D0A87"/>
    <w:rsid w:val="006D154C"/>
    <w:rsid w:val="006D1961"/>
    <w:rsid w:val="006D2BEC"/>
    <w:rsid w:val="006D5630"/>
    <w:rsid w:val="006D63AE"/>
    <w:rsid w:val="006D7525"/>
    <w:rsid w:val="006E0036"/>
    <w:rsid w:val="006E0C9C"/>
    <w:rsid w:val="006E0E3D"/>
    <w:rsid w:val="006E1097"/>
    <w:rsid w:val="006E1320"/>
    <w:rsid w:val="006E1F1F"/>
    <w:rsid w:val="006E201F"/>
    <w:rsid w:val="006E28C5"/>
    <w:rsid w:val="006E28E8"/>
    <w:rsid w:val="006E2960"/>
    <w:rsid w:val="006E2B7B"/>
    <w:rsid w:val="006E2D1A"/>
    <w:rsid w:val="006E2F92"/>
    <w:rsid w:val="006E3BF7"/>
    <w:rsid w:val="006E4416"/>
    <w:rsid w:val="006E49EA"/>
    <w:rsid w:val="006E4C46"/>
    <w:rsid w:val="006E527A"/>
    <w:rsid w:val="006E5E78"/>
    <w:rsid w:val="006E6805"/>
    <w:rsid w:val="006E69EA"/>
    <w:rsid w:val="006E7B84"/>
    <w:rsid w:val="006F0B59"/>
    <w:rsid w:val="006F17D2"/>
    <w:rsid w:val="006F1881"/>
    <w:rsid w:val="006F18BA"/>
    <w:rsid w:val="006F20BF"/>
    <w:rsid w:val="006F32CA"/>
    <w:rsid w:val="006F3633"/>
    <w:rsid w:val="006F3EF5"/>
    <w:rsid w:val="006F4472"/>
    <w:rsid w:val="006F4A1E"/>
    <w:rsid w:val="006F4BCF"/>
    <w:rsid w:val="006F4DF6"/>
    <w:rsid w:val="006F53B0"/>
    <w:rsid w:val="006F55AE"/>
    <w:rsid w:val="006F5887"/>
    <w:rsid w:val="006F5C16"/>
    <w:rsid w:val="006F5D3E"/>
    <w:rsid w:val="006F6111"/>
    <w:rsid w:val="006F6933"/>
    <w:rsid w:val="006F6B15"/>
    <w:rsid w:val="006F7498"/>
    <w:rsid w:val="006F787D"/>
    <w:rsid w:val="007000E9"/>
    <w:rsid w:val="0070016F"/>
    <w:rsid w:val="007003F9"/>
    <w:rsid w:val="007008C3"/>
    <w:rsid w:val="0070091F"/>
    <w:rsid w:val="00702A6A"/>
    <w:rsid w:val="00702DE6"/>
    <w:rsid w:val="00703A94"/>
    <w:rsid w:val="00703AC1"/>
    <w:rsid w:val="00704345"/>
    <w:rsid w:val="0070468E"/>
    <w:rsid w:val="00704868"/>
    <w:rsid w:val="00704A0B"/>
    <w:rsid w:val="00704ADF"/>
    <w:rsid w:val="0070572B"/>
    <w:rsid w:val="0070574A"/>
    <w:rsid w:val="00705ED7"/>
    <w:rsid w:val="00705FB3"/>
    <w:rsid w:val="00706899"/>
    <w:rsid w:val="007077C6"/>
    <w:rsid w:val="00707EA0"/>
    <w:rsid w:val="0071007C"/>
    <w:rsid w:val="00710297"/>
    <w:rsid w:val="0071061D"/>
    <w:rsid w:val="00710885"/>
    <w:rsid w:val="00710E0B"/>
    <w:rsid w:val="00711AE5"/>
    <w:rsid w:val="00711C1B"/>
    <w:rsid w:val="00711C3D"/>
    <w:rsid w:val="007121AD"/>
    <w:rsid w:val="00712886"/>
    <w:rsid w:val="00712963"/>
    <w:rsid w:val="00713A4D"/>
    <w:rsid w:val="0071401D"/>
    <w:rsid w:val="00714582"/>
    <w:rsid w:val="0071499A"/>
    <w:rsid w:val="00716BB6"/>
    <w:rsid w:val="00716FB6"/>
    <w:rsid w:val="007172BB"/>
    <w:rsid w:val="00717697"/>
    <w:rsid w:val="0072034A"/>
    <w:rsid w:val="00720598"/>
    <w:rsid w:val="00721E86"/>
    <w:rsid w:val="007222E6"/>
    <w:rsid w:val="0072239C"/>
    <w:rsid w:val="007223DB"/>
    <w:rsid w:val="00722710"/>
    <w:rsid w:val="00722FBD"/>
    <w:rsid w:val="0072372D"/>
    <w:rsid w:val="0072376B"/>
    <w:rsid w:val="007240E9"/>
    <w:rsid w:val="007256FE"/>
    <w:rsid w:val="007257EB"/>
    <w:rsid w:val="00725A46"/>
    <w:rsid w:val="00725B41"/>
    <w:rsid w:val="007271BF"/>
    <w:rsid w:val="007275AC"/>
    <w:rsid w:val="00727B18"/>
    <w:rsid w:val="00730381"/>
    <w:rsid w:val="00730715"/>
    <w:rsid w:val="00730B58"/>
    <w:rsid w:val="00730DDC"/>
    <w:rsid w:val="0073100A"/>
    <w:rsid w:val="0073131B"/>
    <w:rsid w:val="00732546"/>
    <w:rsid w:val="00732793"/>
    <w:rsid w:val="00733837"/>
    <w:rsid w:val="00733CEF"/>
    <w:rsid w:val="00734017"/>
    <w:rsid w:val="007341A9"/>
    <w:rsid w:val="00734677"/>
    <w:rsid w:val="007347CB"/>
    <w:rsid w:val="007347FA"/>
    <w:rsid w:val="007352FB"/>
    <w:rsid w:val="00735359"/>
    <w:rsid w:val="00735365"/>
    <w:rsid w:val="007353F4"/>
    <w:rsid w:val="00736099"/>
    <w:rsid w:val="00736AFD"/>
    <w:rsid w:val="007411D7"/>
    <w:rsid w:val="007413C2"/>
    <w:rsid w:val="00741B0A"/>
    <w:rsid w:val="00741D3F"/>
    <w:rsid w:val="00741EC4"/>
    <w:rsid w:val="007441FB"/>
    <w:rsid w:val="00744410"/>
    <w:rsid w:val="00744ADC"/>
    <w:rsid w:val="00745948"/>
    <w:rsid w:val="007459EF"/>
    <w:rsid w:val="00745C31"/>
    <w:rsid w:val="0074614E"/>
    <w:rsid w:val="0074794D"/>
    <w:rsid w:val="007500D3"/>
    <w:rsid w:val="007505D8"/>
    <w:rsid w:val="00751B24"/>
    <w:rsid w:val="007526B9"/>
    <w:rsid w:val="00752852"/>
    <w:rsid w:val="00752DB2"/>
    <w:rsid w:val="00752DB8"/>
    <w:rsid w:val="00753A81"/>
    <w:rsid w:val="0075417C"/>
    <w:rsid w:val="007556EC"/>
    <w:rsid w:val="007566F5"/>
    <w:rsid w:val="00756880"/>
    <w:rsid w:val="00757528"/>
    <w:rsid w:val="00757DE0"/>
    <w:rsid w:val="00757F3B"/>
    <w:rsid w:val="007604B1"/>
    <w:rsid w:val="00761C95"/>
    <w:rsid w:val="0076205A"/>
    <w:rsid w:val="007621B7"/>
    <w:rsid w:val="007628EF"/>
    <w:rsid w:val="0076397B"/>
    <w:rsid w:val="00763AA1"/>
    <w:rsid w:val="00763F02"/>
    <w:rsid w:val="00764FAA"/>
    <w:rsid w:val="0076593C"/>
    <w:rsid w:val="00766FA0"/>
    <w:rsid w:val="00771315"/>
    <w:rsid w:val="00771BAD"/>
    <w:rsid w:val="00771D98"/>
    <w:rsid w:val="007734A8"/>
    <w:rsid w:val="00773ACF"/>
    <w:rsid w:val="00774032"/>
    <w:rsid w:val="00774CF2"/>
    <w:rsid w:val="00774F89"/>
    <w:rsid w:val="007757B2"/>
    <w:rsid w:val="0077585B"/>
    <w:rsid w:val="00775897"/>
    <w:rsid w:val="00775C44"/>
    <w:rsid w:val="00775D71"/>
    <w:rsid w:val="00776765"/>
    <w:rsid w:val="00776A13"/>
    <w:rsid w:val="007771E2"/>
    <w:rsid w:val="00777F9F"/>
    <w:rsid w:val="007801DC"/>
    <w:rsid w:val="0078058C"/>
    <w:rsid w:val="00780CBD"/>
    <w:rsid w:val="00781B5B"/>
    <w:rsid w:val="00781E4D"/>
    <w:rsid w:val="00782290"/>
    <w:rsid w:val="00782506"/>
    <w:rsid w:val="007836E4"/>
    <w:rsid w:val="00783CC6"/>
    <w:rsid w:val="00784300"/>
    <w:rsid w:val="007843FE"/>
    <w:rsid w:val="00784531"/>
    <w:rsid w:val="00784BF5"/>
    <w:rsid w:val="00785865"/>
    <w:rsid w:val="00785909"/>
    <w:rsid w:val="00785ADE"/>
    <w:rsid w:val="00786192"/>
    <w:rsid w:val="007863CC"/>
    <w:rsid w:val="00786D58"/>
    <w:rsid w:val="00787179"/>
    <w:rsid w:val="00790AA6"/>
    <w:rsid w:val="00791085"/>
    <w:rsid w:val="00791147"/>
    <w:rsid w:val="00791BF2"/>
    <w:rsid w:val="0079404D"/>
    <w:rsid w:val="00794EBF"/>
    <w:rsid w:val="00795B1A"/>
    <w:rsid w:val="00795B1C"/>
    <w:rsid w:val="0079627E"/>
    <w:rsid w:val="00796873"/>
    <w:rsid w:val="00796A17"/>
    <w:rsid w:val="00796E3D"/>
    <w:rsid w:val="007A0515"/>
    <w:rsid w:val="007A08C3"/>
    <w:rsid w:val="007A15FB"/>
    <w:rsid w:val="007A1B5F"/>
    <w:rsid w:val="007A20FA"/>
    <w:rsid w:val="007A2404"/>
    <w:rsid w:val="007A2D5E"/>
    <w:rsid w:val="007A30AA"/>
    <w:rsid w:val="007A3340"/>
    <w:rsid w:val="007A4738"/>
    <w:rsid w:val="007A4774"/>
    <w:rsid w:val="007A4AC8"/>
    <w:rsid w:val="007A53D5"/>
    <w:rsid w:val="007A612B"/>
    <w:rsid w:val="007A6178"/>
    <w:rsid w:val="007A6CBD"/>
    <w:rsid w:val="007A754D"/>
    <w:rsid w:val="007A7D94"/>
    <w:rsid w:val="007B00D8"/>
    <w:rsid w:val="007B1173"/>
    <w:rsid w:val="007B1BF7"/>
    <w:rsid w:val="007B1CD6"/>
    <w:rsid w:val="007B1F51"/>
    <w:rsid w:val="007B2622"/>
    <w:rsid w:val="007B2D31"/>
    <w:rsid w:val="007B3FDF"/>
    <w:rsid w:val="007B4A70"/>
    <w:rsid w:val="007B513B"/>
    <w:rsid w:val="007B5AD3"/>
    <w:rsid w:val="007B600C"/>
    <w:rsid w:val="007B67C6"/>
    <w:rsid w:val="007B77F4"/>
    <w:rsid w:val="007B7845"/>
    <w:rsid w:val="007C07B0"/>
    <w:rsid w:val="007C12AA"/>
    <w:rsid w:val="007C1C8C"/>
    <w:rsid w:val="007C1D29"/>
    <w:rsid w:val="007C3933"/>
    <w:rsid w:val="007C4265"/>
    <w:rsid w:val="007C4383"/>
    <w:rsid w:val="007C4BF8"/>
    <w:rsid w:val="007C50E4"/>
    <w:rsid w:val="007C5664"/>
    <w:rsid w:val="007C5B79"/>
    <w:rsid w:val="007C5B97"/>
    <w:rsid w:val="007C5B98"/>
    <w:rsid w:val="007C5E59"/>
    <w:rsid w:val="007C6544"/>
    <w:rsid w:val="007C7ED6"/>
    <w:rsid w:val="007D0AB9"/>
    <w:rsid w:val="007D1AB2"/>
    <w:rsid w:val="007D1BEE"/>
    <w:rsid w:val="007D2638"/>
    <w:rsid w:val="007D2D0E"/>
    <w:rsid w:val="007D31C4"/>
    <w:rsid w:val="007D44F6"/>
    <w:rsid w:val="007D64AE"/>
    <w:rsid w:val="007D670E"/>
    <w:rsid w:val="007D6A41"/>
    <w:rsid w:val="007D6C02"/>
    <w:rsid w:val="007D7572"/>
    <w:rsid w:val="007D7BE9"/>
    <w:rsid w:val="007D7F67"/>
    <w:rsid w:val="007E0DA1"/>
    <w:rsid w:val="007E0E04"/>
    <w:rsid w:val="007E26F6"/>
    <w:rsid w:val="007E27AB"/>
    <w:rsid w:val="007E27E8"/>
    <w:rsid w:val="007E29AA"/>
    <w:rsid w:val="007E2AD2"/>
    <w:rsid w:val="007E32D7"/>
    <w:rsid w:val="007E348B"/>
    <w:rsid w:val="007E48DF"/>
    <w:rsid w:val="007E4BB3"/>
    <w:rsid w:val="007E5C50"/>
    <w:rsid w:val="007E66CA"/>
    <w:rsid w:val="007E7C01"/>
    <w:rsid w:val="007E7CA0"/>
    <w:rsid w:val="007E7D02"/>
    <w:rsid w:val="007E7DBE"/>
    <w:rsid w:val="007F03D9"/>
    <w:rsid w:val="007F1131"/>
    <w:rsid w:val="007F197F"/>
    <w:rsid w:val="007F1B9E"/>
    <w:rsid w:val="007F1F90"/>
    <w:rsid w:val="007F20D2"/>
    <w:rsid w:val="007F2D40"/>
    <w:rsid w:val="007F2D4B"/>
    <w:rsid w:val="007F2FD5"/>
    <w:rsid w:val="007F34C0"/>
    <w:rsid w:val="007F3797"/>
    <w:rsid w:val="007F3EAF"/>
    <w:rsid w:val="007F4BB1"/>
    <w:rsid w:val="007F615B"/>
    <w:rsid w:val="007F6571"/>
    <w:rsid w:val="007F667F"/>
    <w:rsid w:val="007F72B3"/>
    <w:rsid w:val="007F743B"/>
    <w:rsid w:val="007F7519"/>
    <w:rsid w:val="007F76B0"/>
    <w:rsid w:val="007F7741"/>
    <w:rsid w:val="007F781C"/>
    <w:rsid w:val="007F7828"/>
    <w:rsid w:val="00801463"/>
    <w:rsid w:val="00801EF3"/>
    <w:rsid w:val="00802A05"/>
    <w:rsid w:val="008030D6"/>
    <w:rsid w:val="00803569"/>
    <w:rsid w:val="00803752"/>
    <w:rsid w:val="0080398B"/>
    <w:rsid w:val="00803DD8"/>
    <w:rsid w:val="008055FF"/>
    <w:rsid w:val="00805ED8"/>
    <w:rsid w:val="00805F76"/>
    <w:rsid w:val="0080629A"/>
    <w:rsid w:val="00807A8C"/>
    <w:rsid w:val="00807ED7"/>
    <w:rsid w:val="00810BF1"/>
    <w:rsid w:val="00811C3F"/>
    <w:rsid w:val="00811DBB"/>
    <w:rsid w:val="00812419"/>
    <w:rsid w:val="00813239"/>
    <w:rsid w:val="0081329E"/>
    <w:rsid w:val="00814972"/>
    <w:rsid w:val="00814D4A"/>
    <w:rsid w:val="008153F6"/>
    <w:rsid w:val="008156A2"/>
    <w:rsid w:val="00815825"/>
    <w:rsid w:val="00815B87"/>
    <w:rsid w:val="008161B7"/>
    <w:rsid w:val="00816428"/>
    <w:rsid w:val="008167F6"/>
    <w:rsid w:val="00816ABF"/>
    <w:rsid w:val="00820970"/>
    <w:rsid w:val="00821B27"/>
    <w:rsid w:val="00822053"/>
    <w:rsid w:val="00822394"/>
    <w:rsid w:val="008230A2"/>
    <w:rsid w:val="00823EDE"/>
    <w:rsid w:val="00824E00"/>
    <w:rsid w:val="0082537E"/>
    <w:rsid w:val="00825A7E"/>
    <w:rsid w:val="0082689A"/>
    <w:rsid w:val="00826973"/>
    <w:rsid w:val="00827A79"/>
    <w:rsid w:val="0083038C"/>
    <w:rsid w:val="00830E3F"/>
    <w:rsid w:val="00831440"/>
    <w:rsid w:val="00832297"/>
    <w:rsid w:val="00832825"/>
    <w:rsid w:val="00832942"/>
    <w:rsid w:val="00832BE4"/>
    <w:rsid w:val="0083355E"/>
    <w:rsid w:val="008346FF"/>
    <w:rsid w:val="0083498C"/>
    <w:rsid w:val="008356F3"/>
    <w:rsid w:val="00835EB6"/>
    <w:rsid w:val="00836172"/>
    <w:rsid w:val="00836485"/>
    <w:rsid w:val="00836661"/>
    <w:rsid w:val="008370D1"/>
    <w:rsid w:val="0083785B"/>
    <w:rsid w:val="00837B7B"/>
    <w:rsid w:val="00837F2C"/>
    <w:rsid w:val="0084032B"/>
    <w:rsid w:val="00840D6C"/>
    <w:rsid w:val="0084163D"/>
    <w:rsid w:val="00841708"/>
    <w:rsid w:val="008418DD"/>
    <w:rsid w:val="00842145"/>
    <w:rsid w:val="008423B0"/>
    <w:rsid w:val="00842B26"/>
    <w:rsid w:val="00842E45"/>
    <w:rsid w:val="00844414"/>
    <w:rsid w:val="00844534"/>
    <w:rsid w:val="00844872"/>
    <w:rsid w:val="00844DE6"/>
    <w:rsid w:val="008457A6"/>
    <w:rsid w:val="00845A06"/>
    <w:rsid w:val="00845D11"/>
    <w:rsid w:val="00846401"/>
    <w:rsid w:val="00846758"/>
    <w:rsid w:val="00846DA1"/>
    <w:rsid w:val="008473A0"/>
    <w:rsid w:val="008500B5"/>
    <w:rsid w:val="00851627"/>
    <w:rsid w:val="00851713"/>
    <w:rsid w:val="00852C76"/>
    <w:rsid w:val="00852D60"/>
    <w:rsid w:val="00853126"/>
    <w:rsid w:val="008536A6"/>
    <w:rsid w:val="008538D9"/>
    <w:rsid w:val="00853E7F"/>
    <w:rsid w:val="00854FA4"/>
    <w:rsid w:val="00855526"/>
    <w:rsid w:val="008558AB"/>
    <w:rsid w:val="008561ED"/>
    <w:rsid w:val="00856B5B"/>
    <w:rsid w:val="00857EBA"/>
    <w:rsid w:val="00860059"/>
    <w:rsid w:val="00861CCD"/>
    <w:rsid w:val="008624F9"/>
    <w:rsid w:val="00864429"/>
    <w:rsid w:val="008647A8"/>
    <w:rsid w:val="00864BE1"/>
    <w:rsid w:val="008653F7"/>
    <w:rsid w:val="0086622A"/>
    <w:rsid w:val="008669FA"/>
    <w:rsid w:val="00870191"/>
    <w:rsid w:val="008701C4"/>
    <w:rsid w:val="008704F5"/>
    <w:rsid w:val="00871198"/>
    <w:rsid w:val="008720E2"/>
    <w:rsid w:val="008721B5"/>
    <w:rsid w:val="00873145"/>
    <w:rsid w:val="0087352B"/>
    <w:rsid w:val="008737A3"/>
    <w:rsid w:val="0087388F"/>
    <w:rsid w:val="00873B6F"/>
    <w:rsid w:val="00873D13"/>
    <w:rsid w:val="00873E71"/>
    <w:rsid w:val="00873EF6"/>
    <w:rsid w:val="008741E9"/>
    <w:rsid w:val="00874656"/>
    <w:rsid w:val="0087485B"/>
    <w:rsid w:val="008757B2"/>
    <w:rsid w:val="0087595D"/>
    <w:rsid w:val="00875DAD"/>
    <w:rsid w:val="00876701"/>
    <w:rsid w:val="008774CA"/>
    <w:rsid w:val="00877A38"/>
    <w:rsid w:val="00877B19"/>
    <w:rsid w:val="00877E21"/>
    <w:rsid w:val="00880B4C"/>
    <w:rsid w:val="0088150D"/>
    <w:rsid w:val="0088152F"/>
    <w:rsid w:val="0088212E"/>
    <w:rsid w:val="0088251F"/>
    <w:rsid w:val="00882AD9"/>
    <w:rsid w:val="0088313B"/>
    <w:rsid w:val="00883C78"/>
    <w:rsid w:val="008847C0"/>
    <w:rsid w:val="00885944"/>
    <w:rsid w:val="00885AF8"/>
    <w:rsid w:val="00885D7B"/>
    <w:rsid w:val="008860EB"/>
    <w:rsid w:val="00887570"/>
    <w:rsid w:val="0088767C"/>
    <w:rsid w:val="00890602"/>
    <w:rsid w:val="00890637"/>
    <w:rsid w:val="00890CCC"/>
    <w:rsid w:val="00890D12"/>
    <w:rsid w:val="00890EA3"/>
    <w:rsid w:val="00891051"/>
    <w:rsid w:val="00891A10"/>
    <w:rsid w:val="0089300D"/>
    <w:rsid w:val="00893731"/>
    <w:rsid w:val="00893900"/>
    <w:rsid w:val="008940AF"/>
    <w:rsid w:val="00894342"/>
    <w:rsid w:val="00894F6D"/>
    <w:rsid w:val="008953FC"/>
    <w:rsid w:val="00895612"/>
    <w:rsid w:val="00896180"/>
    <w:rsid w:val="00896BCB"/>
    <w:rsid w:val="00896E32"/>
    <w:rsid w:val="0089723B"/>
    <w:rsid w:val="00897ED1"/>
    <w:rsid w:val="00897FF0"/>
    <w:rsid w:val="008A09AF"/>
    <w:rsid w:val="008A211B"/>
    <w:rsid w:val="008A2D94"/>
    <w:rsid w:val="008A30CD"/>
    <w:rsid w:val="008A329D"/>
    <w:rsid w:val="008A4399"/>
    <w:rsid w:val="008A60A4"/>
    <w:rsid w:val="008A6563"/>
    <w:rsid w:val="008A6F6B"/>
    <w:rsid w:val="008A70A3"/>
    <w:rsid w:val="008A7C72"/>
    <w:rsid w:val="008B0865"/>
    <w:rsid w:val="008B08AF"/>
    <w:rsid w:val="008B0B0E"/>
    <w:rsid w:val="008B0E18"/>
    <w:rsid w:val="008B106E"/>
    <w:rsid w:val="008B1182"/>
    <w:rsid w:val="008B14F8"/>
    <w:rsid w:val="008B16AC"/>
    <w:rsid w:val="008B1863"/>
    <w:rsid w:val="008B1D33"/>
    <w:rsid w:val="008B295B"/>
    <w:rsid w:val="008B2AF1"/>
    <w:rsid w:val="008B312E"/>
    <w:rsid w:val="008B391F"/>
    <w:rsid w:val="008B4CDE"/>
    <w:rsid w:val="008B50B2"/>
    <w:rsid w:val="008B52AD"/>
    <w:rsid w:val="008B57BD"/>
    <w:rsid w:val="008B5A86"/>
    <w:rsid w:val="008B685F"/>
    <w:rsid w:val="008B6DC8"/>
    <w:rsid w:val="008B7313"/>
    <w:rsid w:val="008B7C04"/>
    <w:rsid w:val="008B7EE5"/>
    <w:rsid w:val="008C06BD"/>
    <w:rsid w:val="008C0F89"/>
    <w:rsid w:val="008C17B2"/>
    <w:rsid w:val="008C1A46"/>
    <w:rsid w:val="008C23B9"/>
    <w:rsid w:val="008C2727"/>
    <w:rsid w:val="008C4FE3"/>
    <w:rsid w:val="008C5475"/>
    <w:rsid w:val="008C5590"/>
    <w:rsid w:val="008C576F"/>
    <w:rsid w:val="008C637F"/>
    <w:rsid w:val="008C66BF"/>
    <w:rsid w:val="008C72C8"/>
    <w:rsid w:val="008C767B"/>
    <w:rsid w:val="008C7688"/>
    <w:rsid w:val="008C77E5"/>
    <w:rsid w:val="008C7B63"/>
    <w:rsid w:val="008D00D8"/>
    <w:rsid w:val="008D09A9"/>
    <w:rsid w:val="008D0E76"/>
    <w:rsid w:val="008D155B"/>
    <w:rsid w:val="008D1C31"/>
    <w:rsid w:val="008D1C5E"/>
    <w:rsid w:val="008D1E40"/>
    <w:rsid w:val="008D216E"/>
    <w:rsid w:val="008D26E7"/>
    <w:rsid w:val="008D2AF8"/>
    <w:rsid w:val="008D2DC7"/>
    <w:rsid w:val="008D3F26"/>
    <w:rsid w:val="008D4ABB"/>
    <w:rsid w:val="008D6040"/>
    <w:rsid w:val="008D633F"/>
    <w:rsid w:val="008D646B"/>
    <w:rsid w:val="008D6D1E"/>
    <w:rsid w:val="008D7309"/>
    <w:rsid w:val="008D73F0"/>
    <w:rsid w:val="008D7C90"/>
    <w:rsid w:val="008E0753"/>
    <w:rsid w:val="008E0A03"/>
    <w:rsid w:val="008E0A90"/>
    <w:rsid w:val="008E0BD9"/>
    <w:rsid w:val="008E1457"/>
    <w:rsid w:val="008E17DD"/>
    <w:rsid w:val="008E2509"/>
    <w:rsid w:val="008E2574"/>
    <w:rsid w:val="008E260A"/>
    <w:rsid w:val="008E290E"/>
    <w:rsid w:val="008E2D48"/>
    <w:rsid w:val="008E3149"/>
    <w:rsid w:val="008E325B"/>
    <w:rsid w:val="008E34FB"/>
    <w:rsid w:val="008E39AF"/>
    <w:rsid w:val="008E3B25"/>
    <w:rsid w:val="008E3CED"/>
    <w:rsid w:val="008E4377"/>
    <w:rsid w:val="008E4D9A"/>
    <w:rsid w:val="008E4F6D"/>
    <w:rsid w:val="008E4FCF"/>
    <w:rsid w:val="008E50E8"/>
    <w:rsid w:val="008E5E1F"/>
    <w:rsid w:val="008E74ED"/>
    <w:rsid w:val="008E7B92"/>
    <w:rsid w:val="008E7D46"/>
    <w:rsid w:val="008E7DC3"/>
    <w:rsid w:val="008E7E7C"/>
    <w:rsid w:val="008E7ED0"/>
    <w:rsid w:val="008F00C8"/>
    <w:rsid w:val="008F03A2"/>
    <w:rsid w:val="008F0B7A"/>
    <w:rsid w:val="008F0C27"/>
    <w:rsid w:val="008F0C7B"/>
    <w:rsid w:val="008F0FEB"/>
    <w:rsid w:val="008F19AE"/>
    <w:rsid w:val="008F2821"/>
    <w:rsid w:val="008F2C77"/>
    <w:rsid w:val="008F2CBF"/>
    <w:rsid w:val="008F39E1"/>
    <w:rsid w:val="008F3E2B"/>
    <w:rsid w:val="008F40F0"/>
    <w:rsid w:val="008F46B5"/>
    <w:rsid w:val="008F4DDA"/>
    <w:rsid w:val="008F4FEE"/>
    <w:rsid w:val="008F52FF"/>
    <w:rsid w:val="008F68C3"/>
    <w:rsid w:val="008F6980"/>
    <w:rsid w:val="008F71E1"/>
    <w:rsid w:val="008F77FC"/>
    <w:rsid w:val="008F7954"/>
    <w:rsid w:val="0090087E"/>
    <w:rsid w:val="009008A7"/>
    <w:rsid w:val="00901376"/>
    <w:rsid w:val="00901E09"/>
    <w:rsid w:val="00901FAD"/>
    <w:rsid w:val="00902624"/>
    <w:rsid w:val="00902694"/>
    <w:rsid w:val="009030CA"/>
    <w:rsid w:val="00903FED"/>
    <w:rsid w:val="009042ED"/>
    <w:rsid w:val="00905683"/>
    <w:rsid w:val="00905EC3"/>
    <w:rsid w:val="00906AD5"/>
    <w:rsid w:val="00907F7C"/>
    <w:rsid w:val="00910698"/>
    <w:rsid w:val="00910EB0"/>
    <w:rsid w:val="009113D0"/>
    <w:rsid w:val="009114AB"/>
    <w:rsid w:val="00911AB8"/>
    <w:rsid w:val="00911FB5"/>
    <w:rsid w:val="0091206C"/>
    <w:rsid w:val="00912A64"/>
    <w:rsid w:val="00912D9A"/>
    <w:rsid w:val="00913229"/>
    <w:rsid w:val="00913A8F"/>
    <w:rsid w:val="00914120"/>
    <w:rsid w:val="00914B4C"/>
    <w:rsid w:val="00914DD0"/>
    <w:rsid w:val="00916AEE"/>
    <w:rsid w:val="0091730D"/>
    <w:rsid w:val="00917445"/>
    <w:rsid w:val="009178F7"/>
    <w:rsid w:val="009204AA"/>
    <w:rsid w:val="00920EFF"/>
    <w:rsid w:val="00920FE8"/>
    <w:rsid w:val="009211D2"/>
    <w:rsid w:val="009215AB"/>
    <w:rsid w:val="009215C6"/>
    <w:rsid w:val="00921C2E"/>
    <w:rsid w:val="00921CC5"/>
    <w:rsid w:val="00922688"/>
    <w:rsid w:val="0092334A"/>
    <w:rsid w:val="00923A87"/>
    <w:rsid w:val="009247D3"/>
    <w:rsid w:val="009252FF"/>
    <w:rsid w:val="009255FF"/>
    <w:rsid w:val="0092588A"/>
    <w:rsid w:val="00925CEF"/>
    <w:rsid w:val="00925E2A"/>
    <w:rsid w:val="009260D3"/>
    <w:rsid w:val="009262F3"/>
    <w:rsid w:val="009264D3"/>
    <w:rsid w:val="00926FB5"/>
    <w:rsid w:val="00927445"/>
    <w:rsid w:val="009278B8"/>
    <w:rsid w:val="0093239F"/>
    <w:rsid w:val="009326FA"/>
    <w:rsid w:val="009331AB"/>
    <w:rsid w:val="00933350"/>
    <w:rsid w:val="0093434D"/>
    <w:rsid w:val="00934562"/>
    <w:rsid w:val="00934E04"/>
    <w:rsid w:val="0093536E"/>
    <w:rsid w:val="009365D2"/>
    <w:rsid w:val="00936C87"/>
    <w:rsid w:val="00936D16"/>
    <w:rsid w:val="00936F0C"/>
    <w:rsid w:val="00941442"/>
    <w:rsid w:val="0094192E"/>
    <w:rsid w:val="00943DBA"/>
    <w:rsid w:val="00943EA7"/>
    <w:rsid w:val="00945293"/>
    <w:rsid w:val="009453F3"/>
    <w:rsid w:val="0094556A"/>
    <w:rsid w:val="009455EE"/>
    <w:rsid w:val="009458F1"/>
    <w:rsid w:val="00945E0B"/>
    <w:rsid w:val="0094657B"/>
    <w:rsid w:val="00947FD4"/>
    <w:rsid w:val="009503F3"/>
    <w:rsid w:val="00950587"/>
    <w:rsid w:val="00951043"/>
    <w:rsid w:val="00951567"/>
    <w:rsid w:val="0095285B"/>
    <w:rsid w:val="00952AD5"/>
    <w:rsid w:val="00952CDF"/>
    <w:rsid w:val="00953531"/>
    <w:rsid w:val="00953988"/>
    <w:rsid w:val="00953C9F"/>
    <w:rsid w:val="00954440"/>
    <w:rsid w:val="00954D5A"/>
    <w:rsid w:val="00955964"/>
    <w:rsid w:val="00955C54"/>
    <w:rsid w:val="00957236"/>
    <w:rsid w:val="00957505"/>
    <w:rsid w:val="00957649"/>
    <w:rsid w:val="009577F1"/>
    <w:rsid w:val="00957F19"/>
    <w:rsid w:val="00960F8A"/>
    <w:rsid w:val="009610F7"/>
    <w:rsid w:val="00961231"/>
    <w:rsid w:val="009619C5"/>
    <w:rsid w:val="00962334"/>
    <w:rsid w:val="00963546"/>
    <w:rsid w:val="00963952"/>
    <w:rsid w:val="00964301"/>
    <w:rsid w:val="00964604"/>
    <w:rsid w:val="00964965"/>
    <w:rsid w:val="00965126"/>
    <w:rsid w:val="00965730"/>
    <w:rsid w:val="00965C36"/>
    <w:rsid w:val="00965CBB"/>
    <w:rsid w:val="00965EBC"/>
    <w:rsid w:val="00966561"/>
    <w:rsid w:val="00966684"/>
    <w:rsid w:val="00966B5C"/>
    <w:rsid w:val="00966C6A"/>
    <w:rsid w:val="009702BA"/>
    <w:rsid w:val="0097126E"/>
    <w:rsid w:val="00972E8D"/>
    <w:rsid w:val="0097385C"/>
    <w:rsid w:val="00974328"/>
    <w:rsid w:val="00974C42"/>
    <w:rsid w:val="00974F02"/>
    <w:rsid w:val="009750F4"/>
    <w:rsid w:val="00975507"/>
    <w:rsid w:val="0097551E"/>
    <w:rsid w:val="009761E7"/>
    <w:rsid w:val="00976411"/>
    <w:rsid w:val="009767B3"/>
    <w:rsid w:val="00976DA4"/>
    <w:rsid w:val="00976FDB"/>
    <w:rsid w:val="00977073"/>
    <w:rsid w:val="00977958"/>
    <w:rsid w:val="00977A68"/>
    <w:rsid w:val="00977FF7"/>
    <w:rsid w:val="00980BBC"/>
    <w:rsid w:val="00980D3E"/>
    <w:rsid w:val="00980D79"/>
    <w:rsid w:val="009824BE"/>
    <w:rsid w:val="00982DED"/>
    <w:rsid w:val="00983BF9"/>
    <w:rsid w:val="00983CE7"/>
    <w:rsid w:val="00984150"/>
    <w:rsid w:val="00984AC0"/>
    <w:rsid w:val="00985909"/>
    <w:rsid w:val="00985A7C"/>
    <w:rsid w:val="009865DD"/>
    <w:rsid w:val="00986A30"/>
    <w:rsid w:val="00987BA5"/>
    <w:rsid w:val="00987CB3"/>
    <w:rsid w:val="009917CC"/>
    <w:rsid w:val="009918AA"/>
    <w:rsid w:val="00992036"/>
    <w:rsid w:val="009923C4"/>
    <w:rsid w:val="00992D21"/>
    <w:rsid w:val="0099474F"/>
    <w:rsid w:val="00995553"/>
    <w:rsid w:val="0099559F"/>
    <w:rsid w:val="00995C4E"/>
    <w:rsid w:val="00995DC1"/>
    <w:rsid w:val="009965C3"/>
    <w:rsid w:val="00996777"/>
    <w:rsid w:val="00996892"/>
    <w:rsid w:val="00997171"/>
    <w:rsid w:val="009972CC"/>
    <w:rsid w:val="009979BE"/>
    <w:rsid w:val="009979EC"/>
    <w:rsid w:val="009A0F4A"/>
    <w:rsid w:val="009A24DF"/>
    <w:rsid w:val="009A262E"/>
    <w:rsid w:val="009A362C"/>
    <w:rsid w:val="009A3831"/>
    <w:rsid w:val="009A5315"/>
    <w:rsid w:val="009A532C"/>
    <w:rsid w:val="009A5806"/>
    <w:rsid w:val="009A59C5"/>
    <w:rsid w:val="009A5B18"/>
    <w:rsid w:val="009A5FE8"/>
    <w:rsid w:val="009A6247"/>
    <w:rsid w:val="009A7047"/>
    <w:rsid w:val="009A7107"/>
    <w:rsid w:val="009A714D"/>
    <w:rsid w:val="009B013D"/>
    <w:rsid w:val="009B21C4"/>
    <w:rsid w:val="009B22BB"/>
    <w:rsid w:val="009B2306"/>
    <w:rsid w:val="009B338C"/>
    <w:rsid w:val="009B3CFE"/>
    <w:rsid w:val="009B4B23"/>
    <w:rsid w:val="009B6ED1"/>
    <w:rsid w:val="009B70FF"/>
    <w:rsid w:val="009B758C"/>
    <w:rsid w:val="009B7A6C"/>
    <w:rsid w:val="009C0E5A"/>
    <w:rsid w:val="009C1140"/>
    <w:rsid w:val="009C1204"/>
    <w:rsid w:val="009C1B93"/>
    <w:rsid w:val="009C1FB5"/>
    <w:rsid w:val="009C267E"/>
    <w:rsid w:val="009C2F36"/>
    <w:rsid w:val="009C3395"/>
    <w:rsid w:val="009C40A2"/>
    <w:rsid w:val="009C4901"/>
    <w:rsid w:val="009C4D95"/>
    <w:rsid w:val="009C5446"/>
    <w:rsid w:val="009C552A"/>
    <w:rsid w:val="009C5917"/>
    <w:rsid w:val="009C59FD"/>
    <w:rsid w:val="009C5A23"/>
    <w:rsid w:val="009C5F78"/>
    <w:rsid w:val="009C6081"/>
    <w:rsid w:val="009C6512"/>
    <w:rsid w:val="009C6C0A"/>
    <w:rsid w:val="009C6CFE"/>
    <w:rsid w:val="009D0A51"/>
    <w:rsid w:val="009D0BEE"/>
    <w:rsid w:val="009D1AF5"/>
    <w:rsid w:val="009D1D67"/>
    <w:rsid w:val="009D2CAD"/>
    <w:rsid w:val="009D36F1"/>
    <w:rsid w:val="009D410F"/>
    <w:rsid w:val="009D47BE"/>
    <w:rsid w:val="009D494A"/>
    <w:rsid w:val="009D4F62"/>
    <w:rsid w:val="009D520D"/>
    <w:rsid w:val="009D5256"/>
    <w:rsid w:val="009D5616"/>
    <w:rsid w:val="009D57B2"/>
    <w:rsid w:val="009D5A4B"/>
    <w:rsid w:val="009D5EC1"/>
    <w:rsid w:val="009D6549"/>
    <w:rsid w:val="009D6BD1"/>
    <w:rsid w:val="009D6C4E"/>
    <w:rsid w:val="009D6CFE"/>
    <w:rsid w:val="009D6E15"/>
    <w:rsid w:val="009D765C"/>
    <w:rsid w:val="009D767F"/>
    <w:rsid w:val="009E01BD"/>
    <w:rsid w:val="009E05BA"/>
    <w:rsid w:val="009E0BBF"/>
    <w:rsid w:val="009E0BD1"/>
    <w:rsid w:val="009E0BE4"/>
    <w:rsid w:val="009E0D17"/>
    <w:rsid w:val="009E0F3A"/>
    <w:rsid w:val="009E10A4"/>
    <w:rsid w:val="009E1F48"/>
    <w:rsid w:val="009E22F4"/>
    <w:rsid w:val="009E23A5"/>
    <w:rsid w:val="009E25F2"/>
    <w:rsid w:val="009E3597"/>
    <w:rsid w:val="009E35BB"/>
    <w:rsid w:val="009E4399"/>
    <w:rsid w:val="009E444A"/>
    <w:rsid w:val="009E4951"/>
    <w:rsid w:val="009E4D36"/>
    <w:rsid w:val="009E51DE"/>
    <w:rsid w:val="009E56DD"/>
    <w:rsid w:val="009E60B7"/>
    <w:rsid w:val="009E6570"/>
    <w:rsid w:val="009E6844"/>
    <w:rsid w:val="009E685A"/>
    <w:rsid w:val="009E7007"/>
    <w:rsid w:val="009E7CA5"/>
    <w:rsid w:val="009E7F4E"/>
    <w:rsid w:val="009F0488"/>
    <w:rsid w:val="009F0ECF"/>
    <w:rsid w:val="009F115D"/>
    <w:rsid w:val="009F1797"/>
    <w:rsid w:val="009F17DA"/>
    <w:rsid w:val="009F18ED"/>
    <w:rsid w:val="009F2123"/>
    <w:rsid w:val="009F2C30"/>
    <w:rsid w:val="009F3638"/>
    <w:rsid w:val="009F3E1F"/>
    <w:rsid w:val="009F4153"/>
    <w:rsid w:val="009F4D70"/>
    <w:rsid w:val="009F5730"/>
    <w:rsid w:val="009F5D31"/>
    <w:rsid w:val="009F6014"/>
    <w:rsid w:val="009F6AEC"/>
    <w:rsid w:val="00A00914"/>
    <w:rsid w:val="00A01217"/>
    <w:rsid w:val="00A0182B"/>
    <w:rsid w:val="00A02035"/>
    <w:rsid w:val="00A0260F"/>
    <w:rsid w:val="00A02A65"/>
    <w:rsid w:val="00A040F6"/>
    <w:rsid w:val="00A04A03"/>
    <w:rsid w:val="00A0519F"/>
    <w:rsid w:val="00A05354"/>
    <w:rsid w:val="00A05CE9"/>
    <w:rsid w:val="00A06095"/>
    <w:rsid w:val="00A0676D"/>
    <w:rsid w:val="00A067B1"/>
    <w:rsid w:val="00A06DA2"/>
    <w:rsid w:val="00A07BBD"/>
    <w:rsid w:val="00A101FB"/>
    <w:rsid w:val="00A112FE"/>
    <w:rsid w:val="00A12909"/>
    <w:rsid w:val="00A12AA9"/>
    <w:rsid w:val="00A131DA"/>
    <w:rsid w:val="00A1386F"/>
    <w:rsid w:val="00A13E91"/>
    <w:rsid w:val="00A14B64"/>
    <w:rsid w:val="00A158AF"/>
    <w:rsid w:val="00A15DFB"/>
    <w:rsid w:val="00A168E3"/>
    <w:rsid w:val="00A16ABB"/>
    <w:rsid w:val="00A178A6"/>
    <w:rsid w:val="00A17943"/>
    <w:rsid w:val="00A17B33"/>
    <w:rsid w:val="00A17F5B"/>
    <w:rsid w:val="00A20033"/>
    <w:rsid w:val="00A20141"/>
    <w:rsid w:val="00A20551"/>
    <w:rsid w:val="00A2076F"/>
    <w:rsid w:val="00A209D7"/>
    <w:rsid w:val="00A20EBC"/>
    <w:rsid w:val="00A21676"/>
    <w:rsid w:val="00A227E0"/>
    <w:rsid w:val="00A2343F"/>
    <w:rsid w:val="00A23858"/>
    <w:rsid w:val="00A25629"/>
    <w:rsid w:val="00A265D2"/>
    <w:rsid w:val="00A26E39"/>
    <w:rsid w:val="00A274D2"/>
    <w:rsid w:val="00A27930"/>
    <w:rsid w:val="00A2795A"/>
    <w:rsid w:val="00A279E1"/>
    <w:rsid w:val="00A30212"/>
    <w:rsid w:val="00A30300"/>
    <w:rsid w:val="00A30771"/>
    <w:rsid w:val="00A30C7D"/>
    <w:rsid w:val="00A310DD"/>
    <w:rsid w:val="00A3134B"/>
    <w:rsid w:val="00A31CCE"/>
    <w:rsid w:val="00A31E90"/>
    <w:rsid w:val="00A3218F"/>
    <w:rsid w:val="00A33C52"/>
    <w:rsid w:val="00A34971"/>
    <w:rsid w:val="00A34B81"/>
    <w:rsid w:val="00A34CA3"/>
    <w:rsid w:val="00A34F0D"/>
    <w:rsid w:val="00A36150"/>
    <w:rsid w:val="00A36CEB"/>
    <w:rsid w:val="00A3779A"/>
    <w:rsid w:val="00A377C3"/>
    <w:rsid w:val="00A37B50"/>
    <w:rsid w:val="00A402D3"/>
    <w:rsid w:val="00A40382"/>
    <w:rsid w:val="00A40F2F"/>
    <w:rsid w:val="00A41620"/>
    <w:rsid w:val="00A424C8"/>
    <w:rsid w:val="00A42600"/>
    <w:rsid w:val="00A42D68"/>
    <w:rsid w:val="00A431CB"/>
    <w:rsid w:val="00A438D6"/>
    <w:rsid w:val="00A43E45"/>
    <w:rsid w:val="00A4418B"/>
    <w:rsid w:val="00A44AE3"/>
    <w:rsid w:val="00A454DD"/>
    <w:rsid w:val="00A4550E"/>
    <w:rsid w:val="00A46B94"/>
    <w:rsid w:val="00A50294"/>
    <w:rsid w:val="00A50370"/>
    <w:rsid w:val="00A510E6"/>
    <w:rsid w:val="00A51AD1"/>
    <w:rsid w:val="00A51FC8"/>
    <w:rsid w:val="00A526CC"/>
    <w:rsid w:val="00A529BB"/>
    <w:rsid w:val="00A532C5"/>
    <w:rsid w:val="00A5341D"/>
    <w:rsid w:val="00A5359C"/>
    <w:rsid w:val="00A536B2"/>
    <w:rsid w:val="00A538DD"/>
    <w:rsid w:val="00A53909"/>
    <w:rsid w:val="00A53E4A"/>
    <w:rsid w:val="00A541A6"/>
    <w:rsid w:val="00A5575F"/>
    <w:rsid w:val="00A56320"/>
    <w:rsid w:val="00A56EB4"/>
    <w:rsid w:val="00A57387"/>
    <w:rsid w:val="00A57392"/>
    <w:rsid w:val="00A574B1"/>
    <w:rsid w:val="00A575C6"/>
    <w:rsid w:val="00A606D8"/>
    <w:rsid w:val="00A60F4E"/>
    <w:rsid w:val="00A6163B"/>
    <w:rsid w:val="00A61BA2"/>
    <w:rsid w:val="00A6308A"/>
    <w:rsid w:val="00A631B8"/>
    <w:rsid w:val="00A63246"/>
    <w:rsid w:val="00A63259"/>
    <w:rsid w:val="00A633AB"/>
    <w:rsid w:val="00A63F48"/>
    <w:rsid w:val="00A64681"/>
    <w:rsid w:val="00A64FA5"/>
    <w:rsid w:val="00A66725"/>
    <w:rsid w:val="00A67941"/>
    <w:rsid w:val="00A67C68"/>
    <w:rsid w:val="00A70075"/>
    <w:rsid w:val="00A70B0F"/>
    <w:rsid w:val="00A70BF1"/>
    <w:rsid w:val="00A70E2C"/>
    <w:rsid w:val="00A7222D"/>
    <w:rsid w:val="00A72A0C"/>
    <w:rsid w:val="00A72BD2"/>
    <w:rsid w:val="00A74952"/>
    <w:rsid w:val="00A74A78"/>
    <w:rsid w:val="00A74D59"/>
    <w:rsid w:val="00A75016"/>
    <w:rsid w:val="00A75559"/>
    <w:rsid w:val="00A7557E"/>
    <w:rsid w:val="00A75850"/>
    <w:rsid w:val="00A75863"/>
    <w:rsid w:val="00A75CD2"/>
    <w:rsid w:val="00A766D0"/>
    <w:rsid w:val="00A76D30"/>
    <w:rsid w:val="00A775C1"/>
    <w:rsid w:val="00A77778"/>
    <w:rsid w:val="00A77AE7"/>
    <w:rsid w:val="00A806DF"/>
    <w:rsid w:val="00A821FC"/>
    <w:rsid w:val="00A82BBC"/>
    <w:rsid w:val="00A8301F"/>
    <w:rsid w:val="00A83707"/>
    <w:rsid w:val="00A83DA4"/>
    <w:rsid w:val="00A84B54"/>
    <w:rsid w:val="00A856B3"/>
    <w:rsid w:val="00A90E7F"/>
    <w:rsid w:val="00A90F6E"/>
    <w:rsid w:val="00A92440"/>
    <w:rsid w:val="00A92569"/>
    <w:rsid w:val="00A927AC"/>
    <w:rsid w:val="00A9305A"/>
    <w:rsid w:val="00A93E8B"/>
    <w:rsid w:val="00A95391"/>
    <w:rsid w:val="00A9540A"/>
    <w:rsid w:val="00A95AA3"/>
    <w:rsid w:val="00A97229"/>
    <w:rsid w:val="00A97666"/>
    <w:rsid w:val="00A97D3C"/>
    <w:rsid w:val="00AA0520"/>
    <w:rsid w:val="00AA19CF"/>
    <w:rsid w:val="00AA28D6"/>
    <w:rsid w:val="00AA2A35"/>
    <w:rsid w:val="00AA2D2B"/>
    <w:rsid w:val="00AA3B99"/>
    <w:rsid w:val="00AA4AEC"/>
    <w:rsid w:val="00AA4FCD"/>
    <w:rsid w:val="00AA5416"/>
    <w:rsid w:val="00AA5918"/>
    <w:rsid w:val="00AA64A1"/>
    <w:rsid w:val="00AA6795"/>
    <w:rsid w:val="00AA69C4"/>
    <w:rsid w:val="00AA7541"/>
    <w:rsid w:val="00AB21B6"/>
    <w:rsid w:val="00AB255E"/>
    <w:rsid w:val="00AB284E"/>
    <w:rsid w:val="00AB28CD"/>
    <w:rsid w:val="00AB2B07"/>
    <w:rsid w:val="00AB3C18"/>
    <w:rsid w:val="00AB3C43"/>
    <w:rsid w:val="00AB456E"/>
    <w:rsid w:val="00AB4D65"/>
    <w:rsid w:val="00AB5BBB"/>
    <w:rsid w:val="00AB5D18"/>
    <w:rsid w:val="00AB616A"/>
    <w:rsid w:val="00AB63A1"/>
    <w:rsid w:val="00AB65C1"/>
    <w:rsid w:val="00AB672C"/>
    <w:rsid w:val="00AB6DEC"/>
    <w:rsid w:val="00AB6E27"/>
    <w:rsid w:val="00AB7043"/>
    <w:rsid w:val="00AB7DB8"/>
    <w:rsid w:val="00AC0E08"/>
    <w:rsid w:val="00AC20B3"/>
    <w:rsid w:val="00AC2CC9"/>
    <w:rsid w:val="00AC2FEE"/>
    <w:rsid w:val="00AC41EA"/>
    <w:rsid w:val="00AC4A2B"/>
    <w:rsid w:val="00AC4D29"/>
    <w:rsid w:val="00AC4E71"/>
    <w:rsid w:val="00AC5E0F"/>
    <w:rsid w:val="00AC691C"/>
    <w:rsid w:val="00AC6FFC"/>
    <w:rsid w:val="00AC7417"/>
    <w:rsid w:val="00AC74A1"/>
    <w:rsid w:val="00AD0296"/>
    <w:rsid w:val="00AD0B3E"/>
    <w:rsid w:val="00AD0C16"/>
    <w:rsid w:val="00AD13D8"/>
    <w:rsid w:val="00AD17DA"/>
    <w:rsid w:val="00AD19AC"/>
    <w:rsid w:val="00AD1B7C"/>
    <w:rsid w:val="00AD1BFC"/>
    <w:rsid w:val="00AD2FBE"/>
    <w:rsid w:val="00AD38BF"/>
    <w:rsid w:val="00AD3DD0"/>
    <w:rsid w:val="00AD47C2"/>
    <w:rsid w:val="00AD4D93"/>
    <w:rsid w:val="00AD4E64"/>
    <w:rsid w:val="00AD5241"/>
    <w:rsid w:val="00AD5266"/>
    <w:rsid w:val="00AD54E2"/>
    <w:rsid w:val="00AD59ED"/>
    <w:rsid w:val="00AD638C"/>
    <w:rsid w:val="00AD68D1"/>
    <w:rsid w:val="00AD6FD0"/>
    <w:rsid w:val="00AD7375"/>
    <w:rsid w:val="00AD7797"/>
    <w:rsid w:val="00AD7BE5"/>
    <w:rsid w:val="00AD7C70"/>
    <w:rsid w:val="00AE0A95"/>
    <w:rsid w:val="00AE1087"/>
    <w:rsid w:val="00AE147D"/>
    <w:rsid w:val="00AE18AB"/>
    <w:rsid w:val="00AE1A88"/>
    <w:rsid w:val="00AE1EB0"/>
    <w:rsid w:val="00AE21D0"/>
    <w:rsid w:val="00AE3FF5"/>
    <w:rsid w:val="00AE47AC"/>
    <w:rsid w:val="00AE500A"/>
    <w:rsid w:val="00AE50AF"/>
    <w:rsid w:val="00AE5641"/>
    <w:rsid w:val="00AE566F"/>
    <w:rsid w:val="00AE56D4"/>
    <w:rsid w:val="00AE5E97"/>
    <w:rsid w:val="00AE6799"/>
    <w:rsid w:val="00AE67CA"/>
    <w:rsid w:val="00AE6D27"/>
    <w:rsid w:val="00AE7558"/>
    <w:rsid w:val="00AE776F"/>
    <w:rsid w:val="00AE7D90"/>
    <w:rsid w:val="00AF0B52"/>
    <w:rsid w:val="00AF108B"/>
    <w:rsid w:val="00AF1B76"/>
    <w:rsid w:val="00AF2026"/>
    <w:rsid w:val="00AF2345"/>
    <w:rsid w:val="00AF3BDC"/>
    <w:rsid w:val="00AF42AF"/>
    <w:rsid w:val="00AF474F"/>
    <w:rsid w:val="00AF4893"/>
    <w:rsid w:val="00AF50EC"/>
    <w:rsid w:val="00AF5772"/>
    <w:rsid w:val="00AF725F"/>
    <w:rsid w:val="00B000B7"/>
    <w:rsid w:val="00B003C7"/>
    <w:rsid w:val="00B006EC"/>
    <w:rsid w:val="00B010CA"/>
    <w:rsid w:val="00B01655"/>
    <w:rsid w:val="00B016E2"/>
    <w:rsid w:val="00B01C7E"/>
    <w:rsid w:val="00B039C0"/>
    <w:rsid w:val="00B04FD1"/>
    <w:rsid w:val="00B0606D"/>
    <w:rsid w:val="00B0606E"/>
    <w:rsid w:val="00B064A3"/>
    <w:rsid w:val="00B065FC"/>
    <w:rsid w:val="00B0675D"/>
    <w:rsid w:val="00B10C01"/>
    <w:rsid w:val="00B10E6E"/>
    <w:rsid w:val="00B1150C"/>
    <w:rsid w:val="00B115D3"/>
    <w:rsid w:val="00B11882"/>
    <w:rsid w:val="00B118E7"/>
    <w:rsid w:val="00B11925"/>
    <w:rsid w:val="00B11F10"/>
    <w:rsid w:val="00B13419"/>
    <w:rsid w:val="00B134C9"/>
    <w:rsid w:val="00B137DA"/>
    <w:rsid w:val="00B13AF2"/>
    <w:rsid w:val="00B13BE6"/>
    <w:rsid w:val="00B13F12"/>
    <w:rsid w:val="00B1453F"/>
    <w:rsid w:val="00B14C88"/>
    <w:rsid w:val="00B1627E"/>
    <w:rsid w:val="00B17631"/>
    <w:rsid w:val="00B2083D"/>
    <w:rsid w:val="00B20A3B"/>
    <w:rsid w:val="00B20CFB"/>
    <w:rsid w:val="00B21A1B"/>
    <w:rsid w:val="00B21C71"/>
    <w:rsid w:val="00B21D8F"/>
    <w:rsid w:val="00B22060"/>
    <w:rsid w:val="00B22848"/>
    <w:rsid w:val="00B22D1F"/>
    <w:rsid w:val="00B2352F"/>
    <w:rsid w:val="00B2353D"/>
    <w:rsid w:val="00B23A62"/>
    <w:rsid w:val="00B246DF"/>
    <w:rsid w:val="00B2480C"/>
    <w:rsid w:val="00B2509C"/>
    <w:rsid w:val="00B2636D"/>
    <w:rsid w:val="00B27A60"/>
    <w:rsid w:val="00B27AFF"/>
    <w:rsid w:val="00B27DAE"/>
    <w:rsid w:val="00B27F6C"/>
    <w:rsid w:val="00B30539"/>
    <w:rsid w:val="00B30F81"/>
    <w:rsid w:val="00B314F1"/>
    <w:rsid w:val="00B3177A"/>
    <w:rsid w:val="00B31F9E"/>
    <w:rsid w:val="00B32051"/>
    <w:rsid w:val="00B34C59"/>
    <w:rsid w:val="00B3514A"/>
    <w:rsid w:val="00B36A6E"/>
    <w:rsid w:val="00B36C94"/>
    <w:rsid w:val="00B37B82"/>
    <w:rsid w:val="00B37CFD"/>
    <w:rsid w:val="00B412CE"/>
    <w:rsid w:val="00B41893"/>
    <w:rsid w:val="00B41DE2"/>
    <w:rsid w:val="00B41EFC"/>
    <w:rsid w:val="00B42735"/>
    <w:rsid w:val="00B42805"/>
    <w:rsid w:val="00B43170"/>
    <w:rsid w:val="00B451A2"/>
    <w:rsid w:val="00B45742"/>
    <w:rsid w:val="00B46345"/>
    <w:rsid w:val="00B467C3"/>
    <w:rsid w:val="00B4714E"/>
    <w:rsid w:val="00B4729B"/>
    <w:rsid w:val="00B50104"/>
    <w:rsid w:val="00B502FB"/>
    <w:rsid w:val="00B5150B"/>
    <w:rsid w:val="00B51B14"/>
    <w:rsid w:val="00B51CA0"/>
    <w:rsid w:val="00B52766"/>
    <w:rsid w:val="00B52E3D"/>
    <w:rsid w:val="00B5322E"/>
    <w:rsid w:val="00B5356A"/>
    <w:rsid w:val="00B55947"/>
    <w:rsid w:val="00B55B34"/>
    <w:rsid w:val="00B5616C"/>
    <w:rsid w:val="00B56285"/>
    <w:rsid w:val="00B56D30"/>
    <w:rsid w:val="00B576AD"/>
    <w:rsid w:val="00B57ABB"/>
    <w:rsid w:val="00B57B45"/>
    <w:rsid w:val="00B600ED"/>
    <w:rsid w:val="00B60530"/>
    <w:rsid w:val="00B61484"/>
    <w:rsid w:val="00B6161D"/>
    <w:rsid w:val="00B63C9D"/>
    <w:rsid w:val="00B63CD5"/>
    <w:rsid w:val="00B642F7"/>
    <w:rsid w:val="00B64F90"/>
    <w:rsid w:val="00B65251"/>
    <w:rsid w:val="00B6549D"/>
    <w:rsid w:val="00B65D36"/>
    <w:rsid w:val="00B66B9F"/>
    <w:rsid w:val="00B67DF5"/>
    <w:rsid w:val="00B7041B"/>
    <w:rsid w:val="00B7286C"/>
    <w:rsid w:val="00B72C5D"/>
    <w:rsid w:val="00B7300B"/>
    <w:rsid w:val="00B73288"/>
    <w:rsid w:val="00B73399"/>
    <w:rsid w:val="00B73411"/>
    <w:rsid w:val="00B73855"/>
    <w:rsid w:val="00B74169"/>
    <w:rsid w:val="00B7471C"/>
    <w:rsid w:val="00B7658F"/>
    <w:rsid w:val="00B76838"/>
    <w:rsid w:val="00B76AD3"/>
    <w:rsid w:val="00B772AC"/>
    <w:rsid w:val="00B77FB9"/>
    <w:rsid w:val="00B801CA"/>
    <w:rsid w:val="00B80D0C"/>
    <w:rsid w:val="00B80E21"/>
    <w:rsid w:val="00B8131F"/>
    <w:rsid w:val="00B8136B"/>
    <w:rsid w:val="00B813AC"/>
    <w:rsid w:val="00B81EFB"/>
    <w:rsid w:val="00B83143"/>
    <w:rsid w:val="00B837D1"/>
    <w:rsid w:val="00B84045"/>
    <w:rsid w:val="00B843DA"/>
    <w:rsid w:val="00B84AC0"/>
    <w:rsid w:val="00B8518D"/>
    <w:rsid w:val="00B8563D"/>
    <w:rsid w:val="00B8687C"/>
    <w:rsid w:val="00B86D42"/>
    <w:rsid w:val="00B8719A"/>
    <w:rsid w:val="00B87D24"/>
    <w:rsid w:val="00B87DC7"/>
    <w:rsid w:val="00B900D6"/>
    <w:rsid w:val="00B902C6"/>
    <w:rsid w:val="00B91171"/>
    <w:rsid w:val="00B91E63"/>
    <w:rsid w:val="00B91EB7"/>
    <w:rsid w:val="00B93F9A"/>
    <w:rsid w:val="00B94BA9"/>
    <w:rsid w:val="00B953FF"/>
    <w:rsid w:val="00B958D2"/>
    <w:rsid w:val="00B95D24"/>
    <w:rsid w:val="00B9626D"/>
    <w:rsid w:val="00B96912"/>
    <w:rsid w:val="00B96ACD"/>
    <w:rsid w:val="00B96CC8"/>
    <w:rsid w:val="00B96DD9"/>
    <w:rsid w:val="00B96E97"/>
    <w:rsid w:val="00B973F7"/>
    <w:rsid w:val="00B9755B"/>
    <w:rsid w:val="00B979F6"/>
    <w:rsid w:val="00BA03BB"/>
    <w:rsid w:val="00BA096F"/>
    <w:rsid w:val="00BA0EE9"/>
    <w:rsid w:val="00BA1098"/>
    <w:rsid w:val="00BA1306"/>
    <w:rsid w:val="00BA1BD6"/>
    <w:rsid w:val="00BA1FD6"/>
    <w:rsid w:val="00BA3844"/>
    <w:rsid w:val="00BA49AE"/>
    <w:rsid w:val="00BA4E4F"/>
    <w:rsid w:val="00BA6B55"/>
    <w:rsid w:val="00BB02C6"/>
    <w:rsid w:val="00BB0FE7"/>
    <w:rsid w:val="00BB140B"/>
    <w:rsid w:val="00BB1BB0"/>
    <w:rsid w:val="00BB20F9"/>
    <w:rsid w:val="00BB2437"/>
    <w:rsid w:val="00BB2679"/>
    <w:rsid w:val="00BB2AA8"/>
    <w:rsid w:val="00BB2B1F"/>
    <w:rsid w:val="00BB3606"/>
    <w:rsid w:val="00BB3ED9"/>
    <w:rsid w:val="00BB418F"/>
    <w:rsid w:val="00BB4203"/>
    <w:rsid w:val="00BB48BE"/>
    <w:rsid w:val="00BB5401"/>
    <w:rsid w:val="00BB5625"/>
    <w:rsid w:val="00BB6EE3"/>
    <w:rsid w:val="00BB7243"/>
    <w:rsid w:val="00BB74B6"/>
    <w:rsid w:val="00BC056E"/>
    <w:rsid w:val="00BC0BC1"/>
    <w:rsid w:val="00BC12EC"/>
    <w:rsid w:val="00BC13C0"/>
    <w:rsid w:val="00BC1565"/>
    <w:rsid w:val="00BC1E1D"/>
    <w:rsid w:val="00BC21BD"/>
    <w:rsid w:val="00BC27B9"/>
    <w:rsid w:val="00BC2856"/>
    <w:rsid w:val="00BC2A83"/>
    <w:rsid w:val="00BC317D"/>
    <w:rsid w:val="00BC42BF"/>
    <w:rsid w:val="00BC42E1"/>
    <w:rsid w:val="00BC43FB"/>
    <w:rsid w:val="00BC4A39"/>
    <w:rsid w:val="00BC553D"/>
    <w:rsid w:val="00BC5841"/>
    <w:rsid w:val="00BC6368"/>
    <w:rsid w:val="00BC6DEB"/>
    <w:rsid w:val="00BC6FBF"/>
    <w:rsid w:val="00BC7A4B"/>
    <w:rsid w:val="00BD01D0"/>
    <w:rsid w:val="00BD03AF"/>
    <w:rsid w:val="00BD10DA"/>
    <w:rsid w:val="00BD124E"/>
    <w:rsid w:val="00BD14A5"/>
    <w:rsid w:val="00BD1AAC"/>
    <w:rsid w:val="00BD1C5F"/>
    <w:rsid w:val="00BD1FA9"/>
    <w:rsid w:val="00BD29AC"/>
    <w:rsid w:val="00BD3600"/>
    <w:rsid w:val="00BD38C7"/>
    <w:rsid w:val="00BD43B3"/>
    <w:rsid w:val="00BD4752"/>
    <w:rsid w:val="00BD515F"/>
    <w:rsid w:val="00BD5165"/>
    <w:rsid w:val="00BD5BAC"/>
    <w:rsid w:val="00BD5BD6"/>
    <w:rsid w:val="00BD64FE"/>
    <w:rsid w:val="00BD67DF"/>
    <w:rsid w:val="00BE0191"/>
    <w:rsid w:val="00BE01D2"/>
    <w:rsid w:val="00BE0F32"/>
    <w:rsid w:val="00BE1C48"/>
    <w:rsid w:val="00BE3133"/>
    <w:rsid w:val="00BE3951"/>
    <w:rsid w:val="00BE3C33"/>
    <w:rsid w:val="00BE44AD"/>
    <w:rsid w:val="00BE45DC"/>
    <w:rsid w:val="00BE4CF4"/>
    <w:rsid w:val="00BE5A95"/>
    <w:rsid w:val="00BE5DE3"/>
    <w:rsid w:val="00BE6E4B"/>
    <w:rsid w:val="00BE6EC9"/>
    <w:rsid w:val="00BE7309"/>
    <w:rsid w:val="00BE7F83"/>
    <w:rsid w:val="00BF06D8"/>
    <w:rsid w:val="00BF0DC1"/>
    <w:rsid w:val="00BF14CA"/>
    <w:rsid w:val="00BF18DB"/>
    <w:rsid w:val="00BF2BEC"/>
    <w:rsid w:val="00BF2F20"/>
    <w:rsid w:val="00BF3163"/>
    <w:rsid w:val="00BF334F"/>
    <w:rsid w:val="00BF3AE2"/>
    <w:rsid w:val="00BF42B4"/>
    <w:rsid w:val="00BF51EB"/>
    <w:rsid w:val="00BF60F4"/>
    <w:rsid w:val="00BF66DB"/>
    <w:rsid w:val="00BF6842"/>
    <w:rsid w:val="00BF6F96"/>
    <w:rsid w:val="00BF7CBE"/>
    <w:rsid w:val="00BF7ECE"/>
    <w:rsid w:val="00C007A0"/>
    <w:rsid w:val="00C00981"/>
    <w:rsid w:val="00C01CCC"/>
    <w:rsid w:val="00C01EFE"/>
    <w:rsid w:val="00C02429"/>
    <w:rsid w:val="00C02864"/>
    <w:rsid w:val="00C02E3C"/>
    <w:rsid w:val="00C03CC2"/>
    <w:rsid w:val="00C0405E"/>
    <w:rsid w:val="00C0437A"/>
    <w:rsid w:val="00C047FA"/>
    <w:rsid w:val="00C04DB2"/>
    <w:rsid w:val="00C04F9E"/>
    <w:rsid w:val="00C050E7"/>
    <w:rsid w:val="00C059D9"/>
    <w:rsid w:val="00C05E93"/>
    <w:rsid w:val="00C06841"/>
    <w:rsid w:val="00C07934"/>
    <w:rsid w:val="00C10BD1"/>
    <w:rsid w:val="00C10EBE"/>
    <w:rsid w:val="00C115E7"/>
    <w:rsid w:val="00C12833"/>
    <w:rsid w:val="00C12D37"/>
    <w:rsid w:val="00C14B81"/>
    <w:rsid w:val="00C14C57"/>
    <w:rsid w:val="00C153B3"/>
    <w:rsid w:val="00C15603"/>
    <w:rsid w:val="00C15B9D"/>
    <w:rsid w:val="00C15C9C"/>
    <w:rsid w:val="00C1629F"/>
    <w:rsid w:val="00C16D87"/>
    <w:rsid w:val="00C17BA5"/>
    <w:rsid w:val="00C17E18"/>
    <w:rsid w:val="00C20874"/>
    <w:rsid w:val="00C20B04"/>
    <w:rsid w:val="00C22843"/>
    <w:rsid w:val="00C22846"/>
    <w:rsid w:val="00C228B6"/>
    <w:rsid w:val="00C22B58"/>
    <w:rsid w:val="00C2340C"/>
    <w:rsid w:val="00C23D59"/>
    <w:rsid w:val="00C24577"/>
    <w:rsid w:val="00C246F4"/>
    <w:rsid w:val="00C25015"/>
    <w:rsid w:val="00C25074"/>
    <w:rsid w:val="00C260A2"/>
    <w:rsid w:val="00C2635D"/>
    <w:rsid w:val="00C2737E"/>
    <w:rsid w:val="00C27B3D"/>
    <w:rsid w:val="00C302F1"/>
    <w:rsid w:val="00C3144E"/>
    <w:rsid w:val="00C3151C"/>
    <w:rsid w:val="00C31536"/>
    <w:rsid w:val="00C32813"/>
    <w:rsid w:val="00C32880"/>
    <w:rsid w:val="00C33A9B"/>
    <w:rsid w:val="00C34264"/>
    <w:rsid w:val="00C342EB"/>
    <w:rsid w:val="00C3475E"/>
    <w:rsid w:val="00C34C96"/>
    <w:rsid w:val="00C35499"/>
    <w:rsid w:val="00C35856"/>
    <w:rsid w:val="00C35E7B"/>
    <w:rsid w:val="00C36306"/>
    <w:rsid w:val="00C365CB"/>
    <w:rsid w:val="00C367AE"/>
    <w:rsid w:val="00C370F9"/>
    <w:rsid w:val="00C404A6"/>
    <w:rsid w:val="00C4102B"/>
    <w:rsid w:val="00C41150"/>
    <w:rsid w:val="00C41F77"/>
    <w:rsid w:val="00C4200E"/>
    <w:rsid w:val="00C423E5"/>
    <w:rsid w:val="00C434FC"/>
    <w:rsid w:val="00C43FC2"/>
    <w:rsid w:val="00C4486F"/>
    <w:rsid w:val="00C44A21"/>
    <w:rsid w:val="00C45839"/>
    <w:rsid w:val="00C45E1A"/>
    <w:rsid w:val="00C46724"/>
    <w:rsid w:val="00C46A86"/>
    <w:rsid w:val="00C46E3E"/>
    <w:rsid w:val="00C500AB"/>
    <w:rsid w:val="00C50A33"/>
    <w:rsid w:val="00C50F4A"/>
    <w:rsid w:val="00C5124A"/>
    <w:rsid w:val="00C52AAD"/>
    <w:rsid w:val="00C544D8"/>
    <w:rsid w:val="00C5485A"/>
    <w:rsid w:val="00C54FAA"/>
    <w:rsid w:val="00C55608"/>
    <w:rsid w:val="00C55661"/>
    <w:rsid w:val="00C5586B"/>
    <w:rsid w:val="00C55FFA"/>
    <w:rsid w:val="00C56BFE"/>
    <w:rsid w:val="00C56D83"/>
    <w:rsid w:val="00C56EE8"/>
    <w:rsid w:val="00C56F20"/>
    <w:rsid w:val="00C57725"/>
    <w:rsid w:val="00C60428"/>
    <w:rsid w:val="00C604FA"/>
    <w:rsid w:val="00C6171D"/>
    <w:rsid w:val="00C6193D"/>
    <w:rsid w:val="00C61B1A"/>
    <w:rsid w:val="00C61D35"/>
    <w:rsid w:val="00C61FAB"/>
    <w:rsid w:val="00C6224D"/>
    <w:rsid w:val="00C6381F"/>
    <w:rsid w:val="00C64407"/>
    <w:rsid w:val="00C6551C"/>
    <w:rsid w:val="00C65FCC"/>
    <w:rsid w:val="00C674FB"/>
    <w:rsid w:val="00C70BEE"/>
    <w:rsid w:val="00C712DC"/>
    <w:rsid w:val="00C71425"/>
    <w:rsid w:val="00C7174D"/>
    <w:rsid w:val="00C71B63"/>
    <w:rsid w:val="00C720B5"/>
    <w:rsid w:val="00C7374C"/>
    <w:rsid w:val="00C73C8D"/>
    <w:rsid w:val="00C74602"/>
    <w:rsid w:val="00C75123"/>
    <w:rsid w:val="00C75FC4"/>
    <w:rsid w:val="00C763C0"/>
    <w:rsid w:val="00C7687B"/>
    <w:rsid w:val="00C76EA7"/>
    <w:rsid w:val="00C773DD"/>
    <w:rsid w:val="00C77B1C"/>
    <w:rsid w:val="00C802E8"/>
    <w:rsid w:val="00C809C6"/>
    <w:rsid w:val="00C80DE9"/>
    <w:rsid w:val="00C8228E"/>
    <w:rsid w:val="00C82BBF"/>
    <w:rsid w:val="00C84A69"/>
    <w:rsid w:val="00C85973"/>
    <w:rsid w:val="00C859CB"/>
    <w:rsid w:val="00C85DA9"/>
    <w:rsid w:val="00C85F83"/>
    <w:rsid w:val="00C861E1"/>
    <w:rsid w:val="00C91AAD"/>
    <w:rsid w:val="00C91F13"/>
    <w:rsid w:val="00C9216E"/>
    <w:rsid w:val="00C92A80"/>
    <w:rsid w:val="00C92E2F"/>
    <w:rsid w:val="00C93357"/>
    <w:rsid w:val="00C939A3"/>
    <w:rsid w:val="00C94A31"/>
    <w:rsid w:val="00C94BEF"/>
    <w:rsid w:val="00C9524E"/>
    <w:rsid w:val="00C9556C"/>
    <w:rsid w:val="00C95C49"/>
    <w:rsid w:val="00C96780"/>
    <w:rsid w:val="00C9678F"/>
    <w:rsid w:val="00C96D1D"/>
    <w:rsid w:val="00C96E43"/>
    <w:rsid w:val="00C97522"/>
    <w:rsid w:val="00CA02A5"/>
    <w:rsid w:val="00CA0E84"/>
    <w:rsid w:val="00CA0F4B"/>
    <w:rsid w:val="00CA2061"/>
    <w:rsid w:val="00CA2750"/>
    <w:rsid w:val="00CA33DB"/>
    <w:rsid w:val="00CA52EC"/>
    <w:rsid w:val="00CA5821"/>
    <w:rsid w:val="00CA5B91"/>
    <w:rsid w:val="00CA6CD5"/>
    <w:rsid w:val="00CA6CFA"/>
    <w:rsid w:val="00CA7008"/>
    <w:rsid w:val="00CA7FED"/>
    <w:rsid w:val="00CB04EB"/>
    <w:rsid w:val="00CB085A"/>
    <w:rsid w:val="00CB0BA8"/>
    <w:rsid w:val="00CB10A1"/>
    <w:rsid w:val="00CB1541"/>
    <w:rsid w:val="00CB1F45"/>
    <w:rsid w:val="00CB1F86"/>
    <w:rsid w:val="00CB22BA"/>
    <w:rsid w:val="00CB24D8"/>
    <w:rsid w:val="00CB2CF9"/>
    <w:rsid w:val="00CB32F5"/>
    <w:rsid w:val="00CB34CC"/>
    <w:rsid w:val="00CB43CB"/>
    <w:rsid w:val="00CB4F6F"/>
    <w:rsid w:val="00CB5A36"/>
    <w:rsid w:val="00CB6217"/>
    <w:rsid w:val="00CB66CB"/>
    <w:rsid w:val="00CB6D89"/>
    <w:rsid w:val="00CB6DE6"/>
    <w:rsid w:val="00CB6EA3"/>
    <w:rsid w:val="00CC0989"/>
    <w:rsid w:val="00CC1496"/>
    <w:rsid w:val="00CC2574"/>
    <w:rsid w:val="00CC37CC"/>
    <w:rsid w:val="00CC3B3F"/>
    <w:rsid w:val="00CC3DA9"/>
    <w:rsid w:val="00CC4141"/>
    <w:rsid w:val="00CC41E9"/>
    <w:rsid w:val="00CC48B3"/>
    <w:rsid w:val="00CC49F5"/>
    <w:rsid w:val="00CC4C10"/>
    <w:rsid w:val="00CC4E82"/>
    <w:rsid w:val="00CC636E"/>
    <w:rsid w:val="00CC63F3"/>
    <w:rsid w:val="00CC72D3"/>
    <w:rsid w:val="00CC7393"/>
    <w:rsid w:val="00CC75A6"/>
    <w:rsid w:val="00CC7DDD"/>
    <w:rsid w:val="00CC7DFB"/>
    <w:rsid w:val="00CD0502"/>
    <w:rsid w:val="00CD0682"/>
    <w:rsid w:val="00CD0724"/>
    <w:rsid w:val="00CD073B"/>
    <w:rsid w:val="00CD07DA"/>
    <w:rsid w:val="00CD1105"/>
    <w:rsid w:val="00CD1536"/>
    <w:rsid w:val="00CD160C"/>
    <w:rsid w:val="00CD1A39"/>
    <w:rsid w:val="00CD235C"/>
    <w:rsid w:val="00CD2AC1"/>
    <w:rsid w:val="00CD2B3E"/>
    <w:rsid w:val="00CD2C93"/>
    <w:rsid w:val="00CD42D0"/>
    <w:rsid w:val="00CD4A1B"/>
    <w:rsid w:val="00CD4C56"/>
    <w:rsid w:val="00CD5440"/>
    <w:rsid w:val="00CD59C6"/>
    <w:rsid w:val="00CD5A96"/>
    <w:rsid w:val="00CD659D"/>
    <w:rsid w:val="00CD6B23"/>
    <w:rsid w:val="00CD7311"/>
    <w:rsid w:val="00CD76E4"/>
    <w:rsid w:val="00CD7774"/>
    <w:rsid w:val="00CE050A"/>
    <w:rsid w:val="00CE1340"/>
    <w:rsid w:val="00CE14F5"/>
    <w:rsid w:val="00CE14FB"/>
    <w:rsid w:val="00CE164D"/>
    <w:rsid w:val="00CE16EF"/>
    <w:rsid w:val="00CE1C8A"/>
    <w:rsid w:val="00CE1C8C"/>
    <w:rsid w:val="00CE244B"/>
    <w:rsid w:val="00CE2805"/>
    <w:rsid w:val="00CE2AB1"/>
    <w:rsid w:val="00CE2BD7"/>
    <w:rsid w:val="00CE2C28"/>
    <w:rsid w:val="00CE2D20"/>
    <w:rsid w:val="00CE2D3A"/>
    <w:rsid w:val="00CE31F6"/>
    <w:rsid w:val="00CE3963"/>
    <w:rsid w:val="00CE42C8"/>
    <w:rsid w:val="00CE5E95"/>
    <w:rsid w:val="00CE6230"/>
    <w:rsid w:val="00CE68B8"/>
    <w:rsid w:val="00CE71FD"/>
    <w:rsid w:val="00CE72D0"/>
    <w:rsid w:val="00CF01E5"/>
    <w:rsid w:val="00CF1090"/>
    <w:rsid w:val="00CF1C6D"/>
    <w:rsid w:val="00CF215A"/>
    <w:rsid w:val="00CF22CC"/>
    <w:rsid w:val="00CF2373"/>
    <w:rsid w:val="00CF23C8"/>
    <w:rsid w:val="00CF3258"/>
    <w:rsid w:val="00CF34DA"/>
    <w:rsid w:val="00CF3D59"/>
    <w:rsid w:val="00CF3DB8"/>
    <w:rsid w:val="00CF4127"/>
    <w:rsid w:val="00CF4558"/>
    <w:rsid w:val="00CF45C7"/>
    <w:rsid w:val="00CF4B37"/>
    <w:rsid w:val="00CF55FD"/>
    <w:rsid w:val="00CF5B2C"/>
    <w:rsid w:val="00CF5CB9"/>
    <w:rsid w:val="00CF7706"/>
    <w:rsid w:val="00D025F1"/>
    <w:rsid w:val="00D03506"/>
    <w:rsid w:val="00D03551"/>
    <w:rsid w:val="00D05AF7"/>
    <w:rsid w:val="00D0613E"/>
    <w:rsid w:val="00D066A0"/>
    <w:rsid w:val="00D06E0C"/>
    <w:rsid w:val="00D070EE"/>
    <w:rsid w:val="00D1044F"/>
    <w:rsid w:val="00D115B4"/>
    <w:rsid w:val="00D11D91"/>
    <w:rsid w:val="00D11EC2"/>
    <w:rsid w:val="00D129C6"/>
    <w:rsid w:val="00D147C0"/>
    <w:rsid w:val="00D15854"/>
    <w:rsid w:val="00D16939"/>
    <w:rsid w:val="00D17CA3"/>
    <w:rsid w:val="00D20B3B"/>
    <w:rsid w:val="00D20ED8"/>
    <w:rsid w:val="00D21A51"/>
    <w:rsid w:val="00D21EC3"/>
    <w:rsid w:val="00D220D1"/>
    <w:rsid w:val="00D22608"/>
    <w:rsid w:val="00D22B95"/>
    <w:rsid w:val="00D23786"/>
    <w:rsid w:val="00D23AFD"/>
    <w:rsid w:val="00D23E33"/>
    <w:rsid w:val="00D24153"/>
    <w:rsid w:val="00D245E8"/>
    <w:rsid w:val="00D24CFC"/>
    <w:rsid w:val="00D254A5"/>
    <w:rsid w:val="00D25589"/>
    <w:rsid w:val="00D25BCA"/>
    <w:rsid w:val="00D26585"/>
    <w:rsid w:val="00D26AFF"/>
    <w:rsid w:val="00D26C0F"/>
    <w:rsid w:val="00D26D3C"/>
    <w:rsid w:val="00D27020"/>
    <w:rsid w:val="00D277B8"/>
    <w:rsid w:val="00D27AA4"/>
    <w:rsid w:val="00D30251"/>
    <w:rsid w:val="00D3030B"/>
    <w:rsid w:val="00D30539"/>
    <w:rsid w:val="00D30563"/>
    <w:rsid w:val="00D30839"/>
    <w:rsid w:val="00D313C8"/>
    <w:rsid w:val="00D31AD2"/>
    <w:rsid w:val="00D31C5D"/>
    <w:rsid w:val="00D31FDE"/>
    <w:rsid w:val="00D322C0"/>
    <w:rsid w:val="00D3236B"/>
    <w:rsid w:val="00D32CDA"/>
    <w:rsid w:val="00D33744"/>
    <w:rsid w:val="00D33962"/>
    <w:rsid w:val="00D34028"/>
    <w:rsid w:val="00D35270"/>
    <w:rsid w:val="00D366F2"/>
    <w:rsid w:val="00D36986"/>
    <w:rsid w:val="00D369C0"/>
    <w:rsid w:val="00D36A41"/>
    <w:rsid w:val="00D36B26"/>
    <w:rsid w:val="00D37375"/>
    <w:rsid w:val="00D37E14"/>
    <w:rsid w:val="00D407EC"/>
    <w:rsid w:val="00D40C43"/>
    <w:rsid w:val="00D40D18"/>
    <w:rsid w:val="00D41620"/>
    <w:rsid w:val="00D42AC4"/>
    <w:rsid w:val="00D42DE0"/>
    <w:rsid w:val="00D43C81"/>
    <w:rsid w:val="00D440AC"/>
    <w:rsid w:val="00D44197"/>
    <w:rsid w:val="00D442EE"/>
    <w:rsid w:val="00D4521D"/>
    <w:rsid w:val="00D455AB"/>
    <w:rsid w:val="00D4582B"/>
    <w:rsid w:val="00D45F9F"/>
    <w:rsid w:val="00D46B29"/>
    <w:rsid w:val="00D46B6F"/>
    <w:rsid w:val="00D46F45"/>
    <w:rsid w:val="00D47442"/>
    <w:rsid w:val="00D477B6"/>
    <w:rsid w:val="00D508F9"/>
    <w:rsid w:val="00D50B66"/>
    <w:rsid w:val="00D51504"/>
    <w:rsid w:val="00D51998"/>
    <w:rsid w:val="00D51B76"/>
    <w:rsid w:val="00D51BA2"/>
    <w:rsid w:val="00D5202C"/>
    <w:rsid w:val="00D52114"/>
    <w:rsid w:val="00D52196"/>
    <w:rsid w:val="00D52705"/>
    <w:rsid w:val="00D52E08"/>
    <w:rsid w:val="00D53A86"/>
    <w:rsid w:val="00D53D7F"/>
    <w:rsid w:val="00D543B0"/>
    <w:rsid w:val="00D54E23"/>
    <w:rsid w:val="00D554A6"/>
    <w:rsid w:val="00D55E06"/>
    <w:rsid w:val="00D561B2"/>
    <w:rsid w:val="00D561C4"/>
    <w:rsid w:val="00D56EA7"/>
    <w:rsid w:val="00D5757B"/>
    <w:rsid w:val="00D577D7"/>
    <w:rsid w:val="00D6029E"/>
    <w:rsid w:val="00D60C3E"/>
    <w:rsid w:val="00D60F3C"/>
    <w:rsid w:val="00D61148"/>
    <w:rsid w:val="00D6130F"/>
    <w:rsid w:val="00D630EB"/>
    <w:rsid w:val="00D6367B"/>
    <w:rsid w:val="00D64718"/>
    <w:rsid w:val="00D6558B"/>
    <w:rsid w:val="00D656F7"/>
    <w:rsid w:val="00D65C5D"/>
    <w:rsid w:val="00D65C70"/>
    <w:rsid w:val="00D665B5"/>
    <w:rsid w:val="00D678E7"/>
    <w:rsid w:val="00D67968"/>
    <w:rsid w:val="00D7007E"/>
    <w:rsid w:val="00D702AD"/>
    <w:rsid w:val="00D72FC3"/>
    <w:rsid w:val="00D730C6"/>
    <w:rsid w:val="00D743C7"/>
    <w:rsid w:val="00D74A52"/>
    <w:rsid w:val="00D74C40"/>
    <w:rsid w:val="00D74F13"/>
    <w:rsid w:val="00D758EC"/>
    <w:rsid w:val="00D75DE1"/>
    <w:rsid w:val="00D76268"/>
    <w:rsid w:val="00D76C8E"/>
    <w:rsid w:val="00D803F8"/>
    <w:rsid w:val="00D804E8"/>
    <w:rsid w:val="00D8192B"/>
    <w:rsid w:val="00D81BF4"/>
    <w:rsid w:val="00D81F40"/>
    <w:rsid w:val="00D82740"/>
    <w:rsid w:val="00D82C51"/>
    <w:rsid w:val="00D83174"/>
    <w:rsid w:val="00D83670"/>
    <w:rsid w:val="00D83B74"/>
    <w:rsid w:val="00D83F8E"/>
    <w:rsid w:val="00D8471E"/>
    <w:rsid w:val="00D84EA7"/>
    <w:rsid w:val="00D84FC2"/>
    <w:rsid w:val="00D862BF"/>
    <w:rsid w:val="00D879F7"/>
    <w:rsid w:val="00D87C70"/>
    <w:rsid w:val="00D90031"/>
    <w:rsid w:val="00D9043F"/>
    <w:rsid w:val="00D9091D"/>
    <w:rsid w:val="00D90D39"/>
    <w:rsid w:val="00D90DD3"/>
    <w:rsid w:val="00D913AC"/>
    <w:rsid w:val="00D91584"/>
    <w:rsid w:val="00D9199B"/>
    <w:rsid w:val="00D92205"/>
    <w:rsid w:val="00D925EA"/>
    <w:rsid w:val="00D931D8"/>
    <w:rsid w:val="00D93357"/>
    <w:rsid w:val="00D93EA2"/>
    <w:rsid w:val="00D94041"/>
    <w:rsid w:val="00D94D51"/>
    <w:rsid w:val="00D94EA9"/>
    <w:rsid w:val="00D94F7D"/>
    <w:rsid w:val="00D95DAB"/>
    <w:rsid w:val="00D9799A"/>
    <w:rsid w:val="00DA0374"/>
    <w:rsid w:val="00DA0D86"/>
    <w:rsid w:val="00DA1577"/>
    <w:rsid w:val="00DA1BC9"/>
    <w:rsid w:val="00DA3093"/>
    <w:rsid w:val="00DA326B"/>
    <w:rsid w:val="00DA3B1C"/>
    <w:rsid w:val="00DA3E4C"/>
    <w:rsid w:val="00DA4E90"/>
    <w:rsid w:val="00DA5B82"/>
    <w:rsid w:val="00DA62CB"/>
    <w:rsid w:val="00DA6A95"/>
    <w:rsid w:val="00DA70B7"/>
    <w:rsid w:val="00DA7704"/>
    <w:rsid w:val="00DB0DD7"/>
    <w:rsid w:val="00DB2166"/>
    <w:rsid w:val="00DB31E8"/>
    <w:rsid w:val="00DB358F"/>
    <w:rsid w:val="00DB4AD5"/>
    <w:rsid w:val="00DB4E80"/>
    <w:rsid w:val="00DB664E"/>
    <w:rsid w:val="00DB6E80"/>
    <w:rsid w:val="00DB7088"/>
    <w:rsid w:val="00DB7508"/>
    <w:rsid w:val="00DB774F"/>
    <w:rsid w:val="00DB7872"/>
    <w:rsid w:val="00DB7912"/>
    <w:rsid w:val="00DC0257"/>
    <w:rsid w:val="00DC1510"/>
    <w:rsid w:val="00DC19F1"/>
    <w:rsid w:val="00DC1FD8"/>
    <w:rsid w:val="00DC2DC3"/>
    <w:rsid w:val="00DC3BF9"/>
    <w:rsid w:val="00DC3C0D"/>
    <w:rsid w:val="00DC407A"/>
    <w:rsid w:val="00DC4D0F"/>
    <w:rsid w:val="00DC50FE"/>
    <w:rsid w:val="00DC5553"/>
    <w:rsid w:val="00DC557F"/>
    <w:rsid w:val="00DC5A6B"/>
    <w:rsid w:val="00DC6EAF"/>
    <w:rsid w:val="00DC6EDE"/>
    <w:rsid w:val="00DC7888"/>
    <w:rsid w:val="00DD084F"/>
    <w:rsid w:val="00DD0867"/>
    <w:rsid w:val="00DD0E63"/>
    <w:rsid w:val="00DD1055"/>
    <w:rsid w:val="00DD17DD"/>
    <w:rsid w:val="00DD1A39"/>
    <w:rsid w:val="00DD20D0"/>
    <w:rsid w:val="00DD2596"/>
    <w:rsid w:val="00DD2C1E"/>
    <w:rsid w:val="00DD3027"/>
    <w:rsid w:val="00DD3127"/>
    <w:rsid w:val="00DD4391"/>
    <w:rsid w:val="00DD43E8"/>
    <w:rsid w:val="00DD4BFB"/>
    <w:rsid w:val="00DD4C69"/>
    <w:rsid w:val="00DD59C8"/>
    <w:rsid w:val="00DD5FB7"/>
    <w:rsid w:val="00DD6B31"/>
    <w:rsid w:val="00DD6D36"/>
    <w:rsid w:val="00DD7DC2"/>
    <w:rsid w:val="00DE0A5A"/>
    <w:rsid w:val="00DE12C8"/>
    <w:rsid w:val="00DE19CA"/>
    <w:rsid w:val="00DE1EB7"/>
    <w:rsid w:val="00DE2752"/>
    <w:rsid w:val="00DE29D2"/>
    <w:rsid w:val="00DE31C1"/>
    <w:rsid w:val="00DE3AC4"/>
    <w:rsid w:val="00DE408D"/>
    <w:rsid w:val="00DE4313"/>
    <w:rsid w:val="00DE4E47"/>
    <w:rsid w:val="00DE5641"/>
    <w:rsid w:val="00DE5AA2"/>
    <w:rsid w:val="00DE607D"/>
    <w:rsid w:val="00DE68BC"/>
    <w:rsid w:val="00DE69AC"/>
    <w:rsid w:val="00DE6F66"/>
    <w:rsid w:val="00DE7590"/>
    <w:rsid w:val="00DF0809"/>
    <w:rsid w:val="00DF12E9"/>
    <w:rsid w:val="00DF173D"/>
    <w:rsid w:val="00DF1982"/>
    <w:rsid w:val="00DF2034"/>
    <w:rsid w:val="00DF216D"/>
    <w:rsid w:val="00DF22BF"/>
    <w:rsid w:val="00DF25A3"/>
    <w:rsid w:val="00DF27F9"/>
    <w:rsid w:val="00DF296C"/>
    <w:rsid w:val="00DF2D4E"/>
    <w:rsid w:val="00DF2F76"/>
    <w:rsid w:val="00DF533B"/>
    <w:rsid w:val="00DF54CD"/>
    <w:rsid w:val="00DF5684"/>
    <w:rsid w:val="00DF5F59"/>
    <w:rsid w:val="00DF6910"/>
    <w:rsid w:val="00DF724A"/>
    <w:rsid w:val="00DF74B3"/>
    <w:rsid w:val="00DF7A88"/>
    <w:rsid w:val="00DF7E54"/>
    <w:rsid w:val="00E00083"/>
    <w:rsid w:val="00E0124E"/>
    <w:rsid w:val="00E02473"/>
    <w:rsid w:val="00E025BC"/>
    <w:rsid w:val="00E0266C"/>
    <w:rsid w:val="00E027F1"/>
    <w:rsid w:val="00E029BD"/>
    <w:rsid w:val="00E02ADC"/>
    <w:rsid w:val="00E0399B"/>
    <w:rsid w:val="00E03B0F"/>
    <w:rsid w:val="00E03C4E"/>
    <w:rsid w:val="00E03FB0"/>
    <w:rsid w:val="00E044F8"/>
    <w:rsid w:val="00E047CA"/>
    <w:rsid w:val="00E06D7C"/>
    <w:rsid w:val="00E06F88"/>
    <w:rsid w:val="00E079AD"/>
    <w:rsid w:val="00E07C70"/>
    <w:rsid w:val="00E101EF"/>
    <w:rsid w:val="00E11226"/>
    <w:rsid w:val="00E11A95"/>
    <w:rsid w:val="00E11C8F"/>
    <w:rsid w:val="00E120C1"/>
    <w:rsid w:val="00E121B9"/>
    <w:rsid w:val="00E131EB"/>
    <w:rsid w:val="00E134AA"/>
    <w:rsid w:val="00E13960"/>
    <w:rsid w:val="00E148CF"/>
    <w:rsid w:val="00E1554C"/>
    <w:rsid w:val="00E15EE6"/>
    <w:rsid w:val="00E16296"/>
    <w:rsid w:val="00E16481"/>
    <w:rsid w:val="00E164A1"/>
    <w:rsid w:val="00E16FAA"/>
    <w:rsid w:val="00E171C4"/>
    <w:rsid w:val="00E17237"/>
    <w:rsid w:val="00E17862"/>
    <w:rsid w:val="00E209B2"/>
    <w:rsid w:val="00E215E4"/>
    <w:rsid w:val="00E22303"/>
    <w:rsid w:val="00E234BE"/>
    <w:rsid w:val="00E23901"/>
    <w:rsid w:val="00E24164"/>
    <w:rsid w:val="00E243E2"/>
    <w:rsid w:val="00E250E2"/>
    <w:rsid w:val="00E262F6"/>
    <w:rsid w:val="00E26369"/>
    <w:rsid w:val="00E26CEA"/>
    <w:rsid w:val="00E2723E"/>
    <w:rsid w:val="00E305E2"/>
    <w:rsid w:val="00E31813"/>
    <w:rsid w:val="00E31B8D"/>
    <w:rsid w:val="00E31D25"/>
    <w:rsid w:val="00E33460"/>
    <w:rsid w:val="00E334A4"/>
    <w:rsid w:val="00E335E7"/>
    <w:rsid w:val="00E347EC"/>
    <w:rsid w:val="00E348CC"/>
    <w:rsid w:val="00E34B25"/>
    <w:rsid w:val="00E34BBA"/>
    <w:rsid w:val="00E35103"/>
    <w:rsid w:val="00E3551A"/>
    <w:rsid w:val="00E3573F"/>
    <w:rsid w:val="00E35EB6"/>
    <w:rsid w:val="00E3697E"/>
    <w:rsid w:val="00E3711D"/>
    <w:rsid w:val="00E37A18"/>
    <w:rsid w:val="00E37E2B"/>
    <w:rsid w:val="00E37F26"/>
    <w:rsid w:val="00E40B6E"/>
    <w:rsid w:val="00E40CE1"/>
    <w:rsid w:val="00E42304"/>
    <w:rsid w:val="00E42524"/>
    <w:rsid w:val="00E42A7F"/>
    <w:rsid w:val="00E43599"/>
    <w:rsid w:val="00E437CC"/>
    <w:rsid w:val="00E43A33"/>
    <w:rsid w:val="00E43C03"/>
    <w:rsid w:val="00E43F2C"/>
    <w:rsid w:val="00E44298"/>
    <w:rsid w:val="00E44AB3"/>
    <w:rsid w:val="00E45255"/>
    <w:rsid w:val="00E46743"/>
    <w:rsid w:val="00E468B9"/>
    <w:rsid w:val="00E46EA5"/>
    <w:rsid w:val="00E46F36"/>
    <w:rsid w:val="00E47265"/>
    <w:rsid w:val="00E47E33"/>
    <w:rsid w:val="00E47E90"/>
    <w:rsid w:val="00E510BC"/>
    <w:rsid w:val="00E51132"/>
    <w:rsid w:val="00E516A6"/>
    <w:rsid w:val="00E51752"/>
    <w:rsid w:val="00E51C26"/>
    <w:rsid w:val="00E52352"/>
    <w:rsid w:val="00E5322D"/>
    <w:rsid w:val="00E5367D"/>
    <w:rsid w:val="00E53948"/>
    <w:rsid w:val="00E545B0"/>
    <w:rsid w:val="00E5538A"/>
    <w:rsid w:val="00E5544C"/>
    <w:rsid w:val="00E559AB"/>
    <w:rsid w:val="00E55FE2"/>
    <w:rsid w:val="00E56077"/>
    <w:rsid w:val="00E56A4F"/>
    <w:rsid w:val="00E56A5C"/>
    <w:rsid w:val="00E5731E"/>
    <w:rsid w:val="00E57352"/>
    <w:rsid w:val="00E5737B"/>
    <w:rsid w:val="00E6078C"/>
    <w:rsid w:val="00E60CD5"/>
    <w:rsid w:val="00E60F31"/>
    <w:rsid w:val="00E6162B"/>
    <w:rsid w:val="00E61869"/>
    <w:rsid w:val="00E625E9"/>
    <w:rsid w:val="00E6343F"/>
    <w:rsid w:val="00E64950"/>
    <w:rsid w:val="00E6533F"/>
    <w:rsid w:val="00E6566F"/>
    <w:rsid w:val="00E65688"/>
    <w:rsid w:val="00E66AEC"/>
    <w:rsid w:val="00E66EFD"/>
    <w:rsid w:val="00E67C9B"/>
    <w:rsid w:val="00E67E03"/>
    <w:rsid w:val="00E7042D"/>
    <w:rsid w:val="00E71429"/>
    <w:rsid w:val="00E720EB"/>
    <w:rsid w:val="00E737B5"/>
    <w:rsid w:val="00E73A19"/>
    <w:rsid w:val="00E74133"/>
    <w:rsid w:val="00E742F7"/>
    <w:rsid w:val="00E745AC"/>
    <w:rsid w:val="00E748BD"/>
    <w:rsid w:val="00E74974"/>
    <w:rsid w:val="00E74990"/>
    <w:rsid w:val="00E74D58"/>
    <w:rsid w:val="00E75A33"/>
    <w:rsid w:val="00E75D7F"/>
    <w:rsid w:val="00E75EF6"/>
    <w:rsid w:val="00E76040"/>
    <w:rsid w:val="00E76AF3"/>
    <w:rsid w:val="00E77352"/>
    <w:rsid w:val="00E77EFB"/>
    <w:rsid w:val="00E80590"/>
    <w:rsid w:val="00E80BC6"/>
    <w:rsid w:val="00E80BE5"/>
    <w:rsid w:val="00E81FEF"/>
    <w:rsid w:val="00E829F3"/>
    <w:rsid w:val="00E82FF2"/>
    <w:rsid w:val="00E83054"/>
    <w:rsid w:val="00E835BD"/>
    <w:rsid w:val="00E837D8"/>
    <w:rsid w:val="00E83895"/>
    <w:rsid w:val="00E83B9C"/>
    <w:rsid w:val="00E84917"/>
    <w:rsid w:val="00E8491A"/>
    <w:rsid w:val="00E852B5"/>
    <w:rsid w:val="00E85BB7"/>
    <w:rsid w:val="00E86338"/>
    <w:rsid w:val="00E864D7"/>
    <w:rsid w:val="00E90054"/>
    <w:rsid w:val="00E90746"/>
    <w:rsid w:val="00E90E95"/>
    <w:rsid w:val="00E90EC9"/>
    <w:rsid w:val="00E916F0"/>
    <w:rsid w:val="00E9255A"/>
    <w:rsid w:val="00E931F0"/>
    <w:rsid w:val="00E93858"/>
    <w:rsid w:val="00E93D6E"/>
    <w:rsid w:val="00E96CA8"/>
    <w:rsid w:val="00E9740C"/>
    <w:rsid w:val="00E977EF"/>
    <w:rsid w:val="00E97CE3"/>
    <w:rsid w:val="00E97ECC"/>
    <w:rsid w:val="00EA0396"/>
    <w:rsid w:val="00EA098F"/>
    <w:rsid w:val="00EA1451"/>
    <w:rsid w:val="00EA1E92"/>
    <w:rsid w:val="00EA2498"/>
    <w:rsid w:val="00EA24F7"/>
    <w:rsid w:val="00EA4572"/>
    <w:rsid w:val="00EA45D0"/>
    <w:rsid w:val="00EA4C1A"/>
    <w:rsid w:val="00EA6634"/>
    <w:rsid w:val="00EA7925"/>
    <w:rsid w:val="00EB03F6"/>
    <w:rsid w:val="00EB0A3C"/>
    <w:rsid w:val="00EB0BFB"/>
    <w:rsid w:val="00EB0F3D"/>
    <w:rsid w:val="00EB1146"/>
    <w:rsid w:val="00EB1CA2"/>
    <w:rsid w:val="00EB1DC4"/>
    <w:rsid w:val="00EB25A1"/>
    <w:rsid w:val="00EB2801"/>
    <w:rsid w:val="00EB2872"/>
    <w:rsid w:val="00EB2A78"/>
    <w:rsid w:val="00EB3BCC"/>
    <w:rsid w:val="00EB4E63"/>
    <w:rsid w:val="00EB5C59"/>
    <w:rsid w:val="00EB5E7A"/>
    <w:rsid w:val="00EB6423"/>
    <w:rsid w:val="00EB7AB3"/>
    <w:rsid w:val="00EB7C92"/>
    <w:rsid w:val="00EC0478"/>
    <w:rsid w:val="00EC0479"/>
    <w:rsid w:val="00EC0881"/>
    <w:rsid w:val="00EC09E6"/>
    <w:rsid w:val="00EC0D5B"/>
    <w:rsid w:val="00EC168C"/>
    <w:rsid w:val="00EC2339"/>
    <w:rsid w:val="00EC2948"/>
    <w:rsid w:val="00EC3570"/>
    <w:rsid w:val="00EC4F4F"/>
    <w:rsid w:val="00EC57BB"/>
    <w:rsid w:val="00EC57CB"/>
    <w:rsid w:val="00EC5BD5"/>
    <w:rsid w:val="00EC72B9"/>
    <w:rsid w:val="00EC74D8"/>
    <w:rsid w:val="00EC762E"/>
    <w:rsid w:val="00EC7E69"/>
    <w:rsid w:val="00ED0729"/>
    <w:rsid w:val="00ED072D"/>
    <w:rsid w:val="00ED0C55"/>
    <w:rsid w:val="00ED240D"/>
    <w:rsid w:val="00ED24A1"/>
    <w:rsid w:val="00ED2E14"/>
    <w:rsid w:val="00ED2F80"/>
    <w:rsid w:val="00ED4269"/>
    <w:rsid w:val="00ED4AED"/>
    <w:rsid w:val="00ED513F"/>
    <w:rsid w:val="00ED6AF9"/>
    <w:rsid w:val="00ED79BB"/>
    <w:rsid w:val="00ED7B93"/>
    <w:rsid w:val="00EE0D16"/>
    <w:rsid w:val="00EE2144"/>
    <w:rsid w:val="00EE21BC"/>
    <w:rsid w:val="00EE2E1B"/>
    <w:rsid w:val="00EE3A99"/>
    <w:rsid w:val="00EE42C6"/>
    <w:rsid w:val="00EE44AD"/>
    <w:rsid w:val="00EE457C"/>
    <w:rsid w:val="00EE45C7"/>
    <w:rsid w:val="00EE4FC7"/>
    <w:rsid w:val="00EE5916"/>
    <w:rsid w:val="00EE5D06"/>
    <w:rsid w:val="00EE6A6A"/>
    <w:rsid w:val="00EE6C65"/>
    <w:rsid w:val="00EE77BB"/>
    <w:rsid w:val="00EE7B59"/>
    <w:rsid w:val="00EF1A90"/>
    <w:rsid w:val="00EF1F3B"/>
    <w:rsid w:val="00EF3F41"/>
    <w:rsid w:val="00EF48F9"/>
    <w:rsid w:val="00EF4E98"/>
    <w:rsid w:val="00EF5A9B"/>
    <w:rsid w:val="00EF619E"/>
    <w:rsid w:val="00EF7037"/>
    <w:rsid w:val="00F006BC"/>
    <w:rsid w:val="00F01232"/>
    <w:rsid w:val="00F0124E"/>
    <w:rsid w:val="00F01402"/>
    <w:rsid w:val="00F0181A"/>
    <w:rsid w:val="00F02434"/>
    <w:rsid w:val="00F0243B"/>
    <w:rsid w:val="00F0344C"/>
    <w:rsid w:val="00F03F45"/>
    <w:rsid w:val="00F04C0F"/>
    <w:rsid w:val="00F055B7"/>
    <w:rsid w:val="00F062B0"/>
    <w:rsid w:val="00F07536"/>
    <w:rsid w:val="00F078DB"/>
    <w:rsid w:val="00F102D2"/>
    <w:rsid w:val="00F1037F"/>
    <w:rsid w:val="00F1069E"/>
    <w:rsid w:val="00F1074B"/>
    <w:rsid w:val="00F1084C"/>
    <w:rsid w:val="00F10997"/>
    <w:rsid w:val="00F1138A"/>
    <w:rsid w:val="00F11F7A"/>
    <w:rsid w:val="00F12115"/>
    <w:rsid w:val="00F122F1"/>
    <w:rsid w:val="00F123AF"/>
    <w:rsid w:val="00F1271D"/>
    <w:rsid w:val="00F12D82"/>
    <w:rsid w:val="00F12F06"/>
    <w:rsid w:val="00F131FF"/>
    <w:rsid w:val="00F1331F"/>
    <w:rsid w:val="00F13390"/>
    <w:rsid w:val="00F13E81"/>
    <w:rsid w:val="00F13F78"/>
    <w:rsid w:val="00F14179"/>
    <w:rsid w:val="00F14353"/>
    <w:rsid w:val="00F1445E"/>
    <w:rsid w:val="00F15441"/>
    <w:rsid w:val="00F16205"/>
    <w:rsid w:val="00F162CB"/>
    <w:rsid w:val="00F1630B"/>
    <w:rsid w:val="00F163E4"/>
    <w:rsid w:val="00F16430"/>
    <w:rsid w:val="00F16880"/>
    <w:rsid w:val="00F16D83"/>
    <w:rsid w:val="00F20CCC"/>
    <w:rsid w:val="00F2112E"/>
    <w:rsid w:val="00F212C4"/>
    <w:rsid w:val="00F21F4D"/>
    <w:rsid w:val="00F23410"/>
    <w:rsid w:val="00F23CE1"/>
    <w:rsid w:val="00F23D46"/>
    <w:rsid w:val="00F246EB"/>
    <w:rsid w:val="00F24778"/>
    <w:rsid w:val="00F25B61"/>
    <w:rsid w:val="00F300CF"/>
    <w:rsid w:val="00F305D7"/>
    <w:rsid w:val="00F305EE"/>
    <w:rsid w:val="00F30620"/>
    <w:rsid w:val="00F312C3"/>
    <w:rsid w:val="00F328BE"/>
    <w:rsid w:val="00F328D8"/>
    <w:rsid w:val="00F32B72"/>
    <w:rsid w:val="00F32F78"/>
    <w:rsid w:val="00F33893"/>
    <w:rsid w:val="00F34297"/>
    <w:rsid w:val="00F360D7"/>
    <w:rsid w:val="00F3646D"/>
    <w:rsid w:val="00F36EB5"/>
    <w:rsid w:val="00F37185"/>
    <w:rsid w:val="00F37243"/>
    <w:rsid w:val="00F37E65"/>
    <w:rsid w:val="00F41843"/>
    <w:rsid w:val="00F420EE"/>
    <w:rsid w:val="00F42B3A"/>
    <w:rsid w:val="00F4395F"/>
    <w:rsid w:val="00F43D54"/>
    <w:rsid w:val="00F43DF7"/>
    <w:rsid w:val="00F442A8"/>
    <w:rsid w:val="00F444B0"/>
    <w:rsid w:val="00F44CE3"/>
    <w:rsid w:val="00F44DEB"/>
    <w:rsid w:val="00F454E2"/>
    <w:rsid w:val="00F45CE5"/>
    <w:rsid w:val="00F45E40"/>
    <w:rsid w:val="00F4638D"/>
    <w:rsid w:val="00F46AFC"/>
    <w:rsid w:val="00F46EB5"/>
    <w:rsid w:val="00F46FE7"/>
    <w:rsid w:val="00F4732C"/>
    <w:rsid w:val="00F50980"/>
    <w:rsid w:val="00F50BA2"/>
    <w:rsid w:val="00F52E88"/>
    <w:rsid w:val="00F53A27"/>
    <w:rsid w:val="00F53ABC"/>
    <w:rsid w:val="00F54196"/>
    <w:rsid w:val="00F54DEB"/>
    <w:rsid w:val="00F551E6"/>
    <w:rsid w:val="00F55D89"/>
    <w:rsid w:val="00F55FD3"/>
    <w:rsid w:val="00F56189"/>
    <w:rsid w:val="00F563FE"/>
    <w:rsid w:val="00F565A6"/>
    <w:rsid w:val="00F570A2"/>
    <w:rsid w:val="00F5760E"/>
    <w:rsid w:val="00F5771F"/>
    <w:rsid w:val="00F5776E"/>
    <w:rsid w:val="00F577D9"/>
    <w:rsid w:val="00F6014A"/>
    <w:rsid w:val="00F608BF"/>
    <w:rsid w:val="00F60E4A"/>
    <w:rsid w:val="00F615AB"/>
    <w:rsid w:val="00F61B98"/>
    <w:rsid w:val="00F62FB1"/>
    <w:rsid w:val="00F64727"/>
    <w:rsid w:val="00F6472D"/>
    <w:rsid w:val="00F64D70"/>
    <w:rsid w:val="00F65A93"/>
    <w:rsid w:val="00F65DA8"/>
    <w:rsid w:val="00F65E56"/>
    <w:rsid w:val="00F65EAD"/>
    <w:rsid w:val="00F664D5"/>
    <w:rsid w:val="00F66E3A"/>
    <w:rsid w:val="00F6711F"/>
    <w:rsid w:val="00F67336"/>
    <w:rsid w:val="00F71B02"/>
    <w:rsid w:val="00F71EA9"/>
    <w:rsid w:val="00F72170"/>
    <w:rsid w:val="00F72574"/>
    <w:rsid w:val="00F732A9"/>
    <w:rsid w:val="00F73713"/>
    <w:rsid w:val="00F73CA8"/>
    <w:rsid w:val="00F74143"/>
    <w:rsid w:val="00F742D8"/>
    <w:rsid w:val="00F74CCA"/>
    <w:rsid w:val="00F74D95"/>
    <w:rsid w:val="00F775A6"/>
    <w:rsid w:val="00F779EE"/>
    <w:rsid w:val="00F77EF9"/>
    <w:rsid w:val="00F77FC5"/>
    <w:rsid w:val="00F8026F"/>
    <w:rsid w:val="00F804F2"/>
    <w:rsid w:val="00F80E5D"/>
    <w:rsid w:val="00F816C9"/>
    <w:rsid w:val="00F81B45"/>
    <w:rsid w:val="00F823E0"/>
    <w:rsid w:val="00F825FB"/>
    <w:rsid w:val="00F82CA6"/>
    <w:rsid w:val="00F831DE"/>
    <w:rsid w:val="00F8349A"/>
    <w:rsid w:val="00F83846"/>
    <w:rsid w:val="00F83EBF"/>
    <w:rsid w:val="00F852E8"/>
    <w:rsid w:val="00F85576"/>
    <w:rsid w:val="00F8657C"/>
    <w:rsid w:val="00F86B9B"/>
    <w:rsid w:val="00F87E24"/>
    <w:rsid w:val="00F901CC"/>
    <w:rsid w:val="00F90F47"/>
    <w:rsid w:val="00F916B4"/>
    <w:rsid w:val="00F919D8"/>
    <w:rsid w:val="00F932A4"/>
    <w:rsid w:val="00F9394F"/>
    <w:rsid w:val="00F94209"/>
    <w:rsid w:val="00F9439C"/>
    <w:rsid w:val="00F94744"/>
    <w:rsid w:val="00F94938"/>
    <w:rsid w:val="00F94E9F"/>
    <w:rsid w:val="00F95071"/>
    <w:rsid w:val="00F95197"/>
    <w:rsid w:val="00F953A3"/>
    <w:rsid w:val="00F953DF"/>
    <w:rsid w:val="00F96057"/>
    <w:rsid w:val="00F960FB"/>
    <w:rsid w:val="00F96F78"/>
    <w:rsid w:val="00F97621"/>
    <w:rsid w:val="00FA0E96"/>
    <w:rsid w:val="00FA1768"/>
    <w:rsid w:val="00FA1B52"/>
    <w:rsid w:val="00FA2B82"/>
    <w:rsid w:val="00FA3654"/>
    <w:rsid w:val="00FA3679"/>
    <w:rsid w:val="00FA3717"/>
    <w:rsid w:val="00FA3F28"/>
    <w:rsid w:val="00FA4157"/>
    <w:rsid w:val="00FA43DA"/>
    <w:rsid w:val="00FA4428"/>
    <w:rsid w:val="00FA4577"/>
    <w:rsid w:val="00FA48FE"/>
    <w:rsid w:val="00FA4D46"/>
    <w:rsid w:val="00FA6B58"/>
    <w:rsid w:val="00FA6BF6"/>
    <w:rsid w:val="00FA777F"/>
    <w:rsid w:val="00FB04CC"/>
    <w:rsid w:val="00FB08F4"/>
    <w:rsid w:val="00FB1656"/>
    <w:rsid w:val="00FB1686"/>
    <w:rsid w:val="00FB373A"/>
    <w:rsid w:val="00FB3E0A"/>
    <w:rsid w:val="00FB3E30"/>
    <w:rsid w:val="00FB3FE1"/>
    <w:rsid w:val="00FB5437"/>
    <w:rsid w:val="00FB6D34"/>
    <w:rsid w:val="00FB7322"/>
    <w:rsid w:val="00FC0298"/>
    <w:rsid w:val="00FC035F"/>
    <w:rsid w:val="00FC048D"/>
    <w:rsid w:val="00FC1419"/>
    <w:rsid w:val="00FC1FCF"/>
    <w:rsid w:val="00FC2E0F"/>
    <w:rsid w:val="00FC3014"/>
    <w:rsid w:val="00FC401C"/>
    <w:rsid w:val="00FC4BB6"/>
    <w:rsid w:val="00FC4F43"/>
    <w:rsid w:val="00FC603F"/>
    <w:rsid w:val="00FC67E7"/>
    <w:rsid w:val="00FC6AEB"/>
    <w:rsid w:val="00FC74CC"/>
    <w:rsid w:val="00FC775D"/>
    <w:rsid w:val="00FC775E"/>
    <w:rsid w:val="00FC7C97"/>
    <w:rsid w:val="00FD022D"/>
    <w:rsid w:val="00FD0356"/>
    <w:rsid w:val="00FD03FA"/>
    <w:rsid w:val="00FD07BC"/>
    <w:rsid w:val="00FD0E5A"/>
    <w:rsid w:val="00FD2238"/>
    <w:rsid w:val="00FD24E6"/>
    <w:rsid w:val="00FD28FB"/>
    <w:rsid w:val="00FD2C4D"/>
    <w:rsid w:val="00FD2D57"/>
    <w:rsid w:val="00FD3237"/>
    <w:rsid w:val="00FD3C39"/>
    <w:rsid w:val="00FD4A10"/>
    <w:rsid w:val="00FD5572"/>
    <w:rsid w:val="00FD5817"/>
    <w:rsid w:val="00FD59C2"/>
    <w:rsid w:val="00FD5C6F"/>
    <w:rsid w:val="00FD5E95"/>
    <w:rsid w:val="00FD7F3A"/>
    <w:rsid w:val="00FE0689"/>
    <w:rsid w:val="00FE086E"/>
    <w:rsid w:val="00FE0AB8"/>
    <w:rsid w:val="00FE1D78"/>
    <w:rsid w:val="00FE26FB"/>
    <w:rsid w:val="00FE2D9A"/>
    <w:rsid w:val="00FE2E76"/>
    <w:rsid w:val="00FE37F1"/>
    <w:rsid w:val="00FE3EA4"/>
    <w:rsid w:val="00FE40B5"/>
    <w:rsid w:val="00FE4816"/>
    <w:rsid w:val="00FE4E0F"/>
    <w:rsid w:val="00FE52B6"/>
    <w:rsid w:val="00FE557B"/>
    <w:rsid w:val="00FE563A"/>
    <w:rsid w:val="00FE5D22"/>
    <w:rsid w:val="00FE6168"/>
    <w:rsid w:val="00FE6177"/>
    <w:rsid w:val="00FE6798"/>
    <w:rsid w:val="00FE6838"/>
    <w:rsid w:val="00FE6E59"/>
    <w:rsid w:val="00FE79D5"/>
    <w:rsid w:val="00FF022F"/>
    <w:rsid w:val="00FF0C30"/>
    <w:rsid w:val="00FF284E"/>
    <w:rsid w:val="00FF28CE"/>
    <w:rsid w:val="00FF2F0C"/>
    <w:rsid w:val="00FF399D"/>
    <w:rsid w:val="00FF3A90"/>
    <w:rsid w:val="00FF3C9D"/>
    <w:rsid w:val="00FF41BD"/>
    <w:rsid w:val="00FF4487"/>
    <w:rsid w:val="00FF44CD"/>
    <w:rsid w:val="00FF44E5"/>
    <w:rsid w:val="00FF4AD5"/>
    <w:rsid w:val="00FF4E5E"/>
    <w:rsid w:val="00FF5F76"/>
    <w:rsid w:val="00FF6AA7"/>
    <w:rsid w:val="00FF7079"/>
    <w:rsid w:val="00FF774B"/>
    <w:rsid w:val="00FF790B"/>
    <w:rsid w:val="00FF7DE8"/>
    <w:rsid w:val="03A4285C"/>
    <w:rsid w:val="064A53E9"/>
    <w:rsid w:val="064B0503"/>
    <w:rsid w:val="06D34ED5"/>
    <w:rsid w:val="090B6E5D"/>
    <w:rsid w:val="099934E2"/>
    <w:rsid w:val="0A8335BA"/>
    <w:rsid w:val="0B1234E1"/>
    <w:rsid w:val="0D431DED"/>
    <w:rsid w:val="0DCB770B"/>
    <w:rsid w:val="10645CD7"/>
    <w:rsid w:val="10E06A17"/>
    <w:rsid w:val="125B0CF7"/>
    <w:rsid w:val="12DE000F"/>
    <w:rsid w:val="135841B6"/>
    <w:rsid w:val="14081719"/>
    <w:rsid w:val="145063B9"/>
    <w:rsid w:val="163B0E12"/>
    <w:rsid w:val="166149F5"/>
    <w:rsid w:val="18F83315"/>
    <w:rsid w:val="1BE35486"/>
    <w:rsid w:val="1C0C161E"/>
    <w:rsid w:val="1C345240"/>
    <w:rsid w:val="1C5B1E7A"/>
    <w:rsid w:val="1C8C45B0"/>
    <w:rsid w:val="1E4B5E7C"/>
    <w:rsid w:val="1F563009"/>
    <w:rsid w:val="20466A61"/>
    <w:rsid w:val="22AA5273"/>
    <w:rsid w:val="264360F8"/>
    <w:rsid w:val="268B3DD7"/>
    <w:rsid w:val="280D2159"/>
    <w:rsid w:val="29766DF7"/>
    <w:rsid w:val="29D64619"/>
    <w:rsid w:val="2BAB1DF4"/>
    <w:rsid w:val="2C2742A0"/>
    <w:rsid w:val="2CB52873"/>
    <w:rsid w:val="2D6C3BC9"/>
    <w:rsid w:val="2EF80F41"/>
    <w:rsid w:val="3039594F"/>
    <w:rsid w:val="315E667F"/>
    <w:rsid w:val="32A9552F"/>
    <w:rsid w:val="347B28F0"/>
    <w:rsid w:val="34DD3DAB"/>
    <w:rsid w:val="356608C6"/>
    <w:rsid w:val="37A83240"/>
    <w:rsid w:val="37E52578"/>
    <w:rsid w:val="382223E8"/>
    <w:rsid w:val="39D12026"/>
    <w:rsid w:val="3A8B7D7E"/>
    <w:rsid w:val="3B3333A6"/>
    <w:rsid w:val="3B921290"/>
    <w:rsid w:val="3C841BB6"/>
    <w:rsid w:val="3CAB5993"/>
    <w:rsid w:val="3F5035D6"/>
    <w:rsid w:val="41597B99"/>
    <w:rsid w:val="41812753"/>
    <w:rsid w:val="451D667A"/>
    <w:rsid w:val="45F95EE1"/>
    <w:rsid w:val="465D2048"/>
    <w:rsid w:val="47884D42"/>
    <w:rsid w:val="47B3570B"/>
    <w:rsid w:val="48190D83"/>
    <w:rsid w:val="48E51FA5"/>
    <w:rsid w:val="4C71302B"/>
    <w:rsid w:val="4D7E642C"/>
    <w:rsid w:val="4E97659F"/>
    <w:rsid w:val="4F2A2200"/>
    <w:rsid w:val="505126D5"/>
    <w:rsid w:val="5138107B"/>
    <w:rsid w:val="517D3DBB"/>
    <w:rsid w:val="51FD4BF7"/>
    <w:rsid w:val="52025514"/>
    <w:rsid w:val="52637223"/>
    <w:rsid w:val="553C5221"/>
    <w:rsid w:val="568A41F6"/>
    <w:rsid w:val="5754551B"/>
    <w:rsid w:val="586871FC"/>
    <w:rsid w:val="5A204A60"/>
    <w:rsid w:val="5A386216"/>
    <w:rsid w:val="5B36247C"/>
    <w:rsid w:val="5BD77170"/>
    <w:rsid w:val="5CA026AB"/>
    <w:rsid w:val="5DDE0F37"/>
    <w:rsid w:val="5DED1C27"/>
    <w:rsid w:val="5E3C1CBE"/>
    <w:rsid w:val="5EA119F5"/>
    <w:rsid w:val="627E5545"/>
    <w:rsid w:val="630809D1"/>
    <w:rsid w:val="63BF1861"/>
    <w:rsid w:val="6D9C71A1"/>
    <w:rsid w:val="703D7505"/>
    <w:rsid w:val="72E8797B"/>
    <w:rsid w:val="75C46081"/>
    <w:rsid w:val="75E84578"/>
    <w:rsid w:val="77964EB9"/>
    <w:rsid w:val="780B16F3"/>
    <w:rsid w:val="78C07823"/>
    <w:rsid w:val="7BA42977"/>
    <w:rsid w:val="7C535605"/>
    <w:rsid w:val="7C9B230A"/>
    <w:rsid w:val="7F5412BE"/>
    <w:rsid w:val="7F7970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color w:val="000000"/>
      <w:sz w:val="21"/>
      <w:szCs w:val="21"/>
      <w:lang w:val="en-US" w:eastAsia="zh-CN" w:bidi="ar-SA"/>
    </w:rPr>
  </w:style>
  <w:style w:type="paragraph" w:styleId="2">
    <w:name w:val="heading 1"/>
    <w:basedOn w:val="1"/>
    <w:next w:val="3"/>
    <w:qFormat/>
    <w:uiPriority w:val="0"/>
    <w:pPr>
      <w:keepNext/>
      <w:keepLines/>
      <w:tabs>
        <w:tab w:val="left" w:pos="432"/>
      </w:tabs>
      <w:spacing w:before="340" w:afterLines="50" w:line="578" w:lineRule="auto"/>
      <w:ind w:left="432" w:hanging="432"/>
      <w:outlineLvl w:val="0"/>
    </w:pPr>
    <w:rPr>
      <w:rFonts w:ascii="Yu Mincho Light" w:hAnsi="Yu Mincho Light" w:eastAsia="Yu Mincho Light"/>
      <w:b w:val="0"/>
      <w:bCs w:val="0"/>
      <w:spacing w:val="20"/>
      <w:kern w:val="44"/>
      <w:sz w:val="36"/>
      <w:szCs w:val="44"/>
    </w:rPr>
  </w:style>
  <w:style w:type="paragraph" w:styleId="3">
    <w:name w:val="heading 2"/>
    <w:basedOn w:val="1"/>
    <w:next w:val="1"/>
    <w:link w:val="50"/>
    <w:qFormat/>
    <w:uiPriority w:val="0"/>
    <w:pPr>
      <w:keepNext/>
      <w:keepLines/>
      <w:tabs>
        <w:tab w:val="left" w:pos="576"/>
      </w:tabs>
      <w:spacing w:before="260" w:afterLines="50" w:line="416" w:lineRule="auto"/>
      <w:ind w:left="576" w:hanging="576"/>
      <w:outlineLvl w:val="1"/>
    </w:pPr>
    <w:rPr>
      <w:rFonts w:ascii="Yu Mincho Light" w:hAnsi="Yu Mincho Light" w:eastAsia="Yu Mincho Light" w:cs="Yu Mincho Light"/>
      <w:b w:val="0"/>
      <w:bCs w:val="0"/>
      <w:spacing w:val="20"/>
      <w:sz w:val="32"/>
      <w:szCs w:val="32"/>
    </w:rPr>
  </w:style>
  <w:style w:type="paragraph" w:styleId="4">
    <w:name w:val="heading 3"/>
    <w:basedOn w:val="1"/>
    <w:next w:val="5"/>
    <w:link w:val="66"/>
    <w:qFormat/>
    <w:uiPriority w:val="0"/>
    <w:pPr>
      <w:keepNext/>
      <w:keepLines/>
      <w:tabs>
        <w:tab w:val="left" w:pos="720"/>
      </w:tabs>
      <w:spacing w:before="260" w:afterLines="50" w:line="416" w:lineRule="auto"/>
      <w:ind w:left="720" w:hanging="720"/>
      <w:outlineLvl w:val="2"/>
    </w:pPr>
    <w:rPr>
      <w:rFonts w:ascii="Yu Mincho Light" w:hAnsi="Yu Mincho Light" w:eastAsia="Yu Mincho Light"/>
      <w:b w:val="0"/>
      <w:bCs w:val="0"/>
      <w:spacing w:val="20"/>
      <w:sz w:val="30"/>
      <w:szCs w:val="32"/>
    </w:rPr>
  </w:style>
  <w:style w:type="paragraph" w:styleId="6">
    <w:name w:val="heading 4"/>
    <w:basedOn w:val="1"/>
    <w:next w:val="1"/>
    <w:qFormat/>
    <w:uiPriority w:val="0"/>
    <w:pPr>
      <w:keepNext/>
      <w:keepLines/>
      <w:tabs>
        <w:tab w:val="left" w:pos="1079"/>
      </w:tabs>
      <w:spacing w:before="280" w:afterLines="50" w:line="377" w:lineRule="auto"/>
      <w:ind w:left="1077" w:hanging="1077"/>
      <w:outlineLvl w:val="3"/>
    </w:pPr>
    <w:rPr>
      <w:rFonts w:ascii="Yu Mincho Light" w:hAnsi="Yu Mincho Light" w:eastAsia="Yu Mincho Light"/>
      <w:b w:val="0"/>
      <w:bCs w:val="0"/>
      <w:spacing w:val="10"/>
      <w:sz w:val="28"/>
      <w:szCs w:val="28"/>
    </w:rPr>
  </w:style>
  <w:style w:type="paragraph" w:styleId="7">
    <w:name w:val="heading 5"/>
    <w:basedOn w:val="1"/>
    <w:next w:val="5"/>
    <w:qFormat/>
    <w:uiPriority w:val="0"/>
    <w:pPr>
      <w:keepNext/>
      <w:keepLines/>
      <w:tabs>
        <w:tab w:val="left" w:pos="1260"/>
      </w:tabs>
      <w:spacing w:before="280" w:afterLines="50" w:line="377" w:lineRule="auto"/>
      <w:ind w:left="1259" w:hanging="1259"/>
      <w:outlineLvl w:val="4"/>
    </w:pPr>
    <w:rPr>
      <w:rFonts w:ascii="Yu Mincho Light" w:hAnsi="Yu Mincho Light" w:eastAsia="Yu Mincho Light"/>
      <w:b w:val="0"/>
      <w:bCs w:val="0"/>
      <w:spacing w:val="10"/>
      <w:sz w:val="28"/>
      <w:szCs w:val="28"/>
    </w:rPr>
  </w:style>
  <w:style w:type="paragraph" w:styleId="8">
    <w:name w:val="heading 6"/>
    <w:basedOn w:val="1"/>
    <w:next w:val="5"/>
    <w:qFormat/>
    <w:uiPriority w:val="0"/>
    <w:pPr>
      <w:keepNext/>
      <w:keepLines/>
      <w:tabs>
        <w:tab w:val="left" w:pos="1428"/>
      </w:tabs>
      <w:spacing w:before="240" w:afterLines="50" w:line="319" w:lineRule="auto"/>
      <w:ind w:left="550" w:hanging="550" w:hangingChars="550"/>
      <w:outlineLvl w:val="5"/>
    </w:pPr>
    <w:rPr>
      <w:rFonts w:ascii="Yu Mincho Light" w:hAnsi="Yu Mincho Light" w:eastAsia="Yu Mincho Light"/>
      <w:b w:val="0"/>
      <w:bCs w:val="0"/>
      <w:spacing w:val="10"/>
      <w:sz w:val="24"/>
    </w:rPr>
  </w:style>
  <w:style w:type="paragraph" w:styleId="9">
    <w:name w:val="heading 7"/>
    <w:basedOn w:val="1"/>
    <w:next w:val="5"/>
    <w:qFormat/>
    <w:uiPriority w:val="0"/>
    <w:pPr>
      <w:keepNext/>
      <w:keepLines/>
      <w:tabs>
        <w:tab w:val="left" w:pos="1638"/>
      </w:tabs>
      <w:spacing w:before="240" w:afterLines="50" w:line="319" w:lineRule="auto"/>
      <w:ind w:left="1633" w:hanging="1633"/>
      <w:outlineLvl w:val="6"/>
    </w:pPr>
    <w:rPr>
      <w:rFonts w:ascii="Yu Mincho Light" w:hAnsi="Yu Mincho Light" w:eastAsia="Yu Mincho Light"/>
      <w:b w:val="0"/>
      <w:bCs w:val="0"/>
      <w:sz w:val="24"/>
    </w:rPr>
  </w:style>
  <w:style w:type="paragraph" w:styleId="10">
    <w:name w:val="heading 8"/>
    <w:basedOn w:val="1"/>
    <w:next w:val="5"/>
    <w:qFormat/>
    <w:uiPriority w:val="0"/>
    <w:pPr>
      <w:keepNext/>
      <w:keepLines/>
      <w:tabs>
        <w:tab w:val="left" w:pos="1800"/>
      </w:tabs>
      <w:spacing w:before="240" w:afterLines="50" w:line="319" w:lineRule="auto"/>
      <w:ind w:left="1797" w:hanging="1797"/>
      <w:outlineLvl w:val="7"/>
    </w:pPr>
    <w:rPr>
      <w:rFonts w:ascii="Yu Mincho Light" w:hAnsi="Yu Mincho Light" w:eastAsia="Yu Mincho Light"/>
      <w:sz w:val="24"/>
    </w:rPr>
  </w:style>
  <w:style w:type="paragraph" w:styleId="11">
    <w:name w:val="heading 9"/>
    <w:basedOn w:val="1"/>
    <w:next w:val="5"/>
    <w:qFormat/>
    <w:uiPriority w:val="0"/>
    <w:pPr>
      <w:keepNext/>
      <w:keepLines/>
      <w:tabs>
        <w:tab w:val="left" w:pos="1980"/>
      </w:tabs>
      <w:spacing w:before="240" w:afterLines="50" w:line="319" w:lineRule="auto"/>
      <w:ind w:left="1979" w:hanging="1979"/>
      <w:outlineLvl w:val="8"/>
    </w:pPr>
    <w:rPr>
      <w:rFonts w:ascii="Yu Mincho Light" w:hAnsi="Yu Mincho Light" w:eastAsia="Yu Mincho Light"/>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3"/>
    <w:qFormat/>
    <w:uiPriority w:val="0"/>
    <w:pPr>
      <w:ind w:firstLine="420" w:firstLineChars="200"/>
    </w:pPr>
    <w:rPr>
      <w:rFonts w:ascii="Yu Mincho Light" w:hAnsi="Yu Mincho Light" w:eastAsia="Yu Mincho Light" w:cs="Yu Mincho Light"/>
    </w:rPr>
  </w:style>
  <w:style w:type="paragraph" w:styleId="12">
    <w:name w:val="caption"/>
    <w:basedOn w:val="1"/>
    <w:next w:val="1"/>
    <w:qFormat/>
    <w:uiPriority w:val="0"/>
    <w:rPr>
      <w:rFonts w:ascii="Yu Mincho Light" w:hAnsi="Yu Mincho Light" w:eastAsia="Yu Mincho Light" w:cs="Yu Mincho Light"/>
      <w:sz w:val="20"/>
      <w:szCs w:val="20"/>
    </w:rPr>
  </w:style>
  <w:style w:type="paragraph" w:styleId="13">
    <w:name w:val="List Bullet"/>
    <w:basedOn w:val="1"/>
    <w:qFormat/>
    <w:uiPriority w:val="0"/>
    <w:pPr>
      <w:spacing w:line="360" w:lineRule="auto"/>
    </w:pPr>
    <w:rPr>
      <w:rFonts w:ascii="Yu Mincho Light" w:eastAsia="Yu Mincho Light" w:cs="Yu Mincho Light"/>
      <w:b w:val="0"/>
      <w:bCs w:val="0"/>
      <w:color w:val="auto"/>
      <w:kern w:val="2"/>
      <w:sz w:val="20"/>
      <w:szCs w:val="20"/>
    </w:rPr>
  </w:style>
  <w:style w:type="paragraph" w:styleId="14">
    <w:name w:val="Document Map"/>
    <w:basedOn w:val="1"/>
    <w:semiHidden/>
    <w:qFormat/>
    <w:uiPriority w:val="0"/>
    <w:pPr>
      <w:shd w:val="clear" w:color="auto" w:fill="000080"/>
    </w:pPr>
    <w:rPr>
      <w:rFonts w:ascii="Yu Mincho Light" w:hAnsi="Yu Mincho Light" w:eastAsia="Yu Mincho Light" w:cs="Yu Mincho Light"/>
      <w:b w:val="0"/>
      <w:bCs w:val="0"/>
      <w:color w:val="auto"/>
      <w:kern w:val="2"/>
      <w:szCs w:val="24"/>
    </w:rPr>
  </w:style>
  <w:style w:type="paragraph" w:styleId="15">
    <w:name w:val="toa heading"/>
    <w:basedOn w:val="1"/>
    <w:next w:val="1"/>
    <w:qFormat/>
    <w:uiPriority w:val="0"/>
    <w:pPr>
      <w:spacing w:before="120"/>
    </w:pPr>
    <w:rPr>
      <w:rFonts w:ascii="Yu Mincho Light" w:hAnsi="Yu Mincho Light" w:cs="Yu Mincho Light"/>
      <w:sz w:val="24"/>
    </w:rPr>
  </w:style>
  <w:style w:type="paragraph" w:styleId="16">
    <w:name w:val="annotation text"/>
    <w:basedOn w:val="1"/>
    <w:semiHidden/>
    <w:qFormat/>
    <w:uiPriority w:val="0"/>
    <w:pPr>
      <w:jc w:val="left"/>
    </w:pPr>
    <w:rPr>
      <w:rFonts w:ascii="Yu Mincho Light" w:hAnsi="Yu Mincho Light" w:eastAsia="Yu Mincho Light" w:cs="Yu Mincho Light"/>
      <w:b w:val="0"/>
      <w:bCs w:val="0"/>
      <w:color w:val="auto"/>
      <w:kern w:val="2"/>
      <w:szCs w:val="24"/>
    </w:rPr>
  </w:style>
  <w:style w:type="paragraph" w:styleId="17">
    <w:name w:val="Body Text"/>
    <w:basedOn w:val="1"/>
    <w:qFormat/>
    <w:uiPriority w:val="0"/>
    <w:pPr>
      <w:spacing w:after="120"/>
    </w:pPr>
    <w:rPr>
      <w:rFonts w:ascii="Yu Mincho Light" w:hAnsi="Yu Mincho Light" w:eastAsia="Yu Mincho Light" w:cs="Yu Mincho Light"/>
      <w:b w:val="0"/>
      <w:bCs w:val="0"/>
      <w:color w:val="auto"/>
      <w:kern w:val="2"/>
      <w:szCs w:val="24"/>
    </w:rPr>
  </w:style>
  <w:style w:type="paragraph" w:styleId="18">
    <w:name w:val="Body Text Indent"/>
    <w:basedOn w:val="1"/>
    <w:qFormat/>
    <w:uiPriority w:val="0"/>
    <w:pPr>
      <w:spacing w:after="120"/>
      <w:ind w:left="420" w:leftChars="200"/>
    </w:pPr>
    <w:rPr>
      <w:rFonts w:ascii="Yu Mincho Light" w:hAnsi="Yu Mincho Light" w:eastAsia="Yu Mincho Light" w:cs="Yu Mincho Light"/>
      <w:b w:val="0"/>
      <w:bCs w:val="0"/>
      <w:color w:val="auto"/>
      <w:kern w:val="2"/>
      <w:szCs w:val="24"/>
    </w:rPr>
  </w:style>
  <w:style w:type="paragraph" w:styleId="19">
    <w:name w:val="List Number 3"/>
    <w:basedOn w:val="1"/>
    <w:qFormat/>
    <w:uiPriority w:val="0"/>
    <w:pPr>
      <w:widowControl/>
      <w:tabs>
        <w:tab w:val="left" w:pos="2260"/>
      </w:tabs>
      <w:spacing w:afterLines="50"/>
      <w:ind w:left="2260" w:hanging="340"/>
      <w:jc w:val="left"/>
    </w:pPr>
    <w:rPr>
      <w:rFonts w:ascii="Yu Mincho Light" w:hAnsi="Yu Mincho Light" w:eastAsia="Yu Mincho Light" w:cs="Yu Mincho Light"/>
      <w:b w:val="0"/>
      <w:bCs w:val="0"/>
      <w:color w:val="auto"/>
      <w:sz w:val="24"/>
      <w:szCs w:val="20"/>
    </w:rPr>
  </w:style>
  <w:style w:type="paragraph" w:styleId="20">
    <w:name w:val="toc 3"/>
    <w:basedOn w:val="1"/>
    <w:next w:val="1"/>
    <w:semiHidden/>
    <w:qFormat/>
    <w:uiPriority w:val="0"/>
    <w:pPr>
      <w:tabs>
        <w:tab w:val="right" w:leader="dot" w:pos="8987"/>
      </w:tabs>
      <w:adjustRightInd w:val="0"/>
      <w:snapToGrid w:val="0"/>
      <w:spacing w:beforeLines="50" w:afterLines="50" w:line="400" w:lineRule="atLeast"/>
      <w:textAlignment w:val="baseline"/>
    </w:pPr>
    <w:rPr>
      <w:rFonts w:ascii="Yu Mincho Light" w:hAnsi="Yu Mincho Light" w:cs="Yu Mincho Light"/>
      <w:bCs w:val="0"/>
      <w:sz w:val="28"/>
      <w:szCs w:val="28"/>
    </w:rPr>
  </w:style>
  <w:style w:type="paragraph" w:styleId="21">
    <w:name w:val="Plain Text"/>
    <w:basedOn w:val="1"/>
    <w:link w:val="71"/>
    <w:qFormat/>
    <w:uiPriority w:val="0"/>
    <w:rPr>
      <w:rFonts w:ascii="Yu Mincho Light" w:hAnsi="Yu Mincho Light" w:eastAsia="Yu Mincho Light"/>
      <w:szCs w:val="20"/>
    </w:rPr>
  </w:style>
  <w:style w:type="paragraph" w:styleId="22">
    <w:name w:val="Date"/>
    <w:basedOn w:val="1"/>
    <w:next w:val="1"/>
    <w:qFormat/>
    <w:uiPriority w:val="0"/>
    <w:pPr>
      <w:ind w:left="100" w:leftChars="2500"/>
    </w:pPr>
    <w:rPr>
      <w:sz w:val="24"/>
    </w:rPr>
  </w:style>
  <w:style w:type="paragraph" w:styleId="23">
    <w:name w:val="Body Text Indent 2"/>
    <w:basedOn w:val="1"/>
    <w:link w:val="121"/>
    <w:qFormat/>
    <w:uiPriority w:val="0"/>
    <w:pPr>
      <w:widowControl/>
      <w:spacing w:line="480" w:lineRule="atLeast"/>
      <w:ind w:firstLine="480"/>
    </w:pPr>
    <w:rPr>
      <w:rFonts w:ascii="Yu Mincho Light"/>
      <w:sz w:val="24"/>
      <w:szCs w:val="20"/>
    </w:rPr>
  </w:style>
  <w:style w:type="paragraph" w:styleId="24">
    <w:name w:val="Balloon Text"/>
    <w:basedOn w:val="1"/>
    <w:link w:val="122"/>
    <w:qFormat/>
    <w:uiPriority w:val="0"/>
    <w:rPr>
      <w:sz w:val="18"/>
      <w:szCs w:val="18"/>
    </w:rPr>
  </w:style>
  <w:style w:type="paragraph" w:styleId="25">
    <w:name w:val="footer"/>
    <w:basedOn w:val="1"/>
    <w:link w:val="43"/>
    <w:qFormat/>
    <w:uiPriority w:val="99"/>
    <w:pPr>
      <w:tabs>
        <w:tab w:val="center" w:pos="4153"/>
        <w:tab w:val="right" w:pos="8306"/>
      </w:tabs>
      <w:snapToGrid w:val="0"/>
      <w:jc w:val="left"/>
    </w:pPr>
    <w:rPr>
      <w:rFonts w:ascii="Yu Mincho Light" w:hAnsi="Yu Mincho Light" w:eastAsia="Yu Mincho Light"/>
      <w:sz w:val="18"/>
      <w:szCs w:val="18"/>
    </w:rPr>
  </w:style>
  <w:style w:type="paragraph" w:styleId="26">
    <w:name w:val="header"/>
    <w:basedOn w:val="1"/>
    <w:link w:val="48"/>
    <w:qFormat/>
    <w:uiPriority w:val="0"/>
    <w:pPr>
      <w:pBdr>
        <w:bottom w:val="single" w:color="auto" w:sz="6" w:space="1"/>
      </w:pBdr>
      <w:tabs>
        <w:tab w:val="center" w:pos="4153"/>
        <w:tab w:val="right" w:pos="8306"/>
      </w:tabs>
      <w:snapToGrid w:val="0"/>
      <w:jc w:val="center"/>
    </w:pPr>
    <w:rPr>
      <w:rFonts w:ascii="Yu Mincho Light" w:hAnsi="Yu Mincho Light" w:eastAsia="Yu Mincho Light" w:cs="Yu Mincho Light"/>
      <w:sz w:val="18"/>
      <w:szCs w:val="18"/>
    </w:rPr>
  </w:style>
  <w:style w:type="paragraph" w:styleId="27">
    <w:name w:val="toc 1"/>
    <w:basedOn w:val="1"/>
    <w:next w:val="1"/>
    <w:semiHidden/>
    <w:qFormat/>
    <w:uiPriority w:val="0"/>
    <w:pPr>
      <w:jc w:val="center"/>
    </w:pPr>
    <w:rPr>
      <w:rFonts w:ascii="Yu Mincho Light" w:hAnsi="Yu Mincho Light" w:eastAsia="Yu Mincho Light" w:cs="Yu Mincho Light"/>
      <w:b w:val="0"/>
      <w:bCs w:val="0"/>
      <w:color w:val="auto"/>
      <w:kern w:val="2"/>
      <w:szCs w:val="24"/>
    </w:rPr>
  </w:style>
  <w:style w:type="paragraph" w:styleId="28">
    <w:name w:val="toc 6"/>
    <w:basedOn w:val="1"/>
    <w:next w:val="1"/>
    <w:qFormat/>
    <w:uiPriority w:val="39"/>
    <w:pPr>
      <w:ind w:left="1050"/>
      <w:jc w:val="left"/>
    </w:pPr>
    <w:rPr>
      <w:rFonts w:ascii="Century Gothic" w:hAnsi="Century Gothic"/>
      <w:sz w:val="18"/>
      <w:szCs w:val="18"/>
    </w:rPr>
  </w:style>
  <w:style w:type="paragraph" w:styleId="29">
    <w:name w:val="Body Text Indent 3"/>
    <w:basedOn w:val="1"/>
    <w:qFormat/>
    <w:uiPriority w:val="0"/>
    <w:pPr>
      <w:spacing w:after="120"/>
      <w:ind w:left="420" w:leftChars="200"/>
    </w:pPr>
    <w:rPr>
      <w:sz w:val="16"/>
      <w:szCs w:val="16"/>
    </w:rPr>
  </w:style>
  <w:style w:type="paragraph" w:styleId="30">
    <w:name w:val="toc 2"/>
    <w:basedOn w:val="1"/>
    <w:next w:val="1"/>
    <w:semiHidden/>
    <w:qFormat/>
    <w:uiPriority w:val="0"/>
    <w:pPr>
      <w:ind w:left="420" w:leftChars="200"/>
    </w:pPr>
    <w:rPr>
      <w:rFonts w:ascii="Yu Mincho Light" w:hAnsi="Yu Mincho Light" w:eastAsia="Yu Mincho Light" w:cs="Yu Mincho Light"/>
      <w:b w:val="0"/>
      <w:bCs w:val="0"/>
      <w:color w:val="auto"/>
      <w:kern w:val="2"/>
      <w:szCs w:val="24"/>
    </w:rPr>
  </w:style>
  <w:style w:type="paragraph" w:styleId="31">
    <w:name w:val="Normal (Web)"/>
    <w:basedOn w:val="1"/>
    <w:qFormat/>
    <w:uiPriority w:val="99"/>
    <w:pPr>
      <w:widowControl/>
      <w:spacing w:afterLines="50"/>
      <w:jc w:val="left"/>
    </w:pPr>
    <w:rPr>
      <w:rFonts w:ascii="Yu Mincho Light" w:hAnsi="Yu Mincho Light" w:eastAsia="Yu Mincho Light" w:cs="Yu Mincho Light"/>
      <w:b w:val="0"/>
      <w:bCs w:val="0"/>
      <w:color w:val="auto"/>
      <w:sz w:val="24"/>
      <w:szCs w:val="24"/>
    </w:rPr>
  </w:style>
  <w:style w:type="paragraph" w:styleId="32">
    <w:name w:val="Title"/>
    <w:basedOn w:val="1"/>
    <w:next w:val="1"/>
    <w:link w:val="123"/>
    <w:qFormat/>
    <w:uiPriority w:val="0"/>
    <w:pPr>
      <w:spacing w:before="240" w:after="60"/>
      <w:jc w:val="center"/>
      <w:outlineLvl w:val="0"/>
    </w:pPr>
    <w:rPr>
      <w:rFonts w:ascii="Cambria" w:hAnsi="Cambria" w:eastAsia="Cambria" w:cs="Cambria"/>
      <w:bCs w:val="0"/>
      <w:kern w:val="1"/>
      <w:sz w:val="32"/>
      <w:szCs w:val="32"/>
    </w:rPr>
  </w:style>
  <w:style w:type="paragraph" w:styleId="33">
    <w:name w:val="annotation subject"/>
    <w:basedOn w:val="16"/>
    <w:next w:val="16"/>
    <w:semiHidden/>
    <w:qFormat/>
    <w:uiPriority w:val="0"/>
    <w:rPr>
      <w:b/>
      <w:bCs/>
      <w:color w:val="000000"/>
      <w:kern w:val="0"/>
      <w:szCs w:val="21"/>
    </w:rPr>
  </w:style>
  <w:style w:type="paragraph" w:styleId="34">
    <w:name w:val="Body Text First Indent"/>
    <w:basedOn w:val="17"/>
    <w:next w:val="28"/>
    <w:qFormat/>
    <w:uiPriority w:val="0"/>
    <w:pPr>
      <w:ind w:firstLine="420" w:firstLineChars="100"/>
    </w:pPr>
    <w:rPr>
      <w:rFonts w:ascii="仿宋_GB2312" w:hAnsi="宋体" w:eastAsia="仿宋_GB2312" w:cs="宋体"/>
      <w:b/>
      <w:bCs/>
      <w:color w:val="000000"/>
      <w:kern w:val="0"/>
      <w:szCs w:val="21"/>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rPr>
  </w:style>
  <w:style w:type="character" w:styleId="39">
    <w:name w:val="page number"/>
    <w:basedOn w:val="37"/>
    <w:qFormat/>
    <w:uiPriority w:val="0"/>
  </w:style>
  <w:style w:type="character" w:styleId="40">
    <w:name w:val="Hyperlink"/>
    <w:qFormat/>
    <w:uiPriority w:val="0"/>
    <w:rPr>
      <w:color w:val="0000FF"/>
      <w:u w:val="single"/>
    </w:rPr>
  </w:style>
  <w:style w:type="character" w:styleId="41">
    <w:name w:val="annotation reference"/>
    <w:semiHidden/>
    <w:qFormat/>
    <w:uiPriority w:val="0"/>
    <w:rPr>
      <w:sz w:val="21"/>
      <w:szCs w:val="21"/>
    </w:rPr>
  </w:style>
  <w:style w:type="paragraph" w:customStyle="1" w:styleId="42">
    <w:name w:val="表格文字"/>
    <w:basedOn w:val="1"/>
    <w:next w:val="17"/>
    <w:qFormat/>
    <w:uiPriority w:val="0"/>
    <w:pPr>
      <w:jc w:val="left"/>
      <w:textAlignment w:val="top"/>
    </w:pPr>
    <w:rPr>
      <w:b w:val="0"/>
      <w:bCs w:val="0"/>
      <w:color w:val="auto"/>
      <w:kern w:val="2"/>
      <w:sz w:val="18"/>
      <w:szCs w:val="24"/>
    </w:rPr>
  </w:style>
  <w:style w:type="character" w:customStyle="1" w:styleId="43">
    <w:name w:val="页脚 字符"/>
    <w:link w:val="25"/>
    <w:qFormat/>
    <w:uiPriority w:val="99"/>
    <w:rPr>
      <w:rFonts w:ascii="Yu Mincho Light" w:hAnsi="Yu Mincho Light" w:eastAsia="Yu Mincho Light" w:cs="Yu Mincho Light"/>
      <w:b/>
      <w:bCs/>
      <w:color w:val="000000"/>
      <w:sz w:val="18"/>
      <w:szCs w:val="18"/>
    </w:rPr>
  </w:style>
  <w:style w:type="character" w:customStyle="1" w:styleId="44">
    <w:name w:val="ca-2"/>
    <w:basedOn w:val="37"/>
    <w:qFormat/>
    <w:uiPriority w:val="0"/>
  </w:style>
  <w:style w:type="character" w:customStyle="1" w:styleId="45">
    <w:name w:val="正文缩进 字符"/>
    <w:qFormat/>
    <w:uiPriority w:val="0"/>
    <w:rPr>
      <w:kern w:val="2"/>
      <w:sz w:val="21"/>
    </w:rPr>
  </w:style>
  <w:style w:type="character" w:customStyle="1" w:styleId="46">
    <w:name w:val="ca-3"/>
    <w:basedOn w:val="37"/>
    <w:qFormat/>
    <w:uiPriority w:val="0"/>
  </w:style>
  <w:style w:type="character" w:customStyle="1" w:styleId="47">
    <w:name w:val="bookmark-item"/>
    <w:basedOn w:val="37"/>
    <w:qFormat/>
    <w:uiPriority w:val="0"/>
  </w:style>
  <w:style w:type="character" w:customStyle="1" w:styleId="48">
    <w:name w:val="页眉 字符1"/>
    <w:link w:val="26"/>
    <w:qFormat/>
    <w:uiPriority w:val="0"/>
    <w:rPr>
      <w:rFonts w:ascii="Yu Mincho Light" w:hAnsi="Yu Mincho Light" w:eastAsia="Yu Mincho Light" w:cs="Yu Mincho Light"/>
      <w:b/>
      <w:bCs/>
      <w:color w:val="000000"/>
      <w:sz w:val="18"/>
      <w:szCs w:val="18"/>
      <w:lang w:val="en-US" w:eastAsia="zh-CN" w:bidi="ar-SA"/>
    </w:rPr>
  </w:style>
  <w:style w:type="character" w:customStyle="1" w:styleId="49">
    <w:name w:val="Plain Text Char"/>
    <w:semiHidden/>
    <w:qFormat/>
    <w:locked/>
    <w:uiPriority w:val="0"/>
    <w:rPr>
      <w:rFonts w:ascii="Yu Mincho Light" w:hAnsi="Yu Mincho Light" w:eastAsia="Yu Mincho Light" w:cs="Yu Mincho Light"/>
      <w:b/>
      <w:color w:val="000000"/>
      <w:kern w:val="0"/>
      <w:sz w:val="20"/>
      <w:szCs w:val="20"/>
    </w:rPr>
  </w:style>
  <w:style w:type="character" w:customStyle="1" w:styleId="50">
    <w:name w:val="标题 2 字符"/>
    <w:link w:val="3"/>
    <w:qFormat/>
    <w:uiPriority w:val="0"/>
    <w:rPr>
      <w:rFonts w:ascii="Yu Mincho Light" w:hAnsi="Yu Mincho Light" w:eastAsia="Yu Mincho Light" w:cs="Yu Mincho Light"/>
      <w:color w:val="000000"/>
      <w:spacing w:val="20"/>
      <w:sz w:val="32"/>
      <w:szCs w:val="32"/>
    </w:rPr>
  </w:style>
  <w:style w:type="character" w:customStyle="1" w:styleId="51">
    <w:name w:val="列表段落 字符"/>
    <w:link w:val="52"/>
    <w:qFormat/>
    <w:locked/>
    <w:uiPriority w:val="0"/>
    <w:rPr>
      <w:rFonts w:ascii="Yu Mincho Light" w:hAnsi="Yu Mincho Light" w:eastAsia="Yu Mincho Light"/>
      <w:kern w:val="2"/>
      <w:sz w:val="21"/>
      <w:szCs w:val="22"/>
      <w:lang w:val="en-US" w:eastAsia="zh-CN" w:bidi="ar-SA"/>
    </w:rPr>
  </w:style>
  <w:style w:type="paragraph" w:styleId="52">
    <w:name w:val="List Paragraph"/>
    <w:basedOn w:val="1"/>
    <w:link w:val="51"/>
    <w:qFormat/>
    <w:uiPriority w:val="34"/>
    <w:pPr>
      <w:ind w:firstLine="420" w:firstLineChars="200"/>
    </w:pPr>
    <w:rPr>
      <w:rFonts w:ascii="Yu Mincho Light" w:hAnsi="Yu Mincho Light" w:eastAsia="Yu Mincho Light"/>
      <w:b w:val="0"/>
      <w:bCs w:val="0"/>
      <w:color w:val="auto"/>
      <w:kern w:val="2"/>
      <w:szCs w:val="22"/>
    </w:rPr>
  </w:style>
  <w:style w:type="character" w:customStyle="1" w:styleId="53">
    <w:name w:val="正文缩进 字符1"/>
    <w:link w:val="5"/>
    <w:qFormat/>
    <w:uiPriority w:val="0"/>
    <w:rPr>
      <w:rFonts w:ascii="Yu Mincho Light" w:hAnsi="Yu Mincho Light" w:eastAsia="Yu Mincho Light" w:cs="Yu Mincho Light"/>
      <w:b/>
      <w:bCs/>
      <w:color w:val="000000"/>
      <w:sz w:val="21"/>
      <w:szCs w:val="21"/>
      <w:lang w:val="en-US" w:eastAsia="zh-CN" w:bidi="ar-SA"/>
    </w:rPr>
  </w:style>
  <w:style w:type="character" w:customStyle="1" w:styleId="54">
    <w:name w:val="Char Char"/>
    <w:qFormat/>
    <w:uiPriority w:val="0"/>
    <w:rPr>
      <w:rFonts w:ascii="Yu Mincho Light" w:hAnsi="Yu Mincho Light" w:eastAsia="Yu Mincho Light"/>
      <w:b/>
      <w:bCs/>
      <w:color w:val="000000"/>
      <w:sz w:val="21"/>
      <w:lang w:val="en-US" w:eastAsia="zh-CN" w:bidi="ar-SA"/>
    </w:rPr>
  </w:style>
  <w:style w:type="character" w:customStyle="1" w:styleId="55">
    <w:name w:val="unnamed11"/>
    <w:basedOn w:val="37"/>
    <w:qFormat/>
    <w:uiPriority w:val="0"/>
  </w:style>
  <w:style w:type="character" w:customStyle="1" w:styleId="56">
    <w:name w:val="apple-converted-space"/>
    <w:basedOn w:val="37"/>
    <w:qFormat/>
    <w:uiPriority w:val="0"/>
  </w:style>
  <w:style w:type="character" w:customStyle="1" w:styleId="57">
    <w:name w:val="纯文本 Char3"/>
    <w:qFormat/>
    <w:uiPriority w:val="0"/>
    <w:rPr>
      <w:rFonts w:ascii="宋体" w:hAnsi="Courier New"/>
      <w:kern w:val="2"/>
      <w:sz w:val="21"/>
    </w:rPr>
  </w:style>
  <w:style w:type="character" w:customStyle="1" w:styleId="58">
    <w:name w:val="纯文本 Char1"/>
    <w:qFormat/>
    <w:uiPriority w:val="0"/>
    <w:rPr>
      <w:rFonts w:ascii="宋体" w:hAnsi="Courier New" w:eastAsia="仿宋_GB2312" w:cs="宋体"/>
      <w:b/>
      <w:bCs/>
      <w:color w:val="000000"/>
      <w:sz w:val="21"/>
    </w:rPr>
  </w:style>
  <w:style w:type="character" w:customStyle="1" w:styleId="59">
    <w:name w:val="Texte Char Char"/>
    <w:qFormat/>
    <w:uiPriority w:val="0"/>
    <w:rPr>
      <w:rFonts w:ascii="Yu Mincho Light" w:hAnsi="Yu Mincho Light" w:eastAsia="Yu Mincho Light"/>
      <w:kern w:val="2"/>
      <w:sz w:val="21"/>
      <w:lang w:val="en-US" w:eastAsia="zh-CN" w:bidi="ar-SA"/>
    </w:rPr>
  </w:style>
  <w:style w:type="character" w:customStyle="1" w:styleId="60">
    <w:name w:val="正文缩进 Char"/>
    <w:qFormat/>
    <w:uiPriority w:val="0"/>
    <w:rPr>
      <w:rFonts w:ascii="Yu Mincho Light" w:hAnsi="Yu Mincho Light" w:eastAsia="Yu Mincho Light" w:cs="Yu Mincho Light"/>
      <w:b/>
      <w:bCs/>
      <w:color w:val="000000"/>
      <w:sz w:val="21"/>
      <w:szCs w:val="21"/>
    </w:rPr>
  </w:style>
  <w:style w:type="character" w:customStyle="1" w:styleId="61">
    <w:name w:val="ca-4"/>
    <w:basedOn w:val="37"/>
    <w:qFormat/>
    <w:uiPriority w:val="0"/>
  </w:style>
  <w:style w:type="character" w:customStyle="1" w:styleId="62">
    <w:name w:val="普通文字 Char Char1"/>
    <w:qFormat/>
    <w:uiPriority w:val="0"/>
    <w:rPr>
      <w:rFonts w:ascii="Yu Mincho Light" w:hAnsi="Yu Mincho Light" w:eastAsia="Yu Mincho Light"/>
      <w:kern w:val="2"/>
      <w:sz w:val="21"/>
      <w:lang w:val="en-US" w:eastAsia="zh-CN" w:bidi="ar-SA"/>
    </w:rPr>
  </w:style>
  <w:style w:type="character" w:customStyle="1" w:styleId="63">
    <w:name w:val="自定义正文 Char"/>
    <w:link w:val="64"/>
    <w:qFormat/>
    <w:uiPriority w:val="0"/>
    <w:rPr>
      <w:kern w:val="2"/>
      <w:sz w:val="24"/>
      <w:lang w:bidi="ar-SA"/>
    </w:rPr>
  </w:style>
  <w:style w:type="paragraph" w:customStyle="1" w:styleId="64">
    <w:name w:val="自定义正文"/>
    <w:basedOn w:val="1"/>
    <w:link w:val="63"/>
    <w:qFormat/>
    <w:uiPriority w:val="0"/>
    <w:pPr>
      <w:spacing w:afterLines="50" w:line="360" w:lineRule="auto"/>
      <w:ind w:firstLine="200" w:firstLineChars="200"/>
      <w:jc w:val="left"/>
    </w:pPr>
    <w:rPr>
      <w:b w:val="0"/>
      <w:bCs w:val="0"/>
      <w:color w:val="auto"/>
      <w:kern w:val="2"/>
      <w:sz w:val="24"/>
      <w:szCs w:val="20"/>
    </w:rPr>
  </w:style>
  <w:style w:type="character" w:customStyle="1" w:styleId="65">
    <w:name w:val="页眉 字符"/>
    <w:qFormat/>
    <w:uiPriority w:val="0"/>
    <w:rPr>
      <w:kern w:val="2"/>
      <w:sz w:val="18"/>
      <w:szCs w:val="18"/>
    </w:rPr>
  </w:style>
  <w:style w:type="character" w:customStyle="1" w:styleId="66">
    <w:name w:val="标题 3 字符"/>
    <w:link w:val="4"/>
    <w:qFormat/>
    <w:uiPriority w:val="0"/>
    <w:rPr>
      <w:rFonts w:ascii="Yu Mincho Light" w:hAnsi="Yu Mincho Light" w:eastAsia="Yu Mincho Light"/>
      <w:color w:val="000000"/>
      <w:spacing w:val="20"/>
      <w:sz w:val="30"/>
      <w:szCs w:val="32"/>
    </w:rPr>
  </w:style>
  <w:style w:type="character" w:customStyle="1" w:styleId="67">
    <w:name w:val="正文 1.5 倍行距 Char"/>
    <w:link w:val="68"/>
    <w:qFormat/>
    <w:uiPriority w:val="0"/>
    <w:rPr>
      <w:sz w:val="24"/>
      <w:lang w:bidi="ar-SA"/>
    </w:rPr>
  </w:style>
  <w:style w:type="paragraph" w:customStyle="1" w:styleId="68">
    <w:name w:val="正文 1.5 倍行距"/>
    <w:basedOn w:val="1"/>
    <w:link w:val="67"/>
    <w:qFormat/>
    <w:uiPriority w:val="0"/>
    <w:pPr>
      <w:autoSpaceDE w:val="0"/>
      <w:autoSpaceDN w:val="0"/>
      <w:adjustRightInd w:val="0"/>
      <w:spacing w:line="360" w:lineRule="auto"/>
      <w:ind w:firstLine="480" w:firstLineChars="200"/>
      <w:textAlignment w:val="baseline"/>
    </w:pPr>
    <w:rPr>
      <w:b w:val="0"/>
      <w:bCs w:val="0"/>
      <w:color w:val="auto"/>
      <w:sz w:val="24"/>
      <w:szCs w:val="20"/>
    </w:rPr>
  </w:style>
  <w:style w:type="character" w:customStyle="1" w:styleId="69">
    <w:name w:val="apple-style-span"/>
    <w:basedOn w:val="37"/>
    <w:qFormat/>
    <w:uiPriority w:val="0"/>
  </w:style>
  <w:style w:type="character" w:customStyle="1" w:styleId="70">
    <w:name w:val="ca-5"/>
    <w:basedOn w:val="37"/>
    <w:qFormat/>
    <w:uiPriority w:val="0"/>
  </w:style>
  <w:style w:type="character" w:customStyle="1" w:styleId="71">
    <w:name w:val="纯文本 字符2"/>
    <w:link w:val="21"/>
    <w:qFormat/>
    <w:uiPriority w:val="0"/>
    <w:rPr>
      <w:rFonts w:ascii="Yu Mincho Light" w:hAnsi="Yu Mincho Light" w:eastAsia="Yu Mincho Light" w:cs="Yu Mincho Light"/>
      <w:b/>
      <w:bCs/>
      <w:color w:val="000000"/>
      <w:sz w:val="21"/>
    </w:rPr>
  </w:style>
  <w:style w:type="character" w:customStyle="1" w:styleId="72">
    <w:name w:val="unnamed51"/>
    <w:qFormat/>
    <w:uiPriority w:val="0"/>
    <w:rPr>
      <w:sz w:val="22"/>
      <w:szCs w:val="22"/>
    </w:rPr>
  </w:style>
  <w:style w:type="character" w:customStyle="1" w:styleId="73">
    <w:name w:val="sub"/>
    <w:basedOn w:val="37"/>
    <w:qFormat/>
    <w:uiPriority w:val="0"/>
  </w:style>
  <w:style w:type="character" w:customStyle="1" w:styleId="74">
    <w:name w:val="ca-1"/>
    <w:basedOn w:val="37"/>
    <w:qFormat/>
    <w:uiPriority w:val="0"/>
  </w:style>
  <w:style w:type="character" w:customStyle="1" w:styleId="75">
    <w:name w:val="纯文本 字符"/>
    <w:qFormat/>
    <w:uiPriority w:val="0"/>
    <w:rPr>
      <w:rFonts w:ascii="Yu Mincho Light" w:hAnsi="Yu Mincho Light"/>
      <w:kern w:val="2"/>
      <w:sz w:val="21"/>
    </w:rPr>
  </w:style>
  <w:style w:type="character" w:customStyle="1" w:styleId="76">
    <w:name w:val="强调1"/>
    <w:qFormat/>
    <w:uiPriority w:val="0"/>
    <w:rPr>
      <w:caps/>
      <w:sz w:val="18"/>
    </w:rPr>
  </w:style>
  <w:style w:type="character" w:customStyle="1" w:styleId="77">
    <w:name w:val="正文缩进 Char1"/>
    <w:qFormat/>
    <w:uiPriority w:val="0"/>
    <w:rPr>
      <w:kern w:val="2"/>
      <w:sz w:val="21"/>
    </w:rPr>
  </w:style>
  <w:style w:type="paragraph" w:customStyle="1" w:styleId="78">
    <w:name w:val="无间隔1"/>
    <w:qFormat/>
    <w:uiPriority w:val="0"/>
    <w:pPr>
      <w:widowControl w:val="0"/>
      <w:jc w:val="both"/>
    </w:pPr>
    <w:rPr>
      <w:rFonts w:ascii="Times New Roman" w:hAnsi="Times New Roman" w:eastAsia="宋体" w:cs="Times New Roman"/>
      <w:b/>
      <w:color w:val="000000"/>
      <w:sz w:val="21"/>
      <w:lang w:val="en-US" w:eastAsia="zh-CN" w:bidi="ar-SA"/>
    </w:rPr>
  </w:style>
  <w:style w:type="paragraph" w:customStyle="1" w:styleId="79">
    <w:name w:val="列出段落1"/>
    <w:basedOn w:val="1"/>
    <w:qFormat/>
    <w:uiPriority w:val="0"/>
    <w:pPr>
      <w:ind w:firstLine="420" w:firstLineChars="200"/>
    </w:pPr>
    <w:rPr>
      <w:rFonts w:ascii="Yu Mincho Light" w:hAnsi="Yu Mincho Light" w:eastAsia="Yu Mincho Light" w:cs="Yu Mincho Light"/>
      <w:b w:val="0"/>
      <w:bCs w:val="0"/>
      <w:color w:val="auto"/>
      <w:kern w:val="2"/>
      <w:szCs w:val="20"/>
    </w:rPr>
  </w:style>
  <w:style w:type="paragraph" w:customStyle="1" w:styleId="8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Yu Mincho Light" w:hAnsi="Yu Mincho Light" w:eastAsia="Yu Mincho Light" w:cs="Yu Mincho Light"/>
      <w:b w:val="0"/>
      <w:bCs w:val="0"/>
      <w:color w:val="auto"/>
      <w:sz w:val="24"/>
      <w:szCs w:val="24"/>
    </w:rPr>
  </w:style>
  <w:style w:type="paragraph" w:customStyle="1" w:styleId="81">
    <w:name w:val="1"/>
    <w:basedOn w:val="14"/>
    <w:qFormat/>
    <w:uiPriority w:val="0"/>
    <w:rPr>
      <w:sz w:val="24"/>
    </w:rPr>
  </w:style>
  <w:style w:type="paragraph" w:customStyle="1" w:styleId="82">
    <w:name w:val="p16"/>
    <w:qFormat/>
    <w:uiPriority w:val="0"/>
    <w:pPr>
      <w:jc w:val="both"/>
    </w:pPr>
    <w:rPr>
      <w:rFonts w:ascii="宋体" w:hAnsi="宋体" w:eastAsia="宋体" w:cs="宋体"/>
      <w:sz w:val="21"/>
      <w:szCs w:val="21"/>
      <w:lang w:val="en-US" w:eastAsia="zh-CN" w:bidi="ar-SA"/>
    </w:rPr>
  </w:style>
  <w:style w:type="paragraph" w:customStyle="1" w:styleId="83">
    <w:name w:val="pa-6"/>
    <w:basedOn w:val="1"/>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84">
    <w:name w:val="Char Char Char Char"/>
    <w:basedOn w:val="14"/>
    <w:qFormat/>
    <w:uiPriority w:val="0"/>
    <w:rPr>
      <w:sz w:val="24"/>
    </w:rPr>
  </w:style>
  <w:style w:type="paragraph" w:customStyle="1" w:styleId="85">
    <w:name w:val="图注"/>
    <w:basedOn w:val="12"/>
    <w:qFormat/>
    <w:uiPriority w:val="0"/>
    <w:pPr>
      <w:jc w:val="center"/>
    </w:pPr>
    <w:rPr>
      <w:b w:val="0"/>
      <w:bCs w:val="0"/>
      <w:color w:val="auto"/>
      <w:spacing w:val="30"/>
      <w:kern w:val="2"/>
      <w:sz w:val="21"/>
    </w:rPr>
  </w:style>
  <w:style w:type="paragraph" w:customStyle="1" w:styleId="86">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Yu Mincho Light" w:hAnsi="Yu Mincho Light" w:eastAsia="Yu Mincho Light" w:cs="Yu Mincho Light"/>
      <w:color w:val="auto"/>
      <w:sz w:val="28"/>
      <w:szCs w:val="28"/>
    </w:rPr>
  </w:style>
  <w:style w:type="paragraph" w:customStyle="1" w:styleId="87">
    <w:name w:val="Char Char1"/>
    <w:basedOn w:val="14"/>
    <w:qFormat/>
    <w:uiPriority w:val="0"/>
    <w:rPr>
      <w:sz w:val="24"/>
    </w:rPr>
  </w:style>
  <w:style w:type="paragraph" w:customStyle="1" w:styleId="88">
    <w:name w:val="pa-4"/>
    <w:basedOn w:val="1"/>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89">
    <w:name w:val="Char Char Char Char Char"/>
    <w:basedOn w:val="1"/>
    <w:qFormat/>
    <w:uiPriority w:val="0"/>
    <w:pPr>
      <w:widowControl/>
      <w:spacing w:after="160" w:line="240" w:lineRule="exact"/>
      <w:jc w:val="left"/>
    </w:pPr>
    <w:rPr>
      <w:rFonts w:ascii="Yu Mincho Light" w:hAnsi="Yu Mincho Light" w:eastAsia="Yu Mincho Light" w:cs="Yu Mincho Light"/>
      <w:b w:val="0"/>
      <w:bCs w:val="0"/>
      <w:color w:val="auto"/>
      <w:szCs w:val="20"/>
      <w:lang w:eastAsia="en-US"/>
    </w:rPr>
  </w:style>
  <w:style w:type="paragraph" w:customStyle="1" w:styleId="90">
    <w:name w:val="正文段"/>
    <w:basedOn w:val="1"/>
    <w:qFormat/>
    <w:uiPriority w:val="0"/>
    <w:pPr>
      <w:widowControl/>
      <w:snapToGrid w:val="0"/>
      <w:spacing w:afterLines="50"/>
      <w:ind w:firstLine="200" w:firstLineChars="200"/>
    </w:pPr>
    <w:rPr>
      <w:rFonts w:ascii="Yu Mincho Light" w:hAnsi="Yu Mincho Light" w:eastAsia="Yu Mincho Light" w:cs="Yu Mincho Light"/>
      <w:b w:val="0"/>
      <w:bCs w:val="0"/>
      <w:color w:val="auto"/>
      <w:sz w:val="24"/>
      <w:szCs w:val="20"/>
    </w:rPr>
  </w:style>
  <w:style w:type="paragraph" w:customStyle="1" w:styleId="91">
    <w:name w:val="Char Char Char Char1"/>
    <w:basedOn w:val="1"/>
    <w:qFormat/>
    <w:uiPriority w:val="0"/>
  </w:style>
  <w:style w:type="paragraph" w:customStyle="1" w:styleId="92">
    <w:name w:val="默认段落字体 Para Char Char Char Char"/>
    <w:basedOn w:val="1"/>
    <w:qFormat/>
    <w:uiPriority w:val="0"/>
    <w:pPr>
      <w:adjustRightInd w:val="0"/>
      <w:spacing w:line="360" w:lineRule="auto"/>
    </w:pPr>
    <w:rPr>
      <w:rFonts w:ascii="Yu Mincho Light" w:hAnsi="Yu Mincho Light" w:eastAsia="Yu Mincho Light" w:cs="Yu Mincho Light"/>
      <w:b w:val="0"/>
      <w:bCs w:val="0"/>
      <w:color w:val="auto"/>
      <w:sz w:val="24"/>
      <w:szCs w:val="20"/>
    </w:rPr>
  </w:style>
  <w:style w:type="paragraph" w:customStyle="1" w:styleId="93">
    <w:name w:val="表内文字"/>
    <w:basedOn w:val="1"/>
    <w:qFormat/>
    <w:uiPriority w:val="0"/>
    <w:pPr>
      <w:spacing w:line="500" w:lineRule="atLeast"/>
      <w:jc w:val="center"/>
    </w:pPr>
    <w:rPr>
      <w:rFonts w:ascii="Yu Mincho Light" w:hAnsi="Yu Mincho Light" w:eastAsia="Yu Mincho Light" w:cs="Yu Mincho Light"/>
      <w:b w:val="0"/>
      <w:bCs w:val="0"/>
      <w:color w:val="auto"/>
      <w:kern w:val="2"/>
      <w:sz w:val="28"/>
      <w:szCs w:val="24"/>
    </w:rPr>
  </w:style>
  <w:style w:type="paragraph" w:customStyle="1" w:styleId="9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5">
    <w:name w:val="Char1"/>
    <w:basedOn w:val="1"/>
    <w:qFormat/>
    <w:uiPriority w:val="0"/>
    <w:rPr>
      <w:rFonts w:hAnsi="Yu Mincho Light" w:cs="Yu Mincho Light"/>
      <w:bCs w:val="0"/>
      <w:color w:val="auto"/>
      <w:kern w:val="2"/>
      <w:sz w:val="32"/>
      <w:szCs w:val="32"/>
    </w:rPr>
  </w:style>
  <w:style w:type="paragraph" w:customStyle="1" w:styleId="96">
    <w:name w:val="Table Paragraph"/>
    <w:basedOn w:val="1"/>
    <w:qFormat/>
    <w:uiPriority w:val="1"/>
    <w:rPr>
      <w:rFonts w:ascii="Cambria Math" w:hAnsi="Cambria Math" w:eastAsia="Cambria Math" w:cs="Cambria Math"/>
      <w:b w:val="0"/>
      <w:bCs w:val="0"/>
      <w:color w:val="auto"/>
      <w:kern w:val="2"/>
      <w:szCs w:val="24"/>
      <w:lang w:val="zh-CN" w:bidi="zh-CN"/>
    </w:rPr>
  </w:style>
  <w:style w:type="paragraph" w:customStyle="1" w:styleId="97">
    <w:name w:val="Char1 Char Char Char"/>
    <w:basedOn w:val="1"/>
    <w:qFormat/>
    <w:uiPriority w:val="0"/>
    <w:rPr>
      <w:rFonts w:hAnsi="Yu Mincho Light" w:cs="Yu Mincho Light"/>
      <w:bCs w:val="0"/>
      <w:color w:val="auto"/>
      <w:kern w:val="2"/>
      <w:sz w:val="32"/>
      <w:szCs w:val="32"/>
    </w:rPr>
  </w:style>
  <w:style w:type="paragraph" w:customStyle="1" w:styleId="98">
    <w:name w:val="Char Char1 Char Char Char Char Char Char Char Char Char Char"/>
    <w:basedOn w:val="1"/>
    <w:qFormat/>
    <w:uiPriority w:val="0"/>
    <w:rPr>
      <w:rFonts w:ascii="Yu Mincho Light" w:hAnsi="Yu Mincho Light" w:eastAsia="Yu Mincho Light" w:cs="Yu Mincho Light"/>
      <w:b w:val="0"/>
      <w:bCs w:val="0"/>
      <w:color w:val="auto"/>
      <w:kern w:val="2"/>
      <w:sz w:val="24"/>
      <w:szCs w:val="20"/>
    </w:rPr>
  </w:style>
  <w:style w:type="paragraph" w:customStyle="1" w:styleId="99">
    <w:name w:val="Char Char Char Char Char Char Char Char Char1 Char"/>
    <w:basedOn w:val="1"/>
    <w:qFormat/>
    <w:uiPriority w:val="0"/>
    <w:rPr>
      <w:rFonts w:hAnsi="Yu Mincho Light" w:cs="Yu Mincho Light"/>
      <w:bCs w:val="0"/>
      <w:color w:val="auto"/>
      <w:kern w:val="2"/>
      <w:sz w:val="32"/>
      <w:szCs w:val="32"/>
    </w:rPr>
  </w:style>
  <w:style w:type="paragraph" w:customStyle="1" w:styleId="100">
    <w:name w:val="Body Text(ch)"/>
    <w:basedOn w:val="1"/>
    <w:next w:val="17"/>
    <w:qFormat/>
    <w:uiPriority w:val="0"/>
    <w:pPr>
      <w:spacing w:line="500" w:lineRule="exact"/>
      <w:jc w:val="center"/>
    </w:pPr>
    <w:rPr>
      <w:rFonts w:ascii="Yu Mincho Light" w:hAnsi="Yu Mincho Light" w:eastAsia="Yu Mincho Light" w:cs="Yu Mincho Light"/>
      <w:b w:val="0"/>
      <w:bCs w:val="0"/>
      <w:color w:val="auto"/>
      <w:kern w:val="2"/>
      <w:szCs w:val="24"/>
    </w:rPr>
  </w:style>
  <w:style w:type="paragraph" w:customStyle="1" w:styleId="101">
    <w:name w:val="Char11"/>
    <w:basedOn w:val="1"/>
    <w:qFormat/>
    <w:uiPriority w:val="0"/>
    <w:pPr>
      <w:tabs>
        <w:tab w:val="left" w:pos="840"/>
      </w:tabs>
      <w:ind w:left="840" w:hanging="420"/>
    </w:pPr>
    <w:rPr>
      <w:rFonts w:ascii="Yu Mincho Light" w:hAnsi="Yu Mincho Light" w:eastAsia="Yu Mincho Light" w:cs="Yu Mincho Light"/>
      <w:b w:val="0"/>
      <w:bCs w:val="0"/>
      <w:color w:val="auto"/>
      <w:kern w:val="2"/>
      <w:sz w:val="24"/>
      <w:szCs w:val="24"/>
    </w:rPr>
  </w:style>
  <w:style w:type="paragraph" w:customStyle="1" w:styleId="102">
    <w:name w:val="样式3"/>
    <w:basedOn w:val="1"/>
    <w:qFormat/>
    <w:uiPriority w:val="0"/>
    <w:pPr>
      <w:tabs>
        <w:tab w:val="left" w:pos="567"/>
      </w:tabs>
      <w:ind w:left="567" w:hanging="567"/>
    </w:pPr>
    <w:rPr>
      <w:rFonts w:ascii="Yu Mincho Light" w:hAnsi="Yu Mincho Light" w:eastAsia="Yu Mincho Light" w:cs="Yu Mincho Light"/>
      <w:b w:val="0"/>
      <w:bCs w:val="0"/>
      <w:color w:val="auto"/>
      <w:kern w:val="2"/>
      <w:szCs w:val="24"/>
    </w:rPr>
  </w:style>
  <w:style w:type="paragraph" w:customStyle="1" w:styleId="103">
    <w:name w:val="正文－恩普"/>
    <w:basedOn w:val="5"/>
    <w:qFormat/>
    <w:uiPriority w:val="0"/>
    <w:pPr>
      <w:widowControl/>
      <w:spacing w:before="100" w:beforeAutospacing="1" w:afterLines="50" w:afterAutospacing="1" w:line="360" w:lineRule="auto"/>
      <w:ind w:firstLine="480"/>
      <w:jc w:val="left"/>
    </w:pPr>
    <w:rPr>
      <w:sz w:val="24"/>
      <w:szCs w:val="20"/>
    </w:rPr>
  </w:style>
  <w:style w:type="paragraph" w:customStyle="1" w:styleId="104">
    <w:name w:val="小点说明"/>
    <w:basedOn w:val="1"/>
    <w:qFormat/>
    <w:uiPriority w:val="0"/>
    <w:pPr>
      <w:tabs>
        <w:tab w:val="left" w:pos="0"/>
      </w:tabs>
      <w:adjustRightInd w:val="0"/>
      <w:snapToGrid w:val="0"/>
      <w:spacing w:line="340" w:lineRule="atLeast"/>
    </w:pPr>
    <w:rPr>
      <w:rFonts w:ascii="Yu Mincho Light" w:eastAsia="Yu Mincho Light" w:cs="Yu Mincho Light"/>
      <w:b w:val="0"/>
      <w:color w:val="auto"/>
      <w:szCs w:val="24"/>
      <w:lang w:val="eu-ES"/>
    </w:rPr>
  </w:style>
  <w:style w:type="paragraph" w:customStyle="1" w:styleId="105">
    <w:name w:val="Char1 Char Char Char Char Char Char"/>
    <w:basedOn w:val="1"/>
    <w:qFormat/>
    <w:uiPriority w:val="0"/>
    <w:rPr>
      <w:rFonts w:ascii="Yu Mincho Light" w:hAnsi="Yu Mincho Light" w:eastAsia="Yu Mincho Light" w:cs="Yu Mincho Light"/>
      <w:b w:val="0"/>
      <w:bCs w:val="0"/>
      <w:color w:val="auto"/>
      <w:kern w:val="2"/>
      <w:sz w:val="24"/>
      <w:szCs w:val="20"/>
    </w:rPr>
  </w:style>
  <w:style w:type="paragraph" w:customStyle="1" w:styleId="106">
    <w:name w:val="正文缩进小五"/>
    <w:basedOn w:val="1"/>
    <w:qFormat/>
    <w:uiPriority w:val="0"/>
    <w:pPr>
      <w:widowControl/>
      <w:spacing w:before="120" w:after="120"/>
      <w:ind w:firstLine="360" w:firstLineChars="200"/>
    </w:pPr>
    <w:rPr>
      <w:rFonts w:ascii="Yu Mincho Light" w:hAnsi="Yu Mincho Light" w:eastAsia="Yu Mincho Light" w:cs="Yu Mincho Light"/>
      <w:b w:val="0"/>
      <w:bCs w:val="0"/>
      <w:color w:val="auto"/>
      <w:sz w:val="18"/>
      <w:szCs w:val="18"/>
    </w:rPr>
  </w:style>
  <w:style w:type="paragraph" w:customStyle="1" w:styleId="107">
    <w:name w:val="Char Char Char Char Char Char Char"/>
    <w:basedOn w:val="1"/>
    <w:qFormat/>
    <w:uiPriority w:val="0"/>
    <w:rPr>
      <w:rFonts w:hAnsi="Yu Mincho Light" w:cs="Yu Mincho Light"/>
      <w:bCs w:val="0"/>
      <w:color w:val="auto"/>
      <w:kern w:val="2"/>
      <w:sz w:val="32"/>
      <w:szCs w:val="32"/>
    </w:rPr>
  </w:style>
  <w:style w:type="paragraph" w:customStyle="1" w:styleId="108">
    <w:name w:val="pa-7"/>
    <w:basedOn w:val="1"/>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109">
    <w:name w:val="Char"/>
    <w:basedOn w:val="1"/>
    <w:qFormat/>
    <w:uiPriority w:val="0"/>
    <w:rPr>
      <w:rFonts w:hAnsi="Yu Mincho Light" w:cs="Yu Mincho Light"/>
      <w:bCs w:val="0"/>
      <w:color w:val="auto"/>
      <w:kern w:val="2"/>
      <w:sz w:val="32"/>
      <w:szCs w:val="32"/>
    </w:rPr>
  </w:style>
  <w:style w:type="paragraph" w:customStyle="1" w:styleId="110">
    <w:name w:val="Char2"/>
    <w:basedOn w:val="1"/>
    <w:qFormat/>
    <w:uiPriority w:val="0"/>
    <w:rPr>
      <w:rFonts w:ascii="Yu Mincho Light" w:eastAsia="Yu Mincho Light"/>
      <w:b w:val="0"/>
      <w:sz w:val="32"/>
      <w:szCs w:val="32"/>
    </w:rPr>
  </w:style>
  <w:style w:type="paragraph" w:customStyle="1" w:styleId="111">
    <w:name w:val="_Style 19"/>
    <w:basedOn w:val="1"/>
    <w:qFormat/>
    <w:uiPriority w:val="0"/>
  </w:style>
  <w:style w:type="paragraph" w:customStyle="1" w:styleId="112">
    <w:name w:val="Char Char Char"/>
    <w:basedOn w:val="1"/>
    <w:qFormat/>
    <w:uiPriority w:val="0"/>
    <w:rPr>
      <w:rFonts w:ascii="Yu Mincho Light" w:hAnsi="Yu Mincho Light" w:eastAsia="Yu Mincho Light" w:cs="Yu Mincho Light"/>
      <w:b w:val="0"/>
      <w:bCs w:val="0"/>
      <w:color w:val="auto"/>
      <w:kern w:val="2"/>
      <w:sz w:val="24"/>
      <w:szCs w:val="20"/>
    </w:rPr>
  </w:style>
  <w:style w:type="paragraph" w:customStyle="1" w:styleId="113">
    <w:name w:val="默认段落字体 Para Char Char Char Char Char Char Char Char Char1 Char Char Char Char Char Char Char"/>
    <w:basedOn w:val="14"/>
    <w:qFormat/>
    <w:uiPriority w:val="0"/>
    <w:rPr>
      <w:sz w:val="24"/>
    </w:rPr>
  </w:style>
  <w:style w:type="paragraph" w:customStyle="1" w:styleId="114">
    <w:name w:val="pa-1"/>
    <w:basedOn w:val="1"/>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115">
    <w:name w:val="pa-5"/>
    <w:basedOn w:val="1"/>
    <w:qFormat/>
    <w:uiPriority w:val="0"/>
    <w:pPr>
      <w:widowControl/>
      <w:spacing w:before="100" w:beforeAutospacing="1" w:after="100" w:afterAutospacing="1"/>
      <w:jc w:val="left"/>
    </w:pPr>
    <w:rPr>
      <w:rFonts w:ascii="Yu Mincho Light" w:eastAsia="Yu Mincho Light"/>
      <w:b w:val="0"/>
      <w:bCs w:val="0"/>
      <w:color w:val="auto"/>
      <w:sz w:val="24"/>
      <w:szCs w:val="24"/>
    </w:rPr>
  </w:style>
  <w:style w:type="paragraph" w:customStyle="1" w:styleId="116">
    <w:name w:val="Char1 Char Char Char1"/>
    <w:basedOn w:val="1"/>
    <w:qFormat/>
    <w:uiPriority w:val="0"/>
    <w:pPr>
      <w:widowControl/>
      <w:snapToGrid w:val="0"/>
      <w:spacing w:before="120" w:after="160" w:line="360" w:lineRule="auto"/>
      <w:ind w:right="-360"/>
      <w:jc w:val="left"/>
    </w:pPr>
    <w:rPr>
      <w:rFonts w:ascii="Yu Mincho Light" w:hAnsi="Yu Mincho Light" w:eastAsia="Yu Mincho Light" w:cs="Yu Mincho Light"/>
      <w:b w:val="0"/>
      <w:bCs w:val="0"/>
      <w:color w:val="auto"/>
      <w:sz w:val="24"/>
      <w:szCs w:val="24"/>
      <w:lang w:eastAsia="en-US"/>
    </w:rPr>
  </w:style>
  <w:style w:type="paragraph" w:customStyle="1" w:styleId="117">
    <w:name w:val="表格正文"/>
    <w:basedOn w:val="1"/>
    <w:qFormat/>
    <w:uiPriority w:val="0"/>
    <w:pPr>
      <w:adjustRightInd w:val="0"/>
      <w:snapToGrid w:val="0"/>
      <w:spacing w:before="60" w:after="60"/>
      <w:jc w:val="center"/>
      <w:textAlignment w:val="baseline"/>
    </w:pPr>
    <w:rPr>
      <w:rFonts w:ascii="Yu Mincho Light" w:hAnsi="Yu Mincho Light" w:eastAsia="Yu Mincho Light" w:cs="Yu Mincho Light"/>
      <w:b w:val="0"/>
      <w:bCs w:val="0"/>
      <w:color w:val="auto"/>
      <w:sz w:val="24"/>
      <w:szCs w:val="20"/>
    </w:rPr>
  </w:style>
  <w:style w:type="paragraph" w:customStyle="1" w:styleId="118">
    <w:name w:val="年"/>
    <w:basedOn w:val="1"/>
    <w:qFormat/>
    <w:uiPriority w:val="0"/>
    <w:pPr>
      <w:tabs>
        <w:tab w:val="left" w:pos="420"/>
      </w:tabs>
      <w:adjustRightInd w:val="0"/>
      <w:snapToGrid w:val="0"/>
      <w:spacing w:line="360" w:lineRule="auto"/>
      <w:ind w:left="420" w:hanging="420"/>
    </w:pPr>
    <w:rPr>
      <w:rFonts w:ascii="Yu Mincho Light" w:eastAsia="Yu Mincho Light" w:cs="Yu Mincho Light"/>
      <w:b w:val="0"/>
      <w:color w:val="auto"/>
      <w:kern w:val="2"/>
      <w:sz w:val="24"/>
      <w:szCs w:val="20"/>
    </w:rPr>
  </w:style>
  <w:style w:type="paragraph" w:customStyle="1" w:styleId="119">
    <w:name w:val="pa-3"/>
    <w:basedOn w:val="1"/>
    <w:qFormat/>
    <w:uiPriority w:val="0"/>
    <w:pPr>
      <w:widowControl/>
      <w:spacing w:before="100" w:beforeAutospacing="1" w:after="100" w:afterAutospacing="1"/>
      <w:jc w:val="left"/>
    </w:pPr>
    <w:rPr>
      <w:rFonts w:ascii="Yu Mincho Light" w:eastAsia="Yu Mincho Light"/>
      <w:b w:val="0"/>
      <w:bCs w:val="0"/>
      <w:color w:val="auto"/>
      <w:sz w:val="24"/>
      <w:szCs w:val="24"/>
    </w:rPr>
  </w:style>
  <w:style w:type="character" w:customStyle="1" w:styleId="120">
    <w:name w:val="纯文本 字符1"/>
    <w:qFormat/>
    <w:uiPriority w:val="0"/>
    <w:rPr>
      <w:rFonts w:ascii="@仿宋_GB2312" w:hAnsi="@楷体_GB2312" w:eastAsia="@楷体_GB2312" w:cs="@仿宋_GB2312"/>
      <w:b/>
      <w:bCs/>
      <w:color w:val="000000"/>
      <w:sz w:val="21"/>
    </w:rPr>
  </w:style>
  <w:style w:type="character" w:customStyle="1" w:styleId="121">
    <w:name w:val="正文文本缩进 2 字符"/>
    <w:basedOn w:val="37"/>
    <w:link w:val="23"/>
    <w:qFormat/>
    <w:uiPriority w:val="0"/>
    <w:rPr>
      <w:rFonts w:hint="default" w:ascii="Times New Roman" w:hAnsi="Times New Roman" w:cs="Times New Roman"/>
      <w:kern w:val="2"/>
      <w:sz w:val="21"/>
      <w:szCs w:val="24"/>
    </w:rPr>
  </w:style>
  <w:style w:type="character" w:customStyle="1" w:styleId="122">
    <w:name w:val="批注框文本 字符"/>
    <w:link w:val="24"/>
    <w:qFormat/>
    <w:uiPriority w:val="0"/>
    <w:rPr>
      <w:rFonts w:ascii="Times New Roman" w:hAnsi="Times New Roman" w:cs="Times New Roman"/>
      <w:b/>
      <w:bCs/>
      <w:color w:val="000000"/>
      <w:sz w:val="18"/>
      <w:szCs w:val="18"/>
    </w:rPr>
  </w:style>
  <w:style w:type="character" w:customStyle="1" w:styleId="123">
    <w:name w:val="标题 字符"/>
    <w:basedOn w:val="37"/>
    <w:link w:val="32"/>
    <w:qFormat/>
    <w:uiPriority w:val="0"/>
    <w:rPr>
      <w:rFonts w:ascii="Cambria" w:hAnsi="Cambria" w:eastAsia="Cambria" w:cs="Cambria"/>
      <w:b/>
      <w:color w:val="000000"/>
      <w:kern w:val="1"/>
      <w:sz w:val="32"/>
      <w:szCs w:val="32"/>
    </w:rPr>
  </w:style>
  <w:style w:type="paragraph" w:customStyle="1" w:styleId="124">
    <w:name w:val="_Style 123"/>
    <w:basedOn w:val="1"/>
    <w:next w:val="1"/>
    <w:qFormat/>
    <w:uiPriority w:val="0"/>
    <w:pPr>
      <w:ind w:left="420" w:leftChars="200"/>
    </w:pPr>
    <w:rPr>
      <w:b w:val="0"/>
      <w:bCs w:val="0"/>
      <w:color w:val="auto"/>
      <w:kern w:val="2"/>
      <w:szCs w:val="24"/>
    </w:rPr>
  </w:style>
  <w:style w:type="paragraph" w:customStyle="1" w:styleId="125">
    <w:name w:val="样式 首行缩进:  2 字符"/>
    <w:basedOn w:val="1"/>
    <w:qFormat/>
    <w:uiPriority w:val="0"/>
    <w:pPr>
      <w:spacing w:line="360" w:lineRule="auto"/>
      <w:ind w:firstLine="480" w:firstLineChars="200"/>
    </w:pPr>
    <w:rPr>
      <w:rFonts w:ascii="宋体" w:hAnsi="宋体" w:cs="宋体"/>
      <w:b w:val="0"/>
      <w:bCs w:val="0"/>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22749B-2C32-4A48-B17C-F98670653644}">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39</Pages>
  <Words>1979</Words>
  <Characters>2391</Characters>
  <Lines>156</Lines>
  <Paragraphs>43</Paragraphs>
  <TotalTime>126</TotalTime>
  <ScaleCrop>false</ScaleCrop>
  <LinksUpToDate>false</LinksUpToDate>
  <CharactersWithSpaces>2436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2025-02-16T11:09:00Z</dcterms:created>
  <dc:creator>陈仕盈</dc:creator>
  <cp:keywords>苍南超然招标代理有限公司</cp:keywords>
  <cp:lastModifiedBy>世铭</cp:lastModifiedBy>
  <cp:lastPrinted>2023-03-27T05:27:00Z</cp:lastPrinted>
  <dcterms:modified xsi:type="dcterms:W3CDTF">2025-03-05T09:31:46Z</dcterms:modified>
  <dc:title>玉 环 县 政 府 采 购 中 心</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FE27B0B13CB04F21AA1C5DF3DB2D18FF_13</vt:lpwstr>
  </property>
  <property fmtid="{D5CDD505-2E9C-101B-9397-08002B2CF9AE}" pid="4" name="KSOTemplateDocerSaveRecord">
    <vt:lpwstr>eyJoZGlkIjoiNTU0ZmIwYTQ3NzlmZGUxZmU3Zjk0M2IyZTNmM2IxNjAiLCJ1c2VySWQiOiIzNTI2MTA4NzMifQ==</vt:lpwstr>
  </property>
</Properties>
</file>