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4ADF82">
      <w:pPr>
        <w:widowControl/>
        <w:spacing w:line="288" w:lineRule="auto"/>
        <w:ind w:right="60" w:firstLine="619" w:firstLineChars="200"/>
        <w:jc w:val="center"/>
        <w:outlineLvl w:val="0"/>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采购需求</w:t>
      </w:r>
    </w:p>
    <w:p w14:paraId="7A2184A5">
      <w:pPr>
        <w:adjustRightInd w:val="0"/>
        <w:snapToGrid w:val="0"/>
        <w:spacing w:line="288" w:lineRule="auto"/>
        <w:outlineLvl w:val="1"/>
        <w:rPr>
          <w:rFonts w:hint="eastAsia" w:ascii="仿宋" w:hAnsi="仿宋" w:eastAsia="仿宋" w:cs="仿宋"/>
          <w:b/>
          <w:sz w:val="21"/>
          <w:szCs w:val="21"/>
          <w:highlight w:val="yellow"/>
        </w:rPr>
      </w:pPr>
      <w:bookmarkStart w:id="0" w:name="_Toc422946256"/>
      <w:r>
        <w:rPr>
          <w:rFonts w:hint="eastAsia" w:ascii="仿宋" w:hAnsi="仿宋" w:eastAsia="仿宋" w:cs="仿宋"/>
          <w:b/>
          <w:sz w:val="21"/>
          <w:szCs w:val="21"/>
        </w:rPr>
        <w:t>一、采购资金的支付方式、时间、条件：</w:t>
      </w:r>
    </w:p>
    <w:tbl>
      <w:tblPr>
        <w:tblStyle w:val="3"/>
        <w:tblW w:w="9493" w:type="dxa"/>
        <w:tblInd w:w="10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0"/>
      </w:tblGrid>
      <w:tr w14:paraId="0D86BE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045F66BD">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spacing w:val="-6"/>
                <w:sz w:val="21"/>
                <w:szCs w:val="21"/>
              </w:rPr>
            </w:pPr>
            <w:bookmarkStart w:id="1" w:name="_Hlk45005608"/>
            <w:r>
              <w:rPr>
                <w:rFonts w:hint="eastAsia" w:ascii="仿宋" w:hAnsi="仿宋" w:eastAsia="仿宋" w:cs="仿宋"/>
                <w:b/>
                <w:spacing w:val="-6"/>
                <w:sz w:val="21"/>
                <w:szCs w:val="21"/>
              </w:rPr>
              <w:t>▲履约保证金</w:t>
            </w:r>
          </w:p>
        </w:tc>
        <w:tc>
          <w:tcPr>
            <w:tcW w:w="7650" w:type="dxa"/>
            <w:tcBorders>
              <w:top w:val="single" w:color="auto" w:sz="4" w:space="0"/>
              <w:left w:val="single" w:color="auto" w:sz="4" w:space="0"/>
              <w:bottom w:val="single" w:color="auto" w:sz="4" w:space="0"/>
              <w:right w:val="single" w:color="auto" w:sz="4" w:space="0"/>
            </w:tcBorders>
            <w:vAlign w:val="center"/>
          </w:tcPr>
          <w:p w14:paraId="34B21933">
            <w:pPr>
              <w:keepNext w:val="0"/>
              <w:keepLines w:val="0"/>
              <w:suppressLineNumbers w:val="0"/>
              <w:adjustRightInd w:val="0"/>
              <w:snapToGrid w:val="0"/>
              <w:spacing w:before="0" w:beforeAutospacing="0" w:after="0" w:afterAutospacing="0" w:line="240" w:lineRule="auto"/>
              <w:ind w:left="0" w:right="0"/>
              <w:rPr>
                <w:rFonts w:hint="default" w:ascii="仿宋" w:hAnsi="仿宋" w:eastAsia="仿宋" w:cs="仿宋"/>
                <w:spacing w:val="-6"/>
                <w:kern w:val="0"/>
                <w:sz w:val="21"/>
                <w:szCs w:val="21"/>
                <w:highlight w:val="yellow"/>
                <w:lang w:val="en-US" w:eastAsia="zh-CN"/>
              </w:rPr>
            </w:pPr>
            <w:r>
              <w:rPr>
                <w:rFonts w:hint="eastAsia" w:ascii="仿宋" w:hAnsi="仿宋" w:eastAsia="仿宋" w:cs="仿宋"/>
                <w:spacing w:val="-6"/>
                <w:kern w:val="0"/>
                <w:sz w:val="21"/>
                <w:szCs w:val="21"/>
                <w:highlight w:val="none"/>
                <w:shd w:val="clear"/>
                <w:lang w:val="en-US" w:eastAsia="zh-CN"/>
              </w:rPr>
              <w:t>无</w:t>
            </w:r>
          </w:p>
        </w:tc>
      </w:tr>
      <w:tr w14:paraId="71E2BD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1" w:hRule="atLeast"/>
        </w:trPr>
        <w:tc>
          <w:tcPr>
            <w:tcW w:w="1843" w:type="dxa"/>
            <w:tcBorders>
              <w:top w:val="single" w:color="auto" w:sz="4" w:space="0"/>
              <w:left w:val="single" w:color="auto" w:sz="4" w:space="0"/>
              <w:bottom w:val="single" w:color="auto" w:sz="4" w:space="0"/>
              <w:right w:val="single" w:color="auto" w:sz="4" w:space="0"/>
            </w:tcBorders>
            <w:vAlign w:val="center"/>
          </w:tcPr>
          <w:p w14:paraId="780D899B">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spacing w:val="-6"/>
                <w:sz w:val="21"/>
                <w:szCs w:val="21"/>
              </w:rPr>
            </w:pPr>
            <w:r>
              <w:rPr>
                <w:rFonts w:hint="eastAsia" w:ascii="仿宋" w:hAnsi="仿宋" w:eastAsia="仿宋" w:cs="仿宋"/>
                <w:b/>
                <w:spacing w:val="-6"/>
                <w:sz w:val="21"/>
                <w:szCs w:val="21"/>
              </w:rPr>
              <w:t>▲付款方式</w:t>
            </w:r>
          </w:p>
        </w:tc>
        <w:tc>
          <w:tcPr>
            <w:tcW w:w="7650" w:type="dxa"/>
            <w:tcBorders>
              <w:top w:val="single" w:color="auto" w:sz="4" w:space="0"/>
              <w:left w:val="single" w:color="auto" w:sz="4" w:space="0"/>
              <w:bottom w:val="single" w:color="auto" w:sz="4" w:space="0"/>
              <w:right w:val="single" w:color="auto" w:sz="4" w:space="0"/>
            </w:tcBorders>
            <w:vAlign w:val="center"/>
          </w:tcPr>
          <w:p w14:paraId="2D0F7170">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pacing w:val="-6"/>
                <w:kern w:val="0"/>
                <w:sz w:val="21"/>
                <w:szCs w:val="21"/>
                <w:highlight w:val="yellow"/>
              </w:rPr>
            </w:pPr>
            <w:r>
              <w:rPr>
                <w:rFonts w:hint="eastAsia" w:ascii="仿宋" w:hAnsi="仿宋" w:eastAsia="仿宋" w:cs="仿宋"/>
                <w:spacing w:val="-6"/>
                <w:kern w:val="0"/>
                <w:sz w:val="21"/>
                <w:szCs w:val="21"/>
                <w:highlight w:val="none"/>
                <w:lang w:val="en-US" w:eastAsia="zh-CN"/>
              </w:rPr>
              <w:t>合同生效以及具备实施条件后，采购人向供应商支付合同总额的30%，维修硬件产品到货且软件交付使用后支付至合同总</w:t>
            </w:r>
            <w:r>
              <w:rPr>
                <w:rFonts w:hint="eastAsia" w:ascii="仿宋" w:hAnsi="仿宋" w:eastAsia="仿宋" w:cs="仿宋"/>
                <w:sz w:val="21"/>
                <w:szCs w:val="21"/>
                <w:highlight w:val="none"/>
                <w:lang w:val="en-US" w:eastAsia="zh-CN"/>
              </w:rPr>
              <w:t>额的95%，安装完成验收合格支付至合同总额的100%。</w:t>
            </w:r>
          </w:p>
        </w:tc>
      </w:tr>
      <w:bookmarkEnd w:id="0"/>
      <w:bookmarkEnd w:id="1"/>
    </w:tbl>
    <w:p w14:paraId="4C71059F">
      <w:pPr>
        <w:keepNext w:val="0"/>
        <w:keepLines w:val="0"/>
        <w:pageBreakBefore w:val="0"/>
        <w:widowControl/>
        <w:kinsoku/>
        <w:wordWrap/>
        <w:overflowPunct/>
        <w:topLinePunct w:val="0"/>
        <w:autoSpaceDE/>
        <w:autoSpaceDN/>
        <w:bidi w:val="0"/>
        <w:adjustRightInd/>
        <w:snapToGrid/>
        <w:spacing w:beforeLines="-2147483648" w:afterLines="-2147483648" w:line="240" w:lineRule="auto"/>
        <w:jc w:val="left"/>
        <w:textAlignment w:val="auto"/>
        <w:rPr>
          <w:rFonts w:hint="eastAsia" w:ascii="仿宋" w:hAnsi="仿宋" w:eastAsia="仿宋" w:cs="仿宋"/>
          <w:b/>
          <w:bCs/>
          <w:caps/>
          <w:color w:val="000000"/>
          <w:sz w:val="21"/>
          <w:szCs w:val="21"/>
          <w:highlight w:val="none"/>
          <w:lang w:val="en-US" w:eastAsia="zh-CN"/>
        </w:rPr>
      </w:pPr>
    </w:p>
    <w:p w14:paraId="6632AEA3">
      <w:pPr>
        <w:numPr>
          <w:ilvl w:val="0"/>
          <w:numId w:val="1"/>
        </w:numPr>
        <w:adjustRightInd w:val="0"/>
        <w:snapToGrid w:val="0"/>
        <w:spacing w:line="288" w:lineRule="auto"/>
        <w:outlineLvl w:val="1"/>
        <w:rPr>
          <w:rFonts w:hint="eastAsia" w:ascii="仿宋" w:hAnsi="仿宋" w:eastAsia="仿宋" w:cs="仿宋"/>
          <w:b/>
          <w:sz w:val="21"/>
          <w:szCs w:val="21"/>
        </w:rPr>
      </w:pPr>
      <w:r>
        <w:rPr>
          <w:rFonts w:hint="eastAsia" w:ascii="仿宋" w:hAnsi="仿宋" w:eastAsia="仿宋" w:cs="仿宋"/>
          <w:b/>
          <w:sz w:val="21"/>
          <w:szCs w:val="21"/>
          <w:lang w:val="en-US" w:eastAsia="zh-CN"/>
        </w:rPr>
        <w:t>商务</w:t>
      </w:r>
      <w:r>
        <w:rPr>
          <w:rFonts w:hint="eastAsia" w:ascii="仿宋" w:hAnsi="仿宋" w:eastAsia="仿宋" w:cs="仿宋"/>
          <w:b/>
          <w:sz w:val="21"/>
          <w:szCs w:val="21"/>
        </w:rPr>
        <w:t>服务要求（技术</w:t>
      </w:r>
      <w:r>
        <w:rPr>
          <w:rFonts w:hint="eastAsia" w:ascii="仿宋" w:hAnsi="仿宋" w:eastAsia="仿宋" w:cs="仿宋"/>
          <w:b/>
          <w:sz w:val="21"/>
          <w:szCs w:val="21"/>
          <w:lang w:val="en-US" w:eastAsia="zh-CN"/>
        </w:rPr>
        <w:t>服务</w:t>
      </w:r>
      <w:r>
        <w:rPr>
          <w:rFonts w:hint="eastAsia" w:ascii="仿宋" w:hAnsi="仿宋" w:eastAsia="仿宋" w:cs="仿宋"/>
          <w:b/>
          <w:sz w:val="21"/>
          <w:szCs w:val="21"/>
        </w:rPr>
        <w:t>要求里另有注明的以技术</w:t>
      </w:r>
      <w:r>
        <w:rPr>
          <w:rFonts w:hint="eastAsia" w:ascii="仿宋" w:hAnsi="仿宋" w:eastAsia="仿宋" w:cs="仿宋"/>
          <w:b/>
          <w:sz w:val="21"/>
          <w:szCs w:val="21"/>
          <w:lang w:val="en-US" w:eastAsia="zh-CN"/>
        </w:rPr>
        <w:t>服务</w:t>
      </w:r>
      <w:r>
        <w:rPr>
          <w:rFonts w:hint="eastAsia" w:ascii="仿宋" w:hAnsi="仿宋" w:eastAsia="仿宋" w:cs="仿宋"/>
          <w:b/>
          <w:sz w:val="21"/>
          <w:szCs w:val="21"/>
        </w:rPr>
        <w:t>要求为准）：</w:t>
      </w:r>
    </w:p>
    <w:tbl>
      <w:tblPr>
        <w:tblStyle w:val="3"/>
        <w:tblW w:w="9498" w:type="dxa"/>
        <w:tblInd w:w="11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43"/>
        <w:gridCol w:w="7655"/>
      </w:tblGrid>
      <w:tr w14:paraId="1B6D5B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7EAABE32">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bCs/>
                <w:sz w:val="21"/>
                <w:szCs w:val="21"/>
                <w:highlight w:val="none"/>
                <w:lang w:val="en-US" w:eastAsia="zh-CN"/>
              </w:rPr>
            </w:pPr>
            <w:bookmarkStart w:id="2" w:name="_Hlk97039632"/>
            <w:r>
              <w:rPr>
                <w:rFonts w:hint="eastAsia" w:ascii="仿宋" w:hAnsi="仿宋" w:eastAsia="仿宋" w:cs="仿宋"/>
                <w:b/>
                <w:bCs/>
                <w:sz w:val="21"/>
                <w:szCs w:val="21"/>
                <w:highlight w:val="none"/>
                <w:lang w:val="en-US" w:eastAsia="zh-CN"/>
              </w:rPr>
              <w:t>服务期限</w:t>
            </w:r>
          </w:p>
        </w:tc>
        <w:tc>
          <w:tcPr>
            <w:tcW w:w="7655" w:type="dxa"/>
            <w:tcBorders>
              <w:top w:val="single" w:color="auto" w:sz="4" w:space="0"/>
              <w:left w:val="single" w:color="auto" w:sz="4" w:space="0"/>
              <w:bottom w:val="single" w:color="auto" w:sz="4" w:space="0"/>
              <w:right w:val="single" w:color="auto" w:sz="4" w:space="0"/>
            </w:tcBorders>
            <w:vAlign w:val="center"/>
          </w:tcPr>
          <w:p w14:paraId="17481A6D">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维修硬件（维修更换所需硬件产品自合同签订生效后6个月内完成供货，安装等采购人通知）；软件交付期限：自合同签订生效后6个月内交付使用</w:t>
            </w:r>
          </w:p>
        </w:tc>
      </w:tr>
      <w:tr w14:paraId="037D47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46A07D9C">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交付地点</w:t>
            </w:r>
          </w:p>
        </w:tc>
        <w:tc>
          <w:tcPr>
            <w:tcW w:w="7655" w:type="dxa"/>
            <w:tcBorders>
              <w:top w:val="single" w:color="auto" w:sz="4" w:space="0"/>
              <w:left w:val="single" w:color="auto" w:sz="4" w:space="0"/>
              <w:bottom w:val="single" w:color="auto" w:sz="4" w:space="0"/>
              <w:right w:val="single" w:color="auto" w:sz="4" w:space="0"/>
            </w:tcBorders>
            <w:vAlign w:val="center"/>
          </w:tcPr>
          <w:p w14:paraId="7CFF25D3">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嘉兴市第一医院本院</w:t>
            </w:r>
          </w:p>
        </w:tc>
      </w:tr>
      <w:tr w14:paraId="0AE7E5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2D6B5436">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bCs/>
                <w:sz w:val="21"/>
                <w:szCs w:val="21"/>
                <w:highlight w:val="none"/>
                <w:lang w:val="en-US" w:eastAsia="zh-CN"/>
              </w:rPr>
            </w:pPr>
            <w:r>
              <w:rPr>
                <w:rFonts w:hint="eastAsia" w:ascii="仿宋" w:hAnsi="仿宋" w:eastAsia="仿宋" w:cs="仿宋"/>
                <w:b/>
                <w:bCs/>
                <w:sz w:val="21"/>
                <w:szCs w:val="21"/>
                <w:highlight w:val="none"/>
                <w:lang w:val="en-US" w:eastAsia="zh-CN"/>
              </w:rPr>
              <w:t>实施现场情况</w:t>
            </w:r>
          </w:p>
        </w:tc>
        <w:tc>
          <w:tcPr>
            <w:tcW w:w="7655" w:type="dxa"/>
            <w:tcBorders>
              <w:top w:val="single" w:color="auto" w:sz="4" w:space="0"/>
              <w:left w:val="single" w:color="auto" w:sz="4" w:space="0"/>
              <w:bottom w:val="single" w:color="auto" w:sz="4" w:space="0"/>
              <w:right w:val="single" w:color="auto" w:sz="4" w:space="0"/>
            </w:tcBorders>
            <w:vAlign w:val="center"/>
          </w:tcPr>
          <w:p w14:paraId="5B3ABCAF">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highlight w:val="none"/>
                <w:lang w:val="en-US" w:eastAsia="zh-CN"/>
              </w:rPr>
            </w:pPr>
            <w:r>
              <w:rPr>
                <w:rFonts w:hint="eastAsia" w:ascii="仿宋" w:hAnsi="仿宋" w:eastAsia="仿宋" w:cs="仿宋"/>
                <w:sz w:val="21"/>
                <w:szCs w:val="21"/>
                <w:lang w:val="en-US" w:eastAsia="zh-CN"/>
              </w:rPr>
              <w:t>采购人不组织供应商踏勘现场，由供应商自行安排。无论供应商是否踏勘现场，均被视作对项目现场的了解已完全满足本采购项目投标报价的需要。有关踏勘现场需要发生的一切费用由供应商自理，供应商自行负责在踏勘现场中所发生的任何风险责任和财产损失。</w:t>
            </w:r>
          </w:p>
        </w:tc>
      </w:tr>
      <w:tr w14:paraId="69DC47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3E3856D7">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sz w:val="21"/>
                <w:szCs w:val="21"/>
                <w:highlight w:val="none"/>
                <w:lang w:val="en-US" w:eastAsia="zh-CN"/>
              </w:rPr>
            </w:pPr>
            <w:r>
              <w:rPr>
                <w:rFonts w:hint="eastAsia" w:ascii="仿宋" w:hAnsi="仿宋" w:eastAsia="仿宋" w:cs="仿宋"/>
                <w:b/>
                <w:bCs/>
                <w:sz w:val="21"/>
                <w:szCs w:val="21"/>
                <w:highlight w:val="none"/>
                <w:lang w:val="en-US" w:eastAsia="zh-CN"/>
              </w:rPr>
              <w:t>报价</w:t>
            </w:r>
          </w:p>
        </w:tc>
        <w:tc>
          <w:tcPr>
            <w:tcW w:w="7655" w:type="dxa"/>
            <w:tcBorders>
              <w:top w:val="single" w:color="auto" w:sz="4" w:space="0"/>
              <w:left w:val="single" w:color="auto" w:sz="4" w:space="0"/>
              <w:bottom w:val="single" w:color="auto" w:sz="4" w:space="0"/>
              <w:right w:val="single" w:color="auto" w:sz="4" w:space="0"/>
            </w:tcBorders>
            <w:vAlign w:val="center"/>
          </w:tcPr>
          <w:p w14:paraId="2C52A6AD">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本项目报价需包含设备硬件及软件的供货价、包装费、运输和运输保险费、卸货费、搬运费、安装调试费、培训费、验收费、售后服务费用、管理费用、税费、利润、完成项目所需的一切本身和不可或缺的所有工作开支、政策性文件规定及项目包含的所有风险、责任等各项全部费用。</w:t>
            </w:r>
          </w:p>
        </w:tc>
      </w:tr>
      <w:tr w14:paraId="40DC22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325B5625">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bCs/>
                <w:sz w:val="21"/>
                <w:szCs w:val="21"/>
                <w:highlight w:val="none"/>
                <w:lang w:val="en-US" w:eastAsia="zh-CN"/>
              </w:rPr>
            </w:pPr>
            <w:r>
              <w:rPr>
                <w:rFonts w:hint="eastAsia" w:ascii="仿宋" w:hAnsi="仿宋" w:eastAsia="仿宋" w:cs="仿宋"/>
                <w:b/>
                <w:bCs/>
                <w:sz w:val="21"/>
                <w:szCs w:val="21"/>
                <w:highlight w:val="none"/>
                <w:lang w:val="en-US" w:eastAsia="zh-CN"/>
              </w:rPr>
              <w:t>质量要求</w:t>
            </w:r>
          </w:p>
        </w:tc>
        <w:tc>
          <w:tcPr>
            <w:tcW w:w="7655" w:type="dxa"/>
            <w:tcBorders>
              <w:top w:val="single" w:color="auto" w:sz="4" w:space="0"/>
              <w:left w:val="single" w:color="auto" w:sz="4" w:space="0"/>
              <w:bottom w:val="single" w:color="auto" w:sz="4" w:space="0"/>
              <w:right w:val="single" w:color="auto" w:sz="4" w:space="0"/>
            </w:tcBorders>
            <w:vAlign w:val="center"/>
          </w:tcPr>
          <w:p w14:paraId="207FFEE0">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b/>
                <w:spacing w:val="-6"/>
                <w:sz w:val="21"/>
                <w:szCs w:val="21"/>
              </w:rPr>
            </w:pPr>
            <w:r>
              <w:rPr>
                <w:rFonts w:hint="eastAsia" w:ascii="仿宋" w:hAnsi="仿宋" w:eastAsia="仿宋" w:cs="仿宋"/>
                <w:sz w:val="21"/>
                <w:szCs w:val="21"/>
              </w:rPr>
              <w:t>▲</w:t>
            </w:r>
            <w:r>
              <w:rPr>
                <w:rFonts w:hint="eastAsia" w:ascii="仿宋" w:hAnsi="仿宋" w:eastAsia="仿宋" w:cs="仿宋"/>
                <w:sz w:val="21"/>
                <w:szCs w:val="21"/>
                <w:lang w:val="en-US" w:eastAsia="zh-CN"/>
              </w:rPr>
              <w:t>1</w:t>
            </w:r>
            <w:r>
              <w:rPr>
                <w:rFonts w:hint="eastAsia" w:ascii="仿宋" w:hAnsi="仿宋" w:eastAsia="仿宋" w:cs="仿宋"/>
                <w:sz w:val="21"/>
                <w:szCs w:val="21"/>
              </w:rPr>
              <w:t>.</w:t>
            </w:r>
            <w:r>
              <w:rPr>
                <w:rFonts w:hint="eastAsia" w:ascii="仿宋" w:hAnsi="仿宋" w:eastAsia="仿宋" w:cs="仿宋"/>
                <w:sz w:val="21"/>
                <w:szCs w:val="21"/>
                <w:lang w:val="en-US" w:eastAsia="zh-CN"/>
              </w:rPr>
              <w:t>供应商提供的产品必须是未曾开箱使用的合格原厂产品，所供产品与采购要求规定的型号、配置相一致，产品安装调试完毕后，能在其功能范围内保障采购单位的系统安全、稳定运行，符合采购单位的采购要求。</w:t>
            </w:r>
          </w:p>
          <w:p w14:paraId="4EA92F50">
            <w:pPr>
              <w:keepNext w:val="0"/>
              <w:keepLines w:val="0"/>
              <w:suppressLineNumbers w:val="0"/>
              <w:adjustRightInd w:val="0"/>
              <w:snapToGrid w:val="0"/>
              <w:spacing w:before="0" w:beforeAutospacing="0" w:after="0" w:afterAutospacing="0" w:line="240" w:lineRule="auto"/>
              <w:ind w:left="0" w:right="0"/>
              <w:rPr>
                <w:rFonts w:hint="eastAsia"/>
                <w:lang w:val="en-US" w:eastAsia="zh-CN"/>
              </w:rPr>
            </w:pPr>
            <w:r>
              <w:rPr>
                <w:rFonts w:hint="eastAsia" w:ascii="仿宋" w:hAnsi="仿宋" w:eastAsia="仿宋" w:cs="仿宋"/>
                <w:b w:val="0"/>
                <w:bCs/>
                <w:spacing w:val="-6"/>
                <w:sz w:val="21"/>
                <w:szCs w:val="21"/>
                <w:lang w:val="en-US" w:eastAsia="zh-CN"/>
              </w:rPr>
              <w:t>2.所供全部产品的质量符合或优于现行国家和行业的技术标准和规范、安全及项目所在地的政府相关部门的管理规定，否则，供应商将承担一切经济损失的赔偿及法律责任。</w:t>
            </w:r>
          </w:p>
        </w:tc>
      </w:tr>
      <w:tr w14:paraId="4DEB14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0D3F3072">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bCs/>
                <w:sz w:val="21"/>
                <w:szCs w:val="21"/>
                <w:highlight w:val="none"/>
                <w:lang w:val="en-US" w:eastAsia="zh-CN"/>
              </w:rPr>
            </w:pPr>
            <w:r>
              <w:rPr>
                <w:rFonts w:hint="eastAsia" w:ascii="仿宋" w:hAnsi="仿宋" w:eastAsia="仿宋" w:cs="仿宋"/>
                <w:b/>
                <w:bCs/>
                <w:sz w:val="21"/>
                <w:szCs w:val="21"/>
                <w:highlight w:val="none"/>
                <w:lang w:val="en-US" w:eastAsia="zh-CN"/>
              </w:rPr>
              <w:t>实施要求</w:t>
            </w:r>
          </w:p>
        </w:tc>
        <w:tc>
          <w:tcPr>
            <w:tcW w:w="7655" w:type="dxa"/>
            <w:tcBorders>
              <w:top w:val="single" w:color="auto" w:sz="4" w:space="0"/>
              <w:left w:val="single" w:color="auto" w:sz="4" w:space="0"/>
              <w:bottom w:val="single" w:color="auto" w:sz="4" w:space="0"/>
              <w:right w:val="single" w:color="auto" w:sz="4" w:space="0"/>
            </w:tcBorders>
            <w:vAlign w:val="center"/>
          </w:tcPr>
          <w:p w14:paraId="4CF195FC">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供应商在作业和提供服务期间，不得影响医院正常的工作秩序，不得损坏医院设施，如有损坏应照价赔偿。本项目所有作业人员要求具有较丰富的实施经验、掌握本项目相关的专业领域技术、能独立完成复杂任务。岗位职责需明确界定，避免职责交叉或空白，人员技能与任务匹配，执行效率高，能根据项目阶段需求灵活调整分工。</w:t>
            </w:r>
          </w:p>
          <w:p w14:paraId="22730B1D">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2.供应商在产品到货后，需与采购人充分沟通，确认安装工作内容以及时间安排，</w:t>
            </w:r>
            <w:r>
              <w:rPr>
                <w:rFonts w:hint="eastAsia" w:ascii="仿宋" w:hAnsi="仿宋" w:eastAsia="仿宋" w:cs="仿宋"/>
                <w:sz w:val="21"/>
                <w:szCs w:val="21"/>
              </w:rPr>
              <w:t>如在规定的时间内由于供应商的原因不能完成安装和调试，供应商应承担由此给采购人造成的损失</w:t>
            </w:r>
            <w:r>
              <w:rPr>
                <w:rFonts w:hint="eastAsia" w:ascii="仿宋" w:hAnsi="仿宋" w:eastAsia="仿宋" w:cs="仿宋"/>
                <w:sz w:val="21"/>
                <w:szCs w:val="21"/>
                <w:lang w:val="en-US" w:eastAsia="zh-CN"/>
              </w:rPr>
              <w:t>。</w:t>
            </w:r>
          </w:p>
          <w:p w14:paraId="6C6782B4">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供应商应严格执行安装实施规范、安全操作规程、防火安全规定、环境保护规定，严格按照有关说明进行实施，由于供应商在实施过程中违反有关安全操作规程、消防条例，导致发生安全或火灾事故，供应商应承担由此发生的经济损失和责任。</w:t>
            </w:r>
          </w:p>
          <w:p w14:paraId="3FA58DE7">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4.供应商应采取确保其工作人员安全生产的防护措施，由于供应商保护措施不力而造成的事故，责任和费用由供应商承担。</w:t>
            </w:r>
          </w:p>
          <w:p w14:paraId="6362DDF5">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lang w:val="en-US" w:eastAsia="zh-CN"/>
              </w:rPr>
              <w:t>5.供应商在提供服务过程中有关食宿、交通、通讯等费用由供应商自行承担。</w:t>
            </w:r>
          </w:p>
          <w:p w14:paraId="369553AD">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lang w:val="en-US" w:eastAsia="zh-CN"/>
              </w:rPr>
              <w:t>6.实施</w:t>
            </w:r>
            <w:r>
              <w:rPr>
                <w:rFonts w:hint="eastAsia" w:ascii="仿宋" w:hAnsi="仿宋" w:eastAsia="仿宋" w:cs="仿宋"/>
                <w:sz w:val="21"/>
                <w:szCs w:val="21"/>
              </w:rPr>
              <w:t>标准：符合我国国家有关技术规范要求和技术标准；</w:t>
            </w:r>
          </w:p>
          <w:p w14:paraId="7939ED96">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b w:val="0"/>
                <w:bCs/>
                <w:spacing w:val="-6"/>
                <w:sz w:val="21"/>
                <w:szCs w:val="21"/>
                <w:lang w:val="en-US" w:eastAsia="zh-CN"/>
              </w:rPr>
            </w:pPr>
            <w:r>
              <w:rPr>
                <w:rFonts w:hint="eastAsia" w:ascii="仿宋" w:hAnsi="仿宋" w:eastAsia="仿宋" w:cs="仿宋"/>
                <w:sz w:val="21"/>
                <w:szCs w:val="21"/>
                <w:lang w:val="en-US" w:eastAsia="zh-CN"/>
              </w:rPr>
              <w:t>7.响应文件中需提供实施方案，包括实施前准备阶段[实施计划（技术资料准备、安装流程、人员分工、时间节点等）]、实施阶段（流程、标准、性能验证、文档移交等）、安全生产（操作规程、工作人员安全防护措施等）；</w:t>
            </w:r>
          </w:p>
        </w:tc>
      </w:tr>
      <w:tr w14:paraId="456620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42563EAE">
            <w:pPr>
              <w:keepNext w:val="0"/>
              <w:keepLines w:val="0"/>
              <w:suppressLineNumbers w:val="0"/>
              <w:adjustRightInd w:val="0"/>
              <w:snapToGrid w:val="0"/>
              <w:spacing w:before="0" w:beforeAutospacing="0" w:after="0" w:afterAutospacing="0" w:line="240" w:lineRule="auto"/>
              <w:ind w:left="0" w:right="0"/>
              <w:jc w:val="center"/>
              <w:rPr>
                <w:rFonts w:hint="default" w:ascii="仿宋" w:hAnsi="仿宋" w:eastAsia="仿宋" w:cs="仿宋"/>
                <w:b/>
                <w:bCs/>
                <w:sz w:val="21"/>
                <w:szCs w:val="21"/>
                <w:highlight w:val="none"/>
                <w:lang w:val="en-US" w:eastAsia="zh-CN"/>
              </w:rPr>
            </w:pPr>
            <w:r>
              <w:rPr>
                <w:rFonts w:hint="eastAsia" w:ascii="仿宋" w:hAnsi="仿宋" w:eastAsia="仿宋" w:cs="仿宋"/>
                <w:b/>
                <w:bCs/>
                <w:sz w:val="21"/>
                <w:szCs w:val="21"/>
                <w:highlight w:val="none"/>
                <w:lang w:val="en-US" w:eastAsia="zh-CN"/>
              </w:rPr>
              <w:t>售后服务</w:t>
            </w:r>
          </w:p>
        </w:tc>
        <w:tc>
          <w:tcPr>
            <w:tcW w:w="7655" w:type="dxa"/>
            <w:tcBorders>
              <w:top w:val="single" w:color="auto" w:sz="4" w:space="0"/>
              <w:left w:val="single" w:color="auto" w:sz="4" w:space="0"/>
              <w:bottom w:val="single" w:color="auto" w:sz="4" w:space="0"/>
              <w:right w:val="single" w:color="auto" w:sz="4" w:space="0"/>
            </w:tcBorders>
            <w:vAlign w:val="center"/>
          </w:tcPr>
          <w:p w14:paraId="55982CF4">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lang w:val="en-US" w:eastAsia="zh-CN"/>
              </w:rPr>
            </w:pPr>
            <w:r>
              <w:rPr>
                <w:rFonts w:hint="eastAsia" w:ascii="仿宋" w:hAnsi="仿宋" w:eastAsia="仿宋" w:cs="仿宋"/>
                <w:b/>
                <w:spacing w:val="-6"/>
                <w:sz w:val="21"/>
                <w:szCs w:val="21"/>
              </w:rPr>
              <w:t>▲</w:t>
            </w:r>
            <w:r>
              <w:rPr>
                <w:rFonts w:hint="eastAsia" w:ascii="仿宋" w:hAnsi="仿宋" w:eastAsia="仿宋" w:cs="仿宋"/>
                <w:sz w:val="21"/>
                <w:szCs w:val="21"/>
                <w:lang w:val="en-US" w:eastAsia="zh-CN"/>
              </w:rPr>
              <w:t>1.供应商提供自最终验收合格后不少于1年的质保期，质保期届满且经采购人确认无任何质量问题时质保期结束，质保期内提供免费维修服务，</w:t>
            </w:r>
            <w:r>
              <w:rPr>
                <w:rFonts w:hint="eastAsia" w:ascii="仿宋" w:hAnsi="仿宋" w:eastAsia="仿宋" w:cs="仿宋"/>
                <w:sz w:val="21"/>
                <w:szCs w:val="21"/>
              </w:rPr>
              <w:t>供应商应对货物出现的质量及安全问题负责处理解决并承担一切费用。</w:t>
            </w:r>
          </w:p>
          <w:p w14:paraId="4976BCC9">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lang w:val="en-US" w:eastAsia="zh-CN"/>
              </w:rPr>
              <w:t>2.质保期内非因采购人的人为原因而出现的产品质量问题，由供应商负责包修、包换或者包退，并承担因修理、调换或退货产生的费用。</w:t>
            </w:r>
          </w:p>
          <w:p w14:paraId="5F0CEABB">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u w:val="single"/>
              </w:rPr>
            </w:pPr>
            <w:r>
              <w:rPr>
                <w:rFonts w:hint="eastAsia" w:ascii="仿宋" w:hAnsi="仿宋" w:eastAsia="仿宋" w:cs="仿宋"/>
                <w:sz w:val="21"/>
                <w:szCs w:val="21"/>
                <w:lang w:val="en-US" w:eastAsia="zh-CN"/>
              </w:rPr>
              <w:t>3</w:t>
            </w:r>
            <w:r>
              <w:rPr>
                <w:rFonts w:hint="eastAsia" w:ascii="仿宋" w:hAnsi="仿宋" w:eastAsia="仿宋" w:cs="仿宋"/>
                <w:sz w:val="21"/>
                <w:szCs w:val="21"/>
              </w:rPr>
              <w:t>.</w:t>
            </w:r>
            <w:r>
              <w:rPr>
                <w:rFonts w:hint="eastAsia" w:ascii="仿宋" w:hAnsi="仿宋" w:eastAsia="仿宋" w:cs="仿宋"/>
                <w:sz w:val="21"/>
                <w:szCs w:val="21"/>
                <w:lang w:val="en-US" w:eastAsia="zh-CN"/>
              </w:rPr>
              <w:t>质保期内，</w:t>
            </w:r>
            <w:r>
              <w:rPr>
                <w:rFonts w:hint="eastAsia" w:ascii="仿宋" w:hAnsi="仿宋" w:eastAsia="仿宋" w:cs="仿宋"/>
                <w:sz w:val="21"/>
                <w:szCs w:val="21"/>
                <w:u w:val="single"/>
              </w:rPr>
              <w:t>如在使用过程中发生质量问题，供应商维修响应时间：</w:t>
            </w:r>
            <w:r>
              <w:rPr>
                <w:rFonts w:hint="eastAsia" w:ascii="仿宋" w:hAnsi="仿宋" w:eastAsia="仿宋" w:cs="仿宋"/>
                <w:sz w:val="21"/>
                <w:szCs w:val="21"/>
                <w:u w:val="single"/>
                <w:lang w:val="en-US" w:eastAsia="zh-CN"/>
              </w:rPr>
              <w:t>2</w:t>
            </w:r>
            <w:r>
              <w:rPr>
                <w:rFonts w:hint="eastAsia" w:ascii="仿宋" w:hAnsi="仿宋" w:eastAsia="仿宋" w:cs="仿宋"/>
                <w:sz w:val="21"/>
                <w:szCs w:val="21"/>
                <w:u w:val="single"/>
              </w:rPr>
              <w:t>小时以内；</w:t>
            </w:r>
          </w:p>
          <w:p w14:paraId="6A18FF29">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u w:val="single"/>
              </w:rPr>
            </w:pPr>
            <w:r>
              <w:rPr>
                <w:rFonts w:hint="eastAsia" w:ascii="仿宋" w:hAnsi="仿宋" w:eastAsia="仿宋" w:cs="仿宋"/>
                <w:sz w:val="21"/>
                <w:szCs w:val="21"/>
                <w:u w:val="single"/>
              </w:rPr>
              <w:t>电话技术支持时间：</w:t>
            </w:r>
            <w:r>
              <w:rPr>
                <w:rFonts w:hint="eastAsia" w:ascii="仿宋" w:hAnsi="仿宋" w:eastAsia="仿宋" w:cs="仿宋"/>
                <w:sz w:val="21"/>
                <w:szCs w:val="21"/>
                <w:u w:val="single"/>
                <w:lang w:val="en-US" w:eastAsia="zh-CN"/>
              </w:rPr>
              <w:t>0.5</w:t>
            </w:r>
            <w:r>
              <w:rPr>
                <w:rFonts w:hint="eastAsia" w:ascii="仿宋" w:hAnsi="仿宋" w:eastAsia="仿宋" w:cs="仿宋"/>
                <w:sz w:val="21"/>
                <w:szCs w:val="21"/>
                <w:u w:val="single"/>
              </w:rPr>
              <w:t>小时以内；</w:t>
            </w:r>
          </w:p>
          <w:p w14:paraId="4F11F9A5">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u w:val="single"/>
              </w:rPr>
            </w:pPr>
            <w:r>
              <w:rPr>
                <w:rFonts w:hint="eastAsia" w:ascii="仿宋" w:hAnsi="仿宋" w:eastAsia="仿宋" w:cs="仿宋"/>
                <w:sz w:val="21"/>
                <w:szCs w:val="21"/>
                <w:u w:val="single"/>
              </w:rPr>
              <w:t>若需上门维修，则在：</w:t>
            </w:r>
            <w:r>
              <w:rPr>
                <w:rFonts w:hint="eastAsia" w:ascii="仿宋" w:hAnsi="仿宋" w:eastAsia="仿宋" w:cs="仿宋"/>
                <w:sz w:val="21"/>
                <w:szCs w:val="21"/>
                <w:u w:val="single"/>
                <w:lang w:val="en-US" w:eastAsia="zh-CN"/>
              </w:rPr>
              <w:t>2</w:t>
            </w:r>
            <w:r>
              <w:rPr>
                <w:rFonts w:hint="eastAsia" w:ascii="仿宋" w:hAnsi="仿宋" w:eastAsia="仿宋" w:cs="仿宋"/>
                <w:sz w:val="21"/>
                <w:szCs w:val="21"/>
                <w:u w:val="single"/>
              </w:rPr>
              <w:t>小时内到达现场并进行维修</w:t>
            </w:r>
            <w:r>
              <w:rPr>
                <w:rFonts w:hint="eastAsia" w:ascii="仿宋" w:hAnsi="仿宋" w:eastAsia="仿宋" w:cs="仿宋"/>
                <w:sz w:val="21"/>
                <w:szCs w:val="21"/>
                <w:u w:val="single"/>
                <w:lang w:eastAsia="zh-CN"/>
              </w:rPr>
              <w:t>。</w:t>
            </w:r>
          </w:p>
          <w:p w14:paraId="6FBBE876">
            <w:pPr>
              <w:keepNext w:val="0"/>
              <w:keepLines w:val="0"/>
              <w:numPr>
                <w:ilvl w:val="0"/>
                <w:numId w:val="0"/>
              </w:numPr>
              <w:suppressLineNumbers w:val="0"/>
              <w:adjustRightInd w:val="0"/>
              <w:snapToGrid w:val="0"/>
              <w:spacing w:before="0" w:beforeAutospacing="0" w:after="0" w:afterAutospacing="0" w:line="240" w:lineRule="auto"/>
              <w:ind w:left="0" w:right="0" w:rightChars="0"/>
              <w:rPr>
                <w:rFonts w:hint="eastAsia"/>
                <w:lang w:val="en-US" w:eastAsia="zh-CN"/>
              </w:rPr>
            </w:pPr>
            <w:r>
              <w:rPr>
                <w:rFonts w:hint="eastAsia" w:ascii="仿宋" w:hAnsi="仿宋" w:eastAsia="仿宋" w:cs="仿宋"/>
                <w:sz w:val="21"/>
                <w:szCs w:val="21"/>
                <w:lang w:val="en-US" w:eastAsia="zh-CN"/>
              </w:rPr>
              <w:t>4.响应</w:t>
            </w:r>
            <w:r>
              <w:rPr>
                <w:rFonts w:hint="eastAsia" w:ascii="仿宋" w:hAnsi="仿宋" w:eastAsia="仿宋" w:cs="仿宋"/>
                <w:sz w:val="21"/>
                <w:szCs w:val="21"/>
              </w:rPr>
              <w:t>文件中</w:t>
            </w:r>
            <w:r>
              <w:rPr>
                <w:rFonts w:hint="eastAsia" w:ascii="仿宋" w:hAnsi="仿宋" w:eastAsia="仿宋" w:cs="仿宋"/>
                <w:sz w:val="21"/>
                <w:szCs w:val="21"/>
                <w:lang w:val="en-US" w:eastAsia="zh-CN"/>
              </w:rPr>
              <w:t>需</w:t>
            </w:r>
            <w:r>
              <w:rPr>
                <w:rFonts w:hint="eastAsia" w:ascii="仿宋" w:hAnsi="仿宋" w:eastAsia="仿宋" w:cs="仿宋"/>
                <w:sz w:val="21"/>
                <w:szCs w:val="21"/>
              </w:rPr>
              <w:t>提供相应的售后服务方案</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包括</w:t>
            </w:r>
            <w:r>
              <w:rPr>
                <w:rFonts w:hint="eastAsia" w:ascii="仿宋" w:hAnsi="仿宋" w:eastAsia="仿宋" w:cs="仿宋"/>
                <w:sz w:val="21"/>
                <w:szCs w:val="21"/>
                <w:lang w:eastAsia="zh-CN"/>
              </w:rPr>
              <w:t>售后服务体系</w:t>
            </w:r>
            <w:r>
              <w:rPr>
                <w:rFonts w:hint="eastAsia" w:ascii="仿宋" w:hAnsi="仿宋" w:eastAsia="仿宋" w:cs="仿宋"/>
                <w:sz w:val="21"/>
                <w:szCs w:val="21"/>
                <w:lang w:val="en-US" w:eastAsia="zh-CN"/>
              </w:rPr>
              <w:t>[</w:t>
            </w:r>
            <w:r>
              <w:rPr>
                <w:rFonts w:hint="eastAsia" w:ascii="仿宋" w:hAnsi="仿宋" w:eastAsia="仿宋" w:cs="仿宋"/>
                <w:sz w:val="21"/>
                <w:szCs w:val="21"/>
                <w:lang w:eastAsia="zh-CN"/>
              </w:rPr>
              <w:t>售后服务团队（售后人员售后服务经验、技术能力等）、备品备件仓库、退换货时效保障机制</w:t>
            </w:r>
            <w:r>
              <w:rPr>
                <w:rFonts w:hint="eastAsia" w:ascii="仿宋" w:hAnsi="仿宋" w:eastAsia="仿宋" w:cs="仿宋"/>
                <w:sz w:val="21"/>
                <w:szCs w:val="21"/>
                <w:lang w:val="en-US" w:eastAsia="zh-CN"/>
              </w:rPr>
              <w:t>]、</w:t>
            </w:r>
            <w:r>
              <w:rPr>
                <w:rFonts w:hint="eastAsia" w:ascii="仿宋" w:hAnsi="仿宋" w:eastAsia="仿宋" w:cs="仿宋"/>
                <w:sz w:val="21"/>
                <w:szCs w:val="21"/>
                <w:lang w:eastAsia="zh-CN"/>
              </w:rPr>
              <w:t>售后服务内容</w:t>
            </w:r>
            <w:r>
              <w:rPr>
                <w:rFonts w:hint="eastAsia" w:ascii="仿宋" w:hAnsi="仿宋" w:eastAsia="仿宋" w:cs="仿宋"/>
                <w:sz w:val="21"/>
                <w:szCs w:val="21"/>
                <w:lang w:val="en-US" w:eastAsia="zh-CN"/>
              </w:rPr>
              <w:t>[</w:t>
            </w:r>
            <w:r>
              <w:rPr>
                <w:rFonts w:hint="eastAsia" w:ascii="仿宋" w:hAnsi="仿宋" w:eastAsia="仿宋" w:cs="仿宋"/>
                <w:sz w:val="21"/>
                <w:szCs w:val="21"/>
                <w:lang w:eastAsia="zh-CN"/>
              </w:rPr>
              <w:t>时效（响应时间、到达采购人现场时间、一般问题解决时间、重大问题或其它无法迅速解决的问题解决或提出明确的解决方案时间等）、质保期内免费的定期巡检及必要的维护保养指导等（频次、方式等）和个性化维护保养方案等及相应收费标准</w:t>
            </w:r>
            <w:r>
              <w:rPr>
                <w:rFonts w:hint="eastAsia" w:ascii="仿宋" w:hAnsi="仿宋" w:eastAsia="仿宋" w:cs="仿宋"/>
                <w:sz w:val="21"/>
                <w:szCs w:val="21"/>
                <w:lang w:val="en-US" w:eastAsia="zh-CN"/>
              </w:rPr>
              <w:t>]、</w:t>
            </w:r>
            <w:r>
              <w:rPr>
                <w:rFonts w:hint="eastAsia" w:ascii="仿宋" w:hAnsi="仿宋" w:eastAsia="仿宋" w:cs="仿宋"/>
                <w:sz w:val="21"/>
                <w:szCs w:val="21"/>
                <w:lang w:eastAsia="zh-CN"/>
              </w:rPr>
              <w:t>售后服务流程</w:t>
            </w:r>
            <w:r>
              <w:rPr>
                <w:rFonts w:hint="eastAsia" w:ascii="仿宋" w:hAnsi="仿宋" w:eastAsia="仿宋" w:cs="仿宋"/>
                <w:sz w:val="21"/>
                <w:szCs w:val="21"/>
                <w:lang w:val="en-US" w:eastAsia="zh-CN"/>
              </w:rPr>
              <w:t>[</w:t>
            </w:r>
            <w:r>
              <w:rPr>
                <w:rFonts w:hint="eastAsia" w:ascii="仿宋" w:hAnsi="仿宋" w:eastAsia="仿宋" w:cs="仿宋"/>
                <w:sz w:val="21"/>
                <w:szCs w:val="21"/>
                <w:lang w:eastAsia="zh-CN"/>
              </w:rPr>
              <w:t>售后接收处理和反馈（方式、具体步骤等）、故障诊断及现场维修服务（具体步骤、服务标准等）、反馈意见收集及定期回访（频次、方式、目的等）</w:t>
            </w:r>
            <w:r>
              <w:rPr>
                <w:rFonts w:hint="eastAsia" w:ascii="仿宋" w:hAnsi="仿宋" w:eastAsia="仿宋" w:cs="仿宋"/>
                <w:sz w:val="21"/>
                <w:szCs w:val="21"/>
                <w:lang w:val="en-US" w:eastAsia="zh-CN"/>
              </w:rPr>
              <w:t>]、</w:t>
            </w:r>
            <w:r>
              <w:rPr>
                <w:rFonts w:hint="eastAsia" w:ascii="仿宋" w:hAnsi="仿宋" w:eastAsia="仿宋" w:cs="仿宋"/>
                <w:sz w:val="21"/>
                <w:szCs w:val="21"/>
                <w:lang w:eastAsia="zh-CN"/>
              </w:rPr>
              <w:t>日常反馈机制</w:t>
            </w:r>
            <w:r>
              <w:rPr>
                <w:rFonts w:hint="eastAsia" w:ascii="仿宋" w:hAnsi="仿宋" w:eastAsia="仿宋" w:cs="仿宋"/>
                <w:sz w:val="21"/>
                <w:szCs w:val="21"/>
                <w:lang w:val="en-US" w:eastAsia="zh-CN"/>
              </w:rPr>
              <w:t>[</w:t>
            </w:r>
            <w:r>
              <w:rPr>
                <w:rFonts w:hint="eastAsia" w:ascii="仿宋" w:hAnsi="仿宋" w:eastAsia="仿宋" w:cs="仿宋"/>
                <w:sz w:val="21"/>
                <w:szCs w:val="21"/>
                <w:lang w:eastAsia="zh-CN"/>
              </w:rPr>
              <w:t>采购人满意度调查（方式、内容等）、投诉处理（时效、处理团队、改进措施等）</w:t>
            </w:r>
            <w:r>
              <w:rPr>
                <w:rFonts w:hint="eastAsia" w:ascii="仿宋" w:hAnsi="仿宋" w:eastAsia="仿宋" w:cs="仿宋"/>
                <w:sz w:val="21"/>
                <w:szCs w:val="21"/>
                <w:lang w:val="en-US" w:eastAsia="zh-CN"/>
              </w:rPr>
              <w:t>]及</w:t>
            </w:r>
            <w:r>
              <w:rPr>
                <w:rFonts w:hint="eastAsia" w:ascii="仿宋" w:hAnsi="仿宋" w:eastAsia="仿宋" w:cs="仿宋"/>
                <w:sz w:val="21"/>
                <w:szCs w:val="21"/>
                <w:lang w:eastAsia="zh-CN"/>
              </w:rPr>
              <w:t>随机标准附件、备品备件、易损件、零配件、专用工具等准备和保障措施。</w:t>
            </w:r>
          </w:p>
        </w:tc>
      </w:tr>
      <w:bookmarkEnd w:id="2"/>
      <w:tr w14:paraId="29495D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1D2394B0">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sz w:val="21"/>
                <w:szCs w:val="21"/>
              </w:rPr>
            </w:pPr>
            <w:r>
              <w:rPr>
                <w:rFonts w:hint="eastAsia" w:ascii="仿宋" w:hAnsi="仿宋" w:eastAsia="仿宋" w:cs="仿宋"/>
                <w:b/>
                <w:bCs/>
                <w:sz w:val="21"/>
                <w:szCs w:val="21"/>
                <w:lang w:val="en-US" w:eastAsia="zh-CN"/>
              </w:rPr>
              <w:t>其他</w:t>
            </w:r>
            <w:r>
              <w:rPr>
                <w:rFonts w:hint="eastAsia" w:ascii="仿宋" w:hAnsi="仿宋" w:eastAsia="仿宋" w:cs="仿宋"/>
                <w:b/>
                <w:bCs/>
                <w:sz w:val="21"/>
                <w:szCs w:val="21"/>
              </w:rPr>
              <w:t>服务要求</w:t>
            </w:r>
          </w:p>
        </w:tc>
        <w:tc>
          <w:tcPr>
            <w:tcW w:w="7655" w:type="dxa"/>
            <w:tcBorders>
              <w:top w:val="single" w:color="auto" w:sz="4" w:space="0"/>
              <w:left w:val="single" w:color="auto" w:sz="4" w:space="0"/>
              <w:bottom w:val="single" w:color="auto" w:sz="4" w:space="0"/>
              <w:right w:val="single" w:color="auto" w:sz="4" w:space="0"/>
            </w:tcBorders>
            <w:vAlign w:val="center"/>
          </w:tcPr>
          <w:p w14:paraId="7046835E">
            <w:pPr>
              <w:keepNext w:val="0"/>
              <w:keepLines w:val="0"/>
              <w:numPr>
                <w:ilvl w:val="0"/>
                <w:numId w:val="0"/>
              </w:numPr>
              <w:suppressLineNumbers w:val="0"/>
              <w:adjustRightInd w:val="0"/>
              <w:snapToGrid w:val="0"/>
              <w:spacing w:before="0" w:beforeAutospacing="0" w:after="0" w:afterAutospacing="0" w:line="240" w:lineRule="auto"/>
              <w:ind w:left="0" w:right="0" w:rightChars="0"/>
              <w:rPr>
                <w:rFonts w:hint="eastAsia" w:ascii="仿宋" w:hAnsi="仿宋" w:eastAsia="仿宋" w:cs="仿宋"/>
                <w:sz w:val="21"/>
                <w:szCs w:val="21"/>
              </w:rPr>
            </w:pPr>
            <w:r>
              <w:rPr>
                <w:rFonts w:hint="eastAsia" w:ascii="仿宋" w:hAnsi="仿宋" w:eastAsia="仿宋" w:cs="仿宋"/>
                <w:sz w:val="21"/>
                <w:szCs w:val="21"/>
                <w:lang w:val="en-US" w:eastAsia="zh-CN"/>
              </w:rPr>
              <w:t>1.</w:t>
            </w:r>
            <w:r>
              <w:rPr>
                <w:rFonts w:hint="eastAsia" w:ascii="仿宋" w:hAnsi="仿宋" w:eastAsia="仿宋" w:cs="仿宋"/>
                <w:sz w:val="21"/>
                <w:szCs w:val="21"/>
              </w:rPr>
              <w:t>供应商应保证所提供的货物或</w:t>
            </w:r>
            <w:r>
              <w:rPr>
                <w:rFonts w:hint="eastAsia" w:ascii="仿宋" w:hAnsi="仿宋" w:eastAsia="仿宋" w:cs="仿宋"/>
                <w:sz w:val="21"/>
                <w:szCs w:val="21"/>
                <w:lang w:val="en-US" w:eastAsia="zh-CN"/>
              </w:rPr>
              <w:t>软件</w:t>
            </w:r>
            <w:r>
              <w:rPr>
                <w:rFonts w:hint="eastAsia" w:ascii="仿宋" w:hAnsi="仿宋" w:eastAsia="仿宋" w:cs="仿宋"/>
                <w:sz w:val="21"/>
                <w:szCs w:val="21"/>
              </w:rPr>
              <w:t>均不会侵犯第三方的知识产权。</w:t>
            </w:r>
          </w:p>
          <w:p w14:paraId="618F40D4">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lang w:val="en-US" w:eastAsia="zh-CN"/>
              </w:rPr>
              <w:t>2</w:t>
            </w:r>
            <w:r>
              <w:rPr>
                <w:rFonts w:hint="eastAsia" w:ascii="仿宋" w:hAnsi="仿宋" w:eastAsia="仿宋" w:cs="仿宋"/>
                <w:sz w:val="21"/>
                <w:szCs w:val="21"/>
              </w:rPr>
              <w:t>.供应商应提供有关的全套技术文件。</w:t>
            </w:r>
          </w:p>
          <w:p w14:paraId="4B15E220">
            <w:pPr>
              <w:keepNext w:val="0"/>
              <w:keepLines w:val="0"/>
              <w:suppressLineNumbers w:val="0"/>
              <w:adjustRightInd w:val="0"/>
              <w:snapToGrid w:val="0"/>
              <w:spacing w:before="0" w:beforeAutospacing="0" w:after="0" w:afterAutospacing="0" w:line="240" w:lineRule="auto"/>
              <w:ind w:left="0" w:right="0"/>
              <w:rPr>
                <w:rFonts w:hint="default" w:ascii="仿宋" w:hAnsi="仿宋" w:eastAsia="仿宋" w:cs="仿宋"/>
                <w:sz w:val="21"/>
                <w:szCs w:val="21"/>
                <w:lang w:val="en-US" w:eastAsia="zh-CN"/>
              </w:rPr>
            </w:pPr>
            <w:r>
              <w:rPr>
                <w:rFonts w:hint="eastAsia" w:ascii="仿宋" w:hAnsi="仿宋" w:eastAsia="仿宋" w:cs="仿宋"/>
                <w:sz w:val="21"/>
                <w:szCs w:val="21"/>
                <w:lang w:val="en-US" w:eastAsia="zh-CN"/>
              </w:rPr>
              <w:t>3</w:t>
            </w:r>
            <w:r>
              <w:rPr>
                <w:rFonts w:hint="eastAsia" w:ascii="仿宋" w:hAnsi="仿宋" w:eastAsia="仿宋" w:cs="仿宋"/>
                <w:sz w:val="21"/>
                <w:szCs w:val="21"/>
              </w:rPr>
              <w:t>.技术支持：供应商应及时免费提供合同货物软件的升级，免费提供合同货物新功能和应用的资料。</w:t>
            </w:r>
          </w:p>
        </w:tc>
      </w:tr>
      <w:tr w14:paraId="04C8E1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579F8DDF">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sz w:val="21"/>
                <w:szCs w:val="21"/>
              </w:rPr>
            </w:pPr>
            <w:r>
              <w:rPr>
                <w:rFonts w:hint="eastAsia" w:ascii="仿宋" w:hAnsi="仿宋" w:eastAsia="仿宋" w:cs="仿宋"/>
                <w:b/>
                <w:bCs/>
                <w:sz w:val="21"/>
                <w:szCs w:val="21"/>
              </w:rPr>
              <w:t>培训</w:t>
            </w:r>
          </w:p>
        </w:tc>
        <w:tc>
          <w:tcPr>
            <w:tcW w:w="7655" w:type="dxa"/>
            <w:tcBorders>
              <w:top w:val="single" w:color="auto" w:sz="4" w:space="0"/>
              <w:left w:val="single" w:color="auto" w:sz="4" w:space="0"/>
              <w:bottom w:val="single" w:color="auto" w:sz="4" w:space="0"/>
              <w:right w:val="single" w:color="auto" w:sz="4" w:space="0"/>
            </w:tcBorders>
            <w:vAlign w:val="center"/>
          </w:tcPr>
          <w:p w14:paraId="3F9041AD">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lang w:val="en-US" w:eastAsia="zh-CN"/>
              </w:rPr>
              <w:t>1.</w:t>
            </w:r>
            <w:r>
              <w:rPr>
                <w:rFonts w:hint="eastAsia" w:ascii="仿宋" w:hAnsi="仿宋" w:eastAsia="仿宋" w:cs="仿宋"/>
                <w:sz w:val="21"/>
                <w:szCs w:val="21"/>
              </w:rPr>
              <w:t>供应商应对采购人的操作人员、维修人员免费进行培训；</w:t>
            </w:r>
          </w:p>
          <w:p w14:paraId="196566A8">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lang w:eastAsia="zh-CN"/>
              </w:rPr>
            </w:pPr>
            <w:r>
              <w:rPr>
                <w:rFonts w:hint="eastAsia" w:ascii="仿宋" w:hAnsi="仿宋" w:eastAsia="仿宋" w:cs="仿宋"/>
                <w:sz w:val="21"/>
                <w:szCs w:val="21"/>
                <w:lang w:val="en-US" w:eastAsia="zh-CN"/>
              </w:rPr>
              <w:t>2.培训</w:t>
            </w:r>
            <w:r>
              <w:rPr>
                <w:rFonts w:hint="eastAsia" w:ascii="仿宋" w:hAnsi="仿宋" w:eastAsia="仿宋" w:cs="仿宋"/>
                <w:sz w:val="21"/>
                <w:szCs w:val="21"/>
              </w:rPr>
              <w:t>实现方式、时间、地点、人数应在</w:t>
            </w:r>
            <w:r>
              <w:rPr>
                <w:rFonts w:hint="eastAsia" w:ascii="仿宋" w:hAnsi="仿宋" w:eastAsia="仿宋" w:cs="仿宋"/>
                <w:sz w:val="21"/>
                <w:szCs w:val="21"/>
                <w:lang w:val="en-US" w:eastAsia="zh-CN"/>
              </w:rPr>
              <w:t>响应</w:t>
            </w:r>
            <w:r>
              <w:rPr>
                <w:rFonts w:hint="eastAsia" w:ascii="仿宋" w:hAnsi="仿宋" w:eastAsia="仿宋" w:cs="仿宋"/>
                <w:sz w:val="21"/>
                <w:szCs w:val="21"/>
              </w:rPr>
              <w:t>文件中详细说明</w:t>
            </w:r>
            <w:r>
              <w:rPr>
                <w:rFonts w:hint="eastAsia" w:ascii="仿宋" w:hAnsi="仿宋" w:eastAsia="仿宋" w:cs="仿宋"/>
                <w:sz w:val="21"/>
                <w:szCs w:val="21"/>
                <w:lang w:eastAsia="zh-CN"/>
              </w:rPr>
              <w:t>；</w:t>
            </w:r>
          </w:p>
          <w:p w14:paraId="77A300FA">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rPr>
            </w:pPr>
            <w:r>
              <w:rPr>
                <w:rFonts w:hint="eastAsia" w:ascii="仿宋" w:hAnsi="仿宋" w:eastAsia="仿宋" w:cs="仿宋"/>
                <w:sz w:val="21"/>
                <w:szCs w:val="21"/>
                <w:lang w:val="en-US" w:eastAsia="zh-CN"/>
              </w:rPr>
              <w:t>3.</w:t>
            </w:r>
            <w:r>
              <w:rPr>
                <w:rFonts w:hint="eastAsia" w:ascii="仿宋" w:hAnsi="仿宋" w:eastAsia="仿宋" w:cs="仿宋"/>
                <w:sz w:val="21"/>
                <w:szCs w:val="21"/>
              </w:rPr>
              <w:t>供应商应提供相应的培训计划、培训范围，实施方案</w:t>
            </w:r>
            <w:r>
              <w:rPr>
                <w:rFonts w:hint="eastAsia" w:ascii="仿宋" w:hAnsi="仿宋" w:eastAsia="仿宋" w:cs="仿宋"/>
                <w:sz w:val="21"/>
                <w:szCs w:val="21"/>
                <w:lang w:eastAsia="zh-CN"/>
              </w:rPr>
              <w:t>。</w:t>
            </w:r>
          </w:p>
        </w:tc>
      </w:tr>
      <w:tr w14:paraId="1F9175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1843" w:type="dxa"/>
            <w:tcBorders>
              <w:top w:val="single" w:color="auto" w:sz="4" w:space="0"/>
              <w:left w:val="single" w:color="auto" w:sz="4" w:space="0"/>
              <w:bottom w:val="single" w:color="auto" w:sz="4" w:space="0"/>
              <w:right w:val="single" w:color="auto" w:sz="4" w:space="0"/>
            </w:tcBorders>
            <w:vAlign w:val="center"/>
          </w:tcPr>
          <w:p w14:paraId="12F064A1">
            <w:pPr>
              <w:keepNext w:val="0"/>
              <w:keepLines w:val="0"/>
              <w:suppressLineNumbers w:val="0"/>
              <w:adjustRightInd w:val="0"/>
              <w:snapToGrid w:val="0"/>
              <w:spacing w:before="0" w:beforeAutospacing="0" w:after="0" w:afterAutospacing="0" w:line="240" w:lineRule="auto"/>
              <w:ind w:left="0" w:right="0"/>
              <w:jc w:val="center"/>
              <w:rPr>
                <w:rFonts w:hint="eastAsia" w:ascii="仿宋" w:hAnsi="仿宋" w:eastAsia="仿宋" w:cs="仿宋"/>
                <w:b/>
                <w:bCs/>
                <w:sz w:val="21"/>
                <w:szCs w:val="21"/>
              </w:rPr>
            </w:pPr>
            <w:r>
              <w:rPr>
                <w:rFonts w:hint="eastAsia" w:ascii="仿宋" w:hAnsi="仿宋" w:eastAsia="仿宋" w:cs="仿宋"/>
                <w:b/>
                <w:bCs/>
                <w:sz w:val="21"/>
                <w:szCs w:val="21"/>
              </w:rPr>
              <w:t>验收标准</w:t>
            </w:r>
          </w:p>
        </w:tc>
        <w:tc>
          <w:tcPr>
            <w:tcW w:w="7655" w:type="dxa"/>
            <w:tcBorders>
              <w:top w:val="single" w:color="auto" w:sz="4" w:space="0"/>
              <w:left w:val="single" w:color="auto" w:sz="4" w:space="0"/>
              <w:bottom w:val="single" w:color="auto" w:sz="4" w:space="0"/>
              <w:right w:val="single" w:color="auto" w:sz="4" w:space="0"/>
            </w:tcBorders>
            <w:vAlign w:val="center"/>
          </w:tcPr>
          <w:p w14:paraId="663AF564">
            <w:pPr>
              <w:keepNext w:val="0"/>
              <w:keepLines w:val="0"/>
              <w:suppressLineNumbers w:val="0"/>
              <w:adjustRightInd w:val="0"/>
              <w:snapToGrid w:val="0"/>
              <w:spacing w:before="0" w:beforeAutospacing="0" w:after="0" w:afterAutospacing="0" w:line="240" w:lineRule="auto"/>
              <w:ind w:left="0" w:right="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1.供应商完成维修及更换安装调试，采购人在10个日历天内由组织验收，验收情况作为支付货款的依据。</w:t>
            </w:r>
          </w:p>
          <w:p w14:paraId="230C6D12">
            <w:pPr>
              <w:keepNext w:val="0"/>
              <w:keepLines w:val="0"/>
              <w:suppressLineNumbers w:val="0"/>
              <w:adjustRightInd w:val="0"/>
              <w:snapToGrid w:val="0"/>
              <w:spacing w:before="0" w:beforeAutospacing="0" w:after="0" w:afterAutospacing="0" w:line="240" w:lineRule="auto"/>
              <w:ind w:left="0" w:right="0"/>
              <w:rPr>
                <w:rFonts w:hint="eastAsia"/>
              </w:rPr>
            </w:pPr>
            <w:r>
              <w:rPr>
                <w:rFonts w:hint="eastAsia" w:ascii="仿宋" w:hAnsi="仿宋" w:eastAsia="仿宋" w:cs="仿宋"/>
                <w:sz w:val="21"/>
                <w:szCs w:val="21"/>
                <w:lang w:val="en-US" w:eastAsia="zh-CN"/>
              </w:rPr>
              <w:t>2.如采购人发现产品不符合采购文件要求的，供应商应在10个日历天内及时整改直至符合采购文件，供应商整改后仍未符合相关要求的，采购人有权单方面终止合同，期间发生的一切费用由供应商承担，采购人保留向中标人索赔的权利。</w:t>
            </w:r>
          </w:p>
        </w:tc>
      </w:tr>
    </w:tbl>
    <w:p w14:paraId="16F0C96A">
      <w:pPr>
        <w:adjustRightInd w:val="0"/>
        <w:snapToGrid w:val="0"/>
        <w:spacing w:line="288" w:lineRule="auto"/>
        <w:rPr>
          <w:rFonts w:hint="eastAsia" w:ascii="仿宋" w:hAnsi="仿宋" w:eastAsia="仿宋" w:cs="仿宋"/>
          <w:sz w:val="21"/>
          <w:szCs w:val="21"/>
        </w:rPr>
      </w:pPr>
    </w:p>
    <w:p w14:paraId="43505C15">
      <w:pPr>
        <w:adjustRightInd w:val="0"/>
        <w:snapToGrid w:val="0"/>
        <w:spacing w:line="288" w:lineRule="auto"/>
        <w:outlineLvl w:val="1"/>
        <w:rPr>
          <w:rFonts w:hint="eastAsia" w:ascii="仿宋" w:hAnsi="仿宋" w:eastAsia="仿宋" w:cs="仿宋"/>
          <w:b/>
          <w:sz w:val="21"/>
          <w:szCs w:val="21"/>
        </w:rPr>
      </w:pPr>
      <w:r>
        <w:rPr>
          <w:rFonts w:hint="eastAsia" w:ascii="仿宋" w:hAnsi="仿宋" w:eastAsia="仿宋" w:cs="仿宋"/>
          <w:b/>
          <w:sz w:val="21"/>
          <w:szCs w:val="21"/>
          <w:lang w:val="en-US" w:eastAsia="zh-CN"/>
        </w:rPr>
        <w:t>三</w:t>
      </w:r>
      <w:r>
        <w:rPr>
          <w:rFonts w:hint="eastAsia" w:ascii="仿宋" w:hAnsi="仿宋" w:eastAsia="仿宋" w:cs="仿宋"/>
          <w:b/>
          <w:sz w:val="21"/>
          <w:szCs w:val="21"/>
        </w:rPr>
        <w:t>、技术</w:t>
      </w:r>
      <w:r>
        <w:rPr>
          <w:rFonts w:hint="eastAsia" w:ascii="仿宋" w:hAnsi="仿宋" w:eastAsia="仿宋" w:cs="仿宋"/>
          <w:b/>
          <w:sz w:val="21"/>
          <w:szCs w:val="21"/>
          <w:lang w:val="en-US" w:eastAsia="zh-CN"/>
        </w:rPr>
        <w:t>服务</w:t>
      </w:r>
      <w:r>
        <w:rPr>
          <w:rFonts w:hint="eastAsia" w:ascii="仿宋" w:hAnsi="仿宋" w:eastAsia="仿宋" w:cs="仿宋"/>
          <w:b/>
          <w:sz w:val="21"/>
          <w:szCs w:val="21"/>
        </w:rPr>
        <w:t>要求：</w:t>
      </w:r>
    </w:p>
    <w:p w14:paraId="785EC8D6">
      <w:pPr>
        <w:adjustRightInd w:val="0"/>
        <w:snapToGrid w:val="0"/>
        <w:spacing w:line="288" w:lineRule="auto"/>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1.需执行的国家相关标准、行业标准、地方标准或者其他标准、规范：</w:t>
      </w:r>
      <w:r>
        <w:rPr>
          <w:rFonts w:hint="eastAsia" w:ascii="仿宋" w:hAnsi="仿宋" w:eastAsia="仿宋" w:cs="仿宋"/>
          <w:b w:val="0"/>
          <w:bCs w:val="0"/>
          <w:sz w:val="21"/>
          <w:szCs w:val="21"/>
          <w:highlight w:val="none"/>
          <w:lang w:val="en-US" w:eastAsia="zh-CN"/>
        </w:rPr>
        <w:t>所供全部产品的质量符合或优于现行国家和行业的技术标准和规范、安全及</w:t>
      </w:r>
      <w:r>
        <w:rPr>
          <w:rFonts w:hint="eastAsia" w:ascii="仿宋" w:hAnsi="仿宋" w:eastAsia="仿宋" w:cs="仿宋"/>
          <w:b w:val="0"/>
          <w:bCs w:val="0"/>
          <w:sz w:val="21"/>
          <w:szCs w:val="21"/>
          <w:lang w:val="en-US" w:eastAsia="zh-CN"/>
        </w:rPr>
        <w:t>项目所在地的政府相关部门的管理规定，</w:t>
      </w:r>
      <w:r>
        <w:rPr>
          <w:rFonts w:hint="eastAsia" w:ascii="仿宋" w:hAnsi="仿宋" w:eastAsia="仿宋" w:cs="仿宋"/>
          <w:b w:val="0"/>
          <w:bCs w:val="0"/>
          <w:sz w:val="21"/>
          <w:szCs w:val="21"/>
          <w:highlight w:val="none"/>
          <w:lang w:val="en-US" w:eastAsia="zh-CN"/>
        </w:rPr>
        <w:t>否则，供应商将承担一切经济损失的赔偿及法律责任。</w:t>
      </w:r>
    </w:p>
    <w:p w14:paraId="2AB61B74">
      <w:pPr>
        <w:pStyle w:val="2"/>
        <w:keepNext w:val="0"/>
        <w:keepLines w:val="0"/>
        <w:pageBreakBefore w:val="0"/>
        <w:widowControl w:val="0"/>
        <w:kinsoku/>
        <w:wordWrap/>
        <w:overflowPunct/>
        <w:topLinePunct w:val="0"/>
        <w:autoSpaceDE/>
        <w:autoSpaceDN/>
        <w:bidi w:val="0"/>
        <w:adjustRightInd/>
        <w:snapToGrid/>
        <w:spacing w:line="312" w:lineRule="auto"/>
        <w:ind w:firstLine="422" w:firstLineChars="200"/>
        <w:textAlignment w:val="auto"/>
        <w:rPr>
          <w:rFonts w:hint="eastAsia" w:ascii="仿宋" w:hAnsi="仿宋" w:eastAsia="仿宋" w:cs="仿宋"/>
          <w:b/>
          <w:bCs/>
          <w:sz w:val="21"/>
          <w:szCs w:val="21"/>
          <w:lang w:val="en-US" w:eastAsia="zh-CN"/>
        </w:rPr>
      </w:pPr>
      <w:r>
        <w:rPr>
          <w:rFonts w:hint="eastAsia" w:ascii="仿宋" w:hAnsi="仿宋" w:eastAsia="仿宋" w:cs="仿宋"/>
          <w:b/>
          <w:bCs/>
          <w:color w:val="000000"/>
          <w:sz w:val="21"/>
          <w:szCs w:val="21"/>
          <w:highlight w:val="none"/>
          <w:lang w:val="en-US" w:eastAsia="zh-CN"/>
        </w:rPr>
        <w:t>2.</w:t>
      </w:r>
      <w:r>
        <w:rPr>
          <w:rFonts w:hint="eastAsia" w:ascii="仿宋" w:hAnsi="仿宋" w:eastAsia="仿宋" w:cs="仿宋"/>
          <w:b/>
          <w:bCs/>
          <w:sz w:val="21"/>
          <w:szCs w:val="21"/>
          <w:lang w:val="en-US" w:eastAsia="zh-CN"/>
        </w:rPr>
        <w:t>原设备相关情况</w:t>
      </w:r>
    </w:p>
    <w:p w14:paraId="66DE4B78">
      <w:pPr>
        <w:pStyle w:val="2"/>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嘉兴市第一医院气动物流系统是医院迁建时安装的，使用的品牌是荷兰TELECOM，至今已使用近14年，本次采购内容主要为更换气动物流</w:t>
      </w:r>
      <w:r>
        <w:rPr>
          <w:rFonts w:hint="eastAsia" w:ascii="仿宋" w:hAnsi="仿宋" w:eastAsia="仿宋" w:cs="仿宋"/>
          <w:caps/>
          <w:color w:val="000000"/>
          <w:sz w:val="21"/>
          <w:szCs w:val="21"/>
          <w:highlight w:val="none"/>
          <w:lang w:val="en-US" w:eastAsia="zh-CN"/>
        </w:rPr>
        <w:t>三向阀控制设备及</w:t>
      </w:r>
      <w:r>
        <w:rPr>
          <w:rFonts w:hint="eastAsia" w:ascii="仿宋" w:hAnsi="仿宋" w:eastAsia="仿宋" w:cs="仿宋"/>
          <w:b w:val="0"/>
          <w:bCs w:val="0"/>
          <w:sz w:val="21"/>
          <w:szCs w:val="21"/>
          <w:lang w:val="en-US" w:eastAsia="zh-CN"/>
        </w:rPr>
        <w:t>气动物流</w:t>
      </w:r>
      <w:r>
        <w:rPr>
          <w:rFonts w:hint="eastAsia" w:ascii="仿宋" w:hAnsi="仿宋" w:eastAsia="仿宋" w:cs="仿宋"/>
          <w:caps/>
          <w:color w:val="000000"/>
          <w:sz w:val="21"/>
          <w:szCs w:val="21"/>
          <w:highlight w:val="none"/>
          <w:lang w:val="en-US" w:eastAsia="zh-CN"/>
        </w:rPr>
        <w:t>控制系统。</w:t>
      </w:r>
    </w:p>
    <w:p w14:paraId="166C231C">
      <w:pPr>
        <w:pStyle w:val="2"/>
        <w:keepNext w:val="0"/>
        <w:keepLines w:val="0"/>
        <w:pageBreakBefore w:val="0"/>
        <w:widowControl w:val="0"/>
        <w:kinsoku/>
        <w:wordWrap/>
        <w:overflowPunct/>
        <w:topLinePunct w:val="0"/>
        <w:autoSpaceDE/>
        <w:autoSpaceDN/>
        <w:bidi w:val="0"/>
        <w:adjustRightInd/>
        <w:snapToGrid/>
        <w:spacing w:line="312" w:lineRule="auto"/>
        <w:ind w:firstLine="422" w:firstLineChars="200"/>
        <w:textAlignment w:val="auto"/>
        <w:rPr>
          <w:rFonts w:hint="eastAsia" w:ascii="仿宋" w:hAnsi="仿宋" w:eastAsia="仿宋" w:cs="仿宋"/>
          <w:b/>
          <w:bCs/>
          <w:sz w:val="21"/>
          <w:szCs w:val="21"/>
          <w:lang w:val="en-US" w:eastAsia="zh-CN"/>
        </w:rPr>
      </w:pPr>
      <w:r>
        <w:rPr>
          <w:rFonts w:hint="eastAsia" w:ascii="仿宋" w:hAnsi="仿宋" w:eastAsia="仿宋" w:cs="仿宋"/>
          <w:b/>
          <w:bCs/>
          <w:sz w:val="21"/>
          <w:szCs w:val="21"/>
          <w:lang w:val="en-US" w:eastAsia="zh-CN"/>
        </w:rPr>
        <w:t>3.维修更新清单一览表</w:t>
      </w:r>
    </w:p>
    <w:tbl>
      <w:tblPr>
        <w:tblStyle w:val="3"/>
        <w:tblW w:w="9276" w:type="dxa"/>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745"/>
        <w:gridCol w:w="2373"/>
        <w:gridCol w:w="1306"/>
        <w:gridCol w:w="1133"/>
        <w:gridCol w:w="812"/>
        <w:gridCol w:w="853"/>
        <w:gridCol w:w="2054"/>
      </w:tblGrid>
      <w:tr w14:paraId="5371CE11">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323" w:hRule="atLeast"/>
          <w:jc w:val="center"/>
        </w:trPr>
        <w:tc>
          <w:tcPr>
            <w:tcW w:w="745" w:type="dxa"/>
            <w:noWrap w:val="0"/>
            <w:vAlign w:val="center"/>
          </w:tcPr>
          <w:p w14:paraId="47D923C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序号</w:t>
            </w:r>
          </w:p>
        </w:tc>
        <w:tc>
          <w:tcPr>
            <w:tcW w:w="2373" w:type="dxa"/>
            <w:noWrap w:val="0"/>
            <w:vAlign w:val="center"/>
          </w:tcPr>
          <w:p w14:paraId="1E57B282">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内容</w:t>
            </w:r>
          </w:p>
        </w:tc>
        <w:tc>
          <w:tcPr>
            <w:tcW w:w="1306" w:type="dxa"/>
            <w:noWrap w:val="0"/>
            <w:vAlign w:val="center"/>
          </w:tcPr>
          <w:p w14:paraId="6DD0C3B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型号</w:t>
            </w:r>
          </w:p>
        </w:tc>
        <w:tc>
          <w:tcPr>
            <w:tcW w:w="1133" w:type="dxa"/>
            <w:noWrap w:val="0"/>
            <w:vAlign w:val="center"/>
          </w:tcPr>
          <w:p w14:paraId="5D033D60">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品牌</w:t>
            </w:r>
          </w:p>
        </w:tc>
        <w:tc>
          <w:tcPr>
            <w:tcW w:w="812" w:type="dxa"/>
            <w:noWrap w:val="0"/>
            <w:vAlign w:val="center"/>
          </w:tcPr>
          <w:p w14:paraId="1B508225">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单位</w:t>
            </w:r>
          </w:p>
        </w:tc>
        <w:tc>
          <w:tcPr>
            <w:tcW w:w="853" w:type="dxa"/>
            <w:noWrap w:val="0"/>
            <w:vAlign w:val="center"/>
          </w:tcPr>
          <w:p w14:paraId="0BEB08B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数量</w:t>
            </w:r>
          </w:p>
        </w:tc>
        <w:tc>
          <w:tcPr>
            <w:tcW w:w="2054" w:type="dxa"/>
            <w:noWrap w:val="0"/>
            <w:vAlign w:val="center"/>
          </w:tcPr>
          <w:p w14:paraId="7EA7625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备注</w:t>
            </w:r>
          </w:p>
        </w:tc>
      </w:tr>
      <w:tr w14:paraId="16CC7DDB">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306" w:hRule="atLeast"/>
          <w:jc w:val="center"/>
        </w:trPr>
        <w:tc>
          <w:tcPr>
            <w:tcW w:w="745" w:type="dxa"/>
            <w:vAlign w:val="center"/>
          </w:tcPr>
          <w:p w14:paraId="25EB284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1</w:t>
            </w:r>
          </w:p>
        </w:tc>
        <w:tc>
          <w:tcPr>
            <w:tcW w:w="2373" w:type="dxa"/>
            <w:vAlign w:val="center"/>
          </w:tcPr>
          <w:p w14:paraId="4755911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三向阀控制设备</w:t>
            </w:r>
          </w:p>
        </w:tc>
        <w:tc>
          <w:tcPr>
            <w:tcW w:w="1306" w:type="dxa"/>
            <w:vAlign w:val="center"/>
          </w:tcPr>
          <w:p w14:paraId="72B1984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MSV</w:t>
            </w:r>
          </w:p>
        </w:tc>
        <w:tc>
          <w:tcPr>
            <w:tcW w:w="1133" w:type="dxa"/>
            <w:vAlign w:val="center"/>
          </w:tcPr>
          <w:p w14:paraId="7DFBCA5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TELECOM</w:t>
            </w:r>
          </w:p>
        </w:tc>
        <w:tc>
          <w:tcPr>
            <w:tcW w:w="812" w:type="dxa"/>
            <w:vAlign w:val="center"/>
          </w:tcPr>
          <w:p w14:paraId="7DBC317A">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组</w:t>
            </w:r>
          </w:p>
        </w:tc>
        <w:tc>
          <w:tcPr>
            <w:tcW w:w="853" w:type="dxa"/>
            <w:vAlign w:val="center"/>
          </w:tcPr>
          <w:p w14:paraId="11E9637D">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1</w:t>
            </w:r>
          </w:p>
        </w:tc>
        <w:tc>
          <w:tcPr>
            <w:tcW w:w="2054" w:type="dxa"/>
            <w:vAlign w:val="center"/>
          </w:tcPr>
          <w:p w14:paraId="6136CC6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含主板，密封圈，电机，电位器</w:t>
            </w:r>
          </w:p>
        </w:tc>
      </w:tr>
      <w:tr w14:paraId="0F10DE00">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306" w:hRule="atLeast"/>
          <w:jc w:val="center"/>
        </w:trPr>
        <w:tc>
          <w:tcPr>
            <w:tcW w:w="745" w:type="dxa"/>
            <w:vAlign w:val="center"/>
          </w:tcPr>
          <w:p w14:paraId="249FAE3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bookmarkStart w:id="3" w:name="OLE_LINK5" w:colFirst="3" w:colLast="3"/>
            <w:r>
              <w:rPr>
                <w:rFonts w:hint="eastAsia" w:ascii="仿宋" w:hAnsi="仿宋" w:eastAsia="仿宋" w:cs="仿宋"/>
                <w:caps/>
                <w:color w:val="000000"/>
                <w:sz w:val="21"/>
                <w:szCs w:val="21"/>
                <w:highlight w:val="none"/>
                <w:lang w:val="en-US" w:eastAsia="zh-CN"/>
              </w:rPr>
              <w:t>2</w:t>
            </w:r>
          </w:p>
        </w:tc>
        <w:tc>
          <w:tcPr>
            <w:tcW w:w="2373" w:type="dxa"/>
            <w:vAlign w:val="center"/>
          </w:tcPr>
          <w:p w14:paraId="42566BE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控制系统控制器</w:t>
            </w:r>
          </w:p>
        </w:tc>
        <w:tc>
          <w:tcPr>
            <w:tcW w:w="1306" w:type="dxa"/>
            <w:vAlign w:val="center"/>
          </w:tcPr>
          <w:p w14:paraId="43AD0E0C">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VO3</w:t>
            </w:r>
          </w:p>
        </w:tc>
        <w:tc>
          <w:tcPr>
            <w:tcW w:w="1133" w:type="dxa"/>
            <w:vAlign w:val="center"/>
          </w:tcPr>
          <w:p w14:paraId="1717AE6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TELECOM</w:t>
            </w:r>
          </w:p>
        </w:tc>
        <w:tc>
          <w:tcPr>
            <w:tcW w:w="812" w:type="dxa"/>
            <w:vAlign w:val="center"/>
          </w:tcPr>
          <w:p w14:paraId="7AEC5435">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台</w:t>
            </w:r>
          </w:p>
        </w:tc>
        <w:tc>
          <w:tcPr>
            <w:tcW w:w="853" w:type="dxa"/>
            <w:vAlign w:val="center"/>
          </w:tcPr>
          <w:p w14:paraId="51D21B36">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1</w:t>
            </w:r>
          </w:p>
        </w:tc>
        <w:tc>
          <w:tcPr>
            <w:tcW w:w="2054" w:type="dxa"/>
            <w:vAlign w:val="center"/>
          </w:tcPr>
          <w:p w14:paraId="2FCFDF9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p>
        </w:tc>
      </w:tr>
      <w:bookmarkEnd w:id="3"/>
      <w:tr w14:paraId="79B5BE75">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306" w:hRule="atLeast"/>
          <w:jc w:val="center"/>
        </w:trPr>
        <w:tc>
          <w:tcPr>
            <w:tcW w:w="745" w:type="dxa"/>
            <w:vAlign w:val="center"/>
          </w:tcPr>
          <w:p w14:paraId="50FC3EC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3</w:t>
            </w:r>
          </w:p>
        </w:tc>
        <w:tc>
          <w:tcPr>
            <w:tcW w:w="2373" w:type="dxa"/>
            <w:vAlign w:val="center"/>
          </w:tcPr>
          <w:p w14:paraId="32AD44B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控制系统管理软件</w:t>
            </w:r>
          </w:p>
        </w:tc>
        <w:tc>
          <w:tcPr>
            <w:tcW w:w="1306" w:type="dxa"/>
            <w:vAlign w:val="center"/>
          </w:tcPr>
          <w:p w14:paraId="748556B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BP-ATLAS</w:t>
            </w:r>
          </w:p>
        </w:tc>
        <w:tc>
          <w:tcPr>
            <w:tcW w:w="1133" w:type="dxa"/>
            <w:vAlign w:val="center"/>
          </w:tcPr>
          <w:p w14:paraId="69D312A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TELECOM</w:t>
            </w:r>
          </w:p>
        </w:tc>
        <w:tc>
          <w:tcPr>
            <w:tcW w:w="812" w:type="dxa"/>
            <w:vAlign w:val="center"/>
          </w:tcPr>
          <w:p w14:paraId="7B816D55">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套</w:t>
            </w:r>
          </w:p>
        </w:tc>
        <w:tc>
          <w:tcPr>
            <w:tcW w:w="853" w:type="dxa"/>
            <w:vAlign w:val="center"/>
          </w:tcPr>
          <w:p w14:paraId="00BA32A5">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1</w:t>
            </w:r>
          </w:p>
        </w:tc>
        <w:tc>
          <w:tcPr>
            <w:tcW w:w="2054" w:type="dxa"/>
            <w:vAlign w:val="center"/>
          </w:tcPr>
          <w:p w14:paraId="2216A231">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p>
        </w:tc>
      </w:tr>
      <w:tr w14:paraId="4E445F45">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331" w:hRule="atLeast"/>
          <w:jc w:val="center"/>
        </w:trPr>
        <w:tc>
          <w:tcPr>
            <w:tcW w:w="745" w:type="dxa"/>
            <w:vAlign w:val="center"/>
          </w:tcPr>
          <w:p w14:paraId="788C63FE">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4</w:t>
            </w:r>
          </w:p>
        </w:tc>
        <w:tc>
          <w:tcPr>
            <w:tcW w:w="2373" w:type="dxa"/>
            <w:vAlign w:val="center"/>
          </w:tcPr>
          <w:p w14:paraId="4796BCEF">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辅材</w:t>
            </w:r>
          </w:p>
        </w:tc>
        <w:tc>
          <w:tcPr>
            <w:tcW w:w="1306" w:type="dxa"/>
            <w:vAlign w:val="center"/>
          </w:tcPr>
          <w:p w14:paraId="028BF8F4">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w:t>
            </w:r>
          </w:p>
        </w:tc>
        <w:tc>
          <w:tcPr>
            <w:tcW w:w="1133" w:type="dxa"/>
            <w:vAlign w:val="center"/>
          </w:tcPr>
          <w:p w14:paraId="4582CD3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w:t>
            </w:r>
          </w:p>
        </w:tc>
        <w:tc>
          <w:tcPr>
            <w:tcW w:w="812" w:type="dxa"/>
            <w:vAlign w:val="center"/>
          </w:tcPr>
          <w:p w14:paraId="2FB6CF53">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项</w:t>
            </w:r>
          </w:p>
        </w:tc>
        <w:tc>
          <w:tcPr>
            <w:tcW w:w="853" w:type="dxa"/>
            <w:vAlign w:val="center"/>
          </w:tcPr>
          <w:p w14:paraId="085FFA38">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r>
              <w:rPr>
                <w:rFonts w:hint="eastAsia" w:ascii="仿宋" w:hAnsi="仿宋" w:eastAsia="仿宋" w:cs="仿宋"/>
                <w:caps/>
                <w:color w:val="000000"/>
                <w:sz w:val="21"/>
                <w:szCs w:val="21"/>
                <w:highlight w:val="none"/>
                <w:lang w:val="en-US" w:eastAsia="zh-CN"/>
              </w:rPr>
              <w:t>1</w:t>
            </w:r>
          </w:p>
        </w:tc>
        <w:tc>
          <w:tcPr>
            <w:tcW w:w="2054" w:type="dxa"/>
            <w:vAlign w:val="center"/>
          </w:tcPr>
          <w:p w14:paraId="20F41529">
            <w:pPr>
              <w:keepNext w:val="0"/>
              <w:keepLines w:val="0"/>
              <w:pageBreakBefore w:val="0"/>
              <w:widowControl w:val="0"/>
              <w:suppressLineNumbers w:val="0"/>
              <w:kinsoku/>
              <w:wordWrap/>
              <w:overflowPunct/>
              <w:topLinePunct w:val="0"/>
              <w:autoSpaceDE/>
              <w:autoSpaceDN/>
              <w:bidi w:val="0"/>
              <w:adjustRightInd/>
              <w:spacing w:before="0" w:beforeAutospacing="0" w:after="0" w:afterAutospacing="0" w:line="240" w:lineRule="auto"/>
              <w:ind w:left="0" w:right="0"/>
              <w:jc w:val="center"/>
              <w:textAlignment w:val="auto"/>
              <w:rPr>
                <w:rFonts w:hint="eastAsia" w:ascii="仿宋" w:hAnsi="仿宋" w:eastAsia="仿宋" w:cs="仿宋"/>
                <w:caps/>
                <w:color w:val="000000"/>
                <w:sz w:val="21"/>
                <w:szCs w:val="21"/>
                <w:highlight w:val="none"/>
                <w:lang w:val="en-US" w:eastAsia="zh-CN"/>
              </w:rPr>
            </w:pPr>
          </w:p>
        </w:tc>
      </w:tr>
    </w:tbl>
    <w:p w14:paraId="3EB87BBA">
      <w:pPr>
        <w:pageBreakBefore w:val="0"/>
        <w:widowControl w:val="0"/>
        <w:kinsoku/>
        <w:wordWrap/>
        <w:overflowPunct/>
        <w:topLinePunct w:val="0"/>
        <w:autoSpaceDE/>
        <w:autoSpaceDN/>
        <w:bidi w:val="0"/>
        <w:adjustRightInd/>
        <w:spacing w:line="288" w:lineRule="auto"/>
        <w:ind w:firstLine="420" w:firstLineChars="200"/>
        <w:textAlignment w:val="auto"/>
        <w:rPr>
          <w:rFonts w:hint="eastAsia"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注：维修更新服务</w:t>
      </w:r>
      <w:r>
        <w:rPr>
          <w:rFonts w:hint="eastAsia" w:ascii="仿宋" w:hAnsi="仿宋" w:eastAsia="仿宋" w:cs="仿宋"/>
          <w:sz w:val="21"/>
          <w:szCs w:val="21"/>
          <w:lang w:val="en-US" w:eastAsia="zh-CN"/>
        </w:rPr>
        <w:t>内容</w:t>
      </w:r>
      <w:r>
        <w:rPr>
          <w:rFonts w:hint="eastAsia" w:ascii="仿宋" w:hAnsi="仿宋" w:eastAsia="仿宋" w:cs="仿宋"/>
          <w:sz w:val="21"/>
          <w:szCs w:val="21"/>
        </w:rPr>
        <w:t>包括</w:t>
      </w:r>
      <w:r>
        <w:rPr>
          <w:rFonts w:hint="eastAsia" w:ascii="仿宋" w:hAnsi="仿宋" w:eastAsia="仿宋" w:cs="仿宋"/>
          <w:sz w:val="21"/>
          <w:szCs w:val="21"/>
          <w:lang w:val="en-US" w:eastAsia="zh-CN"/>
        </w:rPr>
        <w:t>设备硬件及软件采购（</w:t>
      </w:r>
      <w:r>
        <w:rPr>
          <w:rFonts w:hint="eastAsia" w:ascii="仿宋" w:hAnsi="仿宋" w:eastAsia="仿宋" w:cs="仿宋"/>
          <w:sz w:val="21"/>
          <w:szCs w:val="21"/>
        </w:rPr>
        <w:t>均采用原有气动物流系统品牌一致的原厂</w:t>
      </w:r>
      <w:r>
        <w:rPr>
          <w:rFonts w:hint="eastAsia" w:ascii="仿宋" w:hAnsi="仿宋" w:eastAsia="仿宋" w:cs="仿宋"/>
          <w:sz w:val="21"/>
          <w:szCs w:val="21"/>
          <w:lang w:val="en-US" w:eastAsia="zh-CN"/>
        </w:rPr>
        <w:t>产品，</w:t>
      </w:r>
      <w:r>
        <w:rPr>
          <w:rFonts w:hint="eastAsia" w:ascii="仿宋" w:hAnsi="仿宋" w:eastAsia="仿宋" w:cs="仿宋"/>
          <w:b/>
          <w:bCs/>
          <w:sz w:val="21"/>
          <w:szCs w:val="21"/>
          <w:lang w:val="en-US" w:eastAsia="zh-CN"/>
        </w:rPr>
        <w:t>响应文件中提供承诺书</w:t>
      </w:r>
      <w:r>
        <w:rPr>
          <w:rFonts w:hint="eastAsia" w:ascii="仿宋" w:hAnsi="仿宋" w:eastAsia="仿宋" w:cs="仿宋"/>
          <w:sz w:val="21"/>
          <w:szCs w:val="21"/>
          <w:lang w:val="en-US" w:eastAsia="zh-CN"/>
        </w:rPr>
        <w:t>）、</w:t>
      </w:r>
      <w:r>
        <w:rPr>
          <w:rFonts w:hint="eastAsia" w:ascii="仿宋" w:hAnsi="仿宋" w:eastAsia="仿宋" w:cs="仿宋"/>
          <w:sz w:val="21"/>
          <w:szCs w:val="21"/>
        </w:rPr>
        <w:t>系统测试、运输、安装、调试、有效可靠的试运行、系统完善、培训操作和维修人员、提交文件资料、售后服务等，以及所有其它为项目正常可靠运行所需必要的项目。</w:t>
      </w:r>
      <w:r>
        <w:rPr>
          <w:rFonts w:hint="eastAsia" w:ascii="仿宋" w:hAnsi="仿宋" w:eastAsia="仿宋" w:cs="仿宋"/>
          <w:caps/>
          <w:color w:val="000000"/>
          <w:sz w:val="21"/>
          <w:szCs w:val="21"/>
          <w:highlight w:val="none"/>
          <w:lang w:val="en-US" w:eastAsia="zh-CN"/>
        </w:rPr>
        <w:t>控制系统操作计算机及交换机由采购人按供应商要求提供，供应商配合安装调试。</w:t>
      </w:r>
    </w:p>
    <w:p w14:paraId="0FBAA817">
      <w:pPr>
        <w:pStyle w:val="2"/>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hint="eastAsia" w:ascii="仿宋" w:hAnsi="仿宋" w:eastAsia="仿宋" w:cs="仿宋"/>
          <w:b/>
          <w:bCs/>
          <w:sz w:val="21"/>
          <w:szCs w:val="21"/>
          <w:lang w:eastAsia="zh-CN"/>
        </w:rPr>
      </w:pPr>
      <w:r>
        <w:rPr>
          <w:rFonts w:hint="eastAsia" w:ascii="仿宋" w:hAnsi="仿宋" w:eastAsia="仿宋" w:cs="仿宋"/>
          <w:b/>
          <w:bCs/>
          <w:sz w:val="21"/>
          <w:szCs w:val="21"/>
          <w:lang w:val="en-US" w:eastAsia="zh-CN"/>
        </w:rPr>
        <w:t>4.控制系统管理软件系统技术要求</w:t>
      </w:r>
    </w:p>
    <w:p w14:paraId="105361CC">
      <w:pPr>
        <w:pageBreakBefore w:val="0"/>
        <w:widowControl w:val="0"/>
        <w:kinsoku/>
        <w:wordWrap/>
        <w:overflowPunct/>
        <w:topLinePunct w:val="0"/>
        <w:autoSpaceDE/>
        <w:autoSpaceDN/>
        <w:bidi w:val="0"/>
        <w:adjustRightInd/>
        <w:spacing w:line="288" w:lineRule="auto"/>
        <w:ind w:firstLine="420" w:firstLineChars="200"/>
        <w:textAlignment w:val="auto"/>
        <w:rPr>
          <w:rFonts w:hint="default" w:ascii="仿宋" w:hAnsi="仿宋" w:eastAsia="仿宋" w:cs="仿宋"/>
          <w:b w:val="0"/>
          <w:bCs w:val="0"/>
          <w:sz w:val="21"/>
          <w:szCs w:val="21"/>
          <w:lang w:val="en-US" w:eastAsia="zh-CN"/>
        </w:rPr>
      </w:pPr>
      <w:r>
        <w:rPr>
          <w:rFonts w:hint="eastAsia" w:ascii="仿宋" w:hAnsi="仿宋" w:eastAsia="仿宋" w:cs="仿宋"/>
          <w:b w:val="0"/>
          <w:bCs w:val="0"/>
          <w:sz w:val="21"/>
          <w:szCs w:val="21"/>
          <w:lang w:val="en-US" w:eastAsia="zh-CN"/>
        </w:rPr>
        <w:t>由计算机实时控制全系统运行。</w:t>
      </w:r>
    </w:p>
    <w:p w14:paraId="4E8F5A24">
      <w:bookmarkStart w:id="4" w:name="_GoBack"/>
      <w:bookmarkEnd w:id="4"/>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8"/>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E4FD33A"/>
    <w:multiLevelType w:val="singleLevel"/>
    <w:tmpl w:val="BE4FD33A"/>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I5NmE3Zjc2YjhlM2EyNmZlNjdjM2VjZGM0YmQzMjAifQ=="/>
  </w:docVars>
  <w:rsids>
    <w:rsidRoot w:val="587B5E80"/>
    <w:rsid w:val="587B5E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iPriority="99"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8"/>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annotation text"/>
    <w:basedOn w:val="1"/>
    <w:unhideWhenUsed/>
    <w:qFormat/>
    <w:uiPriority w:val="99"/>
    <w:pPr>
      <w:jc w:val="left"/>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2025-04-11T05:38:00Z</dcterms:created>
  <dc:creator>lenovo</dc:creator>
  <cp:lastModifiedBy>lenovo</cp:lastModifiedBy>
  <dcterms:modified xsi:type="dcterms:W3CDTF">2025-04-11T05:38:29Z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E7C475A55CD34328A42C800C0495BAFA_11</vt:lpwstr>
  </property>
</Properties>
</file>